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b w:val="1"/>
          <w:bCs w:val="1"/>
          <w:color w:val="auto"/>
        </w:rPr>
        <w:t>UNITED STATES</w:t>
      </w:r>
    </w:p>
    <w:p>
      <w:pPr>
        <w:jc w:val="center"/>
        <w:ind w:right="-339"/>
        <w:spacing w:after="0" w:line="238" w:lineRule="auto"/>
        <w:rPr>
          <w:sz w:val="20"/>
          <w:szCs w:val="20"/>
          <w:color w:val="auto"/>
        </w:rPr>
      </w:pPr>
      <w:r>
        <w:rPr>
          <w:rFonts w:ascii="Arial" w:cs="Arial" w:eastAsia="Arial" w:hAnsi="Arial"/>
          <w:sz w:val="20"/>
          <w:szCs w:val="20"/>
          <w:b w:val="1"/>
          <w:bCs w:val="1"/>
          <w:color w:val="auto"/>
        </w:rPr>
        <w:t>SECURITIES AND EXCHANGE COMMISSION</w:t>
      </w:r>
    </w:p>
    <w:p>
      <w:pPr>
        <w:ind w:left="4700"/>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ind w:right="-379"/>
        <w:spacing w:after="0"/>
        <w:rPr>
          <w:sz w:val="20"/>
          <w:szCs w:val="20"/>
          <w:color w:val="auto"/>
        </w:rPr>
      </w:pPr>
      <w:r>
        <w:rPr>
          <w:rFonts w:ascii="Arial" w:cs="Arial" w:eastAsia="Arial" w:hAnsi="Arial"/>
          <w:sz w:val="20"/>
          <w:szCs w:val="20"/>
          <w:b w:val="1"/>
          <w:bCs w:val="1"/>
          <w:color w:val="auto"/>
        </w:rPr>
        <w:t>SCHEDULE 13G/A</w:t>
      </w:r>
    </w:p>
    <w:p>
      <w:pPr>
        <w:spacing w:after="0" w:line="168"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0"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(Amendment No.4) *</w:t>
      </w:r>
    </w:p>
    <w:p>
      <w:pPr>
        <w:spacing w:after="0" w:line="144"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57"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(Name of Issuer)</w:t>
      </w:r>
    </w:p>
    <w:p>
      <w:pPr>
        <w:spacing w:after="0" w:line="158"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50" w:lineRule="exact"/>
        <w:rPr>
          <w:sz w:val="24"/>
          <w:szCs w:val="24"/>
          <w:color w:val="auto"/>
        </w:rPr>
      </w:pPr>
    </w:p>
    <w:p>
      <w:pPr>
        <w:ind w:left="4640"/>
        <w:spacing w:after="0"/>
        <w:rPr>
          <w:sz w:val="20"/>
          <w:szCs w:val="20"/>
          <w:color w:val="auto"/>
        </w:rPr>
      </w:pPr>
      <w:r>
        <w:rPr>
          <w:rFonts w:ascii="Arial" w:cs="Arial" w:eastAsia="Arial" w:hAnsi="Arial"/>
          <w:sz w:val="16"/>
          <w:szCs w:val="16"/>
          <w:color w:val="auto"/>
        </w:rPr>
        <w:t>(Title of Class of Securities)</w:t>
      </w:r>
    </w:p>
    <w:p>
      <w:pPr>
        <w:spacing w:after="0" w:line="158" w:lineRule="exact"/>
        <w:rPr>
          <w:sz w:val="24"/>
          <w:szCs w:val="24"/>
          <w:color w:val="auto"/>
        </w:rPr>
      </w:pPr>
    </w:p>
    <w:p>
      <w:pPr>
        <w:ind w:left="5180"/>
        <w:spacing w:after="0"/>
        <w:rPr>
          <w:sz w:val="20"/>
          <w:szCs w:val="20"/>
          <w:color w:val="auto"/>
        </w:rPr>
      </w:pPr>
      <w:r>
        <w:rPr>
          <w:rFonts w:ascii="Arial" w:cs="Arial" w:eastAsia="Arial" w:hAnsi="Arial"/>
          <w:sz w:val="16"/>
          <w:szCs w:val="16"/>
          <w:b w:val="1"/>
          <w:bCs w:val="1"/>
          <w:color w:val="auto"/>
        </w:rPr>
        <w:t>G47048 106</w:t>
      </w:r>
    </w:p>
    <w:p>
      <w:pPr>
        <w:spacing w:after="0" w:line="50"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(CUSIP Number)</w:t>
      </w:r>
    </w:p>
    <w:p>
      <w:pPr>
        <w:spacing w:after="0" w:line="158"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December 31, 2021</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(Date of Event Which Requires Filing of this Statement)</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7" w:lineRule="exact"/>
        <w:rPr>
          <w:sz w:val="24"/>
          <w:szCs w:val="24"/>
          <w:color w:val="auto"/>
        </w:rPr>
      </w:pPr>
    </w:p>
    <w:p>
      <w:pPr>
        <w:ind w:left="1100" w:hanging="610"/>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124" w:lineRule="exact"/>
        <w:rPr>
          <w:rFonts w:ascii="Arial" w:cs="Arial" w:eastAsia="Arial" w:hAnsi="Arial"/>
          <w:sz w:val="16"/>
          <w:szCs w:val="16"/>
          <w:color w:val="auto"/>
        </w:rPr>
      </w:pPr>
    </w:p>
    <w:p>
      <w:pPr>
        <w:ind w:left="1100" w:hanging="610"/>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w:t>
      </w:r>
    </w:p>
    <w:p>
      <w:pPr>
        <w:spacing w:after="0" w:line="124"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XRule 13d-1(d)</w:t>
      </w:r>
    </w:p>
    <w:p>
      <w:pPr>
        <w:spacing w:after="0" w:line="232" w:lineRule="exact"/>
        <w:rPr>
          <w:sz w:val="24"/>
          <w:szCs w:val="24"/>
          <w:color w:val="auto"/>
        </w:rPr>
      </w:pPr>
    </w:p>
    <w:p>
      <w:pPr>
        <w:ind w:right="40"/>
        <w:spacing w:after="0" w:line="257"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167005</wp:posOffset>
            </wp:positionV>
            <wp:extent cx="717550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55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wp:posOffset>
            </wp:positionV>
            <wp:extent cx="649478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880"/>
          </w:cols>
          <w:pgMar w:left="320" w:top="219" w:right="699" w:bottom="1440" w:gutter="0" w:footer="0" w:header="0"/>
        </w:sectPr>
      </w:pPr>
    </w:p>
    <w:bookmarkStart w:id="1" w:name="page2"/>
    <w:bookmarkEnd w:id="1"/>
    <w:p>
      <w:pPr>
        <w:ind w:left="1000" w:right="7219" w:hanging="631"/>
        <w:spacing w:after="0" w:line="329" w:lineRule="auto"/>
        <w:tabs>
          <w:tab w:leader="none" w:pos="98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Jian Tang</w:t>
      </w:r>
    </w:p>
    <w:p>
      <w:pPr>
        <w:spacing w:after="0" w:line="238" w:lineRule="exact"/>
        <w:rPr>
          <w:sz w:val="20"/>
          <w:szCs w:val="20"/>
          <w:color w:val="auto"/>
        </w:rPr>
      </w:pPr>
    </w:p>
    <w:p>
      <w:pPr>
        <w:ind w:left="980" w:hanging="611"/>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35" w:lineRule="exact"/>
        <w:rPr>
          <w:rFonts w:ascii="Arial" w:cs="Arial" w:eastAsia="Arial" w:hAnsi="Arial"/>
          <w:sz w:val="15"/>
          <w:szCs w:val="15"/>
          <w:color w:val="auto"/>
        </w:rPr>
      </w:pPr>
    </w:p>
    <w:p>
      <w:pPr>
        <w:ind w:left="2120" w:hanging="1134"/>
        <w:spacing w:after="0"/>
        <w:tabs>
          <w:tab w:leader="none" w:pos="21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162" w:lineRule="exact"/>
        <w:rPr>
          <w:rFonts w:ascii="Arial" w:cs="Arial" w:eastAsia="Arial" w:hAnsi="Arial"/>
          <w:sz w:val="15"/>
          <w:szCs w:val="15"/>
          <w:color w:val="auto"/>
        </w:rPr>
      </w:pPr>
    </w:p>
    <w:p>
      <w:pPr>
        <w:ind w:left="2120" w:hanging="1134"/>
        <w:spacing w:after="0"/>
        <w:tabs>
          <w:tab w:leader="none" w:pos="21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200" w:lineRule="exact"/>
        <w:rPr>
          <w:sz w:val="20"/>
          <w:szCs w:val="20"/>
          <w:color w:val="auto"/>
        </w:rPr>
      </w:pPr>
    </w:p>
    <w:p>
      <w:pPr>
        <w:spacing w:after="0" w:line="217" w:lineRule="exact"/>
        <w:rPr>
          <w:sz w:val="20"/>
          <w:szCs w:val="20"/>
          <w:color w:val="auto"/>
        </w:rPr>
      </w:pPr>
    </w:p>
    <w:p>
      <w:pPr>
        <w:ind w:left="980" w:hanging="611"/>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217" w:lineRule="exact"/>
        <w:rPr>
          <w:sz w:val="20"/>
          <w:szCs w:val="20"/>
          <w:color w:val="auto"/>
        </w:rPr>
      </w:pPr>
    </w:p>
    <w:p>
      <w:pPr>
        <w:ind w:left="1000" w:right="6759" w:hanging="631"/>
        <w:spacing w:after="0" w:line="329" w:lineRule="auto"/>
        <w:tabs>
          <w:tab w:leader="none" w:pos="9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Citizenship or Place of Organization People’s Republic of China</w:t>
      </w:r>
    </w:p>
    <w:p>
      <w:pPr>
        <w:spacing w:after="0" w:line="224" w:lineRule="exact"/>
        <w:rPr>
          <w:sz w:val="20"/>
          <w:szCs w:val="20"/>
          <w:color w:val="auto"/>
        </w:rPr>
      </w:pPr>
    </w:p>
    <w:p>
      <w:pPr>
        <w:ind w:left="2400" w:hanging="233"/>
        <w:spacing w:after="0"/>
        <w:tabs>
          <w:tab w:leader="none" w:pos="2400" w:val="left"/>
        </w:tabs>
        <w:numPr>
          <w:ilvl w:val="0"/>
          <w:numId w:val="6"/>
        </w:numPr>
        <w:rPr>
          <w:rFonts w:ascii="Arial" w:cs="Arial" w:eastAsia="Arial" w:hAnsi="Arial"/>
          <w:sz w:val="15"/>
          <w:szCs w:val="15"/>
          <w:color w:val="auto"/>
        </w:rPr>
      </w:pPr>
      <w:r>
        <w:rPr>
          <w:rFonts w:ascii="Arial" w:cs="Arial" w:eastAsia="Arial" w:hAnsi="Arial"/>
          <w:sz w:val="15"/>
          <w:szCs w:val="15"/>
          <w:color w:val="auto"/>
        </w:rPr>
        <w:t>Sole Voting Power</w:t>
      </w:r>
    </w:p>
    <w:p>
      <w:pPr>
        <w:spacing w:after="0" w:line="28" w:lineRule="exact"/>
        <w:rPr>
          <w:rFonts w:ascii="Arial" w:cs="Arial" w:eastAsia="Arial" w:hAnsi="Arial"/>
          <w:sz w:val="15"/>
          <w:szCs w:val="15"/>
          <w:color w:val="auto"/>
        </w:rPr>
      </w:pPr>
    </w:p>
    <w:p>
      <w:pPr>
        <w:ind w:left="2400"/>
        <w:spacing w:after="0"/>
        <w:rPr>
          <w:rFonts w:ascii="Arial" w:cs="Arial" w:eastAsia="Arial" w:hAnsi="Arial"/>
          <w:sz w:val="15"/>
          <w:szCs w:val="15"/>
          <w:color w:val="auto"/>
        </w:rPr>
      </w:pPr>
      <w:r>
        <w:rPr>
          <w:rFonts w:ascii="Arial" w:cs="Arial" w:eastAsia="Arial" w:hAnsi="Arial"/>
          <w:sz w:val="15"/>
          <w:szCs w:val="15"/>
          <w:color w:val="auto"/>
        </w:rPr>
        <w:t>27,913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97155</wp:posOffset>
            </wp:positionV>
            <wp:extent cx="4945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Number of</w:t>
      </w:r>
    </w:p>
    <w:p>
      <w:pPr>
        <w:ind w:left="2160"/>
        <w:spacing w:after="0" w:line="223" w:lineRule="auto"/>
        <w:tabs>
          <w:tab w:leader="none" w:pos="2380" w:val="left"/>
        </w:tabs>
        <w:rPr>
          <w:sz w:val="20"/>
          <w:szCs w:val="20"/>
          <w:color w:val="auto"/>
        </w:rPr>
      </w:pPr>
      <w:r>
        <w:rPr>
          <w:rFonts w:ascii="Arial" w:cs="Arial" w:eastAsia="Arial" w:hAnsi="Arial"/>
          <w:sz w:val="15"/>
          <w:szCs w:val="15"/>
          <w:color w:val="auto"/>
        </w:rPr>
        <w:t>6</w:t>
        <w:tab/>
        <w:t>Shared Voting Power</w:t>
      </w:r>
    </w:p>
    <w:p>
      <w:pPr>
        <w:spacing w:after="0" w:line="224" w:lineRule="auto"/>
        <w:rPr>
          <w:sz w:val="20"/>
          <w:szCs w:val="20"/>
          <w:color w:val="auto"/>
        </w:rPr>
      </w:pPr>
      <w:r>
        <w:rPr>
          <w:rFonts w:ascii="Arial" w:cs="Arial" w:eastAsia="Arial" w:hAnsi="Arial"/>
          <w:sz w:val="15"/>
          <w:szCs w:val="15"/>
          <w:color w:val="auto"/>
        </w:rPr>
        <w:t>Shares</w:t>
      </w:r>
    </w:p>
    <w:p>
      <w:pPr>
        <w:ind w:left="2400"/>
        <w:spacing w:after="0"/>
        <w:rPr>
          <w:sz w:val="20"/>
          <w:szCs w:val="20"/>
          <w:color w:val="auto"/>
        </w:rPr>
      </w:pPr>
      <w:r>
        <w:rPr>
          <w:rFonts w:ascii="Arial" w:cs="Arial" w:eastAsia="Arial" w:hAnsi="Arial"/>
          <w:sz w:val="14"/>
          <w:szCs w:val="14"/>
          <w:color w:val="auto"/>
        </w:rPr>
        <w:t xml:space="preserve">2,498,557 </w:t>
      </w:r>
      <w:r>
        <w:rPr>
          <w:rFonts w:ascii="Arial" w:cs="Arial" w:eastAsia="Arial" w:hAnsi="Arial"/>
          <w:sz w:val="15"/>
          <w:szCs w:val="15"/>
          <w:color w:val="auto"/>
        </w:rPr>
        <w:t>ordinary shares. See Item 4.</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-13335</wp:posOffset>
            </wp:positionV>
            <wp:extent cx="4945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Owned by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Each</w:t>
      </w:r>
    </w:p>
    <w:p>
      <w:pPr>
        <w:ind w:left="2160"/>
        <w:spacing w:after="0" w:line="223" w:lineRule="auto"/>
        <w:tabs>
          <w:tab w:leader="none" w:pos="2380" w:val="left"/>
        </w:tabs>
        <w:rPr>
          <w:sz w:val="20"/>
          <w:szCs w:val="20"/>
          <w:color w:val="auto"/>
        </w:rPr>
      </w:pPr>
      <w:r>
        <w:rPr>
          <w:rFonts w:ascii="Arial" w:cs="Arial" w:eastAsia="Arial" w:hAnsi="Arial"/>
          <w:sz w:val="15"/>
          <w:szCs w:val="15"/>
          <w:color w:val="auto"/>
        </w:rPr>
        <w:t>7</w:t>
        <w:tab/>
        <w:t>Sole Dispositive Power</w:t>
      </w:r>
    </w:p>
    <w:p>
      <w:pPr>
        <w:spacing w:after="0" w:line="224" w:lineRule="auto"/>
        <w:rPr>
          <w:sz w:val="20"/>
          <w:szCs w:val="20"/>
          <w:color w:val="auto"/>
        </w:rPr>
      </w:pPr>
      <w:r>
        <w:rPr>
          <w:rFonts w:ascii="Arial" w:cs="Arial" w:eastAsia="Arial" w:hAnsi="Arial"/>
          <w:sz w:val="15"/>
          <w:szCs w:val="15"/>
          <w:color w:val="auto"/>
        </w:rPr>
        <w:t>Reporting</w:t>
      </w:r>
    </w:p>
    <w:p>
      <w:pPr>
        <w:ind w:left="2400"/>
        <w:spacing w:after="0"/>
        <w:rPr>
          <w:sz w:val="20"/>
          <w:szCs w:val="20"/>
          <w:color w:val="auto"/>
        </w:rPr>
      </w:pPr>
      <w:r>
        <w:rPr>
          <w:rFonts w:ascii="Arial" w:cs="Arial" w:eastAsia="Arial" w:hAnsi="Arial"/>
          <w:sz w:val="15"/>
          <w:szCs w:val="15"/>
          <w:color w:val="auto"/>
        </w:rPr>
        <w:t>27,913 ordinary shares. See Item 4.</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-13335</wp:posOffset>
            </wp:positionV>
            <wp:extent cx="4945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90" w:lineRule="exact"/>
        <w:rPr>
          <w:sz w:val="20"/>
          <w:szCs w:val="20"/>
          <w:color w:val="auto"/>
        </w:rPr>
      </w:pPr>
    </w:p>
    <w:p>
      <w:pPr>
        <w:ind w:left="2400" w:hanging="233"/>
        <w:spacing w:after="0"/>
        <w:tabs>
          <w:tab w:leader="none" w:pos="240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Shared Dispositive Power</w:t>
      </w:r>
    </w:p>
    <w:p>
      <w:pPr>
        <w:spacing w:after="0" w:line="28" w:lineRule="exact"/>
        <w:rPr>
          <w:rFonts w:ascii="Arial" w:cs="Arial" w:eastAsia="Arial" w:hAnsi="Arial"/>
          <w:sz w:val="15"/>
          <w:szCs w:val="15"/>
          <w:color w:val="auto"/>
        </w:rPr>
      </w:pPr>
    </w:p>
    <w:p>
      <w:pPr>
        <w:ind w:left="2400"/>
        <w:spacing w:after="0"/>
        <w:rPr>
          <w:rFonts w:ascii="Arial" w:cs="Arial" w:eastAsia="Arial" w:hAnsi="Arial"/>
          <w:sz w:val="15"/>
          <w:szCs w:val="15"/>
          <w:color w:val="auto"/>
        </w:rPr>
      </w:pPr>
      <w:r>
        <w:rPr>
          <w:rFonts w:ascii="Arial" w:cs="Arial" w:eastAsia="Arial" w:hAnsi="Arial"/>
          <w:sz w:val="14"/>
          <w:szCs w:val="14"/>
          <w:color w:val="auto"/>
        </w:rPr>
        <w:t xml:space="preserve">2,498,557 </w:t>
      </w:r>
      <w:r>
        <w:rPr>
          <w:rFonts w:ascii="Arial" w:cs="Arial" w:eastAsia="Arial" w:hAnsi="Arial"/>
          <w:sz w:val="15"/>
          <w:szCs w:val="15"/>
          <w:color w:val="auto"/>
        </w:rPr>
        <w:t>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97155</wp:posOffset>
            </wp:positionV>
            <wp:extent cx="4945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80" w:right="4759" w:hanging="611"/>
        <w:spacing w:after="0" w:line="238" w:lineRule="auto"/>
        <w:tabs>
          <w:tab w:leader="none" w:pos="98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Aggregate Amount Beneficially Owned by Each Reporting Person </w:t>
      </w:r>
      <w:r>
        <w:rPr>
          <w:rFonts w:ascii="Arial" w:cs="Arial" w:eastAsia="Arial" w:hAnsi="Arial"/>
          <w:sz w:val="14"/>
          <w:szCs w:val="14"/>
          <w:color w:val="auto"/>
        </w:rPr>
        <w:t xml:space="preserve">2,526,470 </w:t>
      </w:r>
      <w:r>
        <w:rPr>
          <w:rFonts w:ascii="Arial" w:cs="Arial" w:eastAsia="Arial" w:hAnsi="Arial"/>
          <w:sz w:val="15"/>
          <w:szCs w:val="15"/>
          <w:color w:val="auto"/>
        </w:rPr>
        <w:t>ordinary shares. See Item 4.</w:t>
      </w:r>
    </w:p>
    <w:p>
      <w:pPr>
        <w:spacing w:after="0" w:line="301" w:lineRule="exact"/>
        <w:rPr>
          <w:sz w:val="20"/>
          <w:szCs w:val="20"/>
          <w:color w:val="auto"/>
        </w:rPr>
      </w:pPr>
    </w:p>
    <w:p>
      <w:pPr>
        <w:ind w:left="980" w:hanging="611"/>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200" w:lineRule="exact"/>
        <w:rPr>
          <w:rFonts w:ascii="Arial" w:cs="Arial" w:eastAsia="Arial" w:hAnsi="Arial"/>
          <w:sz w:val="15"/>
          <w:szCs w:val="15"/>
          <w:color w:val="auto"/>
        </w:rPr>
      </w:pPr>
    </w:p>
    <w:p>
      <w:pPr>
        <w:spacing w:after="0" w:line="244" w:lineRule="exact"/>
        <w:rPr>
          <w:rFonts w:ascii="Arial" w:cs="Arial" w:eastAsia="Arial" w:hAnsi="Arial"/>
          <w:sz w:val="15"/>
          <w:szCs w:val="15"/>
          <w:color w:val="auto"/>
        </w:rPr>
      </w:pPr>
    </w:p>
    <w:p>
      <w:pPr>
        <w:ind w:left="1000" w:right="5639" w:hanging="631"/>
        <w:spacing w:after="0" w:line="329" w:lineRule="auto"/>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Percent of Class Represented by Amount in Row (9) 5.3%. See Item 4.</w:t>
      </w:r>
    </w:p>
    <w:p>
      <w:pPr>
        <w:spacing w:after="0" w:line="250" w:lineRule="exact"/>
        <w:rPr>
          <w:rFonts w:ascii="Arial" w:cs="Arial" w:eastAsia="Arial" w:hAnsi="Arial"/>
          <w:sz w:val="15"/>
          <w:szCs w:val="15"/>
          <w:color w:val="auto"/>
        </w:rPr>
      </w:pPr>
    </w:p>
    <w:p>
      <w:pPr>
        <w:ind w:left="980" w:hanging="611"/>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Type of Reporting Person</w:t>
      </w:r>
    </w:p>
    <w:p>
      <w:pPr>
        <w:spacing w:after="0" w:line="68"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IN</w:t>
      </w: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169545</wp:posOffset>
            </wp:positionV>
            <wp:extent cx="71755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wp:posOffset>
            </wp:positionV>
            <wp:extent cx="649478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2" w:name="page3"/>
    <w:bookmarkEnd w:id="2"/>
    <w:p>
      <w:pPr>
        <w:ind w:left="980" w:hanging="611"/>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Names of Reporting Persons Igomax Inc.</w:t>
      </w:r>
    </w:p>
    <w:p>
      <w:pPr>
        <w:spacing w:after="0" w:line="389" w:lineRule="exact"/>
        <w:rPr>
          <w:sz w:val="20"/>
          <w:szCs w:val="20"/>
          <w:color w:val="auto"/>
        </w:rPr>
      </w:pPr>
    </w:p>
    <w:p>
      <w:pPr>
        <w:ind w:left="980" w:hanging="611"/>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147" w:lineRule="exact"/>
        <w:rPr>
          <w:rFonts w:ascii="Arial" w:cs="Arial" w:eastAsia="Arial" w:hAnsi="Arial"/>
          <w:sz w:val="14"/>
          <w:szCs w:val="14"/>
          <w:color w:val="auto"/>
        </w:rPr>
      </w:pPr>
    </w:p>
    <w:p>
      <w:pPr>
        <w:ind w:left="2120" w:hanging="1134"/>
        <w:spacing w:after="0"/>
        <w:tabs>
          <w:tab w:leader="none" w:pos="21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174" w:lineRule="exact"/>
        <w:rPr>
          <w:rFonts w:ascii="Arial" w:cs="Arial" w:eastAsia="Arial" w:hAnsi="Arial"/>
          <w:sz w:val="14"/>
          <w:szCs w:val="14"/>
          <w:color w:val="auto"/>
        </w:rPr>
      </w:pPr>
    </w:p>
    <w:p>
      <w:pPr>
        <w:ind w:left="2120" w:hanging="1134"/>
        <w:spacing w:after="0"/>
        <w:tabs>
          <w:tab w:leader="none" w:pos="21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200" w:lineRule="exact"/>
        <w:rPr>
          <w:sz w:val="20"/>
          <w:szCs w:val="20"/>
          <w:color w:val="auto"/>
        </w:rPr>
      </w:pPr>
    </w:p>
    <w:p>
      <w:pPr>
        <w:spacing w:after="0" w:line="229" w:lineRule="exact"/>
        <w:rPr>
          <w:sz w:val="20"/>
          <w:szCs w:val="20"/>
          <w:color w:val="auto"/>
        </w:rPr>
      </w:pPr>
    </w:p>
    <w:p>
      <w:pPr>
        <w:ind w:left="980" w:hanging="611"/>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00" w:lineRule="exact"/>
        <w:rPr>
          <w:sz w:val="20"/>
          <w:szCs w:val="20"/>
          <w:color w:val="auto"/>
        </w:rPr>
      </w:pPr>
    </w:p>
    <w:p>
      <w:pPr>
        <w:spacing w:after="0" w:line="229" w:lineRule="exact"/>
        <w:rPr>
          <w:sz w:val="20"/>
          <w:szCs w:val="20"/>
          <w:color w:val="auto"/>
        </w:rPr>
      </w:pPr>
    </w:p>
    <w:p>
      <w:pPr>
        <w:ind w:left="1000" w:right="6899" w:hanging="631"/>
        <w:spacing w:after="0" w:line="355" w:lineRule="auto"/>
        <w:tabs>
          <w:tab w:leader="none" w:pos="9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Citizenship or Place of Organization British Virgin Islands</w:t>
      </w:r>
    </w:p>
    <w:p>
      <w:pPr>
        <w:spacing w:after="0" w:line="234" w:lineRule="exact"/>
        <w:rPr>
          <w:sz w:val="20"/>
          <w:szCs w:val="20"/>
          <w:color w:val="auto"/>
        </w:rPr>
      </w:pPr>
    </w:p>
    <w:p>
      <w:pPr>
        <w:ind w:left="2400" w:right="6579" w:hanging="229"/>
        <w:spacing w:after="0" w:line="315" w:lineRule="auto"/>
        <w:tabs>
          <w:tab w:leader="none" w:pos="2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52070</wp:posOffset>
            </wp:positionV>
            <wp:extent cx="4945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Number of</w:t>
      </w:r>
    </w:p>
    <w:p>
      <w:pPr>
        <w:ind w:left="2180"/>
        <w:spacing w:after="0" w:line="219" w:lineRule="auto"/>
        <w:tabs>
          <w:tab w:leader="none" w:pos="2380" w:val="left"/>
        </w:tabs>
        <w:rPr>
          <w:sz w:val="20"/>
          <w:szCs w:val="20"/>
          <w:color w:val="auto"/>
        </w:rPr>
      </w:pPr>
      <w:r>
        <w:rPr>
          <w:rFonts w:ascii="Arial" w:cs="Arial" w:eastAsia="Arial" w:hAnsi="Arial"/>
          <w:sz w:val="14"/>
          <w:szCs w:val="14"/>
          <w:color w:val="auto"/>
        </w:rPr>
        <w:t>6</w:t>
        <w:tab/>
        <w:t>Shared Voting Power</w:t>
      </w:r>
    </w:p>
    <w:p>
      <w:pPr>
        <w:spacing w:after="0" w:line="220" w:lineRule="auto"/>
        <w:rPr>
          <w:sz w:val="20"/>
          <w:szCs w:val="20"/>
          <w:color w:val="auto"/>
        </w:rPr>
      </w:pPr>
      <w:r>
        <w:rPr>
          <w:rFonts w:ascii="Arial" w:cs="Arial" w:eastAsia="Arial" w:hAnsi="Arial"/>
          <w:sz w:val="14"/>
          <w:szCs w:val="14"/>
          <w:color w:val="auto"/>
        </w:rPr>
        <w:t>Shares</w:t>
      </w:r>
    </w:p>
    <w:p>
      <w:pPr>
        <w:ind w:left="2400"/>
        <w:spacing w:after="0"/>
        <w:rPr>
          <w:sz w:val="20"/>
          <w:szCs w:val="20"/>
          <w:color w:val="auto"/>
        </w:rPr>
      </w:pPr>
      <w:r>
        <w:rPr>
          <w:rFonts w:ascii="Arial" w:cs="Arial" w:eastAsia="Arial" w:hAnsi="Arial"/>
          <w:sz w:val="14"/>
          <w:szCs w:val="14"/>
          <w:color w:val="auto"/>
        </w:rPr>
        <w:t>2,498,557 ordinary shares. See Item 4.</w:t>
      </w:r>
    </w:p>
    <w:p>
      <w:pPr>
        <w:spacing w:after="0"/>
        <w:rPr>
          <w:sz w:val="20"/>
          <w:szCs w:val="20"/>
          <w:color w:val="auto"/>
        </w:rPr>
      </w:pPr>
      <w:r>
        <w:rPr>
          <w:rFonts w:ascii="Arial" w:cs="Arial" w:eastAsia="Arial" w:hAnsi="Arial"/>
          <w:sz w:val="14"/>
          <w:szCs w:val="14"/>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-10795</wp:posOffset>
            </wp:positionV>
            <wp:extent cx="4945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Owned by</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Each</w:t>
      </w:r>
    </w:p>
    <w:p>
      <w:pPr>
        <w:ind w:left="2180"/>
        <w:spacing w:after="0" w:line="219" w:lineRule="auto"/>
        <w:tabs>
          <w:tab w:leader="none" w:pos="2380" w:val="left"/>
        </w:tabs>
        <w:rPr>
          <w:sz w:val="20"/>
          <w:szCs w:val="20"/>
          <w:color w:val="auto"/>
        </w:rPr>
      </w:pPr>
      <w:r>
        <w:rPr>
          <w:rFonts w:ascii="Arial" w:cs="Arial" w:eastAsia="Arial" w:hAnsi="Arial"/>
          <w:sz w:val="14"/>
          <w:szCs w:val="14"/>
          <w:color w:val="auto"/>
        </w:rPr>
        <w:t>7</w:t>
        <w:tab/>
        <w:t>Sole Dispositive Power</w:t>
      </w:r>
    </w:p>
    <w:p>
      <w:pPr>
        <w:spacing w:after="0" w:line="220" w:lineRule="auto"/>
        <w:rPr>
          <w:sz w:val="20"/>
          <w:szCs w:val="20"/>
          <w:color w:val="auto"/>
        </w:rPr>
      </w:pPr>
      <w:r>
        <w:rPr>
          <w:rFonts w:ascii="Arial" w:cs="Arial" w:eastAsia="Arial" w:hAnsi="Arial"/>
          <w:sz w:val="14"/>
          <w:szCs w:val="14"/>
          <w:color w:val="auto"/>
        </w:rPr>
        <w:t>Reporting</w:t>
      </w:r>
    </w:p>
    <w:p>
      <w:pPr>
        <w:ind w:left="2400"/>
        <w:spacing w:after="0"/>
        <w:rPr>
          <w:sz w:val="20"/>
          <w:szCs w:val="20"/>
          <w:color w:val="auto"/>
        </w:rPr>
      </w:pPr>
      <w:r>
        <w:rPr>
          <w:rFonts w:ascii="Arial" w:cs="Arial" w:eastAsia="Arial" w:hAnsi="Arial"/>
          <w:sz w:val="14"/>
          <w:szCs w:val="14"/>
          <w:color w:val="auto"/>
        </w:rPr>
        <w:t>0</w:t>
      </w:r>
    </w:p>
    <w:p>
      <w:pPr>
        <w:spacing w:after="0"/>
        <w:rPr>
          <w:sz w:val="20"/>
          <w:szCs w:val="20"/>
          <w:color w:val="auto"/>
        </w:rPr>
      </w:pPr>
      <w:r>
        <w:rPr>
          <w:rFonts w:ascii="Arial" w:cs="Arial" w:eastAsia="Arial" w:hAnsi="Arial"/>
          <w:sz w:val="14"/>
          <w:szCs w:val="14"/>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-10795</wp:posOffset>
            </wp:positionV>
            <wp:extent cx="4945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302" w:lineRule="exact"/>
        <w:rPr>
          <w:sz w:val="20"/>
          <w:szCs w:val="20"/>
          <w:color w:val="auto"/>
        </w:rPr>
      </w:pPr>
    </w:p>
    <w:p>
      <w:pPr>
        <w:ind w:left="2400" w:hanging="229"/>
        <w:spacing w:after="0"/>
        <w:tabs>
          <w:tab w:leader="none" w:pos="2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Shared Dispositive Power</w:t>
      </w:r>
    </w:p>
    <w:p>
      <w:pPr>
        <w:spacing w:after="0" w:line="40" w:lineRule="exact"/>
        <w:rPr>
          <w:rFonts w:ascii="Arial" w:cs="Arial" w:eastAsia="Arial" w:hAnsi="Arial"/>
          <w:sz w:val="14"/>
          <w:szCs w:val="14"/>
          <w:color w:val="auto"/>
        </w:rPr>
      </w:pPr>
    </w:p>
    <w:p>
      <w:pPr>
        <w:ind w:left="2400"/>
        <w:spacing w:after="0"/>
        <w:rPr>
          <w:rFonts w:ascii="Arial" w:cs="Arial" w:eastAsia="Arial" w:hAnsi="Arial"/>
          <w:sz w:val="14"/>
          <w:szCs w:val="14"/>
          <w:color w:val="auto"/>
        </w:rPr>
      </w:pPr>
      <w:r>
        <w:rPr>
          <w:rFonts w:ascii="Arial" w:cs="Arial" w:eastAsia="Arial" w:hAnsi="Arial"/>
          <w:sz w:val="14"/>
          <w:szCs w:val="14"/>
          <w:color w:val="auto"/>
        </w:rPr>
        <w:t>2,498,557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90805</wp:posOffset>
            </wp:positionV>
            <wp:extent cx="4945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980" w:right="5019" w:hanging="611"/>
        <w:spacing w:after="0" w:line="255"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2,498,557 ordinary shares. See Item 4.</w:t>
      </w:r>
    </w:p>
    <w:p>
      <w:pPr>
        <w:spacing w:after="0" w:line="301" w:lineRule="exact"/>
        <w:rPr>
          <w:sz w:val="20"/>
          <w:szCs w:val="20"/>
          <w:color w:val="auto"/>
        </w:rPr>
      </w:pPr>
    </w:p>
    <w:p>
      <w:pPr>
        <w:ind w:left="980" w:hanging="611"/>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200" w:lineRule="exact"/>
        <w:rPr>
          <w:rFonts w:ascii="Arial" w:cs="Arial" w:eastAsia="Arial" w:hAnsi="Arial"/>
          <w:sz w:val="14"/>
          <w:szCs w:val="14"/>
          <w:color w:val="auto"/>
        </w:rPr>
      </w:pPr>
    </w:p>
    <w:p>
      <w:pPr>
        <w:spacing w:after="0" w:line="255" w:lineRule="exact"/>
        <w:rPr>
          <w:rFonts w:ascii="Arial" w:cs="Arial" w:eastAsia="Arial" w:hAnsi="Arial"/>
          <w:sz w:val="14"/>
          <w:szCs w:val="14"/>
          <w:color w:val="auto"/>
        </w:rPr>
      </w:pPr>
    </w:p>
    <w:p>
      <w:pPr>
        <w:ind w:left="980" w:hanging="611"/>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 of Class Represented by Amount in Row (9)</w:t>
      </w:r>
    </w:p>
    <w:p>
      <w:pPr>
        <w:spacing w:after="0" w:line="6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5.3%. See Item 4.</w:t>
      </w:r>
    </w:p>
    <w:p>
      <w:pPr>
        <w:spacing w:after="0" w:line="335" w:lineRule="exact"/>
        <w:rPr>
          <w:sz w:val="20"/>
          <w:szCs w:val="20"/>
          <w:color w:val="auto"/>
        </w:rPr>
      </w:pPr>
    </w:p>
    <w:p>
      <w:pPr>
        <w:ind w:left="980" w:hanging="611"/>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Type of Reporting Person</w:t>
      </w:r>
    </w:p>
    <w:p>
      <w:pPr>
        <w:spacing w:after="0" w:line="80"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CO</w:t>
      </w:r>
    </w:p>
    <w:p>
      <w:pPr>
        <w:spacing w:after="0" w:line="214" w:lineRule="exact"/>
        <w:rPr>
          <w:sz w:val="20"/>
          <w:szCs w:val="20"/>
          <w:color w:val="auto"/>
        </w:rPr>
      </w:pPr>
    </w:p>
    <w:p>
      <w:pPr>
        <w:jc w:val="right"/>
        <w:ind w:right="44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171450</wp:posOffset>
            </wp:positionV>
            <wp:extent cx="71755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wp:posOffset>
            </wp:positionV>
            <wp:extent cx="649478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139"/>
          </w:cols>
          <w:pgMar w:left="320" w:top="372"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Item 1(a).</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50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iClick Interactive Asia Group Limited (the “Issuer”)</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031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15/F, Prosperity Millennia Plaza</w:t>
      </w:r>
    </w:p>
    <w:p>
      <w:pPr>
        <w:spacing w:after="0"/>
        <w:rPr>
          <w:sz w:val="20"/>
          <w:szCs w:val="20"/>
          <w:color w:val="auto"/>
        </w:rPr>
      </w:pPr>
      <w:r>
        <w:rPr>
          <w:rFonts w:ascii="Arial" w:cs="Arial" w:eastAsia="Arial" w:hAnsi="Arial"/>
          <w:sz w:val="14"/>
          <w:szCs w:val="14"/>
          <w:color w:val="auto"/>
        </w:rPr>
        <w:t>663 King’s Road, Quarry Bay</w:t>
      </w:r>
    </w:p>
    <w:p>
      <w:pPr>
        <w:spacing w:after="0"/>
        <w:rPr>
          <w:sz w:val="20"/>
          <w:szCs w:val="20"/>
          <w:color w:val="auto"/>
        </w:rPr>
      </w:pPr>
      <w:r>
        <w:rPr>
          <w:rFonts w:ascii="Arial" w:cs="Arial" w:eastAsia="Arial" w:hAnsi="Arial"/>
          <w:sz w:val="14"/>
          <w:szCs w:val="14"/>
          <w:color w:val="auto"/>
        </w:rPr>
        <w:t>Hong Kong S.A.R.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957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Jian Tang</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Igomax Inc.</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 of Principal Business Office, or, if none, Residence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580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Jian Tang</w:t>
      </w:r>
    </w:p>
    <w:p>
      <w:pPr>
        <w:spacing w:after="0"/>
        <w:rPr>
          <w:sz w:val="20"/>
          <w:szCs w:val="20"/>
          <w:color w:val="auto"/>
        </w:rPr>
      </w:pPr>
      <w:r>
        <w:rPr>
          <w:rFonts w:ascii="Arial" w:cs="Arial" w:eastAsia="Arial" w:hAnsi="Arial"/>
          <w:sz w:val="14"/>
          <w:szCs w:val="14"/>
          <w:color w:val="auto"/>
        </w:rPr>
        <w:t>15/F, Prosperity Millennia Plaza</w:t>
      </w:r>
    </w:p>
    <w:p>
      <w:pPr>
        <w:spacing w:after="0"/>
        <w:rPr>
          <w:sz w:val="20"/>
          <w:szCs w:val="20"/>
          <w:color w:val="auto"/>
        </w:rPr>
      </w:pPr>
      <w:r>
        <w:rPr>
          <w:rFonts w:ascii="Arial" w:cs="Arial" w:eastAsia="Arial" w:hAnsi="Arial"/>
          <w:sz w:val="14"/>
          <w:szCs w:val="14"/>
          <w:color w:val="auto"/>
        </w:rPr>
        <w:t>663 King’s Road, Quarry Bay</w:t>
      </w:r>
    </w:p>
    <w:p>
      <w:pPr>
        <w:spacing w:after="0"/>
        <w:rPr>
          <w:sz w:val="20"/>
          <w:szCs w:val="20"/>
          <w:color w:val="auto"/>
        </w:rPr>
      </w:pPr>
      <w:r>
        <w:rPr>
          <w:rFonts w:ascii="Arial" w:cs="Arial" w:eastAsia="Arial" w:hAnsi="Arial"/>
          <w:sz w:val="14"/>
          <w:szCs w:val="14"/>
          <w:color w:val="auto"/>
        </w:rPr>
        <w:t>Hong Kong S.A.R.</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Igomax Inc.</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Jordans Trust Company</w:t>
      </w:r>
    </w:p>
    <w:p>
      <w:pPr>
        <w:spacing w:after="0"/>
        <w:rPr>
          <w:sz w:val="20"/>
          <w:szCs w:val="20"/>
          <w:color w:val="auto"/>
        </w:rPr>
      </w:pPr>
      <w:r>
        <w:rPr>
          <w:rFonts w:ascii="Arial" w:cs="Arial" w:eastAsia="Arial" w:hAnsi="Arial"/>
          <w:sz w:val="14"/>
          <w:szCs w:val="14"/>
          <w:color w:val="auto"/>
        </w:rPr>
        <w:t>Geneva Place, Waterfront Drive</w:t>
      </w:r>
    </w:p>
    <w:p>
      <w:pPr>
        <w:spacing w:after="0"/>
        <w:rPr>
          <w:sz w:val="20"/>
          <w:szCs w:val="20"/>
          <w:color w:val="auto"/>
        </w:rPr>
      </w:pPr>
      <w:r>
        <w:rPr>
          <w:rFonts w:ascii="Arial" w:cs="Arial" w:eastAsia="Arial" w:hAnsi="Arial"/>
          <w:sz w:val="14"/>
          <w:szCs w:val="14"/>
          <w:color w:val="auto"/>
        </w:rPr>
        <w:t>PO Box 3469</w:t>
      </w:r>
    </w:p>
    <w:p>
      <w:pPr>
        <w:spacing w:after="0"/>
        <w:rPr>
          <w:sz w:val="20"/>
          <w:szCs w:val="20"/>
          <w:color w:val="auto"/>
        </w:rPr>
      </w:pPr>
      <w:r>
        <w:rPr>
          <w:rFonts w:ascii="Arial" w:cs="Arial" w:eastAsia="Arial" w:hAnsi="Arial"/>
          <w:sz w:val="14"/>
          <w:szCs w:val="14"/>
          <w:color w:val="auto"/>
        </w:rPr>
        <w:t>Road Town, Tortola</w:t>
      </w:r>
    </w:p>
    <w:p>
      <w:pPr>
        <w:spacing w:after="0"/>
        <w:rPr>
          <w:sz w:val="20"/>
          <w:szCs w:val="20"/>
          <w:color w:val="auto"/>
        </w:rPr>
      </w:pPr>
      <w:r>
        <w:rPr>
          <w:rFonts w:ascii="Arial" w:cs="Arial" w:eastAsia="Arial" w:hAnsi="Arial"/>
          <w:sz w:val="14"/>
          <w:szCs w:val="14"/>
          <w:color w:val="auto"/>
        </w:rPr>
        <w:t>British Virgin Islands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Citizenship</w:t>
      </w:r>
      <w:r>
        <w:rPr>
          <w:rFonts w:ascii="Arial" w:cs="Arial" w:eastAsia="Arial" w:hAnsi="Arial"/>
          <w:sz w:val="14"/>
          <w:szCs w:val="14"/>
          <w:b w:val="1"/>
          <w:bCs w:val="1"/>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Jian Tang — People’s Republic of China</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Igomax Inc. — British Virgin Islands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1328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spacing w:after="0" w:line="11"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CUSIP No.</w:t>
      </w:r>
      <w:r>
        <w:rPr>
          <w:rFonts w:ascii="Arial" w:cs="Arial" w:eastAsia="Arial" w:hAnsi="Arial"/>
          <w:sz w:val="14"/>
          <w:szCs w:val="14"/>
          <w:b w:val="1"/>
          <w:bCs w:val="1"/>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G47048 106</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If this statement is filed pursuant to §§ 240.13d-1(b), or 240.13d-2(b) or (c), check whether the persons filing is a</w:t>
      </w:r>
      <w:r>
        <w:rPr>
          <w:rFonts w:ascii="Arial" w:cs="Arial" w:eastAsia="Arial" w:hAnsi="Arial"/>
          <w:sz w:val="14"/>
          <w:szCs w:val="14"/>
          <w:b w:val="1"/>
          <w:bCs w:val="1"/>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81"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48144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1445" cy="25400"/>
                    </a:xfrm>
                    <a:prstGeom prst="rect">
                      <a:avLst/>
                    </a:prstGeom>
                    <a:noFill/>
                  </pic:spPr>
                </pic:pic>
              </a:graphicData>
            </a:graphic>
          </wp:anchor>
        </w:drawing>
      </w:r>
    </w:p>
    <w:p>
      <w:pPr>
        <w:spacing w:after="0" w:line="377" w:lineRule="exact"/>
        <w:rPr>
          <w:sz w:val="20"/>
          <w:szCs w:val="20"/>
          <w:color w:val="auto"/>
        </w:rPr>
      </w:pPr>
    </w:p>
    <w:p>
      <w:pPr>
        <w:ind w:left="380"/>
        <w:spacing w:after="0"/>
        <w:rPr>
          <w:sz w:val="20"/>
          <w:szCs w:val="20"/>
          <w:color w:val="auto"/>
        </w:rPr>
      </w:pPr>
      <w:r>
        <w:rPr>
          <w:rFonts w:ascii="Arial" w:cs="Arial" w:eastAsia="Arial" w:hAnsi="Arial"/>
          <w:sz w:val="14"/>
          <w:szCs w:val="14"/>
          <w:b w:val="1"/>
          <w:bCs w:val="1"/>
          <w:u w:val="single" w:color="auto"/>
          <w:color w:val="auto"/>
        </w:rPr>
        <w:t>Ownership</w:t>
      </w:r>
    </w:p>
    <w:p>
      <w:pPr>
        <w:spacing w:after="0" w:line="125" w:lineRule="exact"/>
        <w:rPr>
          <w:sz w:val="20"/>
          <w:szCs w:val="20"/>
          <w:color w:val="auto"/>
        </w:rPr>
      </w:pPr>
    </w:p>
    <w:p>
      <w:pPr>
        <w:sectPr>
          <w:pgSz w:w="11900" w:h="16838" w:orient="portrait"/>
          <w:cols w:equalWidth="0" w:num="2">
            <w:col w:w="640" w:space="500"/>
            <w:col w:w="10140"/>
          </w:cols>
          <w:pgMar w:left="320" w:top="354" w:right="299" w:bottom="0" w:gutter="0" w:footer="0" w:header="0"/>
        </w:sectPr>
      </w:pPr>
    </w:p>
    <w:p>
      <w:pPr>
        <w:ind w:left="60"/>
        <w:spacing w:after="0"/>
        <w:rPr>
          <w:sz w:val="20"/>
          <w:szCs w:val="20"/>
          <w:color w:val="auto"/>
        </w:rPr>
      </w:pPr>
      <w:r>
        <w:rPr>
          <w:rFonts w:ascii="Arial" w:cs="Arial" w:eastAsia="Arial" w:hAnsi="Arial"/>
          <w:sz w:val="14"/>
          <w:szCs w:val="14"/>
          <w:color w:val="auto"/>
        </w:rPr>
        <w:t>The following information with respect to the ownership of the Class A Ordinary Shares by each of the reporting persons is provided as of December 31,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Sole Power</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Sole Power</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Shared</w:t>
            </w:r>
          </w:p>
        </w:tc>
      </w:tr>
      <w:tr>
        <w:trPr>
          <w:trHeight w:val="241"/>
        </w:trPr>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to</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Shared</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to Dispose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Power to</w:t>
            </w:r>
          </w:p>
        </w:tc>
      </w:tr>
      <w:tr>
        <w:trPr>
          <w:trHeight w:val="241"/>
        </w:trPr>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Amount</w:t>
            </w:r>
          </w:p>
        </w:tc>
        <w:tc>
          <w:tcPr>
            <w:tcW w:w="16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Percent</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Vote or</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Power</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or to</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Dispose or to</w:t>
            </w:r>
          </w:p>
        </w:tc>
      </w:tr>
      <w:tr>
        <w:trPr>
          <w:trHeight w:val="241"/>
        </w:trPr>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Beneficially</w:t>
            </w:r>
          </w:p>
        </w:tc>
        <w:tc>
          <w:tcPr>
            <w:tcW w:w="1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of</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Direct</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to Vote or to</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Direct the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Direct the</w:t>
            </w:r>
          </w:p>
        </w:tc>
      </w:tr>
      <w:tr>
        <w:trPr>
          <w:trHeight w:val="241"/>
        </w:trPr>
        <w:tc>
          <w:tcPr>
            <w:tcW w:w="2160" w:type="dxa"/>
            <w:vAlign w:val="bottom"/>
            <w:gridSpan w:val="2"/>
          </w:tcPr>
          <w:p>
            <w:pPr>
              <w:spacing w:after="0"/>
              <w:rPr>
                <w:sz w:val="20"/>
                <w:szCs w:val="20"/>
                <w:color w:val="auto"/>
              </w:rPr>
            </w:pPr>
            <w:r>
              <w:rPr>
                <w:rFonts w:ascii="Arial" w:cs="Arial" w:eastAsia="Arial" w:hAnsi="Arial"/>
                <w:sz w:val="15"/>
                <w:szCs w:val="15"/>
                <w:b w:val="1"/>
                <w:bCs w:val="1"/>
                <w:color w:val="auto"/>
              </w:rPr>
              <w:t>Reporting Person:</w:t>
            </w:r>
          </w:p>
        </w:tc>
        <w:tc>
          <w:tcPr>
            <w:tcW w:w="16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Owned:</w:t>
            </w:r>
          </w:p>
        </w:tc>
        <w:tc>
          <w:tcPr>
            <w:tcW w:w="16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Class:(1)</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the Vote:</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9"/>
              </w:rPr>
              <w:t>Direct the Vote:</w:t>
            </w:r>
          </w:p>
        </w:tc>
        <w:tc>
          <w:tcPr>
            <w:tcW w:w="15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Disposition of:</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Disposition of:</w:t>
            </w:r>
          </w:p>
        </w:tc>
      </w:tr>
      <w:tr>
        <w:trPr>
          <w:trHeight w:val="36"/>
        </w:trPr>
        <w:tc>
          <w:tcPr>
            <w:tcW w:w="1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1"/>
        </w:trPr>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Jian Tang</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2,526,470(2)</w:t>
            </w: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9"/>
              </w:rPr>
              <w:t>5.3%</w:t>
            </w: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rPr>
              <w:t>27,913 (2)</w:t>
            </w: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2,498,557(2)</w:t>
            </w: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rPr>
              <w:t>27,913 (2)</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2,498,557(2)</w:t>
            </w:r>
          </w:p>
        </w:tc>
      </w:tr>
      <w:tr>
        <w:trPr>
          <w:trHeight w:val="218"/>
        </w:trPr>
        <w:tc>
          <w:tcPr>
            <w:tcW w:w="2160" w:type="dxa"/>
            <w:vAlign w:val="bottom"/>
            <w:gridSpan w:val="2"/>
          </w:tcPr>
          <w:p>
            <w:pPr>
              <w:spacing w:after="0"/>
              <w:rPr>
                <w:sz w:val="20"/>
                <w:szCs w:val="20"/>
                <w:color w:val="auto"/>
              </w:rPr>
            </w:pPr>
            <w:r>
              <w:rPr>
                <w:rFonts w:ascii="Arial" w:cs="Arial" w:eastAsia="Arial" w:hAnsi="Arial"/>
                <w:sz w:val="15"/>
                <w:szCs w:val="15"/>
                <w:color w:val="auto"/>
              </w:rPr>
              <w:t>Igomax Inc.</w:t>
            </w:r>
          </w:p>
        </w:tc>
        <w:tc>
          <w:tcPr>
            <w:tcW w:w="1340" w:type="dxa"/>
            <w:vAlign w:val="bottom"/>
          </w:tcPr>
          <w:p>
            <w:pPr>
              <w:jc w:val="center"/>
              <w:spacing w:after="0"/>
              <w:rPr>
                <w:sz w:val="20"/>
                <w:szCs w:val="20"/>
                <w:color w:val="auto"/>
              </w:rPr>
            </w:pPr>
            <w:r>
              <w:rPr>
                <w:rFonts w:ascii="Arial" w:cs="Arial" w:eastAsia="Arial" w:hAnsi="Arial"/>
                <w:sz w:val="15"/>
                <w:szCs w:val="15"/>
                <w:color w:val="auto"/>
              </w:rPr>
              <w:t>2,498,557(3)</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w w:val="99"/>
              </w:rPr>
              <w:t>5.3%</w:t>
            </w:r>
          </w:p>
        </w:tc>
        <w:tc>
          <w:tcPr>
            <w:tcW w:w="260" w:type="dxa"/>
            <w:vAlign w:val="bottom"/>
          </w:tcPr>
          <w:p>
            <w:pPr>
              <w:spacing w:after="0"/>
              <w:rPr>
                <w:sz w:val="18"/>
                <w:szCs w:val="18"/>
                <w:color w:val="auto"/>
              </w:rPr>
            </w:pPr>
          </w:p>
        </w:tc>
        <w:tc>
          <w:tcPr>
            <w:tcW w:w="1320" w:type="dxa"/>
            <w:vAlign w:val="bottom"/>
          </w:tcPr>
          <w:p>
            <w:pPr>
              <w:jc w:val="right"/>
              <w:ind w:right="54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2,498,557(3)</w:t>
            </w:r>
          </w:p>
        </w:tc>
        <w:tc>
          <w:tcPr>
            <w:tcW w:w="240" w:type="dxa"/>
            <w:vAlign w:val="bottom"/>
          </w:tcPr>
          <w:p>
            <w:pPr>
              <w:spacing w:after="0"/>
              <w:rPr>
                <w:sz w:val="18"/>
                <w:szCs w:val="18"/>
                <w:color w:val="auto"/>
              </w:rPr>
            </w:pPr>
          </w:p>
        </w:tc>
        <w:tc>
          <w:tcPr>
            <w:tcW w:w="1340" w:type="dxa"/>
            <w:vAlign w:val="bottom"/>
          </w:tcPr>
          <w:p>
            <w:pPr>
              <w:jc w:val="right"/>
              <w:ind w:right="544"/>
              <w:spacing w:after="0"/>
              <w:rPr>
                <w:sz w:val="20"/>
                <w:szCs w:val="20"/>
                <w:color w:val="auto"/>
              </w:rPr>
            </w:pPr>
            <w:r>
              <w:rPr>
                <w:rFonts w:ascii="Arial" w:cs="Arial" w:eastAsia="Arial" w:hAnsi="Arial"/>
                <w:sz w:val="15"/>
                <w:szCs w:val="15"/>
                <w:color w:val="auto"/>
              </w:rPr>
              <w:t>0</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2,498,557(3)</w:t>
            </w:r>
          </w:p>
        </w:tc>
      </w:tr>
    </w:tbl>
    <w:p>
      <w:pPr>
        <w:spacing w:after="0" w:line="202" w:lineRule="exact"/>
        <w:rPr>
          <w:sz w:val="20"/>
          <w:szCs w:val="20"/>
          <w:color w:val="auto"/>
        </w:rPr>
      </w:pPr>
    </w:p>
    <w:p>
      <w:pPr>
        <w:ind w:right="280" w:firstLine="7"/>
        <w:spacing w:after="0" w:line="239"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percentages of the class of securities beneficially owned by each reporting person is based on 47,374,564 ordinary shares, comprised of 42,340,137 Class A Ordinary Shares and 5,034,427 Class B Ordinary Shares, outstanding as of September 30, 2021, as reported in the Issuer’s Form 6-K filed with the Securities and Exchange Commission (the “SEC”) on November 30, 2021, and the number of ordinary shares such person or group has the right to acquire upon the exercise of options, warrants or other rights within 60 days after December 31, 2021.</w:t>
      </w:r>
    </w:p>
    <w:p>
      <w:pPr>
        <w:spacing w:after="0" w:line="2" w:lineRule="exact"/>
        <w:rPr>
          <w:rFonts w:ascii="Arial" w:cs="Arial" w:eastAsia="Arial" w:hAnsi="Arial"/>
          <w:sz w:val="14"/>
          <w:szCs w:val="14"/>
          <w:color w:val="auto"/>
        </w:rPr>
      </w:pPr>
    </w:p>
    <w:p>
      <w:pPr>
        <w:ind w:right="220" w:firstLine="7"/>
        <w:spacing w:after="0" w:line="239"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2,102,263 Class B Ordinary Shares held by Igomax Inc., which may be converted into 2,102,263 Class A Ordinary Shares at any time by the holder thereof; (ii) 27,913 Class A Ordinary Shares that are issuable upon exercise of options held in trust by Mr. Jian Tang; and (iii) 396,294 Class A ordinary shares directly held by Igomax Inc.. Mr. Jian Tang is the sole director of Igomax Inc..</w:t>
      </w:r>
    </w:p>
    <w:p>
      <w:pPr>
        <w:spacing w:after="0" w:line="1" w:lineRule="exact"/>
        <w:rPr>
          <w:rFonts w:ascii="Arial" w:cs="Arial" w:eastAsia="Arial" w:hAnsi="Arial"/>
          <w:sz w:val="14"/>
          <w:szCs w:val="14"/>
          <w:color w:val="auto"/>
        </w:rPr>
      </w:pPr>
    </w:p>
    <w:p>
      <w:pPr>
        <w:ind w:right="300" w:firstLine="7"/>
        <w:spacing w:after="0" w:line="255"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2,102,263 Class B Ordinary Shares held by Igomax Inc., which may be converted into 2,102,263 Class A Ordinary Shares at any time by the holder thereof; (ii) 396,294 Class A ordinary shares directly held by Igomax Inc..</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100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Ownership of Five Percent or Less of a Class</w:t>
            </w:r>
          </w:p>
        </w:tc>
      </w:tr>
      <w:tr>
        <w:trPr>
          <w:trHeight w:val="304"/>
        </w:trPr>
        <w:tc>
          <w:tcPr>
            <w:tcW w:w="1000" w:type="dxa"/>
            <w:vAlign w:val="bottom"/>
          </w:tcPr>
          <w:p>
            <w:pPr>
              <w:spacing w:after="0"/>
              <w:rPr>
                <w:sz w:val="20"/>
                <w:szCs w:val="20"/>
                <w:color w:val="auto"/>
              </w:rPr>
            </w:pPr>
            <w:r>
              <w:rPr>
                <w:rFonts w:ascii="Arial" w:cs="Arial" w:eastAsia="Arial" w:hAnsi="Arial"/>
                <w:sz w:val="14"/>
                <w:szCs w:val="14"/>
                <w:color w:val="auto"/>
              </w:rPr>
              <w:t>Not applicable</w:t>
            </w:r>
          </w:p>
        </w:tc>
        <w:tc>
          <w:tcPr>
            <w:tcW w:w="9180" w:type="dxa"/>
            <w:vAlign w:val="bottom"/>
          </w:tcPr>
          <w:p>
            <w:pPr>
              <w:spacing w:after="0"/>
              <w:rPr>
                <w:sz w:val="24"/>
                <w:szCs w:val="24"/>
                <w:color w:val="auto"/>
              </w:rPr>
            </w:pPr>
          </w:p>
        </w:tc>
      </w:tr>
      <w:tr>
        <w:trPr>
          <w:trHeight w:val="534"/>
        </w:trPr>
        <w:tc>
          <w:tcPr>
            <w:tcW w:w="100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Ownership of More than Five Percent on Behalf of Another Person</w:t>
            </w:r>
          </w:p>
        </w:tc>
      </w:tr>
      <w:tr>
        <w:trPr>
          <w:trHeight w:val="304"/>
        </w:trPr>
        <w:tc>
          <w:tcPr>
            <w:tcW w:w="1000" w:type="dxa"/>
            <w:vAlign w:val="bottom"/>
          </w:tcPr>
          <w:p>
            <w:pPr>
              <w:spacing w:after="0"/>
              <w:rPr>
                <w:sz w:val="20"/>
                <w:szCs w:val="20"/>
                <w:color w:val="auto"/>
              </w:rPr>
            </w:pPr>
            <w:r>
              <w:rPr>
                <w:rFonts w:ascii="Arial" w:cs="Arial" w:eastAsia="Arial" w:hAnsi="Arial"/>
                <w:sz w:val="14"/>
                <w:szCs w:val="14"/>
                <w:color w:val="auto"/>
              </w:rPr>
              <w:t>Not applicable</w:t>
            </w:r>
          </w:p>
        </w:tc>
        <w:tc>
          <w:tcPr>
            <w:tcW w:w="9180" w:type="dxa"/>
            <w:vAlign w:val="bottom"/>
          </w:tcPr>
          <w:p>
            <w:pPr>
              <w:spacing w:after="0"/>
              <w:rPr>
                <w:sz w:val="24"/>
                <w:szCs w:val="24"/>
                <w:color w:val="auto"/>
              </w:rPr>
            </w:pPr>
          </w:p>
        </w:tc>
      </w:tr>
      <w:tr>
        <w:trPr>
          <w:trHeight w:val="534"/>
        </w:trPr>
        <w:tc>
          <w:tcPr>
            <w:tcW w:w="100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Identification and Classification of the Subsidiary Which Acquired the Security Being Reported on By the Parent Holding Company</w:t>
            </w:r>
          </w:p>
        </w:tc>
      </w:tr>
      <w:tr>
        <w:trPr>
          <w:trHeight w:val="154"/>
        </w:trPr>
        <w:tc>
          <w:tcPr>
            <w:tcW w:w="1000" w:type="dxa"/>
            <w:vAlign w:val="bottom"/>
          </w:tcPr>
          <w:p>
            <w:pPr>
              <w:spacing w:after="0"/>
              <w:rPr>
                <w:sz w:val="13"/>
                <w:szCs w:val="13"/>
                <w:color w:val="auto"/>
              </w:rPr>
            </w:pPr>
          </w:p>
        </w:tc>
        <w:tc>
          <w:tcPr>
            <w:tcW w:w="91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or Control Person</w:t>
            </w:r>
          </w:p>
        </w:tc>
      </w:tr>
      <w:tr>
        <w:trPr>
          <w:trHeight w:val="304"/>
        </w:trPr>
        <w:tc>
          <w:tcPr>
            <w:tcW w:w="1000" w:type="dxa"/>
            <w:vAlign w:val="bottom"/>
          </w:tcPr>
          <w:p>
            <w:pPr>
              <w:spacing w:after="0"/>
              <w:rPr>
                <w:sz w:val="20"/>
                <w:szCs w:val="20"/>
                <w:color w:val="auto"/>
              </w:rPr>
            </w:pPr>
            <w:r>
              <w:rPr>
                <w:rFonts w:ascii="Arial" w:cs="Arial" w:eastAsia="Arial" w:hAnsi="Arial"/>
                <w:sz w:val="14"/>
                <w:szCs w:val="14"/>
                <w:color w:val="auto"/>
              </w:rPr>
              <w:t>Not applicable</w:t>
            </w:r>
          </w:p>
        </w:tc>
        <w:tc>
          <w:tcPr>
            <w:tcW w:w="9180" w:type="dxa"/>
            <w:vAlign w:val="bottom"/>
          </w:tcPr>
          <w:p>
            <w:pPr>
              <w:spacing w:after="0"/>
              <w:rPr>
                <w:sz w:val="24"/>
                <w:szCs w:val="24"/>
                <w:color w:val="auto"/>
              </w:rPr>
            </w:pPr>
          </w:p>
        </w:tc>
      </w:tr>
      <w:tr>
        <w:trPr>
          <w:trHeight w:val="534"/>
        </w:trPr>
        <w:tc>
          <w:tcPr>
            <w:tcW w:w="100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Identification and Classification of Members of the Group</w:t>
            </w:r>
          </w:p>
        </w:tc>
      </w:tr>
      <w:tr>
        <w:trPr>
          <w:trHeight w:val="304"/>
        </w:trPr>
        <w:tc>
          <w:tcPr>
            <w:tcW w:w="1000" w:type="dxa"/>
            <w:vAlign w:val="bottom"/>
          </w:tcPr>
          <w:p>
            <w:pPr>
              <w:spacing w:after="0"/>
              <w:rPr>
                <w:sz w:val="20"/>
                <w:szCs w:val="20"/>
                <w:color w:val="auto"/>
              </w:rPr>
            </w:pPr>
            <w:r>
              <w:rPr>
                <w:rFonts w:ascii="Arial" w:cs="Arial" w:eastAsia="Arial" w:hAnsi="Arial"/>
                <w:sz w:val="14"/>
                <w:szCs w:val="14"/>
                <w:color w:val="auto"/>
              </w:rPr>
              <w:t>Not applicable</w:t>
            </w:r>
          </w:p>
        </w:tc>
        <w:tc>
          <w:tcPr>
            <w:tcW w:w="9180" w:type="dxa"/>
            <w:vAlign w:val="bottom"/>
          </w:tcPr>
          <w:p>
            <w:pPr>
              <w:spacing w:after="0"/>
              <w:rPr>
                <w:sz w:val="24"/>
                <w:szCs w:val="24"/>
                <w:color w:val="auto"/>
              </w:rPr>
            </w:pPr>
          </w:p>
        </w:tc>
      </w:tr>
      <w:tr>
        <w:trPr>
          <w:trHeight w:val="534"/>
        </w:trPr>
        <w:tc>
          <w:tcPr>
            <w:tcW w:w="100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Notice of Dissolution of Group</w:t>
            </w:r>
          </w:p>
        </w:tc>
      </w:tr>
      <w:tr>
        <w:trPr>
          <w:trHeight w:val="304"/>
        </w:trPr>
        <w:tc>
          <w:tcPr>
            <w:tcW w:w="1000" w:type="dxa"/>
            <w:vAlign w:val="bottom"/>
          </w:tcPr>
          <w:p>
            <w:pPr>
              <w:spacing w:after="0"/>
              <w:rPr>
                <w:sz w:val="20"/>
                <w:szCs w:val="20"/>
                <w:color w:val="auto"/>
              </w:rPr>
            </w:pPr>
            <w:r>
              <w:rPr>
                <w:rFonts w:ascii="Arial" w:cs="Arial" w:eastAsia="Arial" w:hAnsi="Arial"/>
                <w:sz w:val="14"/>
                <w:szCs w:val="14"/>
                <w:color w:val="auto"/>
              </w:rPr>
              <w:t>Not applicable</w:t>
            </w:r>
          </w:p>
        </w:tc>
        <w:tc>
          <w:tcPr>
            <w:tcW w:w="9180" w:type="dxa"/>
            <w:vAlign w:val="bottom"/>
          </w:tcPr>
          <w:p>
            <w:pPr>
              <w:spacing w:after="0"/>
              <w:rPr>
                <w:sz w:val="24"/>
                <w:szCs w:val="24"/>
                <w:color w:val="auto"/>
              </w:rPr>
            </w:pPr>
          </w:p>
        </w:tc>
      </w:tr>
    </w:tbl>
    <w:p>
      <w:pPr>
        <w:sectPr>
          <w:pgSz w:w="11900" w:h="16838" w:orient="portrait"/>
          <w:cols w:equalWidth="0" w:num="1">
            <w:col w:w="11280"/>
          </w:cols>
          <w:pgMar w:left="320" w:top="354" w:right="299" w:bottom="0" w:gutter="0" w:footer="0" w:header="0"/>
          <w:type w:val="continuous"/>
        </w:sectPr>
      </w:pPr>
    </w:p>
    <w:bookmarkStart w:id="4" w:name="page5"/>
    <w:bookmarkEnd w:id="4"/>
    <w:p>
      <w:pPr>
        <w:ind w:left="39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201295</wp:posOffset>
            </wp:positionV>
            <wp:extent cx="7175500" cy="225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22542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5" w:name="page6"/>
    <w:bookmarkEnd w:id="5"/>
    <w:p>
      <w:pPr>
        <w:ind w:left="60"/>
        <w:spacing w:after="0"/>
        <w:tabs>
          <w:tab w:leader="none" w:pos="16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4"/>
          <w:szCs w:val="14"/>
          <w:b w:val="1"/>
          <w:bCs w:val="1"/>
          <w:u w:val="single" w:color="auto"/>
          <w:color w:val="auto"/>
        </w:rPr>
        <w:t>Certifications</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14,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20"/>
                <w:szCs w:val="20"/>
                <w:color w:val="auto"/>
              </w:rPr>
            </w:pPr>
            <w:r>
              <w:rPr>
                <w:rFonts w:ascii="Arial" w:cs="Arial" w:eastAsia="Arial" w:hAnsi="Arial"/>
                <w:sz w:val="14"/>
                <w:szCs w:val="14"/>
                <w:color w:val="auto"/>
              </w:rPr>
              <w:t>Jian Tang</w:t>
            </w:r>
          </w:p>
        </w:tc>
        <w:tc>
          <w:tcPr>
            <w:tcW w:w="2260" w:type="dxa"/>
            <w:vAlign w:val="bottom"/>
          </w:tcPr>
          <w:p>
            <w:pPr>
              <w:spacing w:after="0"/>
              <w:rPr>
                <w:sz w:val="14"/>
                <w:szCs w:val="14"/>
                <w:color w:val="auto"/>
              </w:rPr>
            </w:pP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Jian Tang</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82"/>
        </w:trPr>
        <w:tc>
          <w:tcPr>
            <w:tcW w:w="2940" w:type="dxa"/>
            <w:vAlign w:val="bottom"/>
          </w:tcPr>
          <w:p>
            <w:pPr>
              <w:spacing w:after="0"/>
              <w:rPr>
                <w:sz w:val="20"/>
                <w:szCs w:val="20"/>
                <w:color w:val="auto"/>
              </w:rPr>
            </w:pPr>
            <w:r>
              <w:rPr>
                <w:rFonts w:ascii="Arial" w:cs="Arial" w:eastAsia="Arial" w:hAnsi="Arial"/>
                <w:sz w:val="14"/>
                <w:szCs w:val="14"/>
                <w:color w:val="auto"/>
              </w:rPr>
              <w:t>Igomax Inc.</w:t>
            </w:r>
          </w:p>
        </w:tc>
        <w:tc>
          <w:tcPr>
            <w:tcW w:w="22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Jian Tang</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Name:</w:t>
            </w:r>
          </w:p>
        </w:tc>
        <w:tc>
          <w:tcPr>
            <w:tcW w:w="4380" w:type="dxa"/>
            <w:vAlign w:val="bottom"/>
            <w:gridSpan w:val="2"/>
          </w:tcPr>
          <w:p>
            <w:pPr>
              <w:spacing w:after="0"/>
              <w:rPr>
                <w:sz w:val="20"/>
                <w:szCs w:val="20"/>
                <w:color w:val="auto"/>
              </w:rPr>
            </w:pPr>
            <w:r>
              <w:rPr>
                <w:rFonts w:ascii="Arial" w:cs="Arial" w:eastAsia="Arial" w:hAnsi="Arial"/>
                <w:sz w:val="14"/>
                <w:szCs w:val="14"/>
                <w:color w:val="auto"/>
              </w:rPr>
              <w:t>Jian Tang</w:t>
            </w:r>
          </w:p>
        </w:tc>
        <w:tc>
          <w:tcPr>
            <w:tcW w:w="1020" w:type="dxa"/>
            <w:vAlign w:val="bottom"/>
          </w:tcPr>
          <w:p>
            <w:pPr>
              <w:spacing w:after="0"/>
              <w:rPr>
                <w:sz w:val="14"/>
                <w:szCs w:val="14"/>
                <w:color w:val="auto"/>
              </w:rPr>
            </w:pPr>
          </w:p>
        </w:tc>
      </w:tr>
      <w:tr>
        <w:trPr>
          <w:trHeight w:val="201"/>
        </w:trPr>
        <w:tc>
          <w:tcPr>
            <w:tcW w:w="2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Title:</w:t>
            </w:r>
          </w:p>
        </w:tc>
        <w:tc>
          <w:tcPr>
            <w:tcW w:w="43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020" w:type="dxa"/>
            <w:vAlign w:val="bottom"/>
          </w:tcPr>
          <w:p>
            <w:pPr>
              <w:spacing w:after="0"/>
              <w:rPr>
                <w:sz w:val="17"/>
                <w:szCs w:val="17"/>
                <w:color w:val="auto"/>
              </w:rPr>
            </w:pPr>
          </w:p>
        </w:tc>
      </w:tr>
      <w:tr>
        <w:trPr>
          <w:trHeight w:val="389"/>
        </w:trPr>
        <w:tc>
          <w:tcPr>
            <w:tcW w:w="2940" w:type="dxa"/>
            <w:vAlign w:val="bottom"/>
          </w:tcPr>
          <w:p>
            <w:pPr>
              <w:spacing w:after="0"/>
              <w:rPr>
                <w:sz w:val="24"/>
                <w:szCs w:val="24"/>
                <w:color w:val="auto"/>
              </w:rPr>
            </w:pPr>
          </w:p>
        </w:tc>
        <w:tc>
          <w:tcPr>
            <w:tcW w:w="2920" w:type="dxa"/>
            <w:vAlign w:val="bottom"/>
            <w:gridSpan w:val="2"/>
          </w:tcPr>
          <w:p>
            <w:pPr>
              <w:jc w:val="right"/>
              <w:ind w:right="589"/>
              <w:spacing w:after="0"/>
              <w:rPr>
                <w:sz w:val="20"/>
                <w:szCs w:val="20"/>
                <w:color w:val="auto"/>
              </w:rPr>
            </w:pPr>
            <w:r>
              <w:rPr>
                <w:rFonts w:ascii="Arial" w:cs="Arial" w:eastAsia="Arial" w:hAnsi="Arial"/>
                <w:sz w:val="14"/>
                <w:szCs w:val="14"/>
                <w:color w:val="auto"/>
              </w:rPr>
              <w:t>6</w:t>
            </w: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5"/>
        </w:trPr>
        <w:tc>
          <w:tcPr>
            <w:tcW w:w="294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r>
      <w:tr>
        <w:trPr>
          <w:trHeight w:val="376"/>
        </w:trPr>
        <w:tc>
          <w:tcPr>
            <w:tcW w:w="29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-254635</wp:posOffset>
            </wp:positionV>
            <wp:extent cx="1714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25400"/>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6" w:name="page7"/>
    <w:bookmarkEnd w:id="6"/>
    <w:p>
      <w:pPr>
        <w:jc w:val="right"/>
        <w:ind w:right="3919"/>
        <w:spacing w:after="0"/>
        <w:rPr>
          <w:sz w:val="20"/>
          <w:szCs w:val="20"/>
          <w:color w:val="auto"/>
        </w:rPr>
      </w:pPr>
      <w:r>
        <w:rPr>
          <w:rFonts w:ascii="Arial" w:cs="Arial" w:eastAsia="Arial" w:hAnsi="Arial"/>
          <w:sz w:val="16"/>
          <w:szCs w:val="16"/>
          <w:b w:val="1"/>
          <w:bCs w:val="1"/>
          <w:color w:val="auto"/>
        </w:rPr>
        <w:t>LIST OF EXHIBITS</w:t>
      </w:r>
    </w:p>
    <w:p>
      <w:pPr>
        <w:spacing w:after="0" w:line="21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0000EE"/>
          </w:rPr>
          <w:t>Joint Filing Agreement</w:t>
        </w:r>
      </w:hyperlink>
    </w:p>
    <w:p>
      <w:pPr>
        <w:spacing w:after="0" w:line="19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649478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139"/>
          </w:cols>
          <w:pgMar w:left="320" w:top="349"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auto"/>
        </w:rPr>
        <w:t>Exhibit 99.1</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214"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hereby execute this Agreement as of February 14,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20"/>
                <w:szCs w:val="20"/>
                <w:color w:val="auto"/>
              </w:rPr>
            </w:pPr>
            <w:r>
              <w:rPr>
                <w:rFonts w:ascii="Arial" w:cs="Arial" w:eastAsia="Arial" w:hAnsi="Arial"/>
                <w:sz w:val="14"/>
                <w:szCs w:val="14"/>
                <w:color w:val="auto"/>
              </w:rPr>
              <w:t>Jian Tang</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Jian Tang</w:t>
            </w:r>
          </w:p>
        </w:tc>
        <w:tc>
          <w:tcPr>
            <w:tcW w:w="40" w:type="dxa"/>
            <w:vAlign w:val="bottom"/>
          </w:tcPr>
          <w:p>
            <w:pPr>
              <w:spacing w:after="0"/>
              <w:rPr>
                <w:sz w:val="14"/>
                <w:szCs w:val="14"/>
                <w:color w:val="auto"/>
              </w:rPr>
            </w:pPr>
          </w:p>
        </w:tc>
      </w:tr>
      <w:tr>
        <w:trPr>
          <w:trHeight w:val="355"/>
        </w:trPr>
        <w:tc>
          <w:tcPr>
            <w:tcW w:w="5200" w:type="dxa"/>
            <w:vAlign w:val="bottom"/>
          </w:tcPr>
          <w:p>
            <w:pPr>
              <w:spacing w:after="0"/>
              <w:rPr>
                <w:sz w:val="20"/>
                <w:szCs w:val="20"/>
                <w:color w:val="auto"/>
              </w:rPr>
            </w:pPr>
            <w:r>
              <w:rPr>
                <w:rFonts w:ascii="Arial" w:cs="Arial" w:eastAsia="Arial" w:hAnsi="Arial"/>
                <w:sz w:val="14"/>
                <w:szCs w:val="14"/>
                <w:color w:val="auto"/>
              </w:rPr>
              <w:t>Igomax Inc.</w:t>
            </w:r>
          </w:p>
        </w:tc>
        <w:tc>
          <w:tcPr>
            <w:tcW w:w="680" w:type="dxa"/>
            <w:vAlign w:val="bottom"/>
          </w:tcPr>
          <w:p>
            <w:pPr>
              <w:spacing w:after="0"/>
              <w:rPr>
                <w:sz w:val="20"/>
                <w:szCs w:val="20"/>
                <w:color w:val="auto"/>
              </w:rPr>
            </w:pPr>
            <w:r>
              <w:rPr>
                <w:rFonts w:ascii="Arial" w:cs="Arial" w:eastAsia="Arial" w:hAnsi="Arial"/>
                <w:sz w:val="14"/>
                <w:szCs w:val="14"/>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Jian Tang</w:t>
            </w:r>
          </w:p>
        </w:tc>
        <w:tc>
          <w:tcPr>
            <w:tcW w:w="40" w:type="dxa"/>
            <w:vAlign w:val="bottom"/>
          </w:tcPr>
          <w:p>
            <w:pPr>
              <w:spacing w:after="0"/>
              <w:rPr>
                <w:sz w:val="24"/>
                <w:szCs w:val="24"/>
                <w:color w:val="auto"/>
              </w:rPr>
            </w:pPr>
          </w:p>
        </w:tc>
      </w:tr>
      <w:tr>
        <w:trPr>
          <w:trHeight w:val="169"/>
        </w:trPr>
        <w:tc>
          <w:tcPr>
            <w:tcW w:w="52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Name:</w:t>
            </w:r>
          </w:p>
        </w:tc>
        <w:tc>
          <w:tcPr>
            <w:tcW w:w="4360" w:type="dxa"/>
            <w:vAlign w:val="bottom"/>
            <w:gridSpan w:val="2"/>
          </w:tcPr>
          <w:p>
            <w:pPr>
              <w:spacing w:after="0"/>
              <w:rPr>
                <w:sz w:val="20"/>
                <w:szCs w:val="20"/>
                <w:color w:val="auto"/>
              </w:rPr>
            </w:pPr>
            <w:r>
              <w:rPr>
                <w:rFonts w:ascii="Arial" w:cs="Arial" w:eastAsia="Arial" w:hAnsi="Arial"/>
                <w:sz w:val="14"/>
                <w:szCs w:val="14"/>
                <w:color w:val="auto"/>
              </w:rPr>
              <w:t>Jian Tang</w:t>
            </w:r>
          </w:p>
        </w:tc>
      </w:tr>
      <w:tr>
        <w:trPr>
          <w:trHeight w:val="201"/>
        </w:trPr>
        <w:tc>
          <w:tcPr>
            <w:tcW w:w="520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Title:</w:t>
            </w:r>
          </w:p>
        </w:tc>
        <w:tc>
          <w:tcPr>
            <w:tcW w:w="436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467"/>
        </w:trPr>
        <w:tc>
          <w:tcPr>
            <w:tcW w:w="52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714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2540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8"/>
      <w:numFmt w:val="bullet"/>
      <w:start w:val="1"/>
    </w:lvl>
  </w:abstractNum>
  <w:abstractNum w:abstractNumId="7">
    <w:nsid w:val="109CF92E"/>
    <w:multiLevelType w:val="hybridMultilevel"/>
    <w:lvl w:ilvl="0">
      <w:lvlJc w:val="left"/>
      <w:lvlText w:val="9"/>
      <w:numFmt w:val="bullet"/>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4"/>
      <w:numFmt w:val="bullet"/>
      <w:start w:val="1"/>
    </w:lvl>
  </w:abstractNum>
  <w:abstractNum w:abstractNumId="10">
    <w:nsid w:val="1BEFD79F"/>
    <w:multiLevelType w:val="hybridMultilevel"/>
    <w:lvl w:ilvl="0">
      <w:lvlJc w:val="left"/>
      <w:lvlText w:val="2"/>
      <w:numFmt w:val="bullet"/>
      <w:start w:val="1"/>
    </w:lvl>
    <w:lvl w:ilvl="1">
      <w:lvlJc w:val="left"/>
      <w:lvlText w:val="(%2)"/>
      <w:numFmt w:val="lowerLetter"/>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4"/>
      <w:numFmt w:val="bullet"/>
      <w:start w:val="1"/>
    </w:lvl>
  </w:abstractNum>
  <w:abstractNum w:abstractNumId="13">
    <w:nsid w:val="4E6AFB66"/>
    <w:multiLevelType w:val="hybridMultilevel"/>
    <w:lvl w:ilvl="0">
      <w:lvlJc w:val="left"/>
      <w:lvlText w:val="5"/>
      <w:numFmt w:val="bullet"/>
      <w:start w:val="1"/>
    </w:lvl>
  </w:abstractNum>
  <w:abstractNum w:abstractNumId="14">
    <w:nsid w:val="25E45D32"/>
    <w:multiLevelType w:val="hybridMultilevel"/>
    <w:lvl w:ilvl="0">
      <w:lvlJc w:val="left"/>
      <w:lvlText w:val="8"/>
      <w:numFmt w:val="bullet"/>
      <w:start w:val="1"/>
    </w:lvl>
  </w:abstractNum>
  <w:abstractNum w:abstractNumId="15">
    <w:nsid w:val="519B500D"/>
    <w:multiLevelType w:val="hybridMultilevel"/>
    <w:lvl w:ilvl="0">
      <w:lvlJc w:val="left"/>
      <w:lvlText w:val="9"/>
      <w:numFmt w:val="bullet"/>
      <w:start w:val="1"/>
    </w:lvl>
  </w:abstractNum>
  <w:abstractNum w:abstractNumId="16">
    <w:nsid w:val="431BD7B7"/>
    <w:multiLevelType w:val="hybridMultilevel"/>
    <w:lvl w:ilvl="0">
      <w:lvlJc w:val="left"/>
      <w:lvlText w:val="%1"/>
      <w:numFmt w:val="decimal"/>
      <w:start w:val="10"/>
    </w:lvl>
  </w:abstractNum>
  <w:abstractNum w:abstractNumId="17">
    <w:nsid w:val="3F2DBA31"/>
    <w:multiLevelType w:val="hybridMultilevel"/>
    <w:lvl w:ilvl="0">
      <w:lvlJc w:val="left"/>
      <w:lvlText w:val="%1"/>
      <w:numFmt w:val="decimal"/>
      <w:start w:val="1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2022-02-14T08:08:41Z</dcterms:created>
  <dcterms:modified xsi:type="dcterms:W3CDTF">2022-02-14T08:08:41Z</dcterms:modified>
</cp:coreProperties>
</file>