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December 19,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Statement No. 333-221034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5</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6" w:lineRule="exact"/>
        <w:rPr>
          <w:sz w:val="24"/>
          <w:szCs w:val="24"/>
          <w:color w:val="auto"/>
        </w:rPr>
      </w:pPr>
    </w:p>
    <w:tbl>
      <w:tblPr>
        <w:tblLayout w:type="fixed"/>
        <w:tblInd w:w="980" w:type="dxa"/>
        <w:tblCellMar>
          <w:top w:w="0" w:type="dxa"/>
          <w:left w:w="0" w:type="dxa"/>
          <w:bottom w:w="0" w:type="dxa"/>
          <w:right w:w="0" w:type="dxa"/>
        </w:tblCellMar>
      </w:tblPr>
      <w:tr>
        <w:trPr>
          <w:trHeight w:val="194"/>
        </w:trPr>
        <w:tc>
          <w:tcPr>
            <w:tcW w:w="2940" w:type="dxa"/>
            <w:vAlign w:val="bottom"/>
          </w:tcPr>
          <w:p>
            <w:pPr>
              <w:jc w:val="center"/>
              <w:ind w:right="945"/>
              <w:spacing w:after="0"/>
              <w:rPr>
                <w:sz w:val="20"/>
                <w:szCs w:val="20"/>
                <w:color w:val="auto"/>
              </w:rPr>
            </w:pPr>
            <w:r>
              <w:rPr>
                <w:rFonts w:ascii="Arial" w:cs="Arial" w:eastAsia="Arial" w:hAnsi="Arial"/>
                <w:sz w:val="16"/>
                <w:szCs w:val="16"/>
                <w:b w:val="1"/>
                <w:bCs w:val="1"/>
                <w:color w:val="auto"/>
                <w:w w:val="91"/>
              </w:rPr>
              <w:t>Cayman Islands</w:t>
            </w:r>
          </w:p>
        </w:tc>
        <w:tc>
          <w:tcPr>
            <w:tcW w:w="3980" w:type="dxa"/>
            <w:vAlign w:val="bottom"/>
          </w:tcPr>
          <w:p>
            <w:pPr>
              <w:jc w:val="center"/>
              <w:ind w:right="65"/>
              <w:spacing w:after="0"/>
              <w:rPr>
                <w:sz w:val="20"/>
                <w:szCs w:val="20"/>
                <w:color w:val="auto"/>
              </w:rPr>
            </w:pPr>
            <w:r>
              <w:rPr>
                <w:rFonts w:ascii="Arial" w:cs="Arial" w:eastAsia="Arial" w:hAnsi="Arial"/>
                <w:sz w:val="16"/>
                <w:szCs w:val="16"/>
                <w:b w:val="1"/>
                <w:bCs w:val="1"/>
                <w:color w:val="auto"/>
                <w:w w:val="89"/>
              </w:rPr>
              <w:t>7372</w:t>
            </w:r>
          </w:p>
        </w:tc>
        <w:tc>
          <w:tcPr>
            <w:tcW w:w="2260" w:type="dxa"/>
            <w:vAlign w:val="bottom"/>
          </w:tcPr>
          <w:p>
            <w:pPr>
              <w:jc w:val="center"/>
              <w:ind w:left="106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40" w:type="dxa"/>
            <w:vAlign w:val="bottom"/>
          </w:tcPr>
          <w:p>
            <w:pPr>
              <w:jc w:val="center"/>
              <w:ind w:right="92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60" w:type="dxa"/>
            <w:vAlign w:val="bottom"/>
          </w:tcPr>
          <w:p>
            <w:pPr>
              <w:jc w:val="center"/>
              <w:ind w:left="106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925"/>
              <w:spacing w:after="0"/>
              <w:rPr>
                <w:sz w:val="20"/>
                <w:szCs w:val="20"/>
                <w:color w:val="auto"/>
              </w:rPr>
            </w:pPr>
            <w:r>
              <w:rPr>
                <w:rFonts w:ascii="Arial" w:cs="Arial" w:eastAsia="Arial" w:hAnsi="Arial"/>
                <w:sz w:val="14"/>
                <w:szCs w:val="14"/>
                <w:b w:val="1"/>
                <w:bCs w:val="1"/>
                <w:color w:val="auto"/>
                <w:w w:val="95"/>
              </w:rPr>
              <w:t>Incorporation or Organization)</w:t>
            </w:r>
          </w:p>
        </w:tc>
        <w:tc>
          <w:tcPr>
            <w:tcW w:w="398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106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15/F</w:t>
      </w:r>
    </w:p>
    <w:p>
      <w:pPr>
        <w:jc w:val="center"/>
        <w:spacing w:after="0" w:line="226" w:lineRule="auto"/>
        <w:rPr>
          <w:sz w:val="20"/>
          <w:szCs w:val="20"/>
          <w:color w:val="auto"/>
        </w:rPr>
      </w:pPr>
      <w:r>
        <w:rPr>
          <w:rFonts w:ascii="Arial" w:cs="Arial" w:eastAsia="Arial" w:hAnsi="Arial"/>
          <w:sz w:val="14"/>
          <w:szCs w:val="14"/>
          <w:b w:val="1"/>
          <w:bCs w:val="1"/>
          <w:color w:val="auto"/>
        </w:rPr>
        <w:t>Prosperity Millennia Plaza</w:t>
      </w:r>
    </w:p>
    <w:p>
      <w:pPr>
        <w:jc w:val="center"/>
        <w:spacing w:after="0" w:line="222" w:lineRule="auto"/>
        <w:rPr>
          <w:sz w:val="20"/>
          <w:szCs w:val="20"/>
          <w:color w:val="auto"/>
        </w:rPr>
      </w:pPr>
      <w:r>
        <w:rPr>
          <w:rFonts w:ascii="Arial" w:cs="Arial" w:eastAsia="Arial" w:hAnsi="Arial"/>
          <w:sz w:val="14"/>
          <w:szCs w:val="14"/>
          <w:b w:val="1"/>
          <w:bCs w:val="1"/>
          <w:color w:val="auto"/>
        </w:rPr>
        <w:t>663 King’s Road, Quarry Bay</w:t>
      </w:r>
    </w:p>
    <w:p>
      <w:pPr>
        <w:jc w:val="center"/>
        <w:spacing w:after="0" w:line="221" w:lineRule="auto"/>
        <w:rPr>
          <w:sz w:val="20"/>
          <w:szCs w:val="20"/>
          <w:color w:val="auto"/>
        </w:rPr>
      </w:pPr>
      <w:r>
        <w:rPr>
          <w:rFonts w:ascii="Arial" w:cs="Arial" w:eastAsia="Arial" w:hAnsi="Arial"/>
          <w:sz w:val="14"/>
          <w:szCs w:val="14"/>
          <w:b w:val="1"/>
          <w:bCs w:val="1"/>
          <w:color w:val="auto"/>
        </w:rPr>
        <w:t>Hong Kong S.A.R., People’s Republic of China</w:t>
      </w:r>
    </w:p>
    <w:p>
      <w:pPr>
        <w:jc w:val="center"/>
        <w:spacing w:after="0" w:line="222" w:lineRule="auto"/>
        <w:rPr>
          <w:sz w:val="20"/>
          <w:szCs w:val="20"/>
          <w:color w:val="auto"/>
        </w:rPr>
      </w:pPr>
      <w:r>
        <w:rPr>
          <w:rFonts w:ascii="Arial" w:cs="Arial" w:eastAsia="Arial" w:hAnsi="Arial"/>
          <w:sz w:val="14"/>
          <w:szCs w:val="14"/>
          <w:b w:val="1"/>
          <w:bCs w:val="1"/>
          <w:color w:val="auto"/>
        </w:rPr>
        <w:t>Tel: +852 3700 9000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Law Debenture Corporate Services, Inc.</w:t>
      </w:r>
    </w:p>
    <w:p>
      <w:pPr>
        <w:jc w:val="center"/>
        <w:spacing w:after="0" w:line="226" w:lineRule="auto"/>
        <w:rPr>
          <w:sz w:val="20"/>
          <w:szCs w:val="20"/>
          <w:color w:val="auto"/>
        </w:rPr>
      </w:pPr>
      <w:r>
        <w:rPr>
          <w:rFonts w:ascii="Arial" w:cs="Arial" w:eastAsia="Arial" w:hAnsi="Arial"/>
          <w:sz w:val="14"/>
          <w:szCs w:val="14"/>
          <w:b w:val="1"/>
          <w:bCs w:val="1"/>
          <w:color w:val="auto"/>
        </w:rPr>
        <w:t>4th Floor, 400 Madison Avenue</w:t>
      </w:r>
    </w:p>
    <w:p>
      <w:pPr>
        <w:jc w:val="center"/>
        <w:spacing w:after="0" w:line="222" w:lineRule="auto"/>
        <w:rPr>
          <w:sz w:val="20"/>
          <w:szCs w:val="20"/>
          <w:color w:val="auto"/>
        </w:rPr>
      </w:pPr>
      <w:r>
        <w:rPr>
          <w:rFonts w:ascii="Arial" w:cs="Arial" w:eastAsia="Arial" w:hAnsi="Arial"/>
          <w:sz w:val="14"/>
          <w:szCs w:val="14"/>
          <w:b w:val="1"/>
          <w:bCs w:val="1"/>
          <w:color w:val="auto"/>
        </w:rPr>
        <w:t>New York, New York 10017</w:t>
      </w:r>
    </w:p>
    <w:p>
      <w:pPr>
        <w:jc w:val="center"/>
        <w:spacing w:after="0" w:line="221" w:lineRule="auto"/>
        <w:rPr>
          <w:sz w:val="20"/>
          <w:szCs w:val="20"/>
          <w:color w:val="auto"/>
        </w:rPr>
      </w:pPr>
      <w:r>
        <w:rPr>
          <w:rFonts w:ascii="Arial" w:cs="Arial" w:eastAsia="Arial" w:hAnsi="Arial"/>
          <w:sz w:val="14"/>
          <w:szCs w:val="14"/>
          <w:b w:val="1"/>
          <w:bCs w:val="1"/>
          <w:color w:val="auto"/>
        </w:rPr>
        <w:t>(212) 750-6474</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14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5020" w:type="dxa"/>
            <w:vAlign w:val="bottom"/>
          </w:tcPr>
          <w:p>
            <w:pPr>
              <w:ind w:left="540"/>
              <w:spacing w:after="0"/>
              <w:rPr>
                <w:sz w:val="20"/>
                <w:szCs w:val="20"/>
                <w:color w:val="auto"/>
              </w:rPr>
            </w:pPr>
            <w:r>
              <w:rPr>
                <w:rFonts w:ascii="Arial" w:cs="Arial" w:eastAsia="Arial" w:hAnsi="Arial"/>
                <w:sz w:val="14"/>
                <w:szCs w:val="14"/>
                <w:b w:val="1"/>
                <w:bCs w:val="1"/>
                <w:i w:val="1"/>
                <w:iCs w:val="1"/>
                <w:color w:val="auto"/>
              </w:rPr>
              <w:t>Copies to:</w:t>
            </w:r>
          </w:p>
        </w:tc>
      </w:tr>
      <w:tr>
        <w:trPr>
          <w:trHeight w:val="232"/>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Shuang Zhao, Esq.</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James C. Lin, Esq.</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348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90"/>
              </w:rPr>
              <w:t>c/o 37</w:t>
            </w:r>
            <w:r>
              <w:rPr>
                <w:rFonts w:ascii="Arial" w:cs="Arial" w:eastAsia="Arial" w:hAnsi="Arial"/>
                <w:sz w:val="12"/>
                <w:szCs w:val="12"/>
                <w:b w:val="1"/>
                <w:bCs w:val="1"/>
                <w:color w:val="auto"/>
                <w:w w:val="90"/>
              </w:rPr>
              <w:t>th</w:t>
            </w:r>
            <w:r>
              <w:rPr>
                <w:rFonts w:ascii="Arial" w:cs="Arial" w:eastAsia="Arial" w:hAnsi="Arial"/>
                <w:sz w:val="14"/>
                <w:szCs w:val="14"/>
                <w:b w:val="1"/>
                <w:bCs w:val="1"/>
                <w:color w:val="auto"/>
                <w:w w:val="90"/>
              </w:rPr>
              <w:t xml:space="preserve"> Floor, Hysan Place</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c/o 18/F, The Hong Kong Club Building</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1"/>
              </w:rPr>
              <w:t>500 Hennessy Road, Causeway Bay, Hong Kong</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3A Chater Road, Central, Hong Kong</w:t>
            </w:r>
          </w:p>
        </w:tc>
      </w:tr>
      <w:tr>
        <w:trPr>
          <w:trHeight w:val="186"/>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3"/>
              </w:rPr>
              <w:t>(852) 2521 4122</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(852) 2533 3368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this Registration Statement becomes effective.</w:t>
      </w:r>
    </w:p>
    <w:p>
      <w:pPr>
        <w:spacing w:after="0" w:line="86"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right="440" w:firstLine="342"/>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30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28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18" w:lineRule="exact"/>
        <w:rPr>
          <w:sz w:val="24"/>
          <w:szCs w:val="24"/>
          <w:color w:val="auto"/>
        </w:rPr>
      </w:pPr>
    </w:p>
    <w:p>
      <w:pPr>
        <w:ind w:right="100" w:firstLine="342"/>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154305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88"/>
        </w:trPr>
        <w:tc>
          <w:tcPr>
            <w:tcW w:w="20" w:type="dxa"/>
            <w:vAlign w:val="bottom"/>
          </w:tcPr>
          <w:p>
            <w:pPr>
              <w:spacing w:after="0"/>
              <w:rPr>
                <w:sz w:val="7"/>
                <w:szCs w:val="7"/>
                <w:color w:val="auto"/>
              </w:rPr>
            </w:pPr>
          </w:p>
        </w:tc>
        <w:tc>
          <w:tcPr>
            <w:tcW w:w="412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jc w:val="center"/>
              <w:ind w:left="25"/>
              <w:spacing w:after="0" w:line="89" w:lineRule="exact"/>
              <w:rPr>
                <w:sz w:val="20"/>
                <w:szCs w:val="20"/>
                <w:color w:val="auto"/>
              </w:rPr>
            </w:pPr>
            <w:r>
              <w:rPr>
                <w:rFonts w:ascii="Arial" w:cs="Arial" w:eastAsia="Arial" w:hAnsi="Arial"/>
                <w:sz w:val="10"/>
                <w:szCs w:val="10"/>
                <w:b w:val="1"/>
                <w:bCs w:val="1"/>
                <w:color w:val="auto"/>
                <w:w w:val="96"/>
              </w:rPr>
              <w:t>Proposed maximum</w:t>
            </w:r>
          </w:p>
        </w:tc>
        <w:tc>
          <w:tcPr>
            <w:tcW w:w="1820" w:type="dxa"/>
            <w:vAlign w:val="bottom"/>
            <w:tcBorders>
              <w:right w:val="single" w:sz="8" w:color="auto"/>
            </w:tcBorders>
          </w:tcPr>
          <w:p>
            <w:pPr>
              <w:jc w:val="center"/>
              <w:ind w:left="5"/>
              <w:spacing w:after="0" w:line="89" w:lineRule="exact"/>
              <w:rPr>
                <w:sz w:val="20"/>
                <w:szCs w:val="20"/>
                <w:color w:val="auto"/>
              </w:rPr>
            </w:pPr>
            <w:r>
              <w:rPr>
                <w:rFonts w:ascii="Arial" w:cs="Arial" w:eastAsia="Arial" w:hAnsi="Arial"/>
                <w:sz w:val="10"/>
                <w:szCs w:val="10"/>
                <w:b w:val="1"/>
                <w:bCs w:val="1"/>
                <w:color w:val="auto"/>
                <w:w w:val="96"/>
              </w:rPr>
              <w:t>Proposed maximum</w:t>
            </w:r>
          </w:p>
        </w:tc>
        <w:tc>
          <w:tcPr>
            <w:tcW w:w="178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43"/>
              <w:spacing w:after="0" w:line="122" w:lineRule="exact"/>
              <w:rPr>
                <w:sz w:val="20"/>
                <w:szCs w:val="20"/>
                <w:color w:val="auto"/>
              </w:rPr>
            </w:pPr>
            <w:r>
              <w:rPr>
                <w:rFonts w:ascii="Arial" w:cs="Arial" w:eastAsia="Arial" w:hAnsi="Arial"/>
                <w:sz w:val="11"/>
                <w:szCs w:val="11"/>
                <w:b w:val="1"/>
                <w:bCs w:val="1"/>
                <w:color w:val="auto"/>
                <w:w w:val="87"/>
              </w:rPr>
              <w:t>Amount to be</w:t>
            </w:r>
          </w:p>
        </w:tc>
        <w:tc>
          <w:tcPr>
            <w:tcW w:w="18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0"/>
              </w:rPr>
              <w:t>offering price</w:t>
            </w:r>
          </w:p>
        </w:tc>
        <w:tc>
          <w:tcPr>
            <w:tcW w:w="1820" w:type="dxa"/>
            <w:vAlign w:val="bottom"/>
            <w:tcBorders>
              <w:right w:val="single" w:sz="8" w:color="auto"/>
            </w:tcBorders>
          </w:tcPr>
          <w:p>
            <w:pPr>
              <w:jc w:val="center"/>
              <w:ind w:left="5"/>
              <w:spacing w:after="0" w:line="122" w:lineRule="exact"/>
              <w:rPr>
                <w:sz w:val="20"/>
                <w:szCs w:val="20"/>
                <w:color w:val="auto"/>
              </w:rPr>
            </w:pPr>
            <w:r>
              <w:rPr>
                <w:rFonts w:ascii="Arial" w:cs="Arial" w:eastAsia="Arial" w:hAnsi="Arial"/>
                <w:sz w:val="11"/>
                <w:szCs w:val="11"/>
                <w:b w:val="1"/>
                <w:bCs w:val="1"/>
                <w:color w:val="auto"/>
                <w:w w:val="86"/>
              </w:rPr>
              <w:t>aggregate offering</w:t>
            </w:r>
          </w:p>
        </w:tc>
        <w:tc>
          <w:tcPr>
            <w:tcW w:w="1780" w:type="dxa"/>
            <w:vAlign w:val="bottom"/>
          </w:tcPr>
          <w:p>
            <w:pPr>
              <w:jc w:val="center"/>
              <w:ind w:left="23"/>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35"/>
        </w:trPr>
        <w:tc>
          <w:tcPr>
            <w:tcW w:w="20" w:type="dxa"/>
            <w:vAlign w:val="bottom"/>
          </w:tcPr>
          <w:p>
            <w:pPr>
              <w:spacing w:after="0"/>
              <w:rPr>
                <w:sz w:val="11"/>
                <w:szCs w:val="11"/>
                <w:color w:val="auto"/>
              </w:rPr>
            </w:pPr>
          </w:p>
        </w:tc>
        <w:tc>
          <w:tcPr>
            <w:tcW w:w="412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1"/>
                <w:szCs w:val="11"/>
                <w:b w:val="1"/>
                <w:bCs w:val="1"/>
                <w:color w:val="auto"/>
              </w:rPr>
              <w:t>Title of Each Class of Securities to Be Registered</w:t>
            </w:r>
            <w:r>
              <w:rPr>
                <w:rFonts w:ascii="Arial" w:cs="Arial" w:eastAsia="Arial" w:hAnsi="Arial"/>
                <w:sz w:val="9"/>
                <w:szCs w:val="9"/>
                <w:b w:val="1"/>
                <w:bCs w:val="1"/>
                <w:color w:val="auto"/>
              </w:rPr>
              <w:t>(1)(2)</w:t>
            </w:r>
          </w:p>
        </w:tc>
        <w:tc>
          <w:tcPr>
            <w:tcW w:w="18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b w:val="1"/>
                <w:bCs w:val="1"/>
                <w:color w:val="auto"/>
                <w:w w:val="87"/>
              </w:rPr>
              <w:t>registered</w:t>
            </w:r>
            <w:r>
              <w:rPr>
                <w:rFonts w:ascii="Arial" w:cs="Arial" w:eastAsia="Arial" w:hAnsi="Arial"/>
                <w:sz w:val="9"/>
                <w:szCs w:val="9"/>
                <w:b w:val="1"/>
                <w:bCs w:val="1"/>
                <w:color w:val="auto"/>
                <w:w w:val="87"/>
              </w:rPr>
              <w:t>(2)(3)</w:t>
            </w:r>
          </w:p>
        </w:tc>
        <w:tc>
          <w:tcPr>
            <w:tcW w:w="1840" w:type="dxa"/>
            <w:vAlign w:val="bottom"/>
            <w:tcBorders>
              <w:bottom w:val="single" w:sz="8" w:color="auto"/>
              <w:right w:val="single" w:sz="8" w:color="auto"/>
            </w:tcBorders>
          </w:tcPr>
          <w:p>
            <w:pPr>
              <w:jc w:val="center"/>
              <w:ind w:left="45"/>
              <w:spacing w:after="0"/>
              <w:rPr>
                <w:sz w:val="20"/>
                <w:szCs w:val="20"/>
                <w:color w:val="auto"/>
              </w:rPr>
            </w:pPr>
            <w:r>
              <w:rPr>
                <w:rFonts w:ascii="Arial" w:cs="Arial" w:eastAsia="Arial" w:hAnsi="Arial"/>
                <w:sz w:val="11"/>
                <w:szCs w:val="11"/>
                <w:b w:val="1"/>
                <w:bCs w:val="1"/>
                <w:color w:val="auto"/>
                <w:w w:val="89"/>
              </w:rPr>
              <w:t>per share</w:t>
            </w:r>
            <w:r>
              <w:rPr>
                <w:rFonts w:ascii="Arial" w:cs="Arial" w:eastAsia="Arial" w:hAnsi="Arial"/>
                <w:sz w:val="9"/>
                <w:szCs w:val="9"/>
                <w:b w:val="1"/>
                <w:bCs w:val="1"/>
                <w:color w:val="auto"/>
                <w:w w:val="89"/>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price</w:t>
            </w:r>
            <w:r>
              <w:rPr>
                <w:rFonts w:ascii="Arial" w:cs="Arial" w:eastAsia="Arial" w:hAnsi="Arial"/>
                <w:sz w:val="9"/>
                <w:szCs w:val="9"/>
                <w:b w:val="1"/>
                <w:bCs w:val="1"/>
                <w:color w:val="auto"/>
                <w:w w:val="91"/>
              </w:rPr>
              <w:t>(3)</w:t>
            </w:r>
          </w:p>
        </w:tc>
        <w:tc>
          <w:tcPr>
            <w:tcW w:w="178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90"/>
              </w:rPr>
              <w:t>registration fee</w:t>
            </w:r>
            <w:r>
              <w:rPr>
                <w:rFonts w:ascii="Arial" w:cs="Arial" w:eastAsia="Arial" w:hAnsi="Arial"/>
                <w:sz w:val="9"/>
                <w:szCs w:val="9"/>
                <w:b w:val="1"/>
                <w:bCs w:val="1"/>
                <w:color w:val="auto"/>
                <w:w w:val="90"/>
              </w:rPr>
              <w:t>(4)</w:t>
            </w:r>
          </w:p>
        </w:tc>
      </w:tr>
      <w:tr>
        <w:trPr>
          <w:trHeight w:val="142"/>
        </w:trPr>
        <w:tc>
          <w:tcPr>
            <w:tcW w:w="20" w:type="dxa"/>
            <w:vAlign w:val="bottom"/>
            <w:tcBorders>
              <w:bottom w:val="single" w:sz="8" w:color="auto"/>
            </w:tcBorders>
          </w:tcPr>
          <w:p>
            <w:pPr>
              <w:spacing w:after="0"/>
              <w:rPr>
                <w:sz w:val="12"/>
                <w:szCs w:val="12"/>
                <w:color w:val="auto"/>
              </w:rPr>
            </w:pPr>
          </w:p>
        </w:tc>
        <w:tc>
          <w:tcPr>
            <w:tcW w:w="41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Class A Ordinary Shares, par value US$0.001 per share</w:t>
            </w:r>
          </w:p>
        </w:tc>
        <w:tc>
          <w:tcPr>
            <w:tcW w:w="1840" w:type="dxa"/>
            <w:vAlign w:val="bottom"/>
            <w:tcBorders>
              <w:bottom w:val="single" w:sz="8" w:color="auto"/>
              <w:right w:val="single" w:sz="8" w:color="auto"/>
            </w:tcBorders>
          </w:tcPr>
          <w:p>
            <w:pPr>
              <w:jc w:val="center"/>
              <w:ind w:left="43"/>
              <w:spacing w:after="0" w:line="143" w:lineRule="exact"/>
              <w:rPr>
                <w:sz w:val="20"/>
                <w:szCs w:val="20"/>
                <w:color w:val="auto"/>
              </w:rPr>
            </w:pPr>
            <w:r>
              <w:rPr>
                <w:rFonts w:ascii="Arial" w:cs="Arial" w:eastAsia="Arial" w:hAnsi="Arial"/>
                <w:sz w:val="13"/>
                <w:szCs w:val="13"/>
                <w:color w:val="auto"/>
                <w:w w:val="86"/>
              </w:rPr>
              <w:t>2,156,250</w:t>
            </w:r>
          </w:p>
        </w:tc>
        <w:tc>
          <w:tcPr>
            <w:tcW w:w="1840" w:type="dxa"/>
            <w:vAlign w:val="bottom"/>
            <w:tcBorders>
              <w:bottom w:val="single" w:sz="8" w:color="auto"/>
              <w:right w:val="single" w:sz="8" w:color="auto"/>
            </w:tcBorders>
          </w:tcPr>
          <w:p>
            <w:pPr>
              <w:jc w:val="center"/>
              <w:ind w:left="25"/>
              <w:spacing w:after="0" w:line="143" w:lineRule="exact"/>
              <w:rPr>
                <w:sz w:val="20"/>
                <w:szCs w:val="20"/>
                <w:color w:val="auto"/>
              </w:rPr>
            </w:pPr>
            <w:r>
              <w:rPr>
                <w:rFonts w:ascii="Arial" w:cs="Arial" w:eastAsia="Arial" w:hAnsi="Arial"/>
                <w:sz w:val="13"/>
                <w:szCs w:val="13"/>
                <w:color w:val="auto"/>
                <w:w w:val="89"/>
              </w:rPr>
              <w:t>US$18.00</w:t>
            </w:r>
          </w:p>
        </w:tc>
        <w:tc>
          <w:tcPr>
            <w:tcW w:w="1820" w:type="dxa"/>
            <w:vAlign w:val="bottom"/>
            <w:tcBorders>
              <w:bottom w:val="single" w:sz="8" w:color="auto"/>
              <w:right w:val="single" w:sz="8" w:color="auto"/>
            </w:tcBorders>
          </w:tcPr>
          <w:p>
            <w:pPr>
              <w:jc w:val="center"/>
              <w:ind w:left="5"/>
              <w:spacing w:after="0" w:line="143" w:lineRule="exact"/>
              <w:rPr>
                <w:sz w:val="20"/>
                <w:szCs w:val="20"/>
                <w:color w:val="auto"/>
              </w:rPr>
            </w:pPr>
            <w:r>
              <w:rPr>
                <w:rFonts w:ascii="Arial" w:cs="Arial" w:eastAsia="Arial" w:hAnsi="Arial"/>
                <w:sz w:val="13"/>
                <w:szCs w:val="13"/>
                <w:color w:val="auto"/>
                <w:w w:val="88"/>
              </w:rPr>
              <w:t>US$38,812,500</w:t>
            </w:r>
          </w:p>
        </w:tc>
        <w:tc>
          <w:tcPr>
            <w:tcW w:w="1780" w:type="dxa"/>
            <w:vAlign w:val="bottom"/>
            <w:tcBorders>
              <w:bottom w:val="single" w:sz="8" w:color="auto"/>
            </w:tcBorders>
          </w:tcPr>
          <w:p>
            <w:pPr>
              <w:jc w:val="center"/>
              <w:ind w:left="23"/>
              <w:spacing w:after="0" w:line="143" w:lineRule="exact"/>
              <w:rPr>
                <w:sz w:val="20"/>
                <w:szCs w:val="20"/>
                <w:color w:val="auto"/>
              </w:rPr>
            </w:pPr>
            <w:r>
              <w:rPr>
                <w:rFonts w:ascii="Arial" w:cs="Arial" w:eastAsia="Arial" w:hAnsi="Arial"/>
                <w:sz w:val="13"/>
                <w:szCs w:val="13"/>
                <w:color w:val="auto"/>
                <w:w w:val="86"/>
              </w:rPr>
              <w:t>US$4,832.16</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340" w:right="360" w:hanging="332"/>
        <w:spacing w:after="0" w:line="224"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American depositary shares issuable upon deposit of Class A ordinary shares registered hereby will be registered under a separate registration statement on Form F-6 (Registration No. 333-221860). Two American depositary shares represent one class A ordinary share.</w:t>
      </w:r>
    </w:p>
    <w:p>
      <w:pPr>
        <w:ind w:left="340" w:right="2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457(a) under the Securities Act of 1933.</w:t>
      </w: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ind w:right="4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Amendment No. 5 is being filed solely for the purpose of filing an exhibit to this registration statement on Form F-1, or the Registration Statement, and to amend and restate the exhibit index set forth in Part II of the Registration Statement. No changes have been made to the Registration Statement other than this explanatory note as well as revised versions of the cover page and exhibit index of the Registration Statement. This Amendment No. 5 does not contain copies of the prospectus included in the Registration Statement, which remains unchanged from Amendment No. 4 to the Registration Statement, filed on December 18, 2017.</w:t>
      </w:r>
    </w:p>
    <w:p>
      <w:pPr>
        <w:sectPr>
          <w:pgSz w:w="11900" w:h="16838" w:orient="portrait"/>
          <w:cols w:equalWidth="0" w:num="1">
            <w:col w:w="11400"/>
          </w:cols>
          <w:pgMar w:left="240" w:top="27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INDEMNIFICATION OF DIRECTORS AND OFFICERS.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new articles of association that we expect to adopt to become effective upon completion of this offering provide for indemnification of officers and directors for losses, damages, costs and expenses incurred in their capacities as such only if they acted honestly and in good faith with a view to the best interests of our company and, in the case of criminal proceedings, only if they had no reasonable cause to believe that their conduct was unlawful.</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Pursuant to the form of indemnification agreement filed as Exhibit 10.9 to this registration statement, we will agree to indemnify our directors and officers against certain liabilities and expenses incurred by such persons in connection with claims made by reason of their being such a director or officer.</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for indemnification by the underwriters of us and our officers and directors for certain liabilities.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in reliance on Regulation S under the Securities Act regarding sales by an issuer in offshore transactions or pursuant to Section 4(a)</w:t>
      </w:r>
    </w:p>
    <w:p>
      <w:pPr>
        <w:jc w:val="both"/>
        <w:ind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of the Securities Act regarding transactions not involving a public offering. No underwriters were involved in these issuances of securities. We believe that our issuances of share awards to our employees, officers and consultants were exempt from registration under the Securities Act in reliance on Rule 701 under the Securities Act.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Purchaser</w:t>
            </w:r>
          </w:p>
        </w:tc>
        <w:tc>
          <w:tcPr>
            <w:tcW w:w="282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Date of</w:t>
            </w:r>
          </w:p>
        </w:tc>
        <w:tc>
          <w:tcPr>
            <w:tcW w:w="25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Number of Securities</w:t>
            </w:r>
          </w:p>
        </w:tc>
        <w:tc>
          <w:tcPr>
            <w:tcW w:w="186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Consideration in</w:t>
            </w:r>
          </w:p>
        </w:tc>
        <w:tc>
          <w:tcPr>
            <w:tcW w:w="18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Underwriting Discounts</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2820" w:type="dxa"/>
            <w:vAlign w:val="bottom"/>
          </w:tcPr>
          <w:p>
            <w:pPr>
              <w:jc w:val="center"/>
              <w:ind w:left="708"/>
              <w:spacing w:after="0"/>
              <w:rPr>
                <w:sz w:val="20"/>
                <w:szCs w:val="20"/>
                <w:color w:val="auto"/>
              </w:rPr>
            </w:pPr>
            <w:r>
              <w:rPr>
                <w:rFonts w:ascii="Arial" w:cs="Arial" w:eastAsia="Arial" w:hAnsi="Arial"/>
                <w:sz w:val="14"/>
                <w:szCs w:val="14"/>
                <w:b w:val="1"/>
                <w:bCs w:val="1"/>
                <w:color w:val="auto"/>
                <w:w w:val="86"/>
              </w:rPr>
              <w:t>Issuance</w:t>
            </w:r>
          </w:p>
        </w:tc>
        <w:tc>
          <w:tcPr>
            <w:tcW w:w="2560" w:type="dxa"/>
            <w:vAlign w:val="bottom"/>
            <w:vMerge w:val="continue"/>
          </w:tcPr>
          <w:p>
            <w:pPr>
              <w:spacing w:after="0"/>
              <w:rPr>
                <w:sz w:val="14"/>
                <w:szCs w:val="14"/>
                <w:color w:val="auto"/>
              </w:rPr>
            </w:pPr>
          </w:p>
        </w:tc>
        <w:tc>
          <w:tcPr>
            <w:tcW w:w="186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U.S. Dollars</w:t>
            </w:r>
          </w:p>
        </w:tc>
        <w:tc>
          <w:tcPr>
            <w:tcW w:w="180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and Commissions</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2"/>
        </w:trPr>
        <w:tc>
          <w:tcPr>
            <w:tcW w:w="2680" w:type="dxa"/>
            <w:vAlign w:val="bottom"/>
            <w:gridSpan w:val="2"/>
          </w:tcPr>
          <w:p>
            <w:pPr>
              <w:spacing w:after="0" w:line="182" w:lineRule="exact"/>
              <w:rPr>
                <w:sz w:val="20"/>
                <w:szCs w:val="20"/>
                <w:color w:val="auto"/>
              </w:rPr>
            </w:pPr>
            <w:r>
              <w:rPr>
                <w:rFonts w:ascii="Arial" w:cs="Arial" w:eastAsia="Arial" w:hAnsi="Arial"/>
                <w:sz w:val="18"/>
                <w:szCs w:val="18"/>
                <w:color w:val="auto"/>
              </w:rPr>
              <w:t>Big Tooth Corporation</w:t>
            </w:r>
          </w:p>
        </w:tc>
        <w:tc>
          <w:tcPr>
            <w:tcW w:w="32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Arial" w:cs="Arial" w:eastAsia="Arial" w:hAnsi="Arial"/>
                <w:sz w:val="18"/>
                <w:szCs w:val="18"/>
                <w:color w:val="auto"/>
              </w:rPr>
              <w:t>December 22, 2014</w:t>
            </w:r>
          </w:p>
        </w:tc>
        <w:tc>
          <w:tcPr>
            <w:tcW w:w="120" w:type="dxa"/>
            <w:vAlign w:val="bottom"/>
          </w:tcPr>
          <w:p>
            <w:pPr>
              <w:spacing w:after="0"/>
              <w:rPr>
                <w:sz w:val="15"/>
                <w:szCs w:val="15"/>
                <w:color w:val="auto"/>
              </w:rPr>
            </w:pPr>
          </w:p>
        </w:tc>
        <w:tc>
          <w:tcPr>
            <w:tcW w:w="2620" w:type="dxa"/>
            <w:vAlign w:val="bottom"/>
          </w:tcPr>
          <w:p>
            <w:pPr>
              <w:spacing w:after="0" w:line="182" w:lineRule="exact"/>
              <w:rPr>
                <w:sz w:val="20"/>
                <w:szCs w:val="20"/>
                <w:color w:val="auto"/>
              </w:rPr>
            </w:pPr>
            <w:r>
              <w:rPr>
                <w:rFonts w:ascii="Arial" w:cs="Arial" w:eastAsia="Arial" w:hAnsi="Arial"/>
                <w:sz w:val="18"/>
                <w:szCs w:val="18"/>
                <w:color w:val="auto"/>
              </w:rPr>
              <w:t>274,752 ordinary shares</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December 23, 2014</w:t>
            </w:r>
          </w:p>
        </w:tc>
        <w:tc>
          <w:tcPr>
            <w:tcW w:w="2620" w:type="dxa"/>
            <w:vAlign w:val="bottom"/>
          </w:tcPr>
          <w:p>
            <w:pPr>
              <w:spacing w:after="0"/>
              <w:rPr>
                <w:sz w:val="20"/>
                <w:szCs w:val="20"/>
                <w:color w:val="auto"/>
              </w:rPr>
            </w:pPr>
            <w:r>
              <w:rPr>
                <w:rFonts w:ascii="Arial" w:cs="Arial" w:eastAsia="Arial" w:hAnsi="Arial"/>
                <w:sz w:val="18"/>
                <w:szCs w:val="18"/>
                <w:color w:val="auto"/>
              </w:rPr>
              <w:t>255,033 ordinary shares</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BlueFocus International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December 30, 2014</w:t>
            </w:r>
          </w:p>
        </w:tc>
        <w:tc>
          <w:tcPr>
            <w:tcW w:w="2620" w:type="dxa"/>
            <w:vAlign w:val="bottom"/>
          </w:tcPr>
          <w:p>
            <w:pPr>
              <w:spacing w:after="0"/>
              <w:rPr>
                <w:sz w:val="20"/>
                <w:szCs w:val="20"/>
                <w:color w:val="auto"/>
              </w:rPr>
            </w:pPr>
            <w:r>
              <w:rPr>
                <w:rFonts w:ascii="Arial" w:cs="Arial" w:eastAsia="Arial" w:hAnsi="Arial"/>
                <w:sz w:val="18"/>
                <w:szCs w:val="18"/>
                <w:color w:val="auto"/>
              </w:rPr>
              <w:t>742,320 ordinary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BlueFocus International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December 30, 2014</w:t>
            </w:r>
          </w:p>
        </w:tc>
        <w:tc>
          <w:tcPr>
            <w:tcW w:w="2620" w:type="dxa"/>
            <w:vAlign w:val="bottom"/>
          </w:tcPr>
          <w:p>
            <w:pPr>
              <w:spacing w:after="0"/>
              <w:rPr>
                <w:sz w:val="20"/>
                <w:szCs w:val="20"/>
                <w:color w:val="auto"/>
              </w:rPr>
            </w:pPr>
            <w:r>
              <w:rPr>
                <w:rFonts w:ascii="Arial" w:cs="Arial" w:eastAsia="Arial" w:hAnsi="Arial"/>
                <w:sz w:val="18"/>
                <w:szCs w:val="18"/>
                <w:color w:val="auto"/>
                <w:w w:val="90"/>
              </w:rPr>
              <w:t>2,493,018 series D preferred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Bondwa Enterprise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February 13, 2015</w:t>
            </w:r>
          </w:p>
        </w:tc>
        <w:tc>
          <w:tcPr>
            <w:tcW w:w="2620" w:type="dxa"/>
            <w:vAlign w:val="bottom"/>
          </w:tcPr>
          <w:p>
            <w:pPr>
              <w:spacing w:after="0"/>
              <w:rPr>
                <w:sz w:val="20"/>
                <w:szCs w:val="20"/>
                <w:color w:val="auto"/>
              </w:rPr>
            </w:pPr>
            <w:r>
              <w:rPr>
                <w:rFonts w:ascii="Arial" w:cs="Arial" w:eastAsia="Arial" w:hAnsi="Arial"/>
                <w:sz w:val="18"/>
                <w:szCs w:val="18"/>
                <w:color w:val="auto"/>
              </w:rPr>
              <w:t>71,076 ordinary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Triwin Holdings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February 13, 2015</w:t>
            </w:r>
          </w:p>
        </w:tc>
        <w:tc>
          <w:tcPr>
            <w:tcW w:w="2620" w:type="dxa"/>
            <w:vAlign w:val="bottom"/>
          </w:tcPr>
          <w:p>
            <w:pPr>
              <w:spacing w:after="0"/>
              <w:rPr>
                <w:sz w:val="20"/>
                <w:szCs w:val="20"/>
                <w:color w:val="auto"/>
              </w:rPr>
            </w:pPr>
            <w:r>
              <w:rPr>
                <w:rFonts w:ascii="Arial" w:cs="Arial" w:eastAsia="Arial" w:hAnsi="Arial"/>
                <w:sz w:val="18"/>
                <w:szCs w:val="18"/>
                <w:color w:val="auto"/>
              </w:rPr>
              <w:t>71,075 ordinary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Igomax Inc.</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July 24, 2015</w:t>
            </w:r>
          </w:p>
        </w:tc>
        <w:tc>
          <w:tcPr>
            <w:tcW w:w="2620" w:type="dxa"/>
            <w:vAlign w:val="bottom"/>
          </w:tcPr>
          <w:p>
            <w:pPr>
              <w:spacing w:after="0"/>
              <w:rPr>
                <w:sz w:val="20"/>
                <w:szCs w:val="20"/>
                <w:color w:val="auto"/>
              </w:rPr>
            </w:pPr>
            <w:r>
              <w:rPr>
                <w:rFonts w:ascii="Arial" w:cs="Arial" w:eastAsia="Arial" w:hAnsi="Arial"/>
                <w:sz w:val="18"/>
                <w:szCs w:val="18"/>
                <w:color w:val="auto"/>
              </w:rPr>
              <w:t>1,496,399 ordinary shares</w:t>
            </w:r>
          </w:p>
        </w:tc>
      </w:tr>
      <w:tr>
        <w:trPr>
          <w:trHeight w:val="244"/>
        </w:trPr>
        <w:tc>
          <w:tcPr>
            <w:tcW w:w="2680" w:type="dxa"/>
            <w:vAlign w:val="bottom"/>
            <w:gridSpan w:val="2"/>
          </w:tcPr>
          <w:p>
            <w:pPr>
              <w:spacing w:after="0"/>
              <w:rPr>
                <w:sz w:val="20"/>
                <w:szCs w:val="20"/>
                <w:color w:val="auto"/>
              </w:rPr>
            </w:pPr>
            <w:r>
              <w:rPr>
                <w:rFonts w:ascii="Arial" w:cs="Arial" w:eastAsia="Arial" w:hAnsi="Arial"/>
                <w:sz w:val="18"/>
                <w:szCs w:val="18"/>
                <w:color w:val="auto"/>
              </w:rPr>
              <w:t>Zaffre Investments, Inc.</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July 24, 2015</w:t>
            </w:r>
          </w:p>
        </w:tc>
        <w:tc>
          <w:tcPr>
            <w:tcW w:w="2620" w:type="dxa"/>
            <w:vAlign w:val="bottom"/>
          </w:tcPr>
          <w:p>
            <w:pPr>
              <w:spacing w:after="0"/>
              <w:rPr>
                <w:sz w:val="20"/>
                <w:szCs w:val="20"/>
                <w:color w:val="auto"/>
              </w:rPr>
            </w:pPr>
            <w:r>
              <w:rPr>
                <w:rFonts w:ascii="Arial" w:cs="Arial" w:eastAsia="Arial" w:hAnsi="Arial"/>
                <w:sz w:val="18"/>
                <w:szCs w:val="18"/>
                <w:color w:val="auto"/>
              </w:rPr>
              <w:t>446,604 ordinary shares</w:t>
            </w:r>
          </w:p>
        </w:tc>
      </w:tr>
      <w:tr>
        <w:trPr>
          <w:trHeight w:val="365"/>
        </w:trPr>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Arial" w:cs="Arial" w:eastAsia="Arial" w:hAnsi="Arial"/>
                <w:sz w:val="18"/>
                <w:szCs w:val="18"/>
                <w:color w:val="auto"/>
              </w:rPr>
              <w:t>II-1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US$12.0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US$48.0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3">
            <w:col w:w="7680" w:space="100"/>
            <w:col w:w="1200" w:space="500"/>
            <w:col w:w="1940"/>
          </w:cols>
          <w:pgMar w:left="240" w:top="27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Purchaser</w:t>
            </w:r>
          </w:p>
        </w:tc>
        <w:tc>
          <w:tcPr>
            <w:tcW w:w="22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 of</w:t>
            </w:r>
          </w:p>
        </w:tc>
        <w:tc>
          <w:tcPr>
            <w:tcW w:w="26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Consideration in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91"/>
        </w:trPr>
        <w:tc>
          <w:tcPr>
            <w:tcW w:w="640" w:type="dxa"/>
            <w:vAlign w:val="bottom"/>
            <w:tcBorders>
              <w:bottom w:val="single" w:sz="8" w:color="auto"/>
            </w:tcBorders>
            <w:vMerge w:val="continue"/>
          </w:tcPr>
          <w:p>
            <w:pPr>
              <w:spacing w:after="0"/>
              <w:rPr>
                <w:sz w:val="16"/>
                <w:szCs w:val="16"/>
                <w:color w:val="auto"/>
              </w:rPr>
            </w:pPr>
          </w:p>
        </w:tc>
        <w:tc>
          <w:tcPr>
            <w:tcW w:w="2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Issuance</w:t>
            </w:r>
          </w:p>
        </w:tc>
        <w:tc>
          <w:tcPr>
            <w:tcW w:w="2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 Dollars</w:t>
            </w:r>
          </w:p>
        </w:tc>
        <w:tc>
          <w:tcPr>
            <w:tcW w:w="1940" w:type="dxa"/>
            <w:vAlign w:val="bottom"/>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17"/>
        </w:trPr>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BAI GmbH</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24, 2015</w:t>
            </w:r>
          </w:p>
        </w:tc>
        <w:tc>
          <w:tcPr>
            <w:tcW w:w="1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592,088 ordinary shares</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 4</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2140" w:type="dxa"/>
            <w:vAlign w:val="bottom"/>
            <w:gridSpan w:val="3"/>
          </w:tcPr>
          <w:p>
            <w:pPr>
              <w:ind w:left="80"/>
              <w:spacing w:after="0"/>
              <w:rPr>
                <w:sz w:val="20"/>
                <w:szCs w:val="20"/>
                <w:color w:val="auto"/>
              </w:rPr>
            </w:pPr>
            <w:r>
              <w:rPr>
                <w:rFonts w:ascii="Arial" w:cs="Arial" w:eastAsia="Arial" w:hAnsi="Arial"/>
                <w:sz w:val="18"/>
                <w:szCs w:val="18"/>
                <w:color w:val="auto"/>
              </w:rPr>
              <w:t>July 24, 2015</w:t>
            </w:r>
          </w:p>
        </w:tc>
        <w:tc>
          <w:tcPr>
            <w:tcW w:w="2620" w:type="dxa"/>
            <w:vAlign w:val="bottom"/>
          </w:tcPr>
          <w:p>
            <w:pPr>
              <w:spacing w:after="0"/>
              <w:rPr>
                <w:sz w:val="20"/>
                <w:szCs w:val="20"/>
                <w:color w:val="auto"/>
              </w:rPr>
            </w:pPr>
            <w:r>
              <w:rPr>
                <w:rFonts w:ascii="Arial" w:cs="Arial" w:eastAsia="Arial" w:hAnsi="Arial"/>
                <w:sz w:val="18"/>
                <w:szCs w:val="18"/>
                <w:color w:val="auto"/>
              </w:rPr>
              <w:t>632,581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2</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October 14, 2015</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945,663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2</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w w:val="93"/>
              </w:rPr>
              <w:t>Shenwan Hongyuan Goldspring Fund I</w:t>
            </w:r>
          </w:p>
        </w:tc>
        <w:tc>
          <w:tcPr>
            <w:tcW w:w="2140" w:type="dxa"/>
            <w:vAlign w:val="bottom"/>
            <w:gridSpan w:val="3"/>
          </w:tcPr>
          <w:p>
            <w:pPr>
              <w:ind w:left="80"/>
              <w:spacing w:after="0"/>
              <w:rPr>
                <w:sz w:val="20"/>
                <w:szCs w:val="20"/>
                <w:color w:val="auto"/>
              </w:rPr>
            </w:pPr>
            <w:r>
              <w:rPr>
                <w:rFonts w:ascii="Arial" w:cs="Arial" w:eastAsia="Arial" w:hAnsi="Arial"/>
                <w:sz w:val="18"/>
                <w:szCs w:val="18"/>
                <w:color w:val="auto"/>
              </w:rPr>
              <w:t>December 28, 2016</w:t>
            </w:r>
          </w:p>
        </w:tc>
        <w:tc>
          <w:tcPr>
            <w:tcW w:w="2620" w:type="dxa"/>
            <w:vAlign w:val="bottom"/>
          </w:tcPr>
          <w:p>
            <w:pPr>
              <w:spacing w:after="0"/>
              <w:rPr>
                <w:sz w:val="20"/>
                <w:szCs w:val="20"/>
                <w:color w:val="auto"/>
              </w:rPr>
            </w:pPr>
            <w:r>
              <w:rPr>
                <w:rFonts w:ascii="Arial" w:cs="Arial" w:eastAsia="Arial" w:hAnsi="Arial"/>
                <w:sz w:val="18"/>
                <w:szCs w:val="18"/>
                <w:color w:val="auto"/>
                <w:w w:val="90"/>
              </w:rPr>
              <w:t>1,068,114 series E preferred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US$20.0 million</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ordinary shares were issued to Blue Tooth Corporation in recognition of Mr. Robert Tran’s consulting services to us.</w:t>
      </w:r>
    </w:p>
    <w:p>
      <w:pPr>
        <w:spacing w:after="0" w:line="2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ordinary shares were issued to Arda Holdings Limited to reserve for future grant and exercise of options under the 2010 Plan.</w:t>
      </w:r>
    </w:p>
    <w:p>
      <w:pPr>
        <w:spacing w:after="0" w:line="9" w:lineRule="exact"/>
        <w:rPr>
          <w:sz w:val="20"/>
          <w:szCs w:val="20"/>
          <w:color w:val="auto"/>
        </w:rPr>
      </w:pPr>
    </w:p>
    <w:p>
      <w:pPr>
        <w:ind w:left="460" w:right="1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ordinary shares were issued to Bondwa Enterprise Limited and Triwin Holdings Limited, then-shareholders of Buzzinate as share consideration for our acquisition of Buzzinate.</w:t>
      </w:r>
    </w:p>
    <w:p>
      <w:pPr>
        <w:spacing w:after="0" w:line="1" w:lineRule="exact"/>
        <w:rPr>
          <w:sz w:val="20"/>
          <w:szCs w:val="20"/>
          <w:color w:val="auto"/>
        </w:rPr>
      </w:pPr>
    </w:p>
    <w:p>
      <w:pPr>
        <w:ind w:left="460" w:right="4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ordinary shares were issued to Igomax Inc., Zaffre Investment, Inc., and BAI GmbH, then-shareholders of OptAim as share consideration for our acquisition of OptAim.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253" w:right="239" w:bottom="1440" w:gutter="0" w:footer="0" w:header="0"/>
        </w:sectPr>
      </w:pPr>
    </w:p>
    <w:bookmarkStart w:id="4" w:name="page5"/>
    <w:bookmarkEnd w:id="4"/>
    <w:p>
      <w:pPr>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 The following exhibits are included herein or incorporated herein by reference: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Arial" w:cs="Arial" w:eastAsia="Arial" w:hAnsi="Arial"/>
                <w:sz w:val="18"/>
                <w:szCs w:val="18"/>
                <w:color w:val="auto"/>
              </w:rPr>
              <w:t>1.1</w:t>
            </w:r>
          </w:p>
        </w:tc>
        <w:tc>
          <w:tcPr>
            <w:tcW w:w="10000" w:type="dxa"/>
            <w:vAlign w:val="bottom"/>
            <w:gridSpan w:val="30"/>
          </w:tcPr>
          <w:p>
            <w:pPr>
              <w:spacing w:after="0"/>
              <w:rPr>
                <w:sz w:val="20"/>
                <w:szCs w:val="20"/>
                <w:color w:val="auto"/>
              </w:rPr>
            </w:pPr>
            <w:r>
              <w:rPr>
                <w:rFonts w:ascii="Arial" w:cs="Arial" w:eastAsia="Arial" w:hAnsi="Arial"/>
                <w:sz w:val="18"/>
                <w:szCs w:val="18"/>
                <w:color w:val="0000EE"/>
              </w:rPr>
              <w:t>Form of Underwriting Agreement</w:t>
            </w:r>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3.1†</w:t>
            </w:r>
          </w:p>
        </w:tc>
        <w:tc>
          <w:tcPr>
            <w:tcW w:w="10000" w:type="dxa"/>
            <w:vAlign w:val="bottom"/>
            <w:gridSpan w:val="30"/>
          </w:tcPr>
          <w:p>
            <w:pPr>
              <w:spacing w:after="0"/>
              <w:rPr>
                <w:rFonts w:ascii="Arial" w:cs="Arial" w:eastAsia="Arial" w:hAnsi="Arial"/>
                <w:sz w:val="18"/>
                <w:szCs w:val="18"/>
                <w:color w:val="0000EE"/>
              </w:rPr>
            </w:pPr>
            <w:hyperlink r:id="rId29">
              <w:r>
                <w:rPr>
                  <w:rFonts w:ascii="Arial" w:cs="Arial" w:eastAsia="Arial" w:hAnsi="Arial"/>
                  <w:sz w:val="18"/>
                  <w:szCs w:val="18"/>
                  <w:color w:val="0000EE"/>
                </w:rPr>
                <w:t>Seventh Amended and Restated Memorandum and Articles of Association of the Registrant, as currently in effect</w:t>
              </w:r>
            </w:hyperlink>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10000" w:type="dxa"/>
            <w:vAlign w:val="bottom"/>
            <w:gridSpan w:val="30"/>
          </w:tcPr>
          <w:p>
            <w:pPr>
              <w:spacing w:after="0"/>
              <w:rPr>
                <w:rFonts w:ascii="Arial" w:cs="Arial" w:eastAsia="Arial" w:hAnsi="Arial"/>
                <w:sz w:val="18"/>
                <w:szCs w:val="18"/>
                <w:color w:val="0000EE"/>
                <w:w w:val="95"/>
              </w:rPr>
            </w:pPr>
            <w:hyperlink r:id="rId30">
              <w:r>
                <w:rPr>
                  <w:rFonts w:ascii="Arial" w:cs="Arial" w:eastAsia="Arial" w:hAnsi="Arial"/>
                  <w:sz w:val="18"/>
                  <w:szCs w:val="18"/>
                  <w:color w:val="0000EE"/>
                  <w:w w:val="95"/>
                </w:rPr>
                <w:t>Eighth Amended and Restated Memorandum and Articles of Association of the Registrant, effective upon completion of this offering</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4.1†</w:t>
            </w:r>
          </w:p>
        </w:tc>
        <w:tc>
          <w:tcPr>
            <w:tcW w:w="9600" w:type="dxa"/>
            <w:vAlign w:val="bottom"/>
            <w:tcBorders>
              <w:top w:val="single" w:sz="8" w:color="0000EE"/>
            </w:tcBorders>
            <w:gridSpan w:val="27"/>
          </w:tcPr>
          <w:p>
            <w:pPr>
              <w:spacing w:after="0"/>
              <w:rPr>
                <w:rFonts w:ascii="Arial" w:cs="Arial" w:eastAsia="Arial" w:hAnsi="Arial"/>
                <w:sz w:val="18"/>
                <w:szCs w:val="18"/>
                <w:color w:val="0000EE"/>
              </w:rPr>
            </w:pPr>
            <w:hyperlink r:id="rId31">
              <w:r>
                <w:rPr>
                  <w:rFonts w:ascii="Arial" w:cs="Arial" w:eastAsia="Arial" w:hAnsi="Arial"/>
                  <w:sz w:val="18"/>
                  <w:szCs w:val="18"/>
                  <w:color w:val="0000EE"/>
                </w:rPr>
                <w:t>Registrant’s Specimen American Depositary Receipt (included in Exhibit 4.3)</w:t>
              </w:r>
            </w:hyperlink>
          </w:p>
        </w:tc>
        <w:tc>
          <w:tcPr>
            <w:tcW w:w="400" w:type="dxa"/>
            <w:vAlign w:val="bottom"/>
            <w:gridSpan w:val="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45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Registrant’s Specimen Certificate for Class A Ordinary Shares</w:t>
              </w:r>
            </w:hyperlink>
          </w:p>
        </w:tc>
        <w:tc>
          <w:tcPr>
            <w:tcW w:w="1100" w:type="dxa"/>
            <w:vAlign w:val="bottom"/>
            <w:tcBorders>
              <w:top w:val="single" w:sz="8" w:color="0000EE"/>
            </w:tcBorders>
            <w:gridSpan w:val="5"/>
          </w:tcPr>
          <w:p>
            <w:pPr>
              <w:spacing w:after="0"/>
              <w:rPr>
                <w:sz w:val="24"/>
                <w:szCs w:val="24"/>
                <w:color w:val="auto"/>
              </w:rPr>
            </w:pPr>
          </w:p>
        </w:tc>
        <w:tc>
          <w:tcPr>
            <w:tcW w:w="4400" w:type="dxa"/>
            <w:vAlign w:val="bottom"/>
            <w:gridSpan w:val="1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4.3†</w:t>
            </w:r>
          </w:p>
        </w:tc>
        <w:tc>
          <w:tcPr>
            <w:tcW w:w="10000" w:type="dxa"/>
            <w:vAlign w:val="bottom"/>
            <w:gridSpan w:val="30"/>
          </w:tcPr>
          <w:p>
            <w:pPr>
              <w:spacing w:after="0"/>
              <w:rPr>
                <w:rFonts w:ascii="Arial" w:cs="Arial" w:eastAsia="Arial" w:hAnsi="Arial"/>
                <w:sz w:val="18"/>
                <w:szCs w:val="18"/>
                <w:color w:val="0000EE"/>
                <w:w w:val="99"/>
              </w:rPr>
            </w:pPr>
            <w:hyperlink r:id="rId31">
              <w:r>
                <w:rPr>
                  <w:rFonts w:ascii="Arial" w:cs="Arial" w:eastAsia="Arial" w:hAnsi="Arial"/>
                  <w:sz w:val="18"/>
                  <w:szCs w:val="18"/>
                  <w:color w:val="0000EE"/>
                  <w:w w:val="99"/>
                </w:rPr>
                <w:t>Form of Deposit Agreement among the Registrant, the Depositary and Beneficial Owners of the American Depositary Receipts</w:t>
              </w:r>
            </w:hyperlink>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5.1†</w:t>
            </w:r>
          </w:p>
        </w:tc>
        <w:tc>
          <w:tcPr>
            <w:tcW w:w="10000" w:type="dxa"/>
            <w:vAlign w:val="bottom"/>
            <w:gridSpan w:val="30"/>
          </w:tcPr>
          <w:p>
            <w:pPr>
              <w:spacing w:after="0"/>
              <w:rPr>
                <w:rFonts w:ascii="Arial" w:cs="Arial" w:eastAsia="Arial" w:hAnsi="Arial"/>
                <w:sz w:val="18"/>
                <w:szCs w:val="18"/>
                <w:color w:val="0000EE"/>
                <w:w w:val="92"/>
              </w:rPr>
            </w:pPr>
            <w:hyperlink r:id="rId33">
              <w:r>
                <w:rPr>
                  <w:rFonts w:ascii="Arial" w:cs="Arial" w:eastAsia="Arial" w:hAnsi="Arial"/>
                  <w:sz w:val="18"/>
                  <w:szCs w:val="18"/>
                  <w:color w:val="0000EE"/>
                  <w:w w:val="92"/>
                </w:rPr>
                <w:t>Opinion of Travers Thorp Alberga Attorneys at Law regarding the validity of the ordinary shares being registered and certain other legal</w:t>
              </w:r>
            </w:hyperlink>
          </w:p>
        </w:tc>
      </w:tr>
      <w:tr>
        <w:trPr>
          <w:trHeight w:val="196"/>
        </w:trPr>
        <w:tc>
          <w:tcPr>
            <w:tcW w:w="1160" w:type="dxa"/>
            <w:vAlign w:val="bottom"/>
          </w:tcPr>
          <w:p>
            <w:pPr>
              <w:spacing w:after="0"/>
              <w:rPr>
                <w:sz w:val="17"/>
                <w:szCs w:val="17"/>
                <w:color w:val="auto"/>
              </w:rPr>
            </w:pPr>
          </w:p>
        </w:tc>
        <w:tc>
          <w:tcPr>
            <w:tcW w:w="98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matters</w:t>
              </w:r>
            </w:hyperlink>
          </w:p>
        </w:tc>
        <w:tc>
          <w:tcPr>
            <w:tcW w:w="1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8.1†</w:t>
            </w:r>
          </w:p>
        </w:tc>
        <w:tc>
          <w:tcPr>
            <w:tcW w:w="8900" w:type="dxa"/>
            <w:vAlign w:val="bottom"/>
            <w:tcBorders>
              <w:bottom w:val="single" w:sz="8" w:color="0000EE"/>
            </w:tcBorders>
            <w:gridSpan w:val="24"/>
          </w:tcPr>
          <w:p>
            <w:pPr>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Opinion of Travers Thorp Alberga Attorneys at Law regarding certain Cayman Islands tax matters (included in Exhibit 5.1)</w:t>
              </w:r>
            </w:hyperlink>
          </w:p>
        </w:tc>
        <w:tc>
          <w:tcPr>
            <w:tcW w:w="1100" w:type="dxa"/>
            <w:vAlign w:val="bottom"/>
            <w:gridSpan w:val="6"/>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8.2†</w:t>
            </w:r>
          </w:p>
        </w:tc>
        <w:tc>
          <w:tcPr>
            <w:tcW w:w="6860" w:type="dxa"/>
            <w:vAlign w:val="bottom"/>
            <w:tcBorders>
              <w:bottom w:val="single" w:sz="8" w:color="0000EE"/>
            </w:tcBorders>
            <w:gridSpan w:val="20"/>
          </w:tcPr>
          <w:p>
            <w:pPr>
              <w:spacing w:after="0"/>
              <w:rPr>
                <w:rFonts w:ascii="Arial" w:cs="Arial" w:eastAsia="Arial" w:hAnsi="Arial"/>
                <w:sz w:val="18"/>
                <w:szCs w:val="18"/>
                <w:color w:val="0000EE"/>
                <w:w w:val="92"/>
              </w:rPr>
            </w:pPr>
            <w:hyperlink r:id="rId34">
              <w:r>
                <w:rPr>
                  <w:rFonts w:ascii="Arial" w:cs="Arial" w:eastAsia="Arial" w:hAnsi="Arial"/>
                  <w:sz w:val="18"/>
                  <w:szCs w:val="18"/>
                  <w:color w:val="0000EE"/>
                  <w:w w:val="92"/>
                </w:rPr>
                <w:t>Opinion of Jingtian &amp; Gongcheng regarding certain PRC tax matters (included in Exhibit 99.2)</w:t>
              </w:r>
            </w:hyperlink>
          </w:p>
        </w:tc>
        <w:tc>
          <w:tcPr>
            <w:tcW w:w="3140" w:type="dxa"/>
            <w:vAlign w:val="bottom"/>
            <w:gridSpan w:val="10"/>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10.1†</w:t>
            </w:r>
          </w:p>
        </w:tc>
        <w:tc>
          <w:tcPr>
            <w:tcW w:w="4740" w:type="dxa"/>
            <w:vAlign w:val="bottom"/>
            <w:tcBorders>
              <w:bottom w:val="single" w:sz="8" w:color="0000EE"/>
            </w:tcBorders>
            <w:gridSpan w:val="13"/>
          </w:tcPr>
          <w:p>
            <w:pPr>
              <w:spacing w:after="0"/>
              <w:rPr>
                <w:rFonts w:ascii="Arial" w:cs="Arial" w:eastAsia="Arial" w:hAnsi="Arial"/>
                <w:sz w:val="18"/>
                <w:szCs w:val="18"/>
                <w:color w:val="0000EE"/>
                <w:w w:val="88"/>
              </w:rPr>
            </w:pPr>
            <w:hyperlink r:id="rId35">
              <w:r>
                <w:rPr>
                  <w:rFonts w:ascii="Arial" w:cs="Arial" w:eastAsia="Arial" w:hAnsi="Arial"/>
                  <w:sz w:val="18"/>
                  <w:szCs w:val="18"/>
                  <w:color w:val="0000EE"/>
                  <w:w w:val="88"/>
                </w:rPr>
                <w:t>Series E Share Subscription Agreement dated December 19, 2016</w:t>
              </w:r>
            </w:hyperlink>
          </w:p>
        </w:tc>
        <w:tc>
          <w:tcPr>
            <w:tcW w:w="5260" w:type="dxa"/>
            <w:vAlign w:val="bottom"/>
            <w:gridSpan w:val="17"/>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w:t>
            </w:r>
          </w:p>
        </w:tc>
        <w:tc>
          <w:tcPr>
            <w:tcW w:w="5920" w:type="dxa"/>
            <w:vAlign w:val="bottom"/>
            <w:tcBorders>
              <w:bottom w:val="single" w:sz="8" w:color="0000EE"/>
            </w:tcBorders>
            <w:gridSpan w:val="18"/>
          </w:tcPr>
          <w:p>
            <w:pPr>
              <w:spacing w:after="0"/>
              <w:rPr>
                <w:rFonts w:ascii="Arial" w:cs="Arial" w:eastAsia="Arial" w:hAnsi="Arial"/>
                <w:sz w:val="18"/>
                <w:szCs w:val="18"/>
                <w:color w:val="0000EE"/>
                <w:w w:val="88"/>
              </w:rPr>
            </w:pPr>
            <w:hyperlink r:id="rId36">
              <w:r>
                <w:rPr>
                  <w:rFonts w:ascii="Arial" w:cs="Arial" w:eastAsia="Arial" w:hAnsi="Arial"/>
                  <w:sz w:val="18"/>
                  <w:szCs w:val="18"/>
                  <w:color w:val="0000EE"/>
                  <w:w w:val="88"/>
                </w:rPr>
                <w:t>Fourth Amended and Restated Shareholders Agreement dated December 28, 2016</w:t>
              </w:r>
            </w:hyperlink>
          </w:p>
        </w:tc>
        <w:tc>
          <w:tcPr>
            <w:tcW w:w="4080" w:type="dxa"/>
            <w:vAlign w:val="bottom"/>
            <w:gridSpan w:val="12"/>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10.3†</w:t>
            </w:r>
          </w:p>
        </w:tc>
        <w:tc>
          <w:tcPr>
            <w:tcW w:w="9720" w:type="dxa"/>
            <w:vAlign w:val="bottom"/>
            <w:tcBorders>
              <w:bottom w:val="single" w:sz="8" w:color="0000EE"/>
            </w:tcBorders>
            <w:gridSpan w:val="28"/>
          </w:tcPr>
          <w:p>
            <w:pPr>
              <w:spacing w:after="0"/>
              <w:rPr>
                <w:rFonts w:ascii="Arial" w:cs="Arial" w:eastAsia="Arial" w:hAnsi="Arial"/>
                <w:sz w:val="18"/>
                <w:szCs w:val="18"/>
                <w:color w:val="0000EE"/>
                <w:w w:val="92"/>
              </w:rPr>
            </w:pPr>
            <w:hyperlink r:id="rId37">
              <w:r>
                <w:rPr>
                  <w:rFonts w:ascii="Arial" w:cs="Arial" w:eastAsia="Arial" w:hAnsi="Arial"/>
                  <w:sz w:val="18"/>
                  <w:szCs w:val="18"/>
                  <w:color w:val="0000EE"/>
                  <w:w w:val="92"/>
                </w:rPr>
                <w:t>English translation of Exclusive Business Cooperation Agreement between OptAim Beijing, OptAim Network and Zhiyunzhong dated</w:t>
              </w:r>
            </w:hyperlink>
          </w:p>
        </w:tc>
        <w:tc>
          <w:tcPr>
            <w:tcW w:w="28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37">
              <w:r>
                <w:rPr>
                  <w:rFonts w:ascii="Arial" w:cs="Arial" w:eastAsia="Arial" w:hAnsi="Arial"/>
                  <w:sz w:val="18"/>
                  <w:szCs w:val="18"/>
                  <w:color w:val="0000EE"/>
                  <w:w w:val="90"/>
                </w:rPr>
                <w:t>January 16, 2015</w:t>
              </w:r>
            </w:hyperlink>
          </w:p>
        </w:tc>
        <w:tc>
          <w:tcPr>
            <w:tcW w:w="8720" w:type="dxa"/>
            <w:vAlign w:val="bottom"/>
            <w:gridSpan w:val="28"/>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10.4†</w:t>
            </w:r>
          </w:p>
        </w:tc>
        <w:tc>
          <w:tcPr>
            <w:tcW w:w="10000" w:type="dxa"/>
            <w:vAlign w:val="bottom"/>
            <w:tcBorders>
              <w:bottom w:val="single" w:sz="8" w:color="0000EE"/>
            </w:tcBorders>
            <w:gridSpan w:val="30"/>
          </w:tcPr>
          <w:p>
            <w:pPr>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English translation of Second Amended and Restated Exclusive Call Option Agreement among OptAim Beijing, OptAim Network and the</w:t>
              </w:r>
            </w:hyperlink>
          </w:p>
        </w:tc>
      </w:tr>
      <w:tr>
        <w:trPr>
          <w:trHeight w:val="196"/>
        </w:trPr>
        <w:tc>
          <w:tcPr>
            <w:tcW w:w="1160" w:type="dxa"/>
            <w:vAlign w:val="bottom"/>
          </w:tcPr>
          <w:p>
            <w:pPr>
              <w:spacing w:after="0"/>
              <w:rPr>
                <w:sz w:val="17"/>
                <w:szCs w:val="17"/>
                <w:color w:val="auto"/>
              </w:rPr>
            </w:pPr>
          </w:p>
        </w:tc>
        <w:tc>
          <w:tcPr>
            <w:tcW w:w="39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shareholders of OptAim Network dated May 26, 2017</w:t>
              </w:r>
            </w:hyperlink>
          </w:p>
        </w:tc>
        <w:tc>
          <w:tcPr>
            <w:tcW w:w="6080" w:type="dxa"/>
            <w:vAlign w:val="bottom"/>
            <w:gridSpan w:val="21"/>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10.5†</w:t>
            </w:r>
          </w:p>
        </w:tc>
        <w:tc>
          <w:tcPr>
            <w:tcW w:w="10000" w:type="dxa"/>
            <w:vAlign w:val="bottom"/>
            <w:gridSpan w:val="30"/>
          </w:tcPr>
          <w:p>
            <w:pPr>
              <w:spacing w:after="0"/>
              <w:rPr>
                <w:rFonts w:ascii="Arial" w:cs="Arial" w:eastAsia="Arial" w:hAnsi="Arial"/>
                <w:sz w:val="18"/>
                <w:szCs w:val="18"/>
                <w:color w:val="0000EE"/>
                <w:w w:val="97"/>
              </w:rPr>
            </w:pPr>
            <w:hyperlink r:id="rId39">
              <w:r>
                <w:rPr>
                  <w:rFonts w:ascii="Arial" w:cs="Arial" w:eastAsia="Arial" w:hAnsi="Arial"/>
                  <w:sz w:val="18"/>
                  <w:szCs w:val="18"/>
                  <w:color w:val="0000EE"/>
                  <w:w w:val="97"/>
                </w:rPr>
                <w:t>English translation of Second Amended and Restated Equity Pledge Agreement among OptAim Beijing, OptAim Network and the</w:t>
              </w:r>
            </w:hyperlink>
          </w:p>
        </w:tc>
      </w:tr>
      <w:tr>
        <w:trPr>
          <w:trHeight w:val="196"/>
        </w:trPr>
        <w:tc>
          <w:tcPr>
            <w:tcW w:w="116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shareholders of OptAim Network dated May 26, 2017</w:t>
              </w:r>
            </w:hyperlink>
          </w:p>
        </w:tc>
        <w:tc>
          <w:tcPr>
            <w:tcW w:w="5500" w:type="dxa"/>
            <w:vAlign w:val="bottom"/>
            <w:tcBorders>
              <w:top w:val="single" w:sz="8" w:color="0000EE"/>
            </w:tcBorders>
            <w:gridSpan w:val="18"/>
          </w:tcPr>
          <w:p>
            <w:pPr>
              <w:spacing w:after="0"/>
              <w:rPr>
                <w:sz w:val="17"/>
                <w:szCs w:val="17"/>
                <w:color w:val="auto"/>
              </w:rPr>
            </w:pPr>
          </w:p>
        </w:tc>
        <w:tc>
          <w:tcPr>
            <w:tcW w:w="600" w:type="dxa"/>
            <w:vAlign w:val="bottom"/>
            <w:gridSpan w:val="4"/>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10.6†</w:t>
            </w:r>
          </w:p>
        </w:tc>
        <w:tc>
          <w:tcPr>
            <w:tcW w:w="10000" w:type="dxa"/>
            <w:vAlign w:val="bottom"/>
            <w:gridSpan w:val="30"/>
          </w:tcPr>
          <w:p>
            <w:pPr>
              <w:spacing w:after="0"/>
              <w:rPr>
                <w:rFonts w:ascii="Arial" w:cs="Arial" w:eastAsia="Arial" w:hAnsi="Arial"/>
                <w:sz w:val="18"/>
                <w:szCs w:val="18"/>
                <w:color w:val="0000EE"/>
              </w:rPr>
            </w:pPr>
            <w:hyperlink r:id="rId40">
              <w:r>
                <w:rPr>
                  <w:rFonts w:ascii="Arial" w:cs="Arial" w:eastAsia="Arial" w:hAnsi="Arial"/>
                  <w:sz w:val="18"/>
                  <w:szCs w:val="18"/>
                  <w:color w:val="0000EE"/>
                </w:rPr>
                <w:t>English translation of Irrevocable Powers of Attorney granted by the Jian Tang and Jie Jiao dated May 26, 2017</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10.7†</w:t>
            </w:r>
          </w:p>
        </w:tc>
        <w:tc>
          <w:tcPr>
            <w:tcW w:w="59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English translation of Spousal Consents granted by Xinyu Fan dated May 26, 2017</w:t>
              </w:r>
            </w:hyperlink>
          </w:p>
        </w:tc>
        <w:tc>
          <w:tcPr>
            <w:tcW w:w="2060" w:type="dxa"/>
            <w:vAlign w:val="bottom"/>
            <w:tcBorders>
              <w:top w:val="single" w:sz="8" w:color="0000EE"/>
            </w:tcBorders>
            <w:gridSpan w:val="3"/>
          </w:tcPr>
          <w:p>
            <w:pPr>
              <w:spacing w:after="0"/>
              <w:rPr>
                <w:sz w:val="24"/>
                <w:szCs w:val="24"/>
                <w:color w:val="auto"/>
              </w:rPr>
            </w:pPr>
          </w:p>
        </w:tc>
        <w:tc>
          <w:tcPr>
            <w:tcW w:w="1960" w:type="dxa"/>
            <w:vAlign w:val="bottom"/>
            <w:gridSpan w:val="8"/>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10.8†</w:t>
            </w:r>
          </w:p>
        </w:tc>
        <w:tc>
          <w:tcPr>
            <w:tcW w:w="3940" w:type="dxa"/>
            <w:vAlign w:val="bottom"/>
            <w:tcBorders>
              <w:bottom w:val="single" w:sz="8" w:color="0000EE"/>
            </w:tcBorders>
            <w:gridSpan w:val="10"/>
          </w:tcPr>
          <w:p>
            <w:pPr>
              <w:spacing w:after="0"/>
              <w:rPr>
                <w:rFonts w:ascii="Arial" w:cs="Arial" w:eastAsia="Arial" w:hAnsi="Arial"/>
                <w:sz w:val="18"/>
                <w:szCs w:val="18"/>
                <w:color w:val="0000EE"/>
                <w:w w:val="89"/>
              </w:rPr>
            </w:pPr>
            <w:hyperlink r:id="rId42">
              <w:r>
                <w:rPr>
                  <w:rFonts w:ascii="Arial" w:cs="Arial" w:eastAsia="Arial" w:hAnsi="Arial"/>
                  <w:sz w:val="18"/>
                  <w:szCs w:val="18"/>
                  <w:color w:val="0000EE"/>
                  <w:w w:val="89"/>
                </w:rPr>
                <w:t>2010 Share Option Incentive Scheme of the Registrant</w:t>
              </w:r>
            </w:hyperlink>
          </w:p>
        </w:tc>
        <w:tc>
          <w:tcPr>
            <w:tcW w:w="6060" w:type="dxa"/>
            <w:vAlign w:val="bottom"/>
            <w:gridSpan w:val="20"/>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10.9†</w:t>
            </w:r>
          </w:p>
        </w:tc>
        <w:tc>
          <w:tcPr>
            <w:tcW w:w="10000" w:type="dxa"/>
            <w:vAlign w:val="bottom"/>
            <w:gridSpan w:val="30"/>
          </w:tcPr>
          <w:p>
            <w:pPr>
              <w:spacing w:after="0"/>
              <w:rPr>
                <w:rFonts w:ascii="Arial" w:cs="Arial" w:eastAsia="Arial" w:hAnsi="Arial"/>
                <w:sz w:val="18"/>
                <w:szCs w:val="18"/>
                <w:color w:val="0000EE"/>
              </w:rPr>
            </w:pPr>
            <w:hyperlink r:id="rId43">
              <w:r>
                <w:rPr>
                  <w:rFonts w:ascii="Arial" w:cs="Arial" w:eastAsia="Arial" w:hAnsi="Arial"/>
                  <w:sz w:val="18"/>
                  <w:szCs w:val="18"/>
                  <w:color w:val="0000EE"/>
                </w:rPr>
                <w:t>Form of Indemnification Agreement with Executive Officers and Directors</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10.10†</w:t>
            </w:r>
          </w:p>
        </w:tc>
        <w:tc>
          <w:tcPr>
            <w:tcW w:w="7180" w:type="dxa"/>
            <w:vAlign w:val="bottom"/>
            <w:tcBorders>
              <w:bottom w:val="single" w:sz="8" w:color="0000EE"/>
            </w:tcBorders>
            <w:gridSpan w:val="21"/>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Form of Employment Agreement and One Way Non-disclosure Agreement with Executive Officers</w:t>
              </w:r>
            </w:hyperlink>
          </w:p>
        </w:tc>
        <w:tc>
          <w:tcPr>
            <w:tcW w:w="2820" w:type="dxa"/>
            <w:vAlign w:val="bottom"/>
            <w:gridSpan w:val="9"/>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10.11†</w:t>
            </w:r>
          </w:p>
        </w:tc>
        <w:tc>
          <w:tcPr>
            <w:tcW w:w="1900" w:type="dxa"/>
            <w:vAlign w:val="bottom"/>
            <w:tcBorders>
              <w:bottom w:val="single" w:sz="8" w:color="0000EE"/>
            </w:tcBorders>
            <w:gridSpan w:val="4"/>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2017 Share Incentive Plan</w:t>
              </w:r>
            </w:hyperlink>
          </w:p>
        </w:tc>
        <w:tc>
          <w:tcPr>
            <w:tcW w:w="8100" w:type="dxa"/>
            <w:vAlign w:val="bottom"/>
            <w:gridSpan w:val="26"/>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10.12†</w:t>
            </w:r>
          </w:p>
        </w:tc>
        <w:tc>
          <w:tcPr>
            <w:tcW w:w="5220" w:type="dxa"/>
            <w:vAlign w:val="bottom"/>
            <w:tcBorders>
              <w:bottom w:val="single" w:sz="8" w:color="0000EE"/>
            </w:tcBorders>
            <w:gridSpan w:val="14"/>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English Translation of Tencent Advertising Agency Agreement for 2017</w:t>
              </w:r>
            </w:hyperlink>
          </w:p>
        </w:tc>
        <w:tc>
          <w:tcPr>
            <w:tcW w:w="4780" w:type="dxa"/>
            <w:vAlign w:val="bottom"/>
            <w:gridSpan w:val="16"/>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10.13†</w:t>
            </w:r>
          </w:p>
        </w:tc>
        <w:tc>
          <w:tcPr>
            <w:tcW w:w="10000" w:type="dxa"/>
            <w:vAlign w:val="bottom"/>
            <w:gridSpan w:val="30"/>
          </w:tcPr>
          <w:p>
            <w:pPr>
              <w:spacing w:after="0"/>
              <w:rPr>
                <w:rFonts w:ascii="Arial" w:cs="Arial" w:eastAsia="Arial" w:hAnsi="Arial"/>
                <w:sz w:val="18"/>
                <w:szCs w:val="18"/>
                <w:color w:val="0000EE"/>
              </w:rPr>
            </w:pPr>
            <w:hyperlink r:id="rId47">
              <w:r>
                <w:rPr>
                  <w:rFonts w:ascii="Arial" w:cs="Arial" w:eastAsia="Arial" w:hAnsi="Arial"/>
                  <w:sz w:val="18"/>
                  <w:szCs w:val="18"/>
                  <w:color w:val="0000EE"/>
                </w:rPr>
                <w:t>English Translation of Tencent Advertising Placement Contract for 2017</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21.1†</w:t>
            </w:r>
          </w:p>
        </w:tc>
        <w:tc>
          <w:tcPr>
            <w:tcW w:w="5220" w:type="dxa"/>
            <w:vAlign w:val="bottom"/>
            <w:tcBorders>
              <w:top w:val="single" w:sz="8" w:color="0000EE"/>
            </w:tcBorders>
            <w:gridSpan w:val="14"/>
          </w:tcPr>
          <w:p>
            <w:pPr>
              <w:spacing w:after="0"/>
              <w:rPr>
                <w:rFonts w:ascii="Arial" w:cs="Arial" w:eastAsia="Arial" w:hAnsi="Arial"/>
                <w:sz w:val="18"/>
                <w:szCs w:val="18"/>
                <w:color w:val="0000EE"/>
              </w:rPr>
            </w:pPr>
            <w:hyperlink r:id="rId48">
              <w:r>
                <w:rPr>
                  <w:rFonts w:ascii="Arial" w:cs="Arial" w:eastAsia="Arial" w:hAnsi="Arial"/>
                  <w:sz w:val="18"/>
                  <w:szCs w:val="18"/>
                  <w:color w:val="0000EE"/>
                </w:rPr>
                <w:t>List of Subsidiaries of the Registrant</w:t>
              </w:r>
            </w:hyperlink>
          </w:p>
        </w:tc>
        <w:tc>
          <w:tcPr>
            <w:tcW w:w="4780" w:type="dxa"/>
            <w:vAlign w:val="bottom"/>
            <w:gridSpan w:val="16"/>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23.1†</w:t>
            </w:r>
          </w:p>
        </w:tc>
        <w:tc>
          <w:tcPr>
            <w:tcW w:w="26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r:id="rId49">
              <w:r>
                <w:rPr>
                  <w:rFonts w:ascii="Arial" w:cs="Arial" w:eastAsia="Arial" w:hAnsi="Arial"/>
                  <w:sz w:val="18"/>
                  <w:szCs w:val="18"/>
                  <w:color w:val="0000EE"/>
                  <w:w w:val="88"/>
                </w:rPr>
                <w:t>Consent of PricewaterhouseCoopers</w:t>
              </w:r>
            </w:hyperlink>
          </w:p>
        </w:tc>
        <w:tc>
          <w:tcPr>
            <w:tcW w:w="20" w:type="dxa"/>
            <w:vAlign w:val="bottom"/>
            <w:tcBorders>
              <w:top w:val="single" w:sz="8" w:color="0000EE"/>
            </w:tcBorders>
          </w:tcPr>
          <w:p>
            <w:pPr>
              <w:spacing w:after="0"/>
              <w:rPr>
                <w:sz w:val="24"/>
                <w:szCs w:val="24"/>
                <w:color w:val="auto"/>
              </w:rPr>
            </w:pPr>
          </w:p>
        </w:tc>
        <w:tc>
          <w:tcPr>
            <w:tcW w:w="7360" w:type="dxa"/>
            <w:vAlign w:val="bottom"/>
            <w:gridSpan w:val="2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23.2†</w:t>
            </w:r>
          </w:p>
        </w:tc>
        <w:tc>
          <w:tcPr>
            <w:tcW w:w="10000" w:type="dxa"/>
            <w:vAlign w:val="bottom"/>
            <w:gridSpan w:val="30"/>
          </w:tcPr>
          <w:p>
            <w:pPr>
              <w:spacing w:after="0"/>
              <w:rPr>
                <w:rFonts w:ascii="Arial" w:cs="Arial" w:eastAsia="Arial" w:hAnsi="Arial"/>
                <w:sz w:val="18"/>
                <w:szCs w:val="18"/>
                <w:color w:val="0000EE"/>
              </w:rPr>
            </w:pPr>
            <w:hyperlink r:id="rId33">
              <w:r>
                <w:rPr>
                  <w:rFonts w:ascii="Arial" w:cs="Arial" w:eastAsia="Arial" w:hAnsi="Arial"/>
                  <w:sz w:val="18"/>
                  <w:szCs w:val="18"/>
                  <w:color w:val="0000EE"/>
                </w:rPr>
                <w:t>Consent of Travers Thorp Alberga Attorneys at Law (included in Exhibit 5.1)</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23.3†</w:t>
            </w:r>
          </w:p>
        </w:tc>
        <w:tc>
          <w:tcPr>
            <w:tcW w:w="5580" w:type="dxa"/>
            <w:vAlign w:val="bottom"/>
            <w:tcBorders>
              <w:top w:val="single" w:sz="8" w:color="0000EE"/>
            </w:tcBorders>
            <w:gridSpan w:val="16"/>
          </w:tcPr>
          <w:p>
            <w:pPr>
              <w:spacing w:after="0"/>
              <w:rPr>
                <w:rFonts w:ascii="Arial" w:cs="Arial" w:eastAsia="Arial" w:hAnsi="Arial"/>
                <w:sz w:val="18"/>
                <w:szCs w:val="18"/>
                <w:color w:val="0000EE"/>
              </w:rPr>
            </w:pPr>
            <w:hyperlink r:id="rId34">
              <w:r>
                <w:rPr>
                  <w:rFonts w:ascii="Arial" w:cs="Arial" w:eastAsia="Arial" w:hAnsi="Arial"/>
                  <w:sz w:val="18"/>
                  <w:szCs w:val="18"/>
                  <w:color w:val="0000EE"/>
                </w:rPr>
                <w:t>Consent of Jingtian &amp; Gongcheng (included in Exhibit 99.2)</w:t>
              </w:r>
            </w:hyperlink>
          </w:p>
        </w:tc>
        <w:tc>
          <w:tcPr>
            <w:tcW w:w="4420" w:type="dxa"/>
            <w:vAlign w:val="bottom"/>
            <w:gridSpan w:val="14"/>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23.4†</w:t>
            </w:r>
          </w:p>
        </w:tc>
        <w:tc>
          <w:tcPr>
            <w:tcW w:w="4360" w:type="dxa"/>
            <w:vAlign w:val="bottom"/>
            <w:tcBorders>
              <w:top w:val="single" w:sz="8" w:color="0000EE"/>
            </w:tcBorders>
            <w:gridSpan w:val="11"/>
          </w:tcPr>
          <w:p>
            <w:pPr>
              <w:spacing w:after="0"/>
              <w:rPr>
                <w:rFonts w:ascii="Arial" w:cs="Arial" w:eastAsia="Arial" w:hAnsi="Arial"/>
                <w:sz w:val="18"/>
                <w:szCs w:val="18"/>
                <w:color w:val="0000EE"/>
              </w:rPr>
            </w:pPr>
            <w:hyperlink r:id="rId50">
              <w:r>
                <w:rPr>
                  <w:rFonts w:ascii="Arial" w:cs="Arial" w:eastAsia="Arial" w:hAnsi="Arial"/>
                  <w:sz w:val="18"/>
                  <w:szCs w:val="18"/>
                  <w:color w:val="0000EE"/>
                </w:rPr>
                <w:t>Consent of Scott Moore</w:t>
              </w:r>
            </w:hyperlink>
          </w:p>
        </w:tc>
        <w:tc>
          <w:tcPr>
            <w:tcW w:w="5640" w:type="dxa"/>
            <w:vAlign w:val="bottom"/>
            <w:gridSpan w:val="19"/>
          </w:tcPr>
          <w:p>
            <w:pPr>
              <w:spacing w:after="0"/>
              <w:rPr>
                <w:sz w:val="24"/>
                <w:szCs w:val="24"/>
                <w:color w:val="auto"/>
              </w:rPr>
            </w:pPr>
          </w:p>
        </w:tc>
      </w:tr>
      <w:tr>
        <w:trPr>
          <w:trHeight w:val="385"/>
        </w:trPr>
        <w:tc>
          <w:tcPr>
            <w:tcW w:w="11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gridSpan w:val="19"/>
          </w:tcPr>
          <w:p>
            <w:pPr>
              <w:ind w:left="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60"/>
          </w:cols>
          <w:pgMar w:left="240" w:top="270" w:right="4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23.5†</w:t>
            </w:r>
          </w:p>
        </w:tc>
        <w:tc>
          <w:tcPr>
            <w:tcW w:w="6260" w:type="dxa"/>
            <w:vAlign w:val="bottom"/>
            <w:gridSpan w:val="6"/>
          </w:tcPr>
          <w:p>
            <w:pPr>
              <w:spacing w:after="0"/>
              <w:rPr>
                <w:rFonts w:ascii="Arial" w:cs="Arial" w:eastAsia="Arial" w:hAnsi="Arial"/>
                <w:sz w:val="18"/>
                <w:szCs w:val="18"/>
                <w:color w:val="0000EE"/>
              </w:rPr>
            </w:pPr>
            <w:hyperlink r:id="rId52">
              <w:r>
                <w:rPr>
                  <w:rFonts w:ascii="Arial" w:cs="Arial" w:eastAsia="Arial" w:hAnsi="Arial"/>
                  <w:sz w:val="18"/>
                  <w:szCs w:val="18"/>
                  <w:color w:val="0000EE"/>
                </w:rPr>
                <w:t>Consent of Dylan Huang</w:t>
              </w:r>
            </w:hyperlink>
          </w:p>
        </w:tc>
      </w:tr>
      <w:tr>
        <w:trPr>
          <w:trHeight w:val="20"/>
        </w:trPr>
        <w:tc>
          <w:tcPr>
            <w:tcW w:w="10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23.6†</w:t>
            </w:r>
          </w:p>
        </w:tc>
        <w:tc>
          <w:tcPr>
            <w:tcW w:w="6260" w:type="dxa"/>
            <w:vAlign w:val="bottom"/>
            <w:gridSpan w:val="6"/>
          </w:tcPr>
          <w:p>
            <w:pPr>
              <w:spacing w:after="0"/>
              <w:rPr>
                <w:rFonts w:ascii="Arial" w:cs="Arial" w:eastAsia="Arial" w:hAnsi="Arial"/>
                <w:sz w:val="18"/>
                <w:szCs w:val="18"/>
                <w:color w:val="0000EE"/>
              </w:rPr>
            </w:pPr>
            <w:hyperlink r:id="rId53">
              <w:r>
                <w:rPr>
                  <w:rFonts w:ascii="Arial" w:cs="Arial" w:eastAsia="Arial" w:hAnsi="Arial"/>
                  <w:sz w:val="18"/>
                  <w:szCs w:val="18"/>
                  <w:color w:val="0000EE"/>
                </w:rPr>
                <w:t>Consent of Honnus Cheung</w:t>
              </w:r>
            </w:hyperlink>
          </w:p>
        </w:tc>
      </w:tr>
      <w:tr>
        <w:trPr>
          <w:trHeight w:val="20"/>
        </w:trPr>
        <w:tc>
          <w:tcPr>
            <w:tcW w:w="104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6260" w:type="dxa"/>
            <w:vAlign w:val="bottom"/>
            <w:tcBorders>
              <w:bottom w:val="single" w:sz="8" w:color="0000EE"/>
            </w:tcBorders>
            <w:gridSpan w:val="6"/>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Powers of Attorney (included on signature page in Part II of the registration statement)</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6260" w:type="dxa"/>
            <w:vAlign w:val="bottom"/>
            <w:gridSpan w:val="6"/>
          </w:tcPr>
          <w:p>
            <w:pPr>
              <w:spacing w:after="0"/>
              <w:rPr>
                <w:rFonts w:ascii="Arial" w:cs="Arial" w:eastAsia="Arial" w:hAnsi="Arial"/>
                <w:sz w:val="18"/>
                <w:szCs w:val="18"/>
                <w:color w:val="0000EE"/>
              </w:rPr>
            </w:pPr>
            <w:hyperlink r:id="rId55">
              <w:r>
                <w:rPr>
                  <w:rFonts w:ascii="Arial" w:cs="Arial" w:eastAsia="Arial" w:hAnsi="Arial"/>
                  <w:sz w:val="18"/>
                  <w:szCs w:val="18"/>
                  <w:color w:val="0000EE"/>
                </w:rPr>
                <w:t>Code of Business Conduct and Ethics of the Registrant</w:t>
              </w:r>
            </w:hyperlink>
          </w:p>
        </w:tc>
      </w:tr>
      <w:tr>
        <w:trPr>
          <w:trHeight w:val="20"/>
        </w:trPr>
        <w:tc>
          <w:tcPr>
            <w:tcW w:w="104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6260" w:type="dxa"/>
            <w:vAlign w:val="bottom"/>
            <w:gridSpan w:val="6"/>
          </w:tcPr>
          <w:p>
            <w:pPr>
              <w:spacing w:after="0"/>
              <w:rPr>
                <w:rFonts w:ascii="Arial" w:cs="Arial" w:eastAsia="Arial" w:hAnsi="Arial"/>
                <w:sz w:val="18"/>
                <w:szCs w:val="18"/>
                <w:color w:val="0000EE"/>
              </w:rPr>
            </w:pPr>
            <w:hyperlink r:id="rId34">
              <w:r>
                <w:rPr>
                  <w:rFonts w:ascii="Arial" w:cs="Arial" w:eastAsia="Arial" w:hAnsi="Arial"/>
                  <w:sz w:val="18"/>
                  <w:szCs w:val="18"/>
                  <w:color w:val="0000EE"/>
                </w:rPr>
                <w:t>Opinion of Jingtian &amp; Gongcheng regarding certain PRC law matters</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99.3†</w:t>
            </w:r>
          </w:p>
        </w:tc>
        <w:tc>
          <w:tcPr>
            <w:tcW w:w="20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r:id="rId56">
              <w:r>
                <w:rPr>
                  <w:rFonts w:ascii="Arial" w:cs="Arial" w:eastAsia="Arial" w:hAnsi="Arial"/>
                  <w:sz w:val="18"/>
                  <w:szCs w:val="18"/>
                  <w:color w:val="0000EE"/>
                  <w:w w:val="92"/>
                </w:rPr>
                <w:t>Consent of Frost &amp; Sullivan</w:t>
              </w:r>
            </w:hyperlink>
          </w:p>
        </w:tc>
        <w:tc>
          <w:tcPr>
            <w:tcW w:w="2960" w:type="dxa"/>
            <w:vAlign w:val="bottom"/>
            <w:tcBorders>
              <w:top w:val="single" w:sz="8" w:color="0000EE"/>
            </w:tcBorders>
            <w:gridSpan w:val="2"/>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78"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shown in the Consolidated Financial Statements and the Notes thereto.</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UNDERTAKINGS.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365" w:right="239" w:bottom="1440" w:gutter="0" w:footer="0" w:header="0"/>
        </w:sectPr>
      </w:pPr>
    </w:p>
    <w:bookmarkStart w:id="6" w:name="page7"/>
    <w:bookmarkEnd w:id="6"/>
    <w:p>
      <w:pPr>
        <w:ind w:left="-260" w:firstLine="464"/>
        <w:spacing w:after="0" w:line="264" w:lineRule="auto"/>
        <w:tabs>
          <w:tab w:leader="none" w:pos="451"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00"/>
          </w:cols>
          <w:pgMar w:left="500" w:top="274"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Hong Kong, on December 19,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05"/>
        </w:trPr>
        <w:tc>
          <w:tcPr>
            <w:tcW w:w="68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1"/>
              </w:rPr>
              <w:t>Wing Hong Sammy Hsieh</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 Chairman of the</w:t>
            </w:r>
          </w:p>
        </w:tc>
      </w:tr>
      <w:tr>
        <w:trPr>
          <w:trHeight w:val="234"/>
        </w:trPr>
        <w:tc>
          <w:tcPr>
            <w:tcW w:w="6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270" w:right="239" w:bottom="1440" w:gutter="0" w:footer="0" w:header="0"/>
        </w:sectPr>
      </w:pPr>
    </w:p>
    <w:bookmarkStart w:id="8" w:name="page9"/>
    <w:bookmarkEnd w:id="8"/>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274" w:right="2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2"/>
              </w:rPr>
              <w:t>/s/ Wing Hong Sammy Hsieh</w:t>
            </w: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Executive Chairman of</w:t>
            </w:r>
          </w:p>
        </w:tc>
      </w:tr>
      <w:tr>
        <w:trPr>
          <w:trHeight w:val="182"/>
        </w:trPr>
        <w:tc>
          <w:tcPr>
            <w:tcW w:w="520" w:type="dxa"/>
            <w:vAlign w:val="bottom"/>
          </w:tcPr>
          <w:p>
            <w:pPr>
              <w:spacing w:after="0"/>
              <w:rPr>
                <w:sz w:val="15"/>
                <w:szCs w:val="15"/>
                <w:color w:val="auto"/>
              </w:rPr>
            </w:pPr>
          </w:p>
        </w:tc>
        <w:tc>
          <w:tcPr>
            <w:tcW w:w="4560" w:type="dxa"/>
            <w:vAlign w:val="bottom"/>
            <w:gridSpan w:val="2"/>
          </w:tcPr>
          <w:p>
            <w:pPr>
              <w:jc w:val="center"/>
              <w:ind w:right="520"/>
              <w:spacing w:after="0" w:line="182" w:lineRule="exact"/>
              <w:rPr>
                <w:sz w:val="20"/>
                <w:szCs w:val="20"/>
                <w:color w:val="auto"/>
              </w:rPr>
            </w:pPr>
            <w:r>
              <w:rPr>
                <w:rFonts w:ascii="Arial" w:cs="Arial" w:eastAsia="Arial" w:hAnsi="Arial"/>
                <w:sz w:val="18"/>
                <w:szCs w:val="18"/>
                <w:color w:val="auto"/>
                <w:w w:val="91"/>
              </w:rPr>
              <w:t>Wing Hong Sammy Hsieh</w:t>
            </w:r>
          </w:p>
        </w:tc>
        <w:tc>
          <w:tcPr>
            <w:tcW w:w="100" w:type="dxa"/>
            <w:vAlign w:val="bottom"/>
          </w:tcPr>
          <w:p>
            <w:pPr>
              <w:spacing w:after="0"/>
              <w:rPr>
                <w:sz w:val="15"/>
                <w:szCs w:val="15"/>
                <w:color w:val="auto"/>
              </w:rPr>
            </w:pPr>
          </w:p>
        </w:tc>
        <w:tc>
          <w:tcPr>
            <w:tcW w:w="3940" w:type="dxa"/>
            <w:vAlign w:val="bottom"/>
          </w:tcPr>
          <w:p>
            <w:pPr>
              <w:jc w:val="center"/>
              <w:spacing w:after="0" w:line="182" w:lineRule="exact"/>
              <w:rPr>
                <w:sz w:val="20"/>
                <w:szCs w:val="20"/>
                <w:color w:val="auto"/>
              </w:rPr>
            </w:pPr>
            <w:r>
              <w:rPr>
                <w:rFonts w:ascii="Arial" w:cs="Arial" w:eastAsia="Arial" w:hAnsi="Arial"/>
                <w:sz w:val="18"/>
                <w:szCs w:val="18"/>
                <w:color w:val="auto"/>
                <w:w w:val="89"/>
              </w:rPr>
              <w:t>the Board</w:t>
            </w:r>
          </w:p>
        </w:tc>
      </w:tr>
      <w:tr>
        <w:trPr>
          <w:trHeight w:val="230"/>
        </w:trPr>
        <w:tc>
          <w:tcPr>
            <w:tcW w:w="5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38"/>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/s/ Jie Jiao</w:t>
            </w: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Jie Jiao</w:t>
            </w:r>
          </w:p>
        </w:tc>
        <w:tc>
          <w:tcPr>
            <w:tcW w:w="10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Jian Tang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Yau Ping Ricky 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Yu Long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Antares Au</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58"/>
        </w:trPr>
        <w:tc>
          <w:tcPr>
            <w:tcW w:w="5080" w:type="dxa"/>
            <w:vAlign w:val="bottom"/>
            <w:gridSpan w:val="3"/>
          </w:tcPr>
          <w:p>
            <w:pPr>
              <w:spacing w:after="0"/>
              <w:rPr>
                <w:sz w:val="20"/>
                <w:szCs w:val="20"/>
                <w:color w:val="auto"/>
              </w:rPr>
            </w:pPr>
            <w:r>
              <w:rPr>
                <w:rFonts w:ascii="Arial" w:cs="Arial" w:eastAsia="Arial" w:hAnsi="Arial"/>
                <w:sz w:val="18"/>
                <w:szCs w:val="18"/>
                <w:color w:val="auto"/>
              </w:rPr>
              <w:t>*By:  /s/ Wing Hong Sammy Hsieh</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Wing Hong Sammy Hsieh</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ind w:left="400"/>
              <w:spacing w:after="0"/>
              <w:rPr>
                <w:sz w:val="20"/>
                <w:szCs w:val="20"/>
                <w:color w:val="auto"/>
              </w:rPr>
            </w:pPr>
            <w:r>
              <w:rPr>
                <w:rFonts w:ascii="Arial" w:cs="Arial" w:eastAsia="Arial" w:hAnsi="Arial"/>
                <w:sz w:val="18"/>
                <w:szCs w:val="18"/>
                <w:color w:val="auto"/>
              </w:rPr>
              <w:t>II-7</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15240</wp:posOffset>
            </wp:positionV>
            <wp:extent cx="13290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December 19, 2017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19,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19,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19,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19,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19, 2017</w:t>
      </w:r>
    </w:p>
    <w:p>
      <w:pPr>
        <w:sectPr>
          <w:pgSz w:w="11900" w:h="16838" w:orient="portrait"/>
          <w:cols w:equalWidth="0" w:num="2">
            <w:col w:w="9280" w:space="720"/>
            <w:col w:w="1420"/>
          </w:cols>
          <w:pgMar w:left="240" w:top="274" w:right="239" w:bottom="1440" w:gutter="0" w:footer="0" w:header="0"/>
          <w:type w:val="continuous"/>
        </w:sectPr>
      </w:pPr>
    </w:p>
    <w:bookmarkStart w:id="9" w:name="page10"/>
    <w:bookmarkEnd w:id="9"/>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OF AUTHORIZED REPRESENTATIVE IN THE UNITED STATES</w:t>
      </w:r>
    </w:p>
    <w:p>
      <w:pPr>
        <w:spacing w:after="0" w:line="2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iClick Interactive Asia Group Limited, has signed this registration statement or amendment thereto in New York on December 19,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U.S. Representative</w:t>
      </w:r>
    </w:p>
    <w:p>
      <w:pPr>
        <w:spacing w:after="0" w:line="270"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Diana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Diana Arias, on behalf of Law Debenture Corporate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Services Inc.</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Manager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00"/>
          </w:cols>
          <w:pgMar w:left="240" w:top="270" w:right="4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[1,850,000] CLASS A ORDINARY SHARES</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CLASS A ORDINARY SHARES, PAR VALUE US$0.001 PER SHARE</w:t>
      </w:r>
    </w:p>
    <w:p>
      <w:pPr>
        <w:spacing w:after="0" w:line="3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 THE FORM OF AMERICAN DEPOSITARY SHARES</w:t>
      </w:r>
    </w:p>
    <w:p>
      <w:pPr>
        <w:spacing w:after="0" w:line="20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UNDERWRITING AGREEMENT</w:t>
      </w:r>
    </w:p>
    <w:p>
      <w:pPr>
        <w:sectPr>
          <w:pgSz w:w="11900" w:h="16838" w:orient="portrait"/>
          <w:cols w:equalWidth="0" w:num="1">
            <w:col w:w="10220"/>
          </w:cols>
          <w:pgMar w:left="14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888 San Clemente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400, Newport Beach,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92660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 named in Schedule I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iClick Interactive Asia Group Limited, an exempted company incorporated with limited liability under the laws of the Cayman Islands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 in Schedule I hereto (the “</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[1,875,000] Class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par value US$0.001 per share, of the Company (the “</w:t>
      </w:r>
      <w:r>
        <w:rPr>
          <w:rFonts w:ascii="Arial" w:cs="Arial" w:eastAsia="Arial" w:hAnsi="Arial"/>
          <w:sz w:val="17"/>
          <w:szCs w:val="17"/>
          <w:b w:val="1"/>
          <w:bCs w:val="1"/>
          <w:color w:val="auto"/>
        </w:rPr>
        <w:t>Firm Shares</w:t>
      </w:r>
      <w:r>
        <w:rPr>
          <w:rFonts w:ascii="Arial" w:cs="Arial" w:eastAsia="Arial" w:hAnsi="Arial"/>
          <w:sz w:val="17"/>
          <w:szCs w:val="17"/>
          <w:color w:val="auto"/>
        </w:rPr>
        <w:t>”) in the form of [3,750,000] American Depositary Shares (as defined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also proposes to issue and sell to the several Underwriters not more than an additional [281,250] Class A ordinary shares, par value US$0.001 per share, of the Company (the “</w:t>
      </w:r>
      <w:r>
        <w:rPr>
          <w:rFonts w:ascii="Arial" w:cs="Arial" w:eastAsia="Arial" w:hAnsi="Arial"/>
          <w:sz w:val="18"/>
          <w:szCs w:val="18"/>
          <w:b w:val="1"/>
          <w:bCs w:val="1"/>
          <w:color w:val="auto"/>
        </w:rPr>
        <w:t>Additional Shares</w:t>
      </w:r>
      <w:r>
        <w:rPr>
          <w:rFonts w:ascii="Arial" w:cs="Arial" w:eastAsia="Arial" w:hAnsi="Arial"/>
          <w:sz w:val="18"/>
          <w:szCs w:val="18"/>
          <w:color w:val="auto"/>
        </w:rPr>
        <w:t>”) in the form of [562,500] American Depositary Shares, if and to the extent that Roth Capital Partners, LLC, as representative of the Underwriters (the “</w:t>
      </w:r>
      <w:r>
        <w:rPr>
          <w:rFonts w:ascii="Arial" w:cs="Arial" w:eastAsia="Arial" w:hAnsi="Arial"/>
          <w:sz w:val="18"/>
          <w:szCs w:val="18"/>
          <w:b w:val="1"/>
          <w:bCs w:val="1"/>
          <w:color w:val="auto"/>
        </w:rPr>
        <w:t>Representative</w:t>
      </w:r>
      <w:r>
        <w:rPr>
          <w:rFonts w:ascii="Arial" w:cs="Arial" w:eastAsia="Arial" w:hAnsi="Arial"/>
          <w:sz w:val="18"/>
          <w:szCs w:val="18"/>
          <w:color w:val="auto"/>
        </w:rPr>
        <w:t>”), exercises, on behalf of the Underwriters, the right to purchase such Additional Shares granted to the Underwriters in Section 2 hereof. The Firm Shares and the Additional Shares are hereinafter collectively referred to as the “</w:t>
      </w:r>
      <w:r>
        <w:rPr>
          <w:rFonts w:ascii="Arial" w:cs="Arial" w:eastAsia="Arial" w:hAnsi="Arial"/>
          <w:sz w:val="18"/>
          <w:szCs w:val="18"/>
          <w:b w:val="1"/>
          <w:bCs w:val="1"/>
          <w:color w:val="auto"/>
        </w:rPr>
        <w:t>Shares</w:t>
      </w:r>
      <w:r>
        <w:rPr>
          <w:rFonts w:ascii="Arial" w:cs="Arial" w:eastAsia="Arial" w:hAnsi="Arial"/>
          <w:sz w:val="18"/>
          <w:szCs w:val="18"/>
          <w:color w:val="auto"/>
        </w:rPr>
        <w:t>.” The Class A ordinary shares, par value US$0.001 per share, of the Company to be outstanding after giving effect to the sales contemplated hereby are hereinafter referred to as the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189"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color w:val="auto"/>
        </w:rPr>
        <w:t>The Underwriters will take delivery of the Shares in the form of American Depositary Shares (the “</w:t>
      </w:r>
      <w:r>
        <w:rPr>
          <w:rFonts w:ascii="Arial" w:cs="Arial" w:eastAsia="Arial" w:hAnsi="Arial"/>
          <w:sz w:val="18"/>
          <w:szCs w:val="18"/>
          <w:b w:val="1"/>
          <w:bCs w:val="1"/>
          <w:color w:val="auto"/>
        </w:rPr>
        <w:t>American Depositary Shares</w:t>
      </w:r>
      <w:r>
        <w:rPr>
          <w:rFonts w:ascii="Arial" w:cs="Arial" w:eastAsia="Arial" w:hAnsi="Arial"/>
          <w:sz w:val="18"/>
          <w:szCs w:val="18"/>
          <w:color w:val="auto"/>
        </w:rPr>
        <w:t>” or “</w:t>
      </w:r>
      <w:r>
        <w:rPr>
          <w:rFonts w:ascii="Arial" w:cs="Arial" w:eastAsia="Arial" w:hAnsi="Arial"/>
          <w:sz w:val="18"/>
          <w:szCs w:val="18"/>
          <w:b w:val="1"/>
          <w:bCs w:val="1"/>
          <w:color w:val="auto"/>
        </w:rPr>
        <w:t>ADSs</w:t>
      </w:r>
      <w:r>
        <w:rPr>
          <w:rFonts w:ascii="Arial" w:cs="Arial" w:eastAsia="Arial" w:hAnsi="Arial"/>
          <w:sz w:val="18"/>
          <w:szCs w:val="18"/>
          <w:color w:val="auto"/>
        </w:rPr>
        <w:t>”). The American Depositary Shares are to be issued pursuant to a Deposit Agreement dated as of [●], 2017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the Company, JPMorgan Chase Bank, N.A., as Depositary (the “</w:t>
      </w:r>
      <w:r>
        <w:rPr>
          <w:rFonts w:ascii="Arial" w:cs="Arial" w:eastAsia="Arial" w:hAnsi="Arial"/>
          <w:sz w:val="18"/>
          <w:szCs w:val="18"/>
          <w:b w:val="1"/>
          <w:bCs w:val="1"/>
          <w:color w:val="auto"/>
        </w:rPr>
        <w:t>Depositary</w:t>
      </w:r>
      <w:r>
        <w:rPr>
          <w:rFonts w:ascii="Arial" w:cs="Arial" w:eastAsia="Arial" w:hAnsi="Arial"/>
          <w:sz w:val="18"/>
          <w:szCs w:val="18"/>
          <w:color w:val="auto"/>
        </w:rPr>
        <w:t>”), and the owners and holders from time to time of the American Depositary Shares issued under the Deposit Agreement. Each American Depositary Share will initially represent the right to receive [●] Ordinary Shares deposited pursuant to the Deposit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2" w:name="page13"/>
    <w:bookmarkEnd w:id="12"/>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filed with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Shares and a registration statement relating to the American Depositary Shares. The registration statement relating to the Shares, as amended at the time it becomes effective, including the information (if any) deemed to be part of the registration statement at the time of effectiveness pursuant to</w:t>
      </w:r>
    </w:p>
    <w:p>
      <w:pPr>
        <w:spacing w:after="0" w:line="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Rule 430A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information included in such prospectus that was omitted from such registration statement at the time it became effective but that is retroactively deemed to be part of such registration statement at the time it became effective pursuant to paragraph (b) of Rule 430A is referred to as “</w:t>
      </w:r>
      <w:r>
        <w:rPr>
          <w:rFonts w:ascii="Arial" w:cs="Arial" w:eastAsia="Arial" w:hAnsi="Arial"/>
          <w:sz w:val="17"/>
          <w:szCs w:val="17"/>
          <w:b w:val="1"/>
          <w:bCs w:val="1"/>
          <w:color w:val="auto"/>
        </w:rPr>
        <w:t>Rule 430A Information</w:t>
      </w:r>
      <w:r>
        <w:rPr>
          <w:rFonts w:ascii="Arial" w:cs="Arial" w:eastAsia="Arial" w:hAnsi="Arial"/>
          <w:sz w:val="17"/>
          <w:szCs w:val="17"/>
          <w:color w:val="auto"/>
        </w:rPr>
        <w:t>;” each prospectus used before such registration statement became effective, and any prospectus that omitted the Rule 430A Information, that was used after such effectiveness and prior to the execution and delivery of this Agreement, is herein called a “</w:t>
      </w:r>
      <w:r>
        <w:rPr>
          <w:rFonts w:ascii="Arial" w:cs="Arial" w:eastAsia="Arial" w:hAnsi="Arial"/>
          <w:sz w:val="17"/>
          <w:szCs w:val="17"/>
          <w:b w:val="1"/>
          <w:bCs w:val="1"/>
          <w:color w:val="auto"/>
        </w:rPr>
        <w:t>preliminary prospectus</w:t>
      </w:r>
      <w:r>
        <w:rPr>
          <w:rFonts w:ascii="Arial" w:cs="Arial" w:eastAsia="Arial" w:hAnsi="Arial"/>
          <w:sz w:val="17"/>
          <w:szCs w:val="17"/>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The registration statement relating to the American Depositary Shares, as amended at the time it becomes effective, is hereinafter referred to as the “</w:t>
      </w:r>
      <w:r>
        <w:rPr>
          <w:rFonts w:ascii="Arial" w:cs="Arial" w:eastAsia="Arial" w:hAnsi="Arial"/>
          <w:sz w:val="17"/>
          <w:szCs w:val="17"/>
          <w:b w:val="1"/>
          <w:bCs w:val="1"/>
          <w:color w:val="auto"/>
        </w:rPr>
        <w:t>ADS Registration Statement</w:t>
      </w:r>
      <w:r>
        <w:rPr>
          <w:rFonts w:ascii="Arial" w:cs="Arial" w:eastAsia="Arial" w:hAnsi="Arial"/>
          <w:sz w:val="17"/>
          <w:szCs w:val="17"/>
          <w:color w:val="auto"/>
        </w:rPr>
        <w:t>.” If the Company has filed abbreviated registration statements to register additional Ordinary Shares or American Depositary Shares pursuant to Rule 462(b) under the Securities Act (the “</w:t>
      </w:r>
      <w:r>
        <w:rPr>
          <w:rFonts w:ascii="Arial" w:cs="Arial" w:eastAsia="Arial" w:hAnsi="Arial"/>
          <w:sz w:val="17"/>
          <w:szCs w:val="17"/>
          <w:b w:val="1"/>
          <w:bCs w:val="1"/>
          <w:color w:val="auto"/>
        </w:rPr>
        <w:t>Rule 462 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 then any reference herein to the terms “Registration Statement” and “ADS Registration Statement” shall be deemed to include the</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Rule 462 Registration Statement. The Company has filed, in accordance with Section 12 of the U.S.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 registration statement on Form 8-A to register the Shares and the American Depositary Shares (the “</w:t>
      </w:r>
      <w:r>
        <w:rPr>
          <w:rFonts w:ascii="Arial" w:cs="Arial" w:eastAsia="Arial" w:hAnsi="Arial"/>
          <w:sz w:val="17"/>
          <w:szCs w:val="17"/>
          <w:b w:val="1"/>
          <w:bCs w:val="1"/>
          <w:color w:val="auto"/>
        </w:rPr>
        <w:t>Form 8-A</w:t>
      </w:r>
      <w:r>
        <w:rPr>
          <w:rFonts w:ascii="Arial" w:cs="Arial" w:eastAsia="Arial" w:hAnsi="Arial"/>
          <w:sz w:val="17"/>
          <w:szCs w:val="17"/>
          <w:color w:val="auto"/>
        </w:rPr>
        <w:t xml:space="preserve">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8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free writing prospectus</w:t>
      </w:r>
      <w:r>
        <w:rPr>
          <w:rFonts w:ascii="Arial" w:cs="Arial" w:eastAsia="Arial" w:hAnsi="Arial"/>
          <w:sz w:val="18"/>
          <w:szCs w:val="18"/>
          <w:color w:val="auto"/>
        </w:rPr>
        <w:t>” has the meaning set forth in Rule 405 under the Securities Act, “</w:t>
      </w:r>
      <w:r>
        <w:rPr>
          <w:rFonts w:ascii="Arial" w:cs="Arial" w:eastAsia="Arial" w:hAnsi="Arial"/>
          <w:sz w:val="18"/>
          <w:szCs w:val="18"/>
          <w:b w:val="1"/>
          <w:bCs w:val="1"/>
          <w:color w:val="auto"/>
        </w:rPr>
        <w:t>Time of Sale Prospectus</w:t>
      </w:r>
      <w:r>
        <w:rPr>
          <w:rFonts w:ascii="Arial" w:cs="Arial" w:eastAsia="Arial" w:hAnsi="Arial"/>
          <w:sz w:val="18"/>
          <w:szCs w:val="18"/>
          <w:color w:val="auto"/>
        </w:rPr>
        <w:t>” means the preliminary prospectus together with the documents and pricing information set forth in Schedule II hereto, and a “</w:t>
      </w:r>
      <w:r>
        <w:rPr>
          <w:rFonts w:ascii="Arial" w:cs="Arial" w:eastAsia="Arial" w:hAnsi="Arial"/>
          <w:sz w:val="18"/>
          <w:szCs w:val="18"/>
          <w:b w:val="1"/>
          <w:bCs w:val="1"/>
          <w:color w:val="auto"/>
        </w:rPr>
        <w:t>bona fide electronic road</w:t>
      </w:r>
      <w:r>
        <w:rPr>
          <w:rFonts w:ascii="Arial" w:cs="Arial" w:eastAsia="Arial" w:hAnsi="Arial"/>
          <w:sz w:val="18"/>
          <w:szCs w:val="18"/>
          <w:color w:val="auto"/>
        </w:rPr>
        <w:t xml:space="preserve"> </w:t>
      </w:r>
      <w:r>
        <w:rPr>
          <w:rFonts w:ascii="Arial" w:cs="Arial" w:eastAsia="Arial" w:hAnsi="Arial"/>
          <w:sz w:val="18"/>
          <w:szCs w:val="18"/>
          <w:b w:val="1"/>
          <w:bCs w:val="1"/>
          <w:color w:val="auto"/>
        </w:rPr>
        <w:t>show</w:t>
      </w:r>
      <w:r>
        <w:rPr>
          <w:rFonts w:ascii="Arial" w:cs="Arial" w:eastAsia="Arial" w:hAnsi="Arial"/>
          <w:sz w:val="18"/>
          <w:szCs w:val="18"/>
          <w:color w:val="auto"/>
        </w:rPr>
        <w:t>” is as defined in Rule 433(h)(5) under the Securities Act that has been made available without restriction to any person. As used herein,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“preliminary prospectus,” “Time of Sale Prospectus” and “Prospectus” shall include the documents, if any, incorporated by reference therein as of the date hereof.</w:t>
      </w:r>
    </w:p>
    <w:p>
      <w:pPr>
        <w:spacing w:after="0" w:line="296" w:lineRule="exact"/>
        <w:rPr>
          <w:sz w:val="20"/>
          <w:szCs w:val="20"/>
          <w:color w:val="auto"/>
        </w:rPr>
      </w:pPr>
    </w:p>
    <w:p>
      <w:pPr>
        <w:ind w:left="780" w:hanging="31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and Warranties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Company represents and warrants to and agrees with each of the Underwriters that:</w:t>
      </w:r>
    </w:p>
    <w:p>
      <w:pPr>
        <w:spacing w:after="0" w:line="117" w:lineRule="exact"/>
        <w:rPr>
          <w:sz w:val="20"/>
          <w:szCs w:val="20"/>
          <w:color w:val="auto"/>
        </w:rPr>
      </w:pPr>
    </w:p>
    <w:p>
      <w:pPr>
        <w:ind w:firstLine="464"/>
        <w:spacing w:after="0" w:line="259" w:lineRule="auto"/>
        <w:tabs>
          <w:tab w:leader="none" w:pos="83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Each of the Registration Statement and the ADS Registration Statement has become effective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no stop order suspending the effectiveness of the Registration Statement or the ADS Registration Statement is in effect, and no proceedings for such purpose are pending before or threatened by the Commission. The Form 8-A Registration Statement has become effective as provided in Section 12 of the Exchange Act.</w:t>
      </w:r>
    </w:p>
    <w:p>
      <w:pPr>
        <w:spacing w:after="0" w:line="186" w:lineRule="exact"/>
        <w:rPr>
          <w:rFonts w:ascii="Arial" w:cs="Arial" w:eastAsia="Arial" w:hAnsi="Arial"/>
          <w:sz w:val="18"/>
          <w:szCs w:val="18"/>
          <w:color w:val="auto"/>
        </w:rPr>
      </w:pPr>
    </w:p>
    <w:p>
      <w:pPr>
        <w:ind w:firstLine="464"/>
        <w:spacing w:after="0" w:line="285" w:lineRule="auto"/>
        <w:tabs>
          <w:tab w:leader="none" w:pos="84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Compliance with Securities Law</w:t>
      </w:r>
      <w:r>
        <w:rPr>
          <w:rFonts w:ascii="Arial" w:cs="Arial" w:eastAsia="Arial" w:hAnsi="Arial"/>
          <w:sz w:val="16"/>
          <w:szCs w:val="16"/>
          <w:color w:val="auto"/>
        </w:rPr>
        <w:t>. (i) Each of the Registration Statement and the ADS Registration Statement, when it became effective, did not</w:t>
      </w:r>
      <w:r>
        <w:rPr>
          <w:rFonts w:ascii="Arial" w:cs="Arial" w:eastAsia="Arial" w:hAnsi="Arial"/>
          <w:sz w:val="16"/>
          <w:szCs w:val="16"/>
          <w:i w:val="1"/>
          <w:iCs w:val="1"/>
          <w:color w:val="auto"/>
        </w:rPr>
        <w:t xml:space="preserve"> </w:t>
      </w:r>
      <w:r>
        <w:rPr>
          <w:rFonts w:ascii="Arial" w:cs="Arial" w:eastAsia="Arial" w:hAnsi="Arial"/>
          <w:sz w:val="16"/>
          <w:szCs w:val="16"/>
          <w:color w:val="auto"/>
        </w:rPr>
        <w:t>contain and, as amended or supplemented, if applicable, will not contain any untrue statement of a material fact or omit to state a material fact required to be stated therein or necessary to make the statements therein not misleading, (ii) the Registration Statement, the ADS Registration Statement and the Prospectus comply and, as amended or supplemented, if applicable, will comply in all material respects with the Securities Act and the applicable rules and regulations of the Commission thereunder, (iii) the Time of Sale Prospectus does not, and at the time of each sale of the American Depositary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bona fide electronic road show as defined in Rule 433(h)(5) that has been made available without restriction to any person,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ADS Registration Statement, the Time of Sale Prospectus, the Prospectus or each bona fide electronic road show based upon information furnished to the Company in writing by such Underwriter through the Representative expressly for use therein, it being understood and agreed that the only such information furnished by any Underwriter consists of the Underwriter Information described as such in Section 9(b) 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3" w:name="page14"/>
    <w:bookmarkEnd w:id="13"/>
    <w:p>
      <w:pPr>
        <w:ind w:left="-20" w:right="40" w:firstLine="464"/>
        <w:spacing w:after="0" w:line="268" w:lineRule="auto"/>
        <w:tabs>
          <w:tab w:leader="none" w:pos="81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Ineligible Issuer Status and Issuer Free Writing Prospectus</w:t>
      </w:r>
      <w:r>
        <w:rPr>
          <w:rFonts w:ascii="Arial" w:cs="Arial" w:eastAsia="Arial" w:hAnsi="Arial"/>
          <w:sz w:val="17"/>
          <w:szCs w:val="17"/>
          <w:color w:val="auto"/>
        </w:rPr>
        <w:t>. The Company is not an “ineligible issuer” in connection with the offering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furnished to the Representative before first use, the Company has not prepared, used or referred to, and will not, without the prior consent of the Representative, prepare, use or refer to, any free writing prospectus. The Company has satisfied and agrees that it will satisfy the conditions in Rule 433 to avoid a requirement to file with the Commission any electronic road show. As of the time of each sale of the American Depositary Shares in connection with the offering when the Prospectus is not yet available to prospective purchasers, no free writing prospectuses,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7" w:lineRule="exact"/>
        <w:rPr>
          <w:rFonts w:ascii="Arial" w:cs="Arial" w:eastAsia="Arial" w:hAnsi="Arial"/>
          <w:sz w:val="17"/>
          <w:szCs w:val="17"/>
          <w:color w:val="auto"/>
        </w:rPr>
      </w:pPr>
    </w:p>
    <w:p>
      <w:pPr>
        <w:ind w:left="-20" w:firstLine="464"/>
        <w:spacing w:after="0" w:line="285" w:lineRule="auto"/>
        <w:tabs>
          <w:tab w:leader="none" w:pos="82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EGC Status and Testing-the-Waters Communication. </w:t>
      </w:r>
      <w:r>
        <w:rPr>
          <w:rFonts w:ascii="Arial" w:cs="Arial" w:eastAsia="Arial" w:hAnsi="Arial"/>
          <w:sz w:val="16"/>
          <w:szCs w:val="16"/>
          <w:color w:val="auto"/>
        </w:rPr>
        <w:t>(i) From the time of initial confidential submission of the Registration Statement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 “</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oral or written communication with potential investors undertaken in reliance on Section 5(d) of the Securities Act. (ii) The Company (A) has not alone engaged in any Testing-the-Waters Communication other than Testing-the-Waters Communications with the consent of the Underwriters, Credit Suisse Securities (USA) LLC or Jefferies LLC with entities that are qualified institutional buyers within the meaning of Rule 144A under the Securities Act or institutions that are accredited investors within the meaning of Rule 501 under the Securities Act, and (B) has not authorized anyone other than the Underwriters, Credit Suisse Securities (USA) LLC or Jefferies LLC to engage in Testing-the-Waters Communications. The Company reconfirms that the Underwriters, Credit Suisse Securities (USA) LLC and Jefferies LLC have been authorized to act on its behalf in undertaking Testing-the-Waters Communications. (iii) The Company has not distributed any Written Testing-the-Waters Communications without the prior written consent of the Underwriters, Credit Suisse Securities (USA) LLC or Jefferies LLC. “</w:t>
      </w:r>
      <w:r>
        <w:rPr>
          <w:rFonts w:ascii="Arial" w:cs="Arial" w:eastAsia="Arial" w:hAnsi="Arial"/>
          <w:sz w:val="16"/>
          <w:szCs w:val="16"/>
          <w:b w:val="1"/>
          <w:bCs w:val="1"/>
          <w:color w:val="auto"/>
        </w:rPr>
        <w:t>Written Testing-the-Waters</w:t>
      </w:r>
      <w:r>
        <w:rPr>
          <w:rFonts w:ascii="Arial" w:cs="Arial" w:eastAsia="Arial" w:hAnsi="Arial"/>
          <w:sz w:val="16"/>
          <w:szCs w:val="16"/>
          <w:color w:val="auto"/>
        </w:rPr>
        <w:t xml:space="preserve"> </w:t>
      </w:r>
      <w:r>
        <w:rPr>
          <w:rFonts w:ascii="Arial" w:cs="Arial" w:eastAsia="Arial" w:hAnsi="Arial"/>
          <w:sz w:val="16"/>
          <w:szCs w:val="16"/>
          <w:b w:val="1"/>
          <w:bCs w:val="1"/>
          <w:color w:val="auto"/>
        </w:rPr>
        <w:t>Communication</w:t>
      </w:r>
      <w:r>
        <w:rPr>
          <w:rFonts w:ascii="Arial" w:cs="Arial" w:eastAsia="Arial" w:hAnsi="Arial"/>
          <w:sz w:val="16"/>
          <w:szCs w:val="16"/>
          <w:color w:val="auto"/>
        </w:rPr>
        <w:t>” means any Testing-the-Waters Communication that is a written communication within the meaning of Rule 405 under the Securities Act.</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time of each sale of the American Depositary Shares in connection with the offering when the Prospectus is not yet available to prospective purchasers, no individual Written Testing-the-Waters Communications,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14" w:name="page15"/>
    <w:bookmarkEnd w:id="14"/>
    <w:p>
      <w:pPr>
        <w:ind w:firstLine="464"/>
        <w:spacing w:after="0" w:line="268" w:lineRule="auto"/>
        <w:tabs>
          <w:tab w:leader="none" w:pos="83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Good Standing of the Company. </w:t>
      </w:r>
      <w:r>
        <w:rPr>
          <w:rFonts w:ascii="Arial" w:cs="Arial" w:eastAsia="Arial" w:hAnsi="Arial"/>
          <w:sz w:val="17"/>
          <w:szCs w:val="17"/>
          <w:color w:val="auto"/>
        </w:rPr>
        <w:t>The Company has been duly incorporated, is validly existing as an exempted company with limited liability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good standing under the laws of the Cayman Islands, has the corporate power and authority to own its property and to conduct its business as described in the Time of Sale Prospectus and Prospectus and is duly qualified to transact business and is in good standing in each jurisdiction in which the conduct of its business or its ownership or leasing of property requires such qualification, except where the failure so to qualify or to be in good standing would not result in a Material Adverse Effect. The currently effective memorandum and articles of association or other constitutive or organizational documents of the Company comply with the requirements of applicable Cayman Islands law and are in full force and effect. The eighth amended and restated memorandum and articles of association of the Company adopted on October 13, 2017, filed as Exhibit 3.2 to the Registration Statement, comply with the requirements of applicable Cayman Islands laws and, immediately following closing on the Closing Date of the American Depositary Shares offered and sold hereunder, will be in full force and effect. Complete and correct copies of all constitutive documents of the Company and all amendments thereto have been delivered to the Representative; no change will be made to any such constitutive documents on or after the date of this Agreement through and including the Closing Date.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material adverse effect on the condition (financial or otherwise), earnings, results of operations, business or prospects of the Company and its Subsidiaries and Affiliated Entities, taken as a whole, or on the ability of the Company and its Subsidiaries and Affiliated Entities to carry out their obligations under this Agreement and the Deposit Agreement or consummate the transactions contemplated by the Time of Sale Prospectus and the Prospectus.</w:t>
      </w:r>
    </w:p>
    <w:p>
      <w:pPr>
        <w:spacing w:after="0" w:line="181" w:lineRule="exact"/>
        <w:rPr>
          <w:rFonts w:ascii="Arial" w:cs="Arial" w:eastAsia="Arial" w:hAnsi="Arial"/>
          <w:sz w:val="17"/>
          <w:szCs w:val="17"/>
          <w:color w:val="auto"/>
        </w:rPr>
      </w:pPr>
    </w:p>
    <w:p>
      <w:pPr>
        <w:ind w:firstLine="464"/>
        <w:spacing w:after="0" w:line="268" w:lineRule="auto"/>
        <w:tabs>
          <w:tab w:leader="none" w:pos="8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Subsidiaries and Affiliated Entities</w:t>
      </w:r>
      <w:r>
        <w:rPr>
          <w:rFonts w:ascii="Arial" w:cs="Arial" w:eastAsia="Arial" w:hAnsi="Arial"/>
          <w:sz w:val="17"/>
          <w:szCs w:val="17"/>
          <w:color w:val="auto"/>
        </w:rPr>
        <w:t>. Each of the Company’s direct and indirect subsidiaries as defined under Rule 405 (each a “</w:t>
      </w:r>
      <w:r>
        <w:rPr>
          <w:rFonts w:ascii="Arial" w:cs="Arial" w:eastAsia="Arial" w:hAnsi="Arial"/>
          <w:sz w:val="17"/>
          <w:szCs w:val="17"/>
          <w:b w:val="1"/>
          <w:bCs w:val="1"/>
          <w:color w:val="auto"/>
        </w:rPr>
        <w:t>Subsidiary</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the “</w:t>
      </w:r>
      <w:r>
        <w:rPr>
          <w:rFonts w:ascii="Arial" w:cs="Arial" w:eastAsia="Arial" w:hAnsi="Arial"/>
          <w:sz w:val="17"/>
          <w:szCs w:val="17"/>
          <w:b w:val="1"/>
          <w:bCs w:val="1"/>
          <w:color w:val="auto"/>
        </w:rPr>
        <w:t>Subsidiaries</w:t>
      </w:r>
      <w:r>
        <w:rPr>
          <w:rFonts w:ascii="Arial" w:cs="Arial" w:eastAsia="Arial" w:hAnsi="Arial"/>
          <w:sz w:val="17"/>
          <w:szCs w:val="17"/>
          <w:color w:val="auto"/>
        </w:rPr>
        <w:t>”) has been identified on Schedule III-A hereto, and each of the consolidated entities which the Company controls and through which the Company conducts its operations in the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by way of contractual arrangements (each an “</w:t>
      </w:r>
      <w:r>
        <w:rPr>
          <w:rFonts w:ascii="Arial" w:cs="Arial" w:eastAsia="Arial" w:hAnsi="Arial"/>
          <w:sz w:val="17"/>
          <w:szCs w:val="17"/>
          <w:b w:val="1"/>
          <w:bCs w:val="1"/>
          <w:color w:val="auto"/>
        </w:rPr>
        <w:t>Affiliated Entity</w:t>
      </w:r>
      <w:r>
        <w:rPr>
          <w:rFonts w:ascii="Arial" w:cs="Arial" w:eastAsia="Arial" w:hAnsi="Arial"/>
          <w:sz w:val="17"/>
          <w:szCs w:val="17"/>
          <w:color w:val="auto"/>
        </w:rPr>
        <w:t>” and collectively, the “</w:t>
      </w:r>
      <w:r>
        <w:rPr>
          <w:rFonts w:ascii="Arial" w:cs="Arial" w:eastAsia="Arial" w:hAnsi="Arial"/>
          <w:sz w:val="17"/>
          <w:szCs w:val="17"/>
          <w:b w:val="1"/>
          <w:bCs w:val="1"/>
          <w:color w:val="auto"/>
        </w:rPr>
        <w:t>Affiliated Entities</w:t>
      </w:r>
      <w:r>
        <w:rPr>
          <w:rFonts w:ascii="Arial" w:cs="Arial" w:eastAsia="Arial" w:hAnsi="Arial"/>
          <w:sz w:val="17"/>
          <w:szCs w:val="17"/>
          <w:color w:val="auto"/>
        </w:rPr>
        <w:t>”) has been identified on Schedule III-B hereto. Each of the Subsidiaries and Affiliated Entities has been duly incorporated, is validly existing as a corporation in good standing under the laws of the jurisdiction of its incorporation, and except as described in the Time of Sale Prospectus and Prospectus, has the corporate power and authority to own its property and to conduct its business as described in the Time of Sale Prospectus; all of the equity interests of each Subsidiary have been duly and validly authorized and issued, are owned directly or indirectly by the Company, are fully paid and non-assessable and, except as described in the Time of Sale Prospectus and Prospectus, are free and clear of all liens, encumbrances, equities or claims; all of the equity interests in each Affiliated Entity have been duly and validly authorized and issued, are paid in accordance with its constitutive or organizational documents and non-assessable and are owned directly as described in the Time of Sale Prospectus and Prospectus, free and clear of all liens, encumbrances, equities or claims. None of the outstanding share capital or equity interest in any Subsidiary was issued in violation of preemptive or similar rights of any securityholder of such Subsidiary. All of the constitutive or organizational documents of each of the Subsidiaries and Affiliated Entities comply with the requirements of applicable laws of its jurisdiction of incorporation or organization and are in full force and effect. Apart from the Subsidiaries and Affiliated Entities, the Company has no direct or indirect Subsidiaries.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5" w:name="page16"/>
    <w:bookmarkEnd w:id="15"/>
    <w:p>
      <w:pPr>
        <w:ind w:left="400" w:hanging="396"/>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VIE Agreements and Ownership Structure.</w:t>
      </w:r>
    </w:p>
    <w:p>
      <w:pPr>
        <w:spacing w:after="0" w:line="130" w:lineRule="exact"/>
        <w:rPr>
          <w:rFonts w:ascii="Arial" w:cs="Arial" w:eastAsia="Arial" w:hAnsi="Arial"/>
          <w:sz w:val="18"/>
          <w:szCs w:val="18"/>
          <w:color w:val="auto"/>
        </w:rPr>
      </w:pPr>
    </w:p>
    <w:p>
      <w:pPr>
        <w:ind w:left="1020" w:right="40" w:hanging="567"/>
        <w:spacing w:after="0" w:line="272" w:lineRule="auto"/>
        <w:tabs>
          <w:tab w:leader="none" w:pos="10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description of the corporate structure of the Company and each of the contracts among the Subsidiaries, the shareholders of the Affiliated Entities and the Affiliated Entities, as the case may be (each a “</w:t>
      </w:r>
      <w:r>
        <w:rPr>
          <w:rFonts w:ascii="Arial" w:cs="Arial" w:eastAsia="Arial" w:hAnsi="Arial"/>
          <w:sz w:val="17"/>
          <w:szCs w:val="17"/>
          <w:b w:val="1"/>
          <w:bCs w:val="1"/>
          <w:color w:val="auto"/>
        </w:rPr>
        <w:t>VIE Agreement</w:t>
      </w:r>
      <w:r>
        <w:rPr>
          <w:rFonts w:ascii="Arial" w:cs="Arial" w:eastAsia="Arial" w:hAnsi="Arial"/>
          <w:sz w:val="17"/>
          <w:szCs w:val="17"/>
          <w:color w:val="auto"/>
        </w:rPr>
        <w:t>” and collectively the “</w:t>
      </w:r>
      <w:r>
        <w:rPr>
          <w:rFonts w:ascii="Arial" w:cs="Arial" w:eastAsia="Arial" w:hAnsi="Arial"/>
          <w:sz w:val="17"/>
          <w:szCs w:val="17"/>
          <w:b w:val="1"/>
          <w:bCs w:val="1"/>
          <w:color w:val="auto"/>
        </w:rPr>
        <w:t>VIE Agreements</w:t>
      </w:r>
      <w:r>
        <w:rPr>
          <w:rFonts w:ascii="Arial" w:cs="Arial" w:eastAsia="Arial" w:hAnsi="Arial"/>
          <w:sz w:val="17"/>
          <w:szCs w:val="17"/>
          <w:color w:val="auto"/>
        </w:rPr>
        <w:t>”), as set forth in the Time of Sale Prospectus and the Prospectus under the captions “Corporate History and Structure” and “Related Party Transactions” and filed as Exhibits 10.3 through 10.7 to the Registration Statement, is true and accurate in all material respects. There is no other material agreement, contract or other document relating to the corporate structure or the operation of the Company together with its Subsidiaries and Affiliated Entities taken as a whole, which has not been previously disclosed or made available to the Underwriters and disclosed in the Time of Sale Prospectus and the Prospectus.</w:t>
      </w:r>
    </w:p>
    <w:p>
      <w:pPr>
        <w:spacing w:after="0" w:line="83" w:lineRule="exact"/>
        <w:rPr>
          <w:rFonts w:ascii="Arial" w:cs="Arial" w:eastAsia="Arial" w:hAnsi="Arial"/>
          <w:sz w:val="17"/>
          <w:szCs w:val="17"/>
          <w:color w:val="auto"/>
        </w:rPr>
      </w:pPr>
    </w:p>
    <w:p>
      <w:pPr>
        <w:ind w:left="1020" w:hanging="567"/>
        <w:spacing w:after="0" w:line="269" w:lineRule="auto"/>
        <w:tabs>
          <w:tab w:leader="none" w:pos="10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Each VIE Agreement has been duly authorized, executed and delivered by the parties thereto and constitutes a valid and legally binding obligation of the parties thereto, enforceable in accordance with its terms subject to the disclosure in the Time of Sale Prospectus and the Prospectus. No consent, approval, authorization, or order of, or filing or registration with, any person (including any governmental agency or body or any court) is required for the performance of the obligations under any VIE Agreement by the parties thereto, except as already obtained or disclosed in the Time of Sale Prospectus and the Prospectus; and no consent, approval, authorization, order, filing or registration that has been obtained is being withdrawn or revoked or is subject to any condition precedent which has not been fulfilled or performed. The corporate structure of the Company comply with all applicable laws and regulations of the PRC, and neither the corporate structure nor the VIE Agreements violate, breach, contravene or otherwise conflict with any applicable laws of the PRC subject to the disclosure in the Time of Sale Prospectus and the Prospectus. There is no legal or governmental proceeding, inquiry or investigation pending against the Company, the Subsidiaries and Affiliated Entities or shareholders of the Affiliated Entities in any jurisdiction challenging the validity of any of the VIE Agreements, and to the best knowledge of the Company, no such proceeding, inquiry or investigation is threatened in any jurisdiction.</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6" w:name="page17"/>
    <w:bookmarkEnd w:id="16"/>
    <w:p>
      <w:pPr>
        <w:ind w:left="1440" w:hanging="567"/>
        <w:spacing w:after="0" w:line="287" w:lineRule="auto"/>
        <w:tabs>
          <w:tab w:leader="none" w:pos="1440"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execution, delivery and performance of each VIE Agreement by the parties thereto do not and will not result in a breach or violation of any of the terms and provisions of, or constitute a default under, or result in the imposition of any lien, encumbrance, equity or claim upon any property or assets of the Company or any of the Subsidiaries and Affiliated Entities pursuant to (A) the constitutive or organizational documents of the Company or any of the Subsidiaries and Affiliated Entities, (B) any statute, rule, regulation or order of any governmental agency or body or any court, domestic or foreign, having jurisdiction over the Company or any of the Subsidiaries and Affiliated Entities or any of their properties, or any arbitration award, or (C) any material indenture, mortgage, deed of trust, loan agreement or other material agreement or instrument to which the Company or any of the Subsidiaries and Affiliated Entities is a party or by which the Company or any of the Subsidiaries and Affiliated Entities is bound or to which any of the properties of the Company or any of the Subsidiaries and Affiliated Entities is subject. Each VIE Agreement is in full force and effect and none of the parties thereto is in breach or default in the performance of any of the terms or provisions of such VIE Agreement. None of the parties to any of the VIE Agreements has sent or received any communication regarding termination of, or intention not to renew, any of the VIE Agreements, and no such termination or non-renewal has been threatened by any of the parties thereto.</w:t>
      </w:r>
    </w:p>
    <w:p>
      <w:pPr>
        <w:spacing w:after="0" w:line="74" w:lineRule="exact"/>
        <w:rPr>
          <w:rFonts w:ascii="Arial" w:cs="Arial" w:eastAsia="Arial" w:hAnsi="Arial"/>
          <w:sz w:val="16"/>
          <w:szCs w:val="16"/>
          <w:color w:val="auto"/>
        </w:rPr>
      </w:pPr>
    </w:p>
    <w:p>
      <w:pPr>
        <w:ind w:left="1440" w:right="20" w:hanging="567"/>
        <w:spacing w:after="0" w:line="277"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possesses, directly or indirectly, the power to direct or cause the direction of the management and policies of the Affiliated Entities, through its rights to authorize the shareholders of the Affiliated Entities to exercise their voting rights.</w:t>
      </w:r>
    </w:p>
    <w:p>
      <w:pPr>
        <w:spacing w:after="0" w:line="170" w:lineRule="exact"/>
        <w:rPr>
          <w:rFonts w:ascii="Arial" w:cs="Arial" w:eastAsia="Arial" w:hAnsi="Arial"/>
          <w:sz w:val="18"/>
          <w:szCs w:val="18"/>
          <w:color w:val="auto"/>
        </w:rPr>
      </w:pPr>
    </w:p>
    <w:p>
      <w:pPr>
        <w:ind w:left="820" w:hanging="39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Authorization of this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left="-40" w:right="40" w:firstLine="464"/>
        <w:spacing w:after="0" w:line="259" w:lineRule="auto"/>
        <w:tabs>
          <w:tab w:leader="none" w:pos="76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Authorization of the Deposit Agreement</w:t>
      </w:r>
      <w:r>
        <w:rPr>
          <w:rFonts w:ascii="Arial" w:cs="Arial" w:eastAsia="Arial" w:hAnsi="Arial"/>
          <w:sz w:val="18"/>
          <w:szCs w:val="18"/>
          <w:color w:val="auto"/>
        </w:rPr>
        <w:t>. The Deposit Agreement has been duly authorized, executed and delivered by the Company and assuming</w:t>
      </w:r>
      <w:r>
        <w:rPr>
          <w:rFonts w:ascii="Arial" w:cs="Arial" w:eastAsia="Arial" w:hAnsi="Arial"/>
          <w:sz w:val="18"/>
          <w:szCs w:val="18"/>
          <w:i w:val="1"/>
          <w:iCs w:val="1"/>
          <w:color w:val="auto"/>
        </w:rPr>
        <w:t xml:space="preserve"> </w:t>
      </w:r>
      <w:r>
        <w:rPr>
          <w:rFonts w:ascii="Arial" w:cs="Arial" w:eastAsia="Arial" w:hAnsi="Arial"/>
          <w:sz w:val="18"/>
          <w:szCs w:val="18"/>
          <w:color w:val="auto"/>
        </w:rPr>
        <w:t>due authorization, execution and delivery by the Depositary, constitutes a valid and legally binding obligation of the Company, enforceable in accordance with its terms. The description of this Agreement and the Deposit Agreement contained in each of the Registration Statement, the Time of Sale Prospectus and the Prospectus is true and accurate in all material respects.</w:t>
      </w:r>
    </w:p>
    <w:p>
      <w:pPr>
        <w:spacing w:after="0" w:line="186" w:lineRule="exact"/>
        <w:rPr>
          <w:rFonts w:ascii="Arial" w:cs="Arial" w:eastAsia="Arial" w:hAnsi="Arial"/>
          <w:sz w:val="18"/>
          <w:szCs w:val="18"/>
          <w:color w:val="auto"/>
        </w:rPr>
      </w:pPr>
    </w:p>
    <w:p>
      <w:pPr>
        <w:ind w:left="-40" w:right="160" w:firstLine="464"/>
        <w:spacing w:after="0" w:line="302" w:lineRule="auto"/>
        <w:tabs>
          <w:tab w:leader="none" w:pos="766"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Due Authorization of Registration Statements</w:t>
      </w:r>
      <w:r>
        <w:rPr>
          <w:rFonts w:ascii="Arial" w:cs="Arial" w:eastAsia="Arial" w:hAnsi="Arial"/>
          <w:sz w:val="16"/>
          <w:szCs w:val="16"/>
          <w:color w:val="auto"/>
        </w:rPr>
        <w:t>. The Registration Statement, the preliminary prospectus, the Prospectus, any issuer free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the ADS Registration Statement and the filing of the Registration Statement, the Prospectus, any issuer free writing prospectus and the ADS Registration Statement with the Commission have been duly authorized by and on behalf of the Company, and the Registration Statement and the ADS Registration Statement have been duly executed pursuant to such authorization by and on behalf of the Company.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74" w:right="279" w:bottom="1440" w:gutter="0" w:footer="0" w:header="0"/>
        </w:sectPr>
      </w:pPr>
    </w:p>
    <w:bookmarkStart w:id="17" w:name="page18"/>
    <w:bookmarkEnd w:id="17"/>
    <w:p>
      <w:pPr>
        <w:ind w:left="-20" w:right="540" w:firstLine="464"/>
        <w:spacing w:after="0" w:line="277" w:lineRule="auto"/>
        <w:tabs>
          <w:tab w:leader="none" w:pos="82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Share Capital. </w:t>
      </w:r>
      <w:r>
        <w:rPr>
          <w:rFonts w:ascii="Arial" w:cs="Arial" w:eastAsia="Arial" w:hAnsi="Arial"/>
          <w:sz w:val="18"/>
          <w:szCs w:val="18"/>
          <w:color w:val="auto"/>
        </w:rPr>
        <w:t>The authorized share capital of the Company conforms as to legal matters to the description thereof contained in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Time of Sale Prospectus and the Prospectus.</w:t>
      </w:r>
    </w:p>
    <w:p>
      <w:pPr>
        <w:spacing w:after="0" w:line="170" w:lineRule="exact"/>
        <w:rPr>
          <w:rFonts w:ascii="Arial" w:cs="Arial" w:eastAsia="Arial" w:hAnsi="Arial"/>
          <w:sz w:val="18"/>
          <w:szCs w:val="18"/>
          <w:color w:val="auto"/>
        </w:rPr>
      </w:pPr>
    </w:p>
    <w:p>
      <w:pPr>
        <w:ind w:left="-20" w:firstLine="464"/>
        <w:spacing w:after="0" w:line="270" w:lineRule="auto"/>
        <w:tabs>
          <w:tab w:leader="none" w:pos="78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Ordinary Shares. </w:t>
      </w:r>
      <w:r>
        <w:rPr>
          <w:rFonts w:ascii="Arial" w:cs="Arial" w:eastAsia="Arial" w:hAnsi="Arial"/>
          <w:sz w:val="17"/>
          <w:szCs w:val="17"/>
          <w:color w:val="auto"/>
        </w:rPr>
        <w:t>(i) Except as disclosed in the Time of Sale Prospectus and the Prospectus, the Ordinary Shares outstanding prior to the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Shares to be sold by the Company have been duly authorized and are validly issued, fully paid and non-assessable. As of the date hereof, the Company has authorized and outstanding capitalization as set forth in the sections of the Time of Sale Prospectus and the Prospectus under the headings “Capitalization” and “Description of Share Capital” and, as of the Closing Date, the Company shall have authorized and outstanding capitalization as set forth in the sections of the Time of Sale Prospectus and the Prospectus under the headings “Capitalization” and “Description of Share Capital.” (ii) Except as described in the Time of Sale Prospectus and the Prospectus, there are (A) no outstanding securities issued by the Company convertible into or exchangeable for, rights, warrants or options to acquire from the Company, or obligations of the Company to issue, Ordinary Shares or any of the share capital of the Company, and (B) no outstanding rights, warrants or options to acquire, or instruments convertible into or exchangeable for, any share capital of, or any direct interest in, any of the Company’s Subsidiaries and Affiliated Entities.</w:t>
      </w:r>
    </w:p>
    <w:p>
      <w:pPr>
        <w:spacing w:after="0" w:line="181" w:lineRule="exact"/>
        <w:rPr>
          <w:rFonts w:ascii="Arial" w:cs="Arial" w:eastAsia="Arial" w:hAnsi="Arial"/>
          <w:sz w:val="17"/>
          <w:szCs w:val="17"/>
          <w:color w:val="auto"/>
        </w:rPr>
      </w:pPr>
    </w:p>
    <w:p>
      <w:pPr>
        <w:jc w:val="both"/>
        <w:ind w:left="-20" w:right="60" w:firstLine="464"/>
        <w:spacing w:after="0" w:line="312" w:lineRule="auto"/>
        <w:tabs>
          <w:tab w:leader="none" w:pos="876"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American Depositary Shares. </w:t>
      </w:r>
      <w:r>
        <w:rPr>
          <w:rFonts w:ascii="Arial" w:cs="Arial" w:eastAsia="Arial" w:hAnsi="Arial"/>
          <w:sz w:val="16"/>
          <w:szCs w:val="16"/>
          <w:color w:val="auto"/>
        </w:rPr>
        <w:t>The American Depositary Shares, when issued by the Depositary against the deposit of Shares in respect thereof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provisions of the Deposit Agreement, will be duly authorized, validly issued and the persons in whose names such American Depositary Shares are registered will be entitled to the rights of registered holders of American Depositary Shares specified therein and in the Deposit Agreement.</w:t>
      </w:r>
    </w:p>
    <w:p>
      <w:pPr>
        <w:spacing w:after="0" w:line="146" w:lineRule="exact"/>
        <w:rPr>
          <w:rFonts w:ascii="Arial" w:cs="Arial" w:eastAsia="Arial" w:hAnsi="Arial"/>
          <w:sz w:val="16"/>
          <w:szCs w:val="16"/>
          <w:color w:val="auto"/>
        </w:rPr>
      </w:pPr>
    </w:p>
    <w:p>
      <w:pPr>
        <w:ind w:left="-20" w:right="20" w:firstLine="464"/>
        <w:spacing w:after="0" w:line="272" w:lineRule="auto"/>
        <w:tabs>
          <w:tab w:leader="none" w:pos="871"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Shares. </w:t>
      </w:r>
      <w:r>
        <w:rPr>
          <w:rFonts w:ascii="Arial" w:cs="Arial" w:eastAsia="Arial" w:hAnsi="Arial"/>
          <w:sz w:val="17"/>
          <w:szCs w:val="17"/>
          <w:color w:val="auto"/>
        </w:rPr>
        <w:t>(i) The Shares to be sold by the Company have been duly authorized and, when issued and delivered in accordance with the terms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will be validly issued, fully paid and non-assessable, and the issuance of such Shares will not be subject to any preemptive rights, resale rights, rights of first refusal or similar rights. The Shares, when issued and delivered against payment therefor in accordance with the terms of this Agreement, will be free of any restriction upon the voting or transfer thereof pursuant to the Company’s constitutive documents or any agreement or other instrument to which the Company is a party. (ii) The Shares, when issued, are freely transferable by the Company to or for the account of the several Underwriters, and, except as described in the Time of Sale Prospectus and the Prospectus, there are no restrictions on subsequent transfers of the Shares under the laws of the Cayman Islands, the PRC, Hong Kong or the United States.</w:t>
      </w:r>
    </w:p>
    <w:p>
      <w:pPr>
        <w:spacing w:after="0" w:line="177" w:lineRule="exact"/>
        <w:rPr>
          <w:rFonts w:ascii="Arial" w:cs="Arial" w:eastAsia="Arial" w:hAnsi="Arial"/>
          <w:sz w:val="17"/>
          <w:szCs w:val="17"/>
          <w:color w:val="auto"/>
        </w:rPr>
      </w:pPr>
    </w:p>
    <w:p>
      <w:pPr>
        <w:ind w:left="-20" w:right="220" w:firstLine="464"/>
        <w:spacing w:after="0" w:line="276" w:lineRule="auto"/>
        <w:tabs>
          <w:tab w:leader="none" w:pos="871"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Accurate Disclosure. </w:t>
      </w:r>
      <w:r>
        <w:rPr>
          <w:rFonts w:ascii="Arial" w:cs="Arial" w:eastAsia="Arial" w:hAnsi="Arial"/>
          <w:sz w:val="17"/>
          <w:szCs w:val="17"/>
          <w:color w:val="auto"/>
        </w:rPr>
        <w:t>The statements in the Time of Sale Prospectus and the Prospectus under the headings “Prospectus Summary,” “Risk</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“Enforceability of Civil Liabilities,” “Corporate History and Structure,” “Management’s Discussion and Analysis of Financial Condition and Results of Operations,” “Business,” “Regulation,” “Related Party Transactions,” “Description of Share Capital,” “Description of American Depositary Shares,” “Taxation” and “Underwriting,” insofar as such statements summarize legal matters, agreements, documents or proceedings discussed therein, are accurate and fair summaries of such matters described therein in all material respects.</w:t>
      </w:r>
    </w:p>
    <w:p>
      <w:pPr>
        <w:spacing w:after="0" w:line="172" w:lineRule="exact"/>
        <w:rPr>
          <w:rFonts w:ascii="Arial" w:cs="Arial" w:eastAsia="Arial" w:hAnsi="Arial"/>
          <w:sz w:val="17"/>
          <w:szCs w:val="17"/>
          <w:color w:val="auto"/>
        </w:rPr>
      </w:pPr>
    </w:p>
    <w:p>
      <w:pPr>
        <w:ind w:left="840" w:hanging="396"/>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The American Depositary Shares have been approved for listing on the NASDAQ Global Market, subject to official notice of issuance.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4" w:right="259" w:bottom="1440" w:gutter="0" w:footer="0" w:header="0"/>
        </w:sectPr>
      </w:pPr>
    </w:p>
    <w:bookmarkStart w:id="18" w:name="page19"/>
    <w:bookmarkEnd w:id="18"/>
    <w:p>
      <w:pPr>
        <w:ind w:left="-8" w:right="20" w:firstLine="464"/>
        <w:spacing w:after="0" w:line="270" w:lineRule="auto"/>
        <w:tabs>
          <w:tab w:leader="none" w:pos="883"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Law, Constitutive Documents and Contracts</w:t>
      </w:r>
      <w:r>
        <w:rPr>
          <w:rFonts w:ascii="Arial" w:cs="Arial" w:eastAsia="Arial" w:hAnsi="Arial"/>
          <w:sz w:val="17"/>
          <w:szCs w:val="17"/>
          <w:color w:val="auto"/>
        </w:rPr>
        <w:t>. Except as disclosed in the Time of Sale Prospectus and the Prospectus, neither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nor any of the Subsidiaries and Affiliated Entities is in breach or violation of any provision of applicable law material to the Company and the Subsidiaries and Affiliated Entities taken as a whole (including, but not limited to, any applicable law concerning copy rights, information dissemination over the Internet and user privacy protection) or is in breach or violation of its respective constitutive documents,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any agreement or other instrument that is (i) binding upon the Company or any of the Subsidiaries and Affiliated Entities and (ii) material to the Company and the Subsidiaries and Affiliated Entities taken as a whole, or any judgment, order or decree of any governmental body, agency or court having jurisdiction over the Company or any of the Subsidiaries and Affiliated Entities.</w:t>
      </w:r>
    </w:p>
    <w:p>
      <w:pPr>
        <w:spacing w:after="0" w:line="181" w:lineRule="exact"/>
        <w:rPr>
          <w:rFonts w:ascii="Arial" w:cs="Arial" w:eastAsia="Arial" w:hAnsi="Arial"/>
          <w:sz w:val="17"/>
          <w:szCs w:val="17"/>
          <w:color w:val="auto"/>
        </w:rPr>
      </w:pPr>
    </w:p>
    <w:p>
      <w:pPr>
        <w:ind w:left="-8" w:firstLine="464"/>
        <w:spacing w:after="0" w:line="290" w:lineRule="auto"/>
        <w:tabs>
          <w:tab w:leader="none" w:pos="808"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Absence of Defaults and Conflicts Resulting from Transaction. </w:t>
      </w:r>
      <w:r>
        <w:rPr>
          <w:rFonts w:ascii="Arial" w:cs="Arial" w:eastAsia="Arial" w:hAnsi="Arial"/>
          <w:sz w:val="16"/>
          <w:szCs w:val="16"/>
          <w:color w:val="auto"/>
        </w:rPr>
        <w:t>The execution and delivery by the Company of, and the performance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of its obligations under, this Agreement and the Deposit Agreement will not contravene (i) any provision of applicable law or the memorandum and articles of association or other constitutive documents of the Company, (ii) any agreement or other instrument binding upon the Company or any of the Subsidiaries and Affiliated Entities that is material to the Company and the Subsidiaries and Affiliated Entities, taken as a whole, or (iii) any judgment, order or decree of any governmental body, agency or court having jurisdiction over the Company or any of the Subsidiaries and Affiliated Entities; and no consent, approval, authorization or order of, or qualification with, any governmental body or agency is required for the performance by the Company of its obligations under this Agreement or the Deposit Agreement, except such as may be required by the securities or Blue Sky laws of the various states of the United States of America in connection with the offer and sale of the Shares or the American Depositary Shares.</w:t>
      </w:r>
    </w:p>
    <w:p>
      <w:pPr>
        <w:spacing w:after="0" w:line="166" w:lineRule="exact"/>
        <w:rPr>
          <w:rFonts w:ascii="Arial" w:cs="Arial" w:eastAsia="Arial" w:hAnsi="Arial"/>
          <w:sz w:val="16"/>
          <w:szCs w:val="16"/>
          <w:color w:val="auto"/>
        </w:rPr>
      </w:pPr>
    </w:p>
    <w:p>
      <w:pPr>
        <w:ind w:left="-8" w:right="20" w:firstLine="464"/>
        <w:spacing w:after="0" w:line="283" w:lineRule="auto"/>
        <w:tabs>
          <w:tab w:leader="none" w:pos="818"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in Business. </w:t>
      </w:r>
      <w:r>
        <w:rPr>
          <w:rFonts w:ascii="Arial" w:cs="Arial" w:eastAsia="Arial" w:hAnsi="Arial"/>
          <w:sz w:val="16"/>
          <w:szCs w:val="16"/>
          <w:color w:val="auto"/>
        </w:rPr>
        <w:t>Since the end of the period covered by the latest reviewed financial statements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Time of Sale Prospectus and the Prospectus, except as disclosed in the Time of Sale Prospectus and the Prospectus, (i) there has been no material adverse change, nor any development or event involving a prospective material adverse change, in the condition (financial or otherwise), results of operations, business, properties or prospects of the Company and its Subsidiaries and Affiliated Entities, taken as a whole; (ii) there has been no purchase of its own outstanding share capital by the Company, no dividend or distribution of any kind declared, paid or made by the Company on any class of its share capital; (iii) there has been no material adverse change in the share capital, short-term indebtedness, long-term indebtedness, net current assets or net assets of the Company and its subsidiaries; (iv) neither the Company nor any of its Subsidiaries and Affiliated Entities has (A) entered into or assumed any material transaction or agreement, (B) incurred, assumed or acquired any material liability or obligation, direct or contingent, (C) acquired or disposed of or agreed to acquire or dispose of any business or any other asset, or (D) agreed to take any of the foregoing actions, that would, in the case of any of clauses</w:t>
      </w:r>
    </w:p>
    <w:p>
      <w:pPr>
        <w:spacing w:after="0" w:line="6" w:lineRule="exact"/>
        <w:rPr>
          <w:rFonts w:ascii="Arial" w:cs="Arial" w:eastAsia="Arial" w:hAnsi="Arial"/>
          <w:sz w:val="16"/>
          <w:szCs w:val="16"/>
          <w:color w:val="auto"/>
        </w:rPr>
      </w:pPr>
    </w:p>
    <w:p>
      <w:pPr>
        <w:jc w:val="both"/>
        <w:ind w:left="-8" w:right="240" w:firstLine="8"/>
        <w:spacing w:after="0" w:line="255" w:lineRule="auto"/>
        <w:tabs>
          <w:tab w:leader="none" w:pos="2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(iv) above, would have a Material Adverse Effect; and (v) neither the Company nor any of its Subsidiaries and Affiliated Entities has sustained any material loss or interference with its business from fire, explosion, flood, typhoon, or other calamity, whether or not covered by insurance, or from any labor dispute or court or governmental action, order or decree.</w:t>
      </w:r>
    </w:p>
    <w:p>
      <w:pPr>
        <w:spacing w:after="0" w:line="1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4" w:right="259" w:bottom="1440" w:gutter="0" w:footer="0" w:header="0"/>
        </w:sectPr>
      </w:pPr>
    </w:p>
    <w:bookmarkStart w:id="19" w:name="page20"/>
    <w:bookmarkEnd w:id="19"/>
    <w:p>
      <w:pPr>
        <w:ind w:left="-20" w:right="100" w:firstLine="464"/>
        <w:spacing w:after="0" w:line="259" w:lineRule="auto"/>
        <w:tabs>
          <w:tab w:leader="none" w:pos="78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Pending Proceedings. </w:t>
      </w:r>
      <w:r>
        <w:rPr>
          <w:rFonts w:ascii="Arial" w:cs="Arial" w:eastAsia="Arial" w:hAnsi="Arial"/>
          <w:sz w:val="18"/>
          <w:szCs w:val="18"/>
          <w:color w:val="auto"/>
        </w:rPr>
        <w:t>There are no legal or governmental proceedings pending or threatened (including any inquiries or investigations by any</w:t>
      </w:r>
      <w:r>
        <w:rPr>
          <w:rFonts w:ascii="Arial" w:cs="Arial" w:eastAsia="Arial" w:hAnsi="Arial"/>
          <w:sz w:val="18"/>
          <w:szCs w:val="18"/>
          <w:i w:val="1"/>
          <w:iCs w:val="1"/>
          <w:color w:val="auto"/>
        </w:rPr>
        <w:t xml:space="preserve"> </w:t>
      </w:r>
      <w:r>
        <w:rPr>
          <w:rFonts w:ascii="Arial" w:cs="Arial" w:eastAsia="Arial" w:hAnsi="Arial"/>
          <w:sz w:val="18"/>
          <w:szCs w:val="18"/>
          <w:color w:val="auto"/>
        </w:rPr>
        <w:t>court or governmental agency or body, domestic or foreign) to which the Company, any of its Subsidiaries and Affiliated Entities or any of its executive officers, directors and key employees is a party or to which any of the properties of the Company or any of its Subsidiaries and Affiliated Entities is subject, which would, individually or in the aggregate, have a Material Adverse Effect.</w:t>
      </w:r>
    </w:p>
    <w:p>
      <w:pPr>
        <w:spacing w:after="0" w:line="186" w:lineRule="exact"/>
        <w:rPr>
          <w:rFonts w:ascii="Arial" w:cs="Arial" w:eastAsia="Arial" w:hAnsi="Arial"/>
          <w:sz w:val="18"/>
          <w:szCs w:val="18"/>
          <w:color w:val="auto"/>
        </w:rPr>
      </w:pPr>
    </w:p>
    <w:p>
      <w:pPr>
        <w:ind w:left="-20" w:right="60" w:firstLine="464"/>
        <w:spacing w:after="0" w:line="264" w:lineRule="auto"/>
        <w:tabs>
          <w:tab w:leader="none" w:pos="82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Preliminary Prospectuses</w:t>
      </w:r>
      <w:r>
        <w:rPr>
          <w:rFonts w:ascii="Arial" w:cs="Arial" w:eastAsia="Arial" w:hAnsi="Arial"/>
          <w:sz w:val="18"/>
          <w:szCs w:val="18"/>
          <w:color w:val="auto"/>
        </w:rPr>
        <w:t>. Each preliminary prospectus filed as part of the registration statement as originally filed or as part of any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or filed pursuant to Rule 424 under the Securities Act, complied when so filed in all material respects with the Securities Act and the applicable rules and regulations of the Commission thereunder.</w:t>
      </w:r>
    </w:p>
    <w:p>
      <w:pPr>
        <w:spacing w:after="0" w:line="181" w:lineRule="exact"/>
        <w:rPr>
          <w:rFonts w:ascii="Arial" w:cs="Arial" w:eastAsia="Arial" w:hAnsi="Arial"/>
          <w:sz w:val="18"/>
          <w:szCs w:val="18"/>
          <w:color w:val="auto"/>
        </w:rPr>
      </w:pPr>
    </w:p>
    <w:p>
      <w:pPr>
        <w:ind w:left="-20" w:right="60" w:firstLine="464"/>
        <w:spacing w:after="0" w:line="264" w:lineRule="auto"/>
        <w:tabs>
          <w:tab w:leader="none" w:pos="82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after giving effect to the offering and sale of the Shares and the application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described in the Time of Sale Prospectus and the Prospectus will not be, required to register as an “investment company” as such term is defined in the Investment Company Act of 1940, as amended.</w:t>
      </w:r>
    </w:p>
    <w:p>
      <w:pPr>
        <w:spacing w:after="0" w:line="181" w:lineRule="exact"/>
        <w:rPr>
          <w:rFonts w:ascii="Arial" w:cs="Arial" w:eastAsia="Arial" w:hAnsi="Arial"/>
          <w:sz w:val="18"/>
          <w:szCs w:val="18"/>
          <w:color w:val="auto"/>
        </w:rPr>
      </w:pPr>
    </w:p>
    <w:p>
      <w:pPr>
        <w:ind w:left="-20" w:firstLine="464"/>
        <w:spacing w:after="0" w:line="297" w:lineRule="auto"/>
        <w:tabs>
          <w:tab w:leader="none" w:pos="86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Environmental Laws. </w:t>
      </w:r>
      <w:r>
        <w:rPr>
          <w:rFonts w:ascii="Arial" w:cs="Arial" w:eastAsia="Arial" w:hAnsi="Arial"/>
          <w:sz w:val="16"/>
          <w:szCs w:val="16"/>
          <w:color w:val="auto"/>
        </w:rPr>
        <w:t>Except as would not, individually or in the aggregate, have a Material Adverse Effect, the Company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and Affiliated Entities (i) are in compliance with any and all applicable national, local and foreign laws and regulations (including, for the avoidance of doubt, all applicable laws and regulations of the PRC)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w:t>
      </w:r>
    </w:p>
    <w:p>
      <w:pPr>
        <w:spacing w:after="0" w:line="158" w:lineRule="exact"/>
        <w:rPr>
          <w:rFonts w:ascii="Arial" w:cs="Arial" w:eastAsia="Arial" w:hAnsi="Arial"/>
          <w:sz w:val="16"/>
          <w:szCs w:val="16"/>
          <w:color w:val="auto"/>
        </w:rPr>
      </w:pPr>
    </w:p>
    <w:p>
      <w:pPr>
        <w:ind w:left="-20" w:right="20" w:firstLine="464"/>
        <w:spacing w:after="0" w:line="291" w:lineRule="auto"/>
        <w:tabs>
          <w:tab w:leader="none" w:pos="82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Registration Rights; Lock-up Letters</w:t>
      </w:r>
      <w:r>
        <w:rPr>
          <w:rFonts w:ascii="Arial" w:cs="Arial" w:eastAsia="Arial" w:hAnsi="Arial"/>
          <w:sz w:val="16"/>
          <w:szCs w:val="16"/>
          <w:color w:val="auto"/>
        </w:rPr>
        <w:t>. Except as disclosed in the Time of Sale Prospectus and the Prospectus, there are no contracts, agreements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 (collectively, “</w:t>
      </w:r>
      <w:r>
        <w:rPr>
          <w:rFonts w:ascii="Arial" w:cs="Arial" w:eastAsia="Arial" w:hAnsi="Arial"/>
          <w:sz w:val="16"/>
          <w:szCs w:val="16"/>
          <w:b w:val="1"/>
          <w:bCs w:val="1"/>
          <w:color w:val="auto"/>
        </w:rPr>
        <w:t>registration rights</w:t>
      </w:r>
      <w:r>
        <w:rPr>
          <w:rFonts w:ascii="Arial" w:cs="Arial" w:eastAsia="Arial" w:hAnsi="Arial"/>
          <w:sz w:val="16"/>
          <w:szCs w:val="16"/>
          <w:color w:val="auto"/>
        </w:rPr>
        <w:t>”), and any person to whom the Company has granted registration rights has agreed not to exercise such rights until after the expiration of the Restricted Period. Each officer, director and shareholder of the Company has furnished to the Representative on or prior to the date hereof a letter or letters substantially in the form of Exhibit B hereto (the “</w:t>
      </w:r>
      <w:r>
        <w:rPr>
          <w:rFonts w:ascii="Arial" w:cs="Arial" w:eastAsia="Arial" w:hAnsi="Arial"/>
          <w:sz w:val="16"/>
          <w:szCs w:val="16"/>
          <w:b w:val="1"/>
          <w:bCs w:val="1"/>
          <w:color w:val="auto"/>
        </w:rPr>
        <w:t>Lock-Up Letter</w:t>
      </w:r>
      <w:r>
        <w:rPr>
          <w:rFonts w:ascii="Arial" w:cs="Arial" w:eastAsia="Arial" w:hAnsi="Arial"/>
          <w:sz w:val="16"/>
          <w:szCs w:val="16"/>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20" w:name="page21"/>
    <w:bookmarkEnd w:id="20"/>
    <w:p>
      <w:pPr>
        <w:ind w:left="-8" w:firstLine="464"/>
        <w:spacing w:after="0" w:line="284" w:lineRule="auto"/>
        <w:tabs>
          <w:tab w:leader="none" w:pos="838"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Compliance with Anti-Corruption Laws. </w:t>
      </w:r>
      <w:r>
        <w:rPr>
          <w:rFonts w:ascii="Arial" w:cs="Arial" w:eastAsia="Arial" w:hAnsi="Arial"/>
          <w:sz w:val="16"/>
          <w:szCs w:val="16"/>
          <w:color w:val="auto"/>
        </w:rPr>
        <w:t>Neither the Company nor any of its Subsidiaries and Affiliated Entities or their respective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or employee thereof nor, to the Company’s knowledge, any affiliate, agent or representative of the Company or of any of its Subsidiaries and Affiliated Entities or their respective affiliates, has (i) used any corporate funds for any unlawful contribution, gift, entertainment or other unlawful expense relating to political activity; (ii)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w:t>
      </w:r>
    </w:p>
    <w:p>
      <w:pPr>
        <w:spacing w:after="0" w:line="2" w:lineRule="exact"/>
        <w:rPr>
          <w:rFonts w:ascii="Arial" w:cs="Arial" w:eastAsia="Arial" w:hAnsi="Arial"/>
          <w:sz w:val="16"/>
          <w:szCs w:val="16"/>
          <w:color w:val="auto"/>
        </w:rPr>
      </w:pPr>
    </w:p>
    <w:p>
      <w:pPr>
        <w:ind w:left="-8" w:right="80" w:firstLine="8"/>
        <w:spacing w:after="0" w:line="270" w:lineRule="auto"/>
        <w:tabs>
          <w:tab w:leader="none" w:pos="307"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made, offered, agreed, requested or taken an act in furtherance of any unlawful bribe or other unlawful benefit, including, without limitation, any rebate, payoff, influence payment, kickback or other unlawful or improper payment or benefit; or (iv) will use, directly or indirectly, the proceeds of the offering in furtherance of an offer, payment, promise to pay, or authorization of the payment or giving of money, or anything else of value, to any person in violation of any applicable anti-corruption laws; and the Company and its Subsidiaries and Affiliated Entities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w:t>
      </w:r>
    </w:p>
    <w:p>
      <w:pPr>
        <w:spacing w:after="0" w:line="178" w:lineRule="exact"/>
        <w:rPr>
          <w:rFonts w:ascii="Arial" w:cs="Arial" w:eastAsia="Arial" w:hAnsi="Arial"/>
          <w:sz w:val="17"/>
          <w:szCs w:val="17"/>
          <w:color w:val="auto"/>
        </w:rPr>
      </w:pPr>
    </w:p>
    <w:p>
      <w:pPr>
        <w:ind w:left="-8" w:right="120" w:firstLine="464"/>
        <w:spacing w:after="0" w:line="271" w:lineRule="auto"/>
        <w:tabs>
          <w:tab w:leader="none" w:pos="828" w:val="left"/>
        </w:tabs>
        <w:numPr>
          <w:ilvl w:val="1"/>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Anti-Money Laundering Laws. </w:t>
      </w:r>
      <w:r>
        <w:rPr>
          <w:rFonts w:ascii="Arial" w:cs="Arial" w:eastAsia="Arial" w:hAnsi="Arial"/>
          <w:sz w:val="17"/>
          <w:szCs w:val="17"/>
          <w:color w:val="auto"/>
        </w:rPr>
        <w:t>The operations of the Company and its Subsidiaries and Affiliated Entities are and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where the Company and its Subsidiaries and Affiliated Entities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w:t>
      </w:r>
      <w:r>
        <w:rPr>
          <w:rFonts w:ascii="Arial" w:cs="Arial" w:eastAsia="Arial" w:hAnsi="Arial"/>
          <w:sz w:val="17"/>
          <w:szCs w:val="17"/>
          <w:color w:val="auto"/>
        </w:rPr>
        <w:t>s”), and no action, suit or proceeding by or before any court or governmental agency, authority or body or any arbitrator involving the Company or any of its Subsidiaries and Affiliated Entities with respect to the Anti-Money Laundering Laws is pending or, to the best knowledge of the Company, threatened.</w:t>
      </w:r>
    </w:p>
    <w:p>
      <w:pPr>
        <w:spacing w:after="0" w:line="179" w:lineRule="exact"/>
        <w:rPr>
          <w:sz w:val="20"/>
          <w:szCs w:val="20"/>
          <w:color w:val="auto"/>
        </w:rPr>
      </w:pPr>
    </w:p>
    <w:p>
      <w:pPr>
        <w:ind w:left="-8" w:right="20" w:firstLine="464"/>
        <w:spacing w:after="0" w:line="264" w:lineRule="auto"/>
        <w:tabs>
          <w:tab w:leader="none" w:pos="90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Compliance with OFAC</w:t>
      </w:r>
      <w:r>
        <w:rPr>
          <w:rFonts w:ascii="Arial" w:cs="Arial" w:eastAsia="Arial" w:hAnsi="Arial"/>
          <w:sz w:val="18"/>
          <w:szCs w:val="18"/>
          <w:color w:val="auto"/>
        </w:rPr>
        <w:t>. (i) Neither the Company nor any of its Subsidiaries and Affiliated Entities, nor any director, officer or employee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nor, to the knowledge of the Company, any agent, affiliate or representative of the Company or any of its Subsidiaries and Affiliated Entities,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86" w:lineRule="exact"/>
        <w:rPr>
          <w:rFonts w:ascii="Arial" w:cs="Arial" w:eastAsia="Arial" w:hAnsi="Arial"/>
          <w:sz w:val="18"/>
          <w:szCs w:val="18"/>
          <w:color w:val="auto"/>
        </w:rPr>
      </w:pPr>
    </w:p>
    <w:p>
      <w:pPr>
        <w:ind w:left="1912" w:right="300" w:hanging="440"/>
        <w:spacing w:after="0" w:line="264" w:lineRule="auto"/>
        <w:tabs>
          <w:tab w:leader="none" w:pos="191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w:t>
      </w:r>
    </w:p>
    <w:p>
      <w:pPr>
        <w:spacing w:after="0" w:line="86" w:lineRule="exact"/>
        <w:rPr>
          <w:rFonts w:ascii="Arial" w:cs="Arial" w:eastAsia="Arial" w:hAnsi="Arial"/>
          <w:sz w:val="18"/>
          <w:szCs w:val="18"/>
          <w:color w:val="auto"/>
        </w:rPr>
      </w:pPr>
    </w:p>
    <w:p>
      <w:pPr>
        <w:ind w:left="1912" w:right="40" w:hanging="440"/>
        <w:spacing w:after="0" w:line="277" w:lineRule="auto"/>
        <w:tabs>
          <w:tab w:leader="none" w:pos="1912" w:val="left"/>
        </w:tabs>
        <w:numPr>
          <w:ilvl w:val="1"/>
          <w:numId w:val="23"/>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Sudan and Syria).</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21" w:name="page22"/>
    <w:bookmarkEnd w:id="21"/>
    <w:p>
      <w:pPr>
        <w:ind w:left="1460" w:right="160" w:hanging="567"/>
        <w:spacing w:after="0" w:line="264"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represents and covenants that the Company and its Subsidiaries and Affiliated Entities will not, directly or indirectly, use the proceeds of the offering, or lend, contribute or otherwise make available such proceeds to any subsidiary, joint venture partner or other Person:</w:t>
      </w:r>
    </w:p>
    <w:p>
      <w:pPr>
        <w:spacing w:after="0" w:line="86" w:lineRule="exact"/>
        <w:rPr>
          <w:rFonts w:ascii="Arial" w:cs="Arial" w:eastAsia="Arial" w:hAnsi="Arial"/>
          <w:sz w:val="18"/>
          <w:szCs w:val="18"/>
          <w:color w:val="auto"/>
        </w:rPr>
      </w:pPr>
    </w:p>
    <w:p>
      <w:pPr>
        <w:ind w:left="1900" w:hanging="440"/>
        <w:spacing w:after="0" w:line="277" w:lineRule="auto"/>
        <w:tabs>
          <w:tab w:leader="none" w:pos="19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or whose government is, the subject of Sanctions; or</w:t>
      </w:r>
    </w:p>
    <w:p>
      <w:pPr>
        <w:spacing w:after="0" w:line="75" w:lineRule="exact"/>
        <w:rPr>
          <w:rFonts w:ascii="Arial" w:cs="Arial" w:eastAsia="Arial" w:hAnsi="Arial"/>
          <w:sz w:val="18"/>
          <w:szCs w:val="18"/>
          <w:color w:val="auto"/>
        </w:rPr>
      </w:pPr>
    </w:p>
    <w:p>
      <w:pPr>
        <w:ind w:left="1900" w:right="240" w:hanging="440"/>
        <w:spacing w:after="0" w:line="277" w:lineRule="auto"/>
        <w:tabs>
          <w:tab w:leader="none" w:pos="19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75" w:lineRule="exact"/>
        <w:rPr>
          <w:rFonts w:ascii="Arial" w:cs="Arial" w:eastAsia="Arial" w:hAnsi="Arial"/>
          <w:sz w:val="18"/>
          <w:szCs w:val="18"/>
          <w:color w:val="auto"/>
        </w:rPr>
      </w:pPr>
    </w:p>
    <w:p>
      <w:pPr>
        <w:ind w:left="1460" w:right="20" w:hanging="567"/>
        <w:spacing w:after="0" w:line="286" w:lineRule="auto"/>
        <w:tabs>
          <w:tab w:leader="none" w:pos="14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Company represents and covenants that, for the past five years, the Company and its Subsidiaries and Affiliated Entities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65" w:lineRule="exact"/>
        <w:rPr>
          <w:rFonts w:ascii="Arial" w:cs="Arial" w:eastAsia="Arial" w:hAnsi="Arial"/>
          <w:sz w:val="17"/>
          <w:szCs w:val="17"/>
          <w:color w:val="auto"/>
        </w:rPr>
      </w:pPr>
    </w:p>
    <w:p>
      <w:pPr>
        <w:ind w:left="-20" w:right="280" w:firstLine="464"/>
        <w:spacing w:after="0" w:line="264" w:lineRule="auto"/>
        <w:tabs>
          <w:tab w:leader="none" w:pos="91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The Time of Sale Prospectus and the Prospectus fairly and accurately describe all material trends, demands,</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events, uncertainties and the potential effects thereof known to the Company, and that the Company believes would materially affect its liquidity and are reasonably likely to occur.</w:t>
      </w:r>
    </w:p>
    <w:p>
      <w:pPr>
        <w:spacing w:after="0" w:line="181" w:lineRule="exact"/>
        <w:rPr>
          <w:rFonts w:ascii="Arial" w:cs="Arial" w:eastAsia="Arial" w:hAnsi="Arial"/>
          <w:sz w:val="18"/>
          <w:szCs w:val="18"/>
          <w:color w:val="auto"/>
        </w:rPr>
      </w:pPr>
    </w:p>
    <w:p>
      <w:pPr>
        <w:ind w:left="-20" w:right="140" w:firstLine="464"/>
        <w:spacing w:after="0" w:line="293" w:lineRule="auto"/>
        <w:tabs>
          <w:tab w:leader="none" w:pos="896"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Title to Property</w:t>
      </w:r>
      <w:r>
        <w:rPr>
          <w:rFonts w:ascii="Arial" w:cs="Arial" w:eastAsia="Arial" w:hAnsi="Arial"/>
          <w:sz w:val="16"/>
          <w:szCs w:val="16"/>
          <w:color w:val="auto"/>
        </w:rPr>
        <w:t>. Each of the Company and its Subsidiaries and Affiliated Entities has good and marketable title to all personal property owned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them which is material to the business of the Company and its Subsidiaries and Affiliated Entities, in each case free and clear of all liens, encumbrances and defects except such as do not materially affect the value of such property and do not interfere with the use made and proposed to be made of such property by the Company and its Subsidiaries and Affiliated Entities; and any real property and buildings held under lease by the Company and its Subsidiaries and Affiliated Entities are held by them under valid, subsisting and enforceable leases with such exceptions as are not material and do not interfere with the use made and proposed to be made of such property and buildings by the Company and its Subsidiaries and Affiliated Entities.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22" w:name="page23"/>
    <w:bookmarkEnd w:id="22"/>
    <w:p>
      <w:pPr>
        <w:ind w:left="-8" w:right="20" w:firstLine="464"/>
        <w:spacing w:after="0" w:line="283" w:lineRule="auto"/>
        <w:tabs>
          <w:tab w:leader="none" w:pos="928"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Possession of Intellectual Property. </w:t>
      </w:r>
      <w:r>
        <w:rPr>
          <w:rFonts w:ascii="Arial" w:cs="Arial" w:eastAsia="Arial" w:hAnsi="Arial"/>
          <w:sz w:val="16"/>
          <w:szCs w:val="16"/>
          <w:color w:val="auto"/>
        </w:rPr>
        <w:t>Except as disclosed in the Time of Sale Prospectus and the Prospectus, the Company and its Subsidiaries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Entities own, possess or can acquire on reasonable terms sufficient trademarks, trade names, patent rights, copyrights, domain names, licenses, approvals, trade secrets, inventions, technology, know-how and other intellectual property and similar rights, including registrations and applications for registration thereof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necessary or material to the conduct of the business now conducted or proposed in the Registration Statement, the Time of Sale Prospectus and the Prospectus to be conducted by them, and the expected expiration of any such Intellectual Property Rights would not, individually or in the aggregate, have a Material Adverse Effect. Except as disclosed in the Time of Sale Prospectus and the Prospectus and except as would not, individually or in the aggregate, have a Material Adverse Effect, (i) there are no rights of third parties to any of the Intellectual Property Rights owned by the Company or its Subsidiaries and Affiliated Entities; (ii) there is no material infringement, misappropriation breach, default or other violation, or the occurrence of any event that with notice or the passage of time would constitute any of the foregoing, by the Company or its Subsidiaries and Affiliated Entities or third parties of any of the Intellectual Property Rights of the Company or its Subsidiaries and Affiliated Entities;</w:t>
      </w:r>
    </w:p>
    <w:p>
      <w:pPr>
        <w:spacing w:after="0" w:line="5" w:lineRule="exact"/>
        <w:rPr>
          <w:rFonts w:ascii="Arial" w:cs="Arial" w:eastAsia="Arial" w:hAnsi="Arial"/>
          <w:sz w:val="16"/>
          <w:szCs w:val="16"/>
          <w:color w:val="auto"/>
        </w:rPr>
      </w:pPr>
    </w:p>
    <w:p>
      <w:pPr>
        <w:ind w:left="-8" w:firstLine="8"/>
        <w:spacing w:after="0" w:line="268" w:lineRule="auto"/>
        <w:tabs>
          <w:tab w:leader="none" w:pos="30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there is no pending or threatened action, suit, proceeding or claim by others challenging the Company’s or the Subsidiaries’ and Affiliated Entities’ rights in or to, or the violation of any of the terms of, any of their Intellectual Property Rights, and 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(v) there is no pending or threatened action, suit, proceeding or claim by others that the Company or any subsidiary infringes, misappropriates or otherwise violates or conflicts with any Intellectual Property Rights or other proprietary rights of others and the Company is unaware of any other fact which would form a reasonable basis for any such claim; and (vi) none of the Intellectual Property Rights used by the Company or its Subsidiaries and Affiliated Entities in their businesses has been obtained or is being used by the Company or its Subsidiaries and Affiliated Entities in violation of any contractual obligation binding on the Company or its Subsidiaries and Affiliated Entities in violation of the rights of any persons.</w:t>
      </w:r>
    </w:p>
    <w:p>
      <w:pPr>
        <w:spacing w:after="0" w:line="182" w:lineRule="exact"/>
        <w:rPr>
          <w:rFonts w:ascii="Arial" w:cs="Arial" w:eastAsia="Arial" w:hAnsi="Arial"/>
          <w:sz w:val="17"/>
          <w:szCs w:val="17"/>
          <w:color w:val="auto"/>
        </w:rPr>
      </w:pPr>
    </w:p>
    <w:p>
      <w:pPr>
        <w:ind w:left="-8" w:right="340" w:firstLine="464"/>
        <w:spacing w:after="0" w:line="259" w:lineRule="auto"/>
        <w:tabs>
          <w:tab w:leader="none" w:pos="908"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Merger or Consolidation. </w:t>
      </w:r>
      <w:r>
        <w:rPr>
          <w:rFonts w:ascii="Arial" w:cs="Arial" w:eastAsia="Arial" w:hAnsi="Arial"/>
          <w:sz w:val="18"/>
          <w:szCs w:val="18"/>
          <w:color w:val="auto"/>
        </w:rPr>
        <w:t>Neither the Company nor any of its Subsidiaries or Affiliated Entities is a party to any effective memorandum of</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letter of intent, definitive agreement or any similar agreements with respect to a merger or consolidation or an acquisition or disposition of assets, technologies, business units or businesses which is required to be described in the Registration Statement, the Time of Sale Prospectus and the Prospectus and which is not so described.</w:t>
      </w:r>
    </w:p>
    <w:p>
      <w:pPr>
        <w:spacing w:after="0" w:line="186" w:lineRule="exact"/>
        <w:rPr>
          <w:rFonts w:ascii="Arial" w:cs="Arial" w:eastAsia="Arial" w:hAnsi="Arial"/>
          <w:sz w:val="18"/>
          <w:szCs w:val="18"/>
          <w:color w:val="auto"/>
        </w:rPr>
      </w:pPr>
    </w:p>
    <w:p>
      <w:pPr>
        <w:ind w:left="-8" w:right="280" w:firstLine="464"/>
        <w:spacing w:after="0" w:line="302" w:lineRule="auto"/>
        <w:tabs>
          <w:tab w:leader="none" w:pos="865"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Contracts. </w:t>
      </w:r>
      <w:r>
        <w:rPr>
          <w:rFonts w:ascii="Arial" w:cs="Arial" w:eastAsia="Arial" w:hAnsi="Arial"/>
          <w:sz w:val="16"/>
          <w:szCs w:val="16"/>
          <w:color w:val="auto"/>
        </w:rPr>
        <w:t>Neither the Company nor any of its Subsidiaries or Affiliated Entities has sent or received any communication</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termination of, or intent not to renew, any of the material contracts or agreements referred to or described in the Time of Sale Prospectus and the Prospectus or filed as an exhibit to the Registration Statement, and no such termination or non-renewal has been threatened by the Company or any of its Subsidiaries or Affiliated Entities, or to the best knowledge of the Company after due inquiry, by any other party to any such contract or agreement.</w:t>
      </w:r>
    </w:p>
    <w:p>
      <w:pPr>
        <w:spacing w:after="0" w:line="154" w:lineRule="exact"/>
        <w:rPr>
          <w:rFonts w:ascii="Arial" w:cs="Arial" w:eastAsia="Arial" w:hAnsi="Arial"/>
          <w:sz w:val="16"/>
          <w:szCs w:val="16"/>
          <w:color w:val="auto"/>
        </w:rPr>
      </w:pPr>
    </w:p>
    <w:p>
      <w:pPr>
        <w:ind w:left="-8" w:firstLine="464"/>
        <w:spacing w:after="0" w:line="273" w:lineRule="auto"/>
        <w:tabs>
          <w:tab w:leader="none" w:pos="918" w:val="left"/>
        </w:tabs>
        <w:numPr>
          <w:ilvl w:val="1"/>
          <w:numId w:val="27"/>
        </w:numPr>
        <w:rPr>
          <w:rFonts w:ascii="Arial" w:cs="Arial" w:eastAsia="Arial" w:hAnsi="Arial"/>
          <w:sz w:val="17"/>
          <w:szCs w:val="17"/>
          <w:color w:val="auto"/>
        </w:rPr>
      </w:pPr>
      <w:r>
        <w:rPr>
          <w:rFonts w:ascii="Arial" w:cs="Arial" w:eastAsia="Arial" w:hAnsi="Arial"/>
          <w:sz w:val="17"/>
          <w:szCs w:val="17"/>
          <w:color w:val="auto"/>
        </w:rPr>
        <w:t>Absence of Labor Dispute; Compliance with Labor Law. No material labor dispute with the employees or third-party contractors of the Company or any of its Subsidiaries and Affiliated Entities exists, or, to the best knowledge of the Company, is imminent; and the Company is not aware of any existing, threatened or imminent labor disturbance by the employees of any of the principal suppliers, manufacturers or contractors of the Company and its Subsidiaries and Affiliated Entities that could have a Material Adverse Effect. The Company and its Subsidiaries and Affiliated Entities are and have been in all times in material compliance with applicable labor laws and regulations in all material respects,, and no governmental investigation or proceedings with respect to labor law compliance exists, or to the best knowledge of the Company, is imminent.</w:t>
      </w:r>
    </w:p>
    <w:p>
      <w:pPr>
        <w:spacing w:after="0" w:line="178" w:lineRule="exact"/>
        <w:rPr>
          <w:rFonts w:ascii="Arial" w:cs="Arial" w:eastAsia="Arial" w:hAnsi="Arial"/>
          <w:sz w:val="17"/>
          <w:szCs w:val="17"/>
          <w:color w:val="auto"/>
        </w:rPr>
      </w:pPr>
    </w:p>
    <w:p>
      <w:pPr>
        <w:ind w:left="-8" w:right="240" w:firstLine="464"/>
        <w:spacing w:after="0" w:line="255" w:lineRule="auto"/>
        <w:tabs>
          <w:tab w:leader="none" w:pos="928"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Insurance. Except as disclosed in the Time of Sale Prospectus and the Prospectus, each of the Company and its Subsidiaries and Affiliated Entities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and neither the Company nor any of its Subsidiaries and Affiliated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74" w:right="239" w:bottom="1440" w:gutter="0" w:footer="0" w:header="0"/>
        </w:sectPr>
      </w:pPr>
    </w:p>
    <w:bookmarkStart w:id="23" w:name="page24"/>
    <w:bookmarkEnd w:id="23"/>
    <w:p>
      <w:pPr>
        <w:ind w:firstLine="464"/>
        <w:spacing w:after="0" w:line="288" w:lineRule="auto"/>
        <w:tabs>
          <w:tab w:leader="none" w:pos="856"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Possession of Licenses and Permits. </w:t>
      </w:r>
      <w:r>
        <w:rPr>
          <w:rFonts w:ascii="Arial" w:cs="Arial" w:eastAsia="Arial" w:hAnsi="Arial"/>
          <w:sz w:val="16"/>
          <w:szCs w:val="16"/>
          <w:color w:val="auto"/>
        </w:rPr>
        <w:t>Except as disclosed in the Time of Sale Prospectus and the Prospectus, each of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and Affiliated Entities possesses all licenses, certificates, authorizations, declarations and permits issued by, and has made all necessary reports to and filings with, the appropriate national, local or foreign regulatory authorities having jurisdiction over the Company and each of its Subsidiaries and Affiliated Entities and their respective assets and properties, for the Company and each of its Subsidiaries and Affiliated Entities to conduct their respective businesses; each of the Company and its Subsidiaries and Affiliated Entities is in material compliance with the terms and conditions of all such licenses, certificates, authorizations and permits; such licenses, certificates, authorizations and permits are valid and in full force and effect and contain no materially burdensome restrictions or conditions not described in the Time of Sale Prospectus or the Prospectus; neither the Company nor any of its Subsidiaries and Affiliated Entities has received any notice of proceedings relating to the revocation or modification of any such license, certificate, authorization or permit; neither the Company nor any of its Subsidiaries has any reason to believe that any such license, certificate, authorization or permit will not be renewed in the ordinary course, except for failure to renew such license, certificate, authorization or permit would not cause a Material Adverse Effect.</w:t>
      </w:r>
    </w:p>
    <w:p>
      <w:pPr>
        <w:spacing w:after="0" w:line="169" w:lineRule="exact"/>
        <w:rPr>
          <w:rFonts w:ascii="Arial" w:cs="Arial" w:eastAsia="Arial" w:hAnsi="Arial"/>
          <w:sz w:val="16"/>
          <w:szCs w:val="16"/>
          <w:color w:val="auto"/>
        </w:rPr>
      </w:pPr>
    </w:p>
    <w:p>
      <w:pPr>
        <w:ind w:right="40" w:firstLine="464"/>
        <w:spacing w:after="0" w:line="312" w:lineRule="auto"/>
        <w:tabs>
          <w:tab w:leader="none" w:pos="856"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Related Party Transactions. </w:t>
      </w:r>
      <w:r>
        <w:rPr>
          <w:rFonts w:ascii="Arial" w:cs="Arial" w:eastAsia="Arial" w:hAnsi="Arial"/>
          <w:sz w:val="16"/>
          <w:szCs w:val="16"/>
          <w:color w:val="auto"/>
        </w:rPr>
        <w:t>No material relationships or material transactions, direct or indirect that is required to be disclosed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exist between any of the Company or its Subsidiaries and Affiliated Entities on the one hand and their respective shareholders, affiliates, officers and directors or any affiliates or family members of such persons on the other hand, except as described in the Time of Sale Prospectus and the Prospectus.</w:t>
      </w:r>
    </w:p>
    <w:p>
      <w:pPr>
        <w:spacing w:after="0" w:line="146" w:lineRule="exact"/>
        <w:rPr>
          <w:rFonts w:ascii="Arial" w:cs="Arial" w:eastAsia="Arial" w:hAnsi="Arial"/>
          <w:sz w:val="16"/>
          <w:szCs w:val="16"/>
          <w:color w:val="auto"/>
        </w:rPr>
      </w:pPr>
    </w:p>
    <w:p>
      <w:pPr>
        <w:ind w:right="120" w:firstLine="464"/>
        <w:spacing w:after="0" w:line="264" w:lineRule="auto"/>
        <w:tabs>
          <w:tab w:leader="none" w:pos="93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PFIC Status</w:t>
      </w:r>
      <w:r>
        <w:rPr>
          <w:rFonts w:ascii="Arial" w:cs="Arial" w:eastAsia="Arial" w:hAnsi="Arial"/>
          <w:sz w:val="18"/>
          <w:szCs w:val="18"/>
          <w:color w:val="auto"/>
        </w:rPr>
        <w:t>. Based on the Company’s current and expected income and assets and the market value of its American Depositary Shares,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expect to be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within the meaning of Section 1297 of the United States Internal Revenue Code of 1986, as amended, for its current taxable year or in the foreseeable future.</w:t>
      </w:r>
    </w:p>
    <w:p>
      <w:pPr>
        <w:spacing w:after="0" w:line="181" w:lineRule="exact"/>
        <w:rPr>
          <w:rFonts w:ascii="Arial" w:cs="Arial" w:eastAsia="Arial" w:hAnsi="Arial"/>
          <w:sz w:val="18"/>
          <w:szCs w:val="18"/>
          <w:color w:val="auto"/>
        </w:rPr>
      </w:pPr>
    </w:p>
    <w:p>
      <w:pPr>
        <w:ind w:left="860" w:hanging="396"/>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No Transaction or Other Taxes</w:t>
      </w:r>
      <w:r>
        <w:rPr>
          <w:rFonts w:ascii="Arial" w:cs="Arial" w:eastAsia="Arial" w:hAnsi="Arial"/>
          <w:sz w:val="17"/>
          <w:szCs w:val="17"/>
          <w:color w:val="auto"/>
        </w:rPr>
        <w:t>. Except as disclosed in the Time of Sale Prospectus and the Prospectus, no transaction, stamp, capital,</w:t>
      </w:r>
    </w:p>
    <w:p>
      <w:pPr>
        <w:spacing w:after="0" w:line="34" w:lineRule="exact"/>
        <w:rPr>
          <w:rFonts w:ascii="Arial" w:cs="Arial" w:eastAsia="Arial" w:hAnsi="Arial"/>
          <w:sz w:val="17"/>
          <w:szCs w:val="17"/>
          <w:color w:val="auto"/>
        </w:rPr>
      </w:pPr>
    </w:p>
    <w:p>
      <w:pPr>
        <w:ind w:right="120"/>
        <w:spacing w:after="0" w:line="287" w:lineRule="auto"/>
        <w:rPr>
          <w:rFonts w:ascii="Arial" w:cs="Arial" w:eastAsia="Arial" w:hAnsi="Arial"/>
          <w:sz w:val="17"/>
          <w:szCs w:val="17"/>
          <w:color w:val="auto"/>
        </w:rPr>
      </w:pPr>
      <w:r>
        <w:rPr>
          <w:rFonts w:ascii="Arial" w:cs="Arial" w:eastAsia="Arial" w:hAnsi="Arial"/>
          <w:sz w:val="16"/>
          <w:szCs w:val="16"/>
          <w:color w:val="auto"/>
        </w:rPr>
        <w:t>documentary, issuance, registration, transaction, transfer, withholding, income or other taxes or duties are payable by or on behalf of the Underwriters, or the Company, Subsidiaries or Affiliated Entities, in each case, to the government of the PRC, Hong Kong or Cayman Islands or any political subdivision or taxing authority thereof in connection with (i) the creation, allotment, issuance, sale and delivery of the Shares by the Company or the deposit of the Shares with the Depositary and the Custodian, as defined in the Deposit Agreement (the “</w:t>
      </w:r>
      <w:r>
        <w:rPr>
          <w:rFonts w:ascii="Arial" w:cs="Arial" w:eastAsia="Arial" w:hAnsi="Arial"/>
          <w:sz w:val="16"/>
          <w:szCs w:val="16"/>
          <w:b w:val="1"/>
          <w:bCs w:val="1"/>
          <w:color w:val="auto"/>
        </w:rPr>
        <w:t>Custodian</w:t>
      </w:r>
      <w:r>
        <w:rPr>
          <w:rFonts w:ascii="Arial" w:cs="Arial" w:eastAsia="Arial" w:hAnsi="Arial"/>
          <w:sz w:val="16"/>
          <w:szCs w:val="16"/>
          <w:color w:val="auto"/>
        </w:rPr>
        <w:t>”), the issuance of the American Depositary Shares by the Depositary, and the delivery of the American Depositary Shares to or for the account of the Underwriters, (ii) the purchase from the Company of the Shares and the initial sale and delivery of the American Depositary Shares representing the Shares to purchasers thereof by the Underwriters, or (iii) the execution, delivery, performance or enforcement of this Agreement or the Deposit Agreement; except that Cayman Islands and PRC stamp duty may be payable in the event that this Agreement or the Deposit Agreement is executed in or brought within the jurisdiction of the Cayman Islands or the PRC,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4" w:name="page25"/>
    <w:bookmarkEnd w:id="24"/>
    <w:p>
      <w:pPr>
        <w:jc w:val="both"/>
        <w:ind w:left="-8" w:right="100" w:firstLine="464"/>
        <w:spacing w:after="0" w:line="286" w:lineRule="auto"/>
        <w:tabs>
          <w:tab w:leader="none" w:pos="1028"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Accountants</w:t>
      </w:r>
      <w:r>
        <w:rPr>
          <w:rFonts w:ascii="Arial" w:cs="Arial" w:eastAsia="Arial" w:hAnsi="Arial"/>
          <w:sz w:val="17"/>
          <w:szCs w:val="17"/>
          <w:color w:val="auto"/>
        </w:rPr>
        <w:t>. PricewaterhouseCoopers LLP, whose reports on the consolidated financial statements of the Company are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Time of Sale Prospectus and the Prospectus, are independent registered public accountants with respect to the Company as required by the Securities Act and by the rules of the Public Company Accounting Oversight Board.</w:t>
      </w:r>
    </w:p>
    <w:p>
      <w:pPr>
        <w:spacing w:after="0" w:line="165" w:lineRule="exact"/>
        <w:rPr>
          <w:rFonts w:ascii="Arial" w:cs="Arial" w:eastAsia="Arial" w:hAnsi="Arial"/>
          <w:sz w:val="17"/>
          <w:szCs w:val="17"/>
          <w:color w:val="auto"/>
        </w:rPr>
      </w:pPr>
    </w:p>
    <w:p>
      <w:pPr>
        <w:ind w:left="-8" w:right="20" w:firstLine="464"/>
        <w:spacing w:after="0" w:line="269" w:lineRule="auto"/>
        <w:tabs>
          <w:tab w:leader="none" w:pos="928"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Financial Statements</w:t>
      </w:r>
      <w:r>
        <w:rPr>
          <w:rFonts w:ascii="Arial" w:cs="Arial" w:eastAsia="Arial" w:hAnsi="Arial"/>
          <w:sz w:val="17"/>
          <w:szCs w:val="17"/>
          <w:color w:val="auto"/>
        </w:rPr>
        <w:t>. The financial statements included in the Registration Statement, the Time of Sale Prospectus and the Prospectus,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related notes and schedules thereto, present fairly the consolidated financial position of the Company and the Subsidiaries and Affiliated Entities as of the dates indicated and the consolidated results of operations, cash flows and changes in shareholders’ equity of the Company for the periods specified and have been prepared in compliance as to form in all material respects with the applicable accounting requirements of the Securities Act and the related rules and regulations adopted by the Commission and in conformity with United States generally accepted accounting principles applied on a consistent basis during the periods involved; the other financial data contained in the Registration Statement, the Time of Sale Prospectus and the Prospectus are accurately and fairly presented and prepared on a basis consistent with the financial statements and books and records of the Company, and all disclosures regarding “Non-GAAP financial measures” (as such term is defined in the rules and regulations of the Commission) comply to the extent applicable with Item 10 of Regulation S-K of the Securities Act; there are no financial statements (historical or pro forma) that are required to be included in the Registration Statement, the Time of Sale Prospectus or the Prospectus that are not included as required; and the Company and the Subsidiaries and Affiliated Entities do not have any material liabilities or obligations, direct or contingent (including any off-balance sheet obligations) not described in the Registration Statement, the Time of Sale Prospectus and the Prospectus.</w:t>
      </w:r>
    </w:p>
    <w:p>
      <w:pPr>
        <w:spacing w:after="0" w:line="179" w:lineRule="exact"/>
        <w:rPr>
          <w:rFonts w:ascii="Arial" w:cs="Arial" w:eastAsia="Arial" w:hAnsi="Arial"/>
          <w:sz w:val="17"/>
          <w:szCs w:val="17"/>
          <w:color w:val="auto"/>
        </w:rPr>
      </w:pPr>
    </w:p>
    <w:p>
      <w:pPr>
        <w:jc w:val="both"/>
        <w:ind w:left="-8" w:firstLine="464"/>
        <w:spacing w:after="0" w:line="288" w:lineRule="auto"/>
        <w:tabs>
          <w:tab w:leader="none" w:pos="928"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Critical Accounting Policies</w:t>
      </w:r>
      <w:r>
        <w:rPr>
          <w:rFonts w:ascii="Arial" w:cs="Arial" w:eastAsia="Arial" w:hAnsi="Arial"/>
          <w:sz w:val="16"/>
          <w:szCs w:val="16"/>
          <w:color w:val="auto"/>
        </w:rPr>
        <w:t>. The section entitled “Management’s Discussion and Analysis of Financial Condition and Results of Operations”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of Sale Prospectus and the Prospectus accurately and fairly describes (i) the accounting policies that the Company believes are the most important in the portrayal of the Company’s financial condition and results of operations and that require management’s most difficult subjective or complex judgment;</w:t>
      </w:r>
    </w:p>
    <w:p>
      <w:pPr>
        <w:ind w:left="-8" w:firstLine="8"/>
        <w:spacing w:after="0" w:line="269" w:lineRule="auto"/>
        <w:tabs>
          <w:tab w:leader="none" w:pos="25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material judgments and uncertainties affecting the application of critical accounting policies and estimates; (iii) the likelihood that materially different amounts would be reported under different conditions or using different assumptions and an explanation thereof; (iv) all material trends, demands, commitments and events known to the Company, and uncertainties, and the potential effects thereof, that the Company believes would materially affect its liquidity and are reasonably likely to occur; and (v) all material off-balance sheet commitments and arrangements of the Company and its Subsidiaries and Affiliated Entities, if any. The Company’s directors and management have reviewed and agreed with the selection, application and disclosure of the Company’s critical accounting policies as described in the Registration Statement, the Time of Sale Prospectus and the Prospectus and have consulted with its independent accountants with regards to such disclosure.</w:t>
      </w:r>
    </w:p>
    <w:p>
      <w:pPr>
        <w:spacing w:after="0" w:line="1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274" w:right="279" w:bottom="1440" w:gutter="0" w:footer="0" w:header="0"/>
        </w:sectPr>
      </w:pPr>
    </w:p>
    <w:bookmarkStart w:id="25" w:name="page26"/>
    <w:bookmarkEnd w:id="25"/>
    <w:p>
      <w:pPr>
        <w:ind w:left="-8" w:right="20" w:firstLine="464"/>
        <w:spacing w:after="0" w:line="284" w:lineRule="auto"/>
        <w:tabs>
          <w:tab w:leader="none" w:pos="928"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Internal Controls and Compliance with the Sarbanes-Oxley Act. </w:t>
      </w:r>
      <w:r>
        <w:rPr>
          <w:rFonts w:ascii="Arial" w:cs="Arial" w:eastAsia="Arial" w:hAnsi="Arial"/>
          <w:sz w:val="16"/>
          <w:szCs w:val="16"/>
          <w:color w:val="auto"/>
        </w:rPr>
        <w:t>The Company, its Subsidiaries and Affiliated Entities and the Company’s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(the “</w:t>
      </w:r>
      <w:r>
        <w:rPr>
          <w:rFonts w:ascii="Arial" w:cs="Arial" w:eastAsia="Arial" w:hAnsi="Arial"/>
          <w:sz w:val="16"/>
          <w:szCs w:val="16"/>
          <w:b w:val="1"/>
          <w:bCs w:val="1"/>
          <w:color w:val="auto"/>
        </w:rPr>
        <w:t>Board</w:t>
      </w:r>
      <w:r>
        <w:rPr>
          <w:rFonts w:ascii="Arial" w:cs="Arial" w:eastAsia="Arial" w:hAnsi="Arial"/>
          <w:sz w:val="16"/>
          <w:szCs w:val="16"/>
          <w:color w:val="auto"/>
        </w:rPr>
        <w:t>”) are in compliance with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and all applicable rules of the NASDAQ Global Market. Except as disclosed in the Time of Sale Prospectus and the Prospectus,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Arial" w:cs="Arial" w:eastAsia="Arial" w:hAnsi="Arial"/>
          <w:sz w:val="16"/>
          <w:szCs w:val="16"/>
          <w:b w:val="1"/>
          <w:bCs w:val="1"/>
          <w:color w:val="auto"/>
        </w:rPr>
        <w:t>Internal Controls</w:t>
      </w:r>
      <w:r>
        <w:rPr>
          <w:rFonts w:ascii="Arial" w:cs="Arial" w:eastAsia="Arial" w:hAnsi="Arial"/>
          <w:sz w:val="16"/>
          <w:szCs w:val="16"/>
          <w:color w:val="auto"/>
        </w:rPr>
        <w:t>”) that comply with all applicable laws and regulations including without limitation the Securities Act, the Exchange Act, the Sarbanes-Oxley Act, the rules and regulations of the Commission, the rules of the NASDAQ Global Market and are sufficient to provide reasonable assurances that (i) transactions are executed in accordance with management’s general or specific authorizations,</w:t>
      </w:r>
    </w:p>
    <w:p>
      <w:pPr>
        <w:spacing w:after="0" w:line="2" w:lineRule="exact"/>
        <w:rPr>
          <w:rFonts w:ascii="Arial" w:cs="Arial" w:eastAsia="Arial" w:hAnsi="Arial"/>
          <w:sz w:val="16"/>
          <w:szCs w:val="16"/>
          <w:color w:val="auto"/>
        </w:rPr>
      </w:pPr>
    </w:p>
    <w:p>
      <w:pPr>
        <w:ind w:left="-8" w:right="40" w:firstLine="8"/>
        <w:spacing w:after="0" w:line="267" w:lineRule="auto"/>
        <w:tabs>
          <w:tab w:leader="none" w:pos="25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Internal Controls are, or upon consummation of the offering of the Shares will be, overseen by the Audit Committee (the “</w:t>
      </w:r>
      <w:r>
        <w:rPr>
          <w:rFonts w:ascii="Arial" w:cs="Arial" w:eastAsia="Arial" w:hAnsi="Arial"/>
          <w:sz w:val="17"/>
          <w:szCs w:val="17"/>
          <w:b w:val="1"/>
          <w:bCs w:val="1"/>
          <w:color w:val="auto"/>
        </w:rPr>
        <w:t>Audit</w:t>
      </w:r>
      <w:r>
        <w:rPr>
          <w:rFonts w:ascii="Arial" w:cs="Arial" w:eastAsia="Arial" w:hAnsi="Arial"/>
          <w:sz w:val="17"/>
          <w:szCs w:val="17"/>
          <w:color w:val="auto"/>
        </w:rPr>
        <w:t xml:space="preserve"> </w:t>
      </w:r>
      <w:r>
        <w:rPr>
          <w:rFonts w:ascii="Arial" w:cs="Arial" w:eastAsia="Arial" w:hAnsi="Arial"/>
          <w:sz w:val="17"/>
          <w:szCs w:val="17"/>
          <w:b w:val="1"/>
          <w:bCs w:val="1"/>
          <w:color w:val="auto"/>
        </w:rPr>
        <w:t>Committee</w:t>
      </w:r>
      <w:r>
        <w:rPr>
          <w:rFonts w:ascii="Arial" w:cs="Arial" w:eastAsia="Arial" w:hAnsi="Arial"/>
          <w:sz w:val="17"/>
          <w:szCs w:val="17"/>
          <w:color w:val="auto"/>
        </w:rPr>
        <w:t>”) of the Board in accordance with the rules of the NASDAQ Global Market. Except as disclosed in the Time of Sale Prospectus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Prospectus, the Company has not publicly disclosed or reported to the Audit Committee or the Board, and within the next 135 days the Company does not reasonably expect to publicly disclose or report to the Audit Committee or the Board, a significant deficiency, material weakness, change in Internal Controls or fraud involving management or other employees who have a significant role in Internal Controls (each, an “</w:t>
      </w:r>
      <w:r>
        <w:rPr>
          <w:rFonts w:ascii="Arial" w:cs="Arial" w:eastAsia="Arial" w:hAnsi="Arial"/>
          <w:sz w:val="17"/>
          <w:szCs w:val="17"/>
          <w:b w:val="1"/>
          <w:bCs w:val="1"/>
          <w:color w:val="auto"/>
        </w:rPr>
        <w:t>Internal Control Event</w:t>
      </w:r>
      <w:r>
        <w:rPr>
          <w:rFonts w:ascii="Arial" w:cs="Arial" w:eastAsia="Arial" w:hAnsi="Arial"/>
          <w:sz w:val="17"/>
          <w:szCs w:val="17"/>
          <w:color w:val="auto"/>
        </w:rPr>
        <w:t>”), any violation of, or failure to comply with, such laws and regulations, or any matter which, if determined adversely, would have a Material Adverse Effect. Each of the Company’s independent directors meets the criteria for “independence” under the Sarbanes-Oxley Act, the rules and regulations of the Commission and the rules of NASDAQ Global Market.</w:t>
      </w:r>
    </w:p>
    <w:p>
      <w:pPr>
        <w:spacing w:after="0" w:line="186" w:lineRule="exact"/>
        <w:rPr>
          <w:rFonts w:ascii="Arial" w:cs="Arial" w:eastAsia="Arial" w:hAnsi="Arial"/>
          <w:sz w:val="17"/>
          <w:szCs w:val="17"/>
          <w:color w:val="auto"/>
        </w:rPr>
      </w:pPr>
    </w:p>
    <w:p>
      <w:pPr>
        <w:ind w:left="-8" w:firstLine="464"/>
        <w:spacing w:after="0" w:line="257" w:lineRule="auto"/>
        <w:tabs>
          <w:tab w:leader="none" w:pos="928"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Absence of Accounting Issues. </w:t>
      </w:r>
      <w:r>
        <w:rPr>
          <w:rFonts w:ascii="Arial" w:cs="Arial" w:eastAsia="Arial" w:hAnsi="Arial"/>
          <w:sz w:val="18"/>
          <w:szCs w:val="18"/>
          <w:color w:val="auto"/>
        </w:rPr>
        <w:t>The Company has not received any notice, oral or written, from the Board stating that it is reviewing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investigating, and the Company’s independent auditors have not recommended that the Board review or investigate, (i) adding to, deleting, changing the application of, or changing the Company’s disclosure with respect to, any of the Company’s material accounting policies; (ii) any matter which could result in a restatement of the Company’s financial statements for any annual or interim period during the current or prior three fiscal years; or (iii) any Internal Control Event.</w:t>
      </w:r>
    </w:p>
    <w:p>
      <w:pPr>
        <w:spacing w:after="0" w:line="188" w:lineRule="exact"/>
        <w:rPr>
          <w:rFonts w:ascii="Arial" w:cs="Arial" w:eastAsia="Arial" w:hAnsi="Arial"/>
          <w:sz w:val="18"/>
          <w:szCs w:val="18"/>
          <w:color w:val="auto"/>
        </w:rPr>
      </w:pPr>
    </w:p>
    <w:p>
      <w:pPr>
        <w:jc w:val="both"/>
        <w:ind w:left="-8" w:right="60" w:firstLine="464"/>
        <w:spacing w:after="0" w:line="312" w:lineRule="auto"/>
        <w:tabs>
          <w:tab w:leader="none" w:pos="868"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Third-party Data</w:t>
      </w:r>
      <w:r>
        <w:rPr>
          <w:rFonts w:ascii="Arial" w:cs="Arial" w:eastAsia="Arial" w:hAnsi="Arial"/>
          <w:sz w:val="16"/>
          <w:szCs w:val="16"/>
          <w:color w:val="auto"/>
        </w:rPr>
        <w:t>. Any statistical, industry-related and market-related data included in the Registration Statement, the Time of Sale Prospectus or</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are based on or derived from sources that the Company reasonably and in good faith believes to be reliable and accurate, and such data agree with the sources from which they are derived, and the Company has obtained the written consent for the use of such data from such sources to the extent required.</w:t>
      </w:r>
    </w:p>
    <w:p>
      <w:pPr>
        <w:spacing w:after="0" w:line="146" w:lineRule="exact"/>
        <w:rPr>
          <w:rFonts w:ascii="Arial" w:cs="Arial" w:eastAsia="Arial" w:hAnsi="Arial"/>
          <w:sz w:val="16"/>
          <w:szCs w:val="16"/>
          <w:color w:val="auto"/>
        </w:rPr>
      </w:pPr>
    </w:p>
    <w:p>
      <w:pPr>
        <w:ind w:left="-8" w:right="80" w:firstLine="464"/>
        <w:spacing w:after="0" w:line="264" w:lineRule="auto"/>
        <w:tabs>
          <w:tab w:leader="none" w:pos="888"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Exhibits. </w:t>
      </w:r>
      <w:r>
        <w:rPr>
          <w:rFonts w:ascii="Arial" w:cs="Arial" w:eastAsia="Arial" w:hAnsi="Arial"/>
          <w:sz w:val="18"/>
          <w:szCs w:val="18"/>
          <w:color w:val="auto"/>
        </w:rPr>
        <w:t>There are no legal or governmental proceedings or contracts or other documents of a character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Registration Statement, the ADS Registration Statement or the Exchange Act Registration Statement or, in the case of documents, to be filed as exhibits to the Registration Statement, that are not described and filed as required.</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74" w:right="259" w:bottom="1440" w:gutter="0" w:footer="0" w:header="0"/>
        </w:sectPr>
      </w:pPr>
    </w:p>
    <w:bookmarkStart w:id="26" w:name="page27"/>
    <w:bookmarkEnd w:id="26"/>
    <w:p>
      <w:pPr>
        <w:ind w:left="-20" w:firstLine="464"/>
        <w:spacing w:after="0" w:line="302" w:lineRule="auto"/>
        <w:tabs>
          <w:tab w:leader="none" w:pos="83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Unapproved Marketing Documents. </w:t>
      </w:r>
      <w:r>
        <w:rPr>
          <w:rFonts w:ascii="Arial" w:cs="Arial" w:eastAsia="Arial" w:hAnsi="Arial"/>
          <w:sz w:val="16"/>
          <w:szCs w:val="16"/>
          <w:color w:val="auto"/>
        </w:rPr>
        <w:t>The Company has not distributed and, prior to the later to occur of any delivery date and completion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distribution of the Shares, will not distribute any offering material in connection with the offering and sale of the Shares other than the preliminary prospectus filed as part of the Registration Statement as originally confidentially submitted or as part of any amendment thereto, the Prospectus and any issuer free writing prospectus to which the Representative has consented to in accordance with this Agreement or as set forth on Schedule II hereto.</w:t>
      </w:r>
    </w:p>
    <w:p>
      <w:pPr>
        <w:spacing w:after="0" w:line="154" w:lineRule="exact"/>
        <w:rPr>
          <w:rFonts w:ascii="Arial" w:cs="Arial" w:eastAsia="Arial" w:hAnsi="Arial"/>
          <w:sz w:val="16"/>
          <w:szCs w:val="16"/>
          <w:color w:val="auto"/>
        </w:rPr>
      </w:pPr>
    </w:p>
    <w:p>
      <w:pPr>
        <w:ind w:left="-20" w:right="140" w:firstLine="464"/>
        <w:spacing w:after="0" w:line="289" w:lineRule="auto"/>
        <w:tabs>
          <w:tab w:leader="none" w:pos="91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Payments of Dividends; Payments in Foreign Currency. </w:t>
      </w:r>
      <w:r>
        <w:rPr>
          <w:rFonts w:ascii="Arial" w:cs="Arial" w:eastAsia="Arial" w:hAnsi="Arial"/>
          <w:sz w:val="16"/>
          <w:szCs w:val="16"/>
          <w:color w:val="auto"/>
        </w:rPr>
        <w:t>Except as described in the Time of Sale Prospectus and Prospectus, (i) none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nor any of its Subsidiaries and Affiliated Entities is prohibited, directly or indirectly, from (A) paying any dividends or making any other distributions on its share capital, (B) making or repaying any loan or advance to the Company or any other Subsidiary or Affiliated Entity or (C) transferring any of its properties or assets to the Company or any other Subsidiary or Affiliated Entity; and (ii) all dividends and other distributions declared and payable upon the share capital of the Company or any of its Subsidiaries and Affiliated Entities (A) may be converted into United States dollars, that may be freely transferred out of such Person’s jurisdiction of incorporation, without the consent, approval, authorization or order of, or qualification with, any court or governmental agency or body in such Person’s jurisdiction of incorporation or tax residence; and (B) are not and will not be subject to withholding, value added or other taxes under the currently effective laws and regulations of the PRC, Hong Kong and the Cayman Islands, without the necessity of obtaining any consents, approvals, authorizations, orders, registrations, clearances or qualifications of or with any court or governmental agency.</w:t>
      </w:r>
    </w:p>
    <w:p>
      <w:pPr>
        <w:spacing w:after="0" w:line="166" w:lineRule="exact"/>
        <w:rPr>
          <w:rFonts w:ascii="Arial" w:cs="Arial" w:eastAsia="Arial" w:hAnsi="Arial"/>
          <w:sz w:val="16"/>
          <w:szCs w:val="16"/>
          <w:color w:val="auto"/>
        </w:rPr>
      </w:pPr>
    </w:p>
    <w:p>
      <w:pPr>
        <w:ind w:left="-20" w:right="120" w:firstLine="464"/>
        <w:spacing w:after="0" w:line="290" w:lineRule="auto"/>
        <w:tabs>
          <w:tab w:leader="none" w:pos="91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PRC Overseas Investment and Listing Regulations. </w:t>
      </w:r>
      <w:r>
        <w:rPr>
          <w:rFonts w:ascii="Arial" w:cs="Arial" w:eastAsia="Arial" w:hAnsi="Arial"/>
          <w:sz w:val="16"/>
          <w:szCs w:val="16"/>
          <w:color w:val="auto"/>
        </w:rPr>
        <w:t>Except as described in the Time of Sale Prospectus and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Company and its Subsidiaries and Affiliated Entities has complied, and has taken all reasonable steps to ensure compliance by each of its shareholders, directors and officers that is, or is directly or indirectly owned or controlled by, a PRC resident or citizen with any applicable rules and regulations of the relevant PRC government agencies (including but not limited to the Ministry of Commerce, the National Development and Reform Commission, the China Securities Regulatory Commission (“</w:t>
      </w:r>
      <w:r>
        <w:rPr>
          <w:rFonts w:ascii="Arial" w:cs="Arial" w:eastAsia="Arial" w:hAnsi="Arial"/>
          <w:sz w:val="16"/>
          <w:szCs w:val="16"/>
          <w:b w:val="1"/>
          <w:bCs w:val="1"/>
          <w:color w:val="auto"/>
        </w:rPr>
        <w:t>CSRC</w:t>
      </w:r>
      <w:r>
        <w:rPr>
          <w:rFonts w:ascii="Arial" w:cs="Arial" w:eastAsia="Arial" w:hAnsi="Arial"/>
          <w:sz w:val="16"/>
          <w:szCs w:val="16"/>
          <w:color w:val="auto"/>
        </w:rPr>
        <w:t>”) and the State Administration of Foreign Exchange (the “</w:t>
      </w:r>
      <w:r>
        <w:rPr>
          <w:rFonts w:ascii="Arial" w:cs="Arial" w:eastAsia="Arial" w:hAnsi="Arial"/>
          <w:sz w:val="16"/>
          <w:szCs w:val="16"/>
          <w:b w:val="1"/>
          <w:bCs w:val="1"/>
          <w:color w:val="auto"/>
        </w:rPr>
        <w:t>SAFE</w:t>
      </w:r>
      <w:r>
        <w:rPr>
          <w:rFonts w:ascii="Arial" w:cs="Arial" w:eastAsia="Arial" w:hAnsi="Arial"/>
          <w:sz w:val="16"/>
          <w:szCs w:val="16"/>
          <w:color w:val="auto"/>
        </w:rPr>
        <w:t>”)) relating to overseas investment by PRC residents and citizens (the “</w:t>
      </w:r>
      <w:r>
        <w:rPr>
          <w:rFonts w:ascii="Arial" w:cs="Arial" w:eastAsia="Arial" w:hAnsi="Arial"/>
          <w:sz w:val="16"/>
          <w:szCs w:val="16"/>
          <w:b w:val="1"/>
          <w:bCs w:val="1"/>
          <w:color w:val="auto"/>
        </w:rPr>
        <w:t>PRC Overseas Investment and Listing Regulations</w:t>
      </w:r>
      <w:r>
        <w:rPr>
          <w:rFonts w:ascii="Arial" w:cs="Arial" w:eastAsia="Arial" w:hAnsi="Arial"/>
          <w:sz w:val="16"/>
          <w:szCs w:val="16"/>
          <w:color w:val="auto"/>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w:t>
      </w:r>
    </w:p>
    <w:p>
      <w:pPr>
        <w:spacing w:after="0" w:line="166" w:lineRule="exact"/>
        <w:rPr>
          <w:rFonts w:ascii="Arial" w:cs="Arial" w:eastAsia="Arial" w:hAnsi="Arial"/>
          <w:sz w:val="16"/>
          <w:szCs w:val="16"/>
          <w:color w:val="auto"/>
        </w:rPr>
      </w:pPr>
    </w:p>
    <w:p>
      <w:pPr>
        <w:ind w:left="-20" w:right="80" w:firstLine="464"/>
        <w:spacing w:after="0" w:line="287" w:lineRule="auto"/>
        <w:tabs>
          <w:tab w:leader="none" w:pos="9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M&amp;A Rules. 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Arial" w:cs="Arial" w:eastAsia="Arial" w:hAnsi="Arial"/>
          <w:sz w:val="16"/>
          <w:szCs w:val="16"/>
          <w:b w:val="1"/>
          <w:bCs w:val="1"/>
          <w:color w:val="auto"/>
        </w:rPr>
        <w:t>PRC Mergers and Acquisitions Rules</w:t>
      </w:r>
      <w:r>
        <w:rPr>
          <w:rFonts w:ascii="Arial" w:cs="Arial" w:eastAsia="Arial" w:hAnsi="Arial"/>
          <w:sz w:val="16"/>
          <w:szCs w:val="16"/>
          <w:color w:val="auto"/>
        </w:rPr>
        <w:t>”) jointly promulgated by the Ministry of Commerce, the State Assets Supervision and Administration Commission, the State Tax Administration, the State Administration of Industry and Commerce, the CSRC and the State Administration of Foreign Exchange on August 8, 2006 and amended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Shares and the American Depositary Shares, the listing and trading of the American Depositary Shares on NASDAQ Global Market and the consummation of the transactions contemplated by this Agreement and the Deposit Agreement (i) are not and will not be, as of the date hereof or at the Closing Date or an Option Closing Date, as the case may be, adversely affected by the PRC Mergers and Acquisitions Rules and (ii) do not require the prior approval of the CSRC.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74" w:right="239" w:bottom="1440" w:gutter="0" w:footer="0" w:header="0"/>
        </w:sectPr>
      </w:pPr>
    </w:p>
    <w:bookmarkStart w:id="27" w:name="page28"/>
    <w:bookmarkEnd w:id="27"/>
    <w:p>
      <w:pPr>
        <w:ind w:left="940" w:hanging="476"/>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Private Issuer</w:t>
      </w:r>
      <w:r>
        <w:rPr>
          <w:rFonts w:ascii="Arial" w:cs="Arial" w:eastAsia="Arial" w:hAnsi="Arial"/>
          <w:sz w:val="18"/>
          <w:szCs w:val="18"/>
          <w:color w:val="auto"/>
        </w:rPr>
        <w:t>. The Company is a “foreign private issuer” within the meaning of Rule 405 under the Securities Act.</w:t>
      </w:r>
    </w:p>
    <w:p>
      <w:pPr>
        <w:spacing w:after="0" w:line="225" w:lineRule="exact"/>
        <w:rPr>
          <w:rFonts w:ascii="Arial" w:cs="Arial" w:eastAsia="Arial" w:hAnsi="Arial"/>
          <w:sz w:val="18"/>
          <w:szCs w:val="18"/>
          <w:color w:val="auto"/>
        </w:rPr>
      </w:pPr>
    </w:p>
    <w:p>
      <w:pPr>
        <w:jc w:val="both"/>
        <w:ind w:right="20" w:firstLine="464"/>
        <w:spacing w:after="0" w:line="259" w:lineRule="auto"/>
        <w:tabs>
          <w:tab w:leader="none" w:pos="93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None of the Company, the Subsidiaries and Affiliated Entities or any of their respective directors, officers, to the best</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Company, affiliates or controlling persons acting on their behalf has taken, directly or indirectly, any action which was designed to cause or result in, or that has constituted or which might reasonably be expected to cause or result in the stabilization or manipulation of the price of any security of the Company to facilitate the sale or resale of the Shares and the American Depositary Shares.</w:t>
      </w:r>
    </w:p>
    <w:p>
      <w:pPr>
        <w:spacing w:after="0" w:line="186" w:lineRule="exact"/>
        <w:rPr>
          <w:rFonts w:ascii="Arial" w:cs="Arial" w:eastAsia="Arial" w:hAnsi="Arial"/>
          <w:sz w:val="18"/>
          <w:szCs w:val="18"/>
          <w:color w:val="auto"/>
        </w:rPr>
      </w:pPr>
    </w:p>
    <w:p>
      <w:pPr>
        <w:ind w:right="100" w:firstLine="464"/>
        <w:spacing w:after="0" w:line="312" w:lineRule="auto"/>
        <w:tabs>
          <w:tab w:leader="none" w:pos="916"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No Sale, Issuance and Distribution of Shares. </w:t>
      </w:r>
      <w:r>
        <w:rPr>
          <w:rFonts w:ascii="Arial" w:cs="Arial" w:eastAsia="Arial" w:hAnsi="Arial"/>
          <w:sz w:val="16"/>
          <w:szCs w:val="16"/>
          <w:color w:val="auto"/>
        </w:rPr>
        <w:t>The Company has not sold, issued or distributed any Ordinary Shares during the six-month period</w:t>
      </w:r>
      <w:r>
        <w:rPr>
          <w:rFonts w:ascii="Arial" w:cs="Arial" w:eastAsia="Arial" w:hAnsi="Arial"/>
          <w:sz w:val="16"/>
          <w:szCs w:val="16"/>
          <w:i w:val="1"/>
          <w:iCs w:val="1"/>
          <w:color w:val="auto"/>
        </w:rPr>
        <w:t xml:space="preserve"> </w:t>
      </w:r>
      <w:r>
        <w:rPr>
          <w:rFonts w:ascii="Arial" w:cs="Arial" w:eastAsia="Arial" w:hAnsi="Arial"/>
          <w:sz w:val="16"/>
          <w:szCs w:val="16"/>
          <w:color w:val="auto"/>
        </w:rPr>
        <w:t>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47" w:lineRule="exact"/>
        <w:rPr>
          <w:sz w:val="20"/>
          <w:szCs w:val="20"/>
          <w:color w:val="auto"/>
        </w:rPr>
      </w:pPr>
    </w:p>
    <w:p>
      <w:pPr>
        <w:ind w:firstLine="464"/>
        <w:spacing w:after="0" w:line="270" w:lineRule="auto"/>
        <w:tabs>
          <w:tab w:leader="none" w:pos="99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No Immunity. </w:t>
      </w:r>
      <w:r>
        <w:rPr>
          <w:rFonts w:ascii="Arial" w:cs="Arial" w:eastAsia="Arial" w:hAnsi="Arial"/>
          <w:sz w:val="17"/>
          <w:szCs w:val="17"/>
          <w:color w:val="auto"/>
        </w:rPr>
        <w:t>None of the Company, the Subsidiaries and Affiliated Entities or any of their respective properties, assets or revenues has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 of immunity, under the laws of the Cayman Islands, Hong Kong, the PRC or the State of New York, from any legal action, suit or proceeding, the giving of any relief in any such legal action, suit or proceeding, set-off or counterclaim, the jurisdiction of any Cayman Islands, Hong Kong, PRC, New York or United States federal court, service of process, attachment upon or prior to judgment, or attachment in aid of execution of judgment, or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and, to the extent that the Company, any of the Subsidiaries and Affiliated Entities or any of their respective properties, assets or revenues may have or may hereafter become entitled to any such right of immunity in any such court in which proceedings may at any time be commenced, each of the Company and the Subsidiaries and Affiliated Entities waives or will waive such right to the extent permitted by law and has consented to such relief and enforcement as provided in Section 12 of this Agreement and Section 20 of the Deposit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8" w:name="page29"/>
    <w:bookmarkEnd w:id="28"/>
    <w:p>
      <w:pPr>
        <w:ind w:left="-40" w:firstLine="464"/>
        <w:spacing w:after="0" w:line="269" w:lineRule="auto"/>
        <w:tabs>
          <w:tab w:leader="none" w:pos="986"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Validity of Choice of Law</w:t>
      </w:r>
      <w:r>
        <w:rPr>
          <w:rFonts w:ascii="Arial" w:cs="Arial" w:eastAsia="Arial" w:hAnsi="Arial"/>
          <w:sz w:val="17"/>
          <w:szCs w:val="17"/>
          <w:color w:val="auto"/>
        </w:rPr>
        <w:t>. The choice of the laws of the State of New York as the governing law of this Agreement and the Deposit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is a valid choice of law under the laws of the Cayman Islands, Hong Kong and the PRC and will be honored by courts in the Cayman Islands, Hong Kong and to the extent permitted under the PRC civil law and rules of civil procedures, will be honored by the courts in the PRC. The Company has the power to submit, and pursuant to Section 12 of this Agreement and Section 20 of the Deposit Agreement, has legally, validly, effectively and irrevocably submitted, to the personal jurisdiction of each New York State and United States Federal court sitting in The City of New York (each, a “</w:t>
      </w:r>
      <w:r>
        <w:rPr>
          <w:rFonts w:ascii="Arial" w:cs="Arial" w:eastAsia="Arial" w:hAnsi="Arial"/>
          <w:sz w:val="17"/>
          <w:szCs w:val="17"/>
          <w:b w:val="1"/>
          <w:bCs w:val="1"/>
          <w:color w:val="auto"/>
        </w:rPr>
        <w:t>New York Court</w:t>
      </w:r>
      <w:r>
        <w:rPr>
          <w:rFonts w:ascii="Arial" w:cs="Arial" w:eastAsia="Arial" w:hAnsi="Arial"/>
          <w:sz w:val="17"/>
          <w:szCs w:val="17"/>
          <w:color w:val="auto"/>
        </w:rPr>
        <w:t>”) and has validly and irrevocably waived any objection to the laying of venue of any suit, action or proceeding brought in any such court; and the Company has the power to designate, appoint and empower, and pursuant to Section 12 of this Agreement and Section 20 of the Deposit Agreement, has legally, validly, effectively and irrevocably designated, appointed and empowered, an authorized agent for service of process in any action arising out of or relating to this Agreement, the Deposit Agreement, any preliminary prospectus, the Time of Sale Prospectus, the Prospectus, the Registration Statement, the ADS Registration Statement or the offering of the Shares or the American Depositary Shares in any New York Court, and service of process permitted by applicable laws effected on such authorized agent will be effective to confer valid personal jurisdiction over the Company as provided in Section 12 hereof and Section 20 of the Deposit Agreement.</w:t>
      </w:r>
    </w:p>
    <w:p>
      <w:pPr>
        <w:spacing w:after="0" w:line="179" w:lineRule="exact"/>
        <w:rPr>
          <w:rFonts w:ascii="Arial" w:cs="Arial" w:eastAsia="Arial" w:hAnsi="Arial"/>
          <w:sz w:val="17"/>
          <w:szCs w:val="17"/>
          <w:color w:val="auto"/>
        </w:rPr>
      </w:pPr>
    </w:p>
    <w:p>
      <w:pPr>
        <w:ind w:left="-40" w:right="40" w:firstLine="464"/>
        <w:spacing w:after="0" w:line="285" w:lineRule="auto"/>
        <w:tabs>
          <w:tab w:leader="none" w:pos="956"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Enforceability of Judgment</w:t>
      </w:r>
      <w:r>
        <w:rPr>
          <w:rFonts w:ascii="Arial" w:cs="Arial" w:eastAsia="Arial" w:hAnsi="Arial"/>
          <w:sz w:val="16"/>
          <w:szCs w:val="16"/>
          <w:color w:val="auto"/>
        </w:rPr>
        <w:t>. Each of this Agreement and the Deposit Agreement is in proper form under the laws of the Cayman Islands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PRC for the enforcement thereof against the Company, and to ensure the legality of evidence in the Cayman Islands and the PRC of this Agreement and the Deposit Agreement. Any final judgment for a fixed or readily calculable sum of money rendered by a New York Court having jurisdiction under its own domestic laws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the Cayman Islands and the PRC,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with respect to courts of the Cayman Islands, such judgment (A) is given by a foreign court of competent jurisdiction, (B) imposes on the judgment debtor a liability to pay a liquidated sum for which the judgment has been given, (C) is not in respect of taxes, or a fine or penalty in connection therewith, and (D) was not obtained in a manner and is not of a kind the enforcement of which is contrary to natural justice or the public policy of the Cayman Islands, and (ii) with respect to courts of the PRC, (A) adequate service of process has been effected and the defendant has had a reasonable opportunity to be heard, (B) such judgments or the enforcement thereof are not contrary to the law, public policy, security or sovereignty of the PRC, (C) such judgments were not obtained by fraudulent means and do not conflict with any other valid judgment in the same matter between the same parties, (D) an action between the same parties in the same matter is not pending in any PRC court at the time the lawsuit is instituted in a foreign court and (E) is duly recognized by appropriate PRC courts in accordance with the PRC civil procedure laws and regulations. The Company is not aware of any reason why the enforcement in the Cayman Islands or the PRC of such a New York Court judgment would be, as of the date hereof, contrary to public policy of the Cayman Islands or PRC.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80" w:top="274" w:right="259" w:bottom="1440" w:gutter="0" w:footer="0" w:header="0"/>
        </w:sectPr>
      </w:pPr>
    </w:p>
    <w:bookmarkStart w:id="29" w:name="page30"/>
    <w:bookmarkEnd w:id="29"/>
    <w:p>
      <w:pPr>
        <w:ind w:left="-20" w:right="20" w:firstLine="464"/>
        <w:spacing w:after="0" w:line="297" w:lineRule="auto"/>
        <w:tabs>
          <w:tab w:leader="none" w:pos="1006"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Finder’s Fee</w:t>
      </w:r>
      <w:r>
        <w:rPr>
          <w:rFonts w:ascii="Arial" w:cs="Arial" w:eastAsia="Arial" w:hAnsi="Arial"/>
          <w:sz w:val="16"/>
          <w:szCs w:val="16"/>
          <w:color w:val="auto"/>
        </w:rPr>
        <w:t>. There are no contracts, agreements or understandings between the Company or its Subsidiaries and Affiliated Entities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person that would give rise to a valid claim against the Company or its Subsidiaries and Affiliated Entities or any Underwriter for a brokerage commission, finder’s fee or other like payment in connection with this offering, or any other arrangements, agreements, understandings, payments or issuance with respect to the Company and its Subsidiaries and Affiliated Entities or any of their respective officers, directors, shareholders or, to the Company’s best knowledge, partners, employees or affiliates that may affect the Underwriters’ compensation as determined by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20" w:firstLine="464"/>
        <w:spacing w:after="0" w:line="302" w:lineRule="auto"/>
        <w:tabs>
          <w:tab w:leader="none" w:pos="976"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No Broker-Dealer Affiliation</w:t>
      </w:r>
      <w:r>
        <w:rPr>
          <w:rFonts w:ascii="Arial" w:cs="Arial" w:eastAsia="Arial" w:hAnsi="Arial"/>
          <w:sz w:val="16"/>
          <w:szCs w:val="16"/>
          <w:color w:val="auto"/>
        </w:rPr>
        <w:t>. There are no affiliations or associations between (i) any participating member of FINRA as defined under FINRA</w:t>
      </w:r>
      <w:r>
        <w:rPr>
          <w:rFonts w:ascii="Arial" w:cs="Arial" w:eastAsia="Arial" w:hAnsi="Arial"/>
          <w:sz w:val="16"/>
          <w:szCs w:val="16"/>
          <w:i w:val="1"/>
          <w:iCs w:val="1"/>
          <w:color w:val="auto"/>
        </w:rPr>
        <w:t xml:space="preserve"> </w:t>
      </w:r>
      <w:r>
        <w:rPr>
          <w:rFonts w:ascii="Arial" w:cs="Arial" w:eastAsia="Arial" w:hAnsi="Arial"/>
          <w:sz w:val="16"/>
          <w:szCs w:val="16"/>
          <w:color w:val="auto"/>
        </w:rPr>
        <w:t>Rule 5110 and (ii) the Company or any of its Subsidiaries and Affiliated Entities or any of their respective officers, directors or, to the best knowledge of the Company, 5% or greater security holders or, to the best knowledge of the Company, any beneficial owner of the Company’s unregistered equity securities that were acquired at any time on or after the 180</w:t>
      </w:r>
      <w:r>
        <w:rPr>
          <w:rFonts w:ascii="Arial" w:cs="Arial" w:eastAsia="Arial" w:hAnsi="Arial"/>
          <w:sz w:val="13"/>
          <w:szCs w:val="13"/>
          <w:color w:val="auto"/>
        </w:rPr>
        <w:t>th</w:t>
      </w:r>
      <w:r>
        <w:rPr>
          <w:rFonts w:ascii="Arial" w:cs="Arial" w:eastAsia="Arial" w:hAnsi="Arial"/>
          <w:sz w:val="16"/>
          <w:szCs w:val="16"/>
          <w:color w:val="auto"/>
        </w:rPr>
        <w:t xml:space="preserve"> day immediately preceding the date that the Registration Statement was initially filed with the Commission.</w:t>
      </w:r>
    </w:p>
    <w:p>
      <w:pPr>
        <w:spacing w:after="0" w:line="150" w:lineRule="exact"/>
        <w:rPr>
          <w:rFonts w:ascii="Arial" w:cs="Arial" w:eastAsia="Arial" w:hAnsi="Arial"/>
          <w:sz w:val="16"/>
          <w:szCs w:val="16"/>
          <w:color w:val="auto"/>
        </w:rPr>
      </w:pPr>
    </w:p>
    <w:p>
      <w:pPr>
        <w:ind w:left="-20" w:right="280" w:firstLine="464"/>
        <w:spacing w:after="0" w:line="289" w:lineRule="auto"/>
        <w:tabs>
          <w:tab w:leader="none" w:pos="90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has executed a side letter (the “</w:t>
      </w:r>
      <w:r>
        <w:rPr>
          <w:rFonts w:ascii="Arial" w:cs="Arial" w:eastAsia="Arial" w:hAnsi="Arial"/>
          <w:sz w:val="17"/>
          <w:szCs w:val="17"/>
          <w:b w:val="1"/>
          <w:bCs w:val="1"/>
          <w:color w:val="auto"/>
        </w:rPr>
        <w:t>Depositary Side Letter</w:t>
      </w:r>
      <w:r>
        <w:rPr>
          <w:rFonts w:ascii="Arial" w:cs="Arial" w:eastAsia="Arial" w:hAnsi="Arial"/>
          <w:sz w:val="17"/>
          <w:szCs w:val="17"/>
          <w:color w:val="auto"/>
        </w:rPr>
        <w:t>”), addressed to the Depositary, instructing the Depositary not to accept any shareholder’s deposit of Ordinary Shares in the Company’s American Depositary Receipt facility or issue any new American Depositary Receipts evidencing the American Depositary Shares to any shareholder or any third party, unless consented to by the Company.</w:t>
      </w:r>
    </w:p>
    <w:p>
      <w:pPr>
        <w:spacing w:after="0" w:line="162" w:lineRule="exact"/>
        <w:rPr>
          <w:rFonts w:ascii="Arial" w:cs="Arial" w:eastAsia="Arial" w:hAnsi="Arial"/>
          <w:sz w:val="17"/>
          <w:szCs w:val="17"/>
          <w:color w:val="auto"/>
        </w:rPr>
      </w:pPr>
    </w:p>
    <w:p>
      <w:pPr>
        <w:jc w:val="both"/>
        <w:ind w:left="-20" w:right="720" w:firstLine="464"/>
        <w:spacing w:after="0" w:line="264" w:lineRule="auto"/>
        <w:tabs>
          <w:tab w:leader="none" w:pos="100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of Officers. </w:t>
      </w:r>
      <w:r>
        <w:rPr>
          <w:rFonts w:ascii="Arial" w:cs="Arial" w:eastAsia="Arial" w:hAnsi="Arial"/>
          <w:sz w:val="18"/>
          <w:szCs w:val="18"/>
          <w:color w:val="auto"/>
        </w:rPr>
        <w:t>Any certificate signed by any officer of the Company and delivered to the Representative or counsel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in connection with the offering shall be deemed a representation and warranty by the Company, as to matters covered thereby, to each Underwriter.</w:t>
      </w:r>
    </w:p>
    <w:p>
      <w:pPr>
        <w:spacing w:after="0" w:line="181" w:lineRule="exact"/>
        <w:rPr>
          <w:rFonts w:ascii="Arial" w:cs="Arial" w:eastAsia="Arial" w:hAnsi="Arial"/>
          <w:sz w:val="18"/>
          <w:szCs w:val="18"/>
          <w:color w:val="auto"/>
        </w:rPr>
      </w:pPr>
    </w:p>
    <w:p>
      <w:pPr>
        <w:ind w:left="-20" w:right="80" w:firstLine="464"/>
        <w:spacing w:after="0" w:line="253" w:lineRule="auto"/>
        <w:tabs>
          <w:tab w:leader="none" w:pos="100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Tax Filings. </w:t>
      </w:r>
      <w:r>
        <w:rPr>
          <w:rFonts w:ascii="Arial" w:cs="Arial" w:eastAsia="Arial" w:hAnsi="Arial"/>
          <w:sz w:val="18"/>
          <w:szCs w:val="18"/>
          <w:color w:val="auto"/>
        </w:rPr>
        <w:t>(i) The Company and each of its Subsidiaries and the Affiliated Entities have filed all national, local and foreign tax returns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filed through the date of this Agreement or have requested extensions thereof and have paid all taxes required to be paid, except as would not, individually or in the aggregate, have a Material Adverse Effect, and no tax deficiency has been determined adversely to the Company or any of its Subsidiaries or the Affiliated Entities which has had (nor does the Company nor any of its Subsidiaries nor the Affiliated Entities have any notice or knowledge of any tax deficiency which could reasonably be expected to be determined adversely to the Company or its Subsidiaries or the Affiliated Entities and which could reasonably be expected to have), individually or in the aggregate, a Material Adverse Effect. (ii) All local and national PRC governmental tax holidays, exemptions, waivers, financial subsidies, and other local and national PRC tax relief, concessions and preferential treatment enjoyed by the Company or any of the Subsidiaries and Affiliated Entities as described in the Registration Statement, the Time of Sale Prospectus and the Prospectus are valid and enforceable and do not violate any laws, regulations, rules, orders, decrees, guidelines, judicial interpretations, notices or other legislation of the PRC.</w:t>
      </w:r>
    </w:p>
    <w:p>
      <w:pPr>
        <w:spacing w:after="0" w:line="194" w:lineRule="exact"/>
        <w:rPr>
          <w:rFonts w:ascii="Arial" w:cs="Arial" w:eastAsia="Arial" w:hAnsi="Arial"/>
          <w:sz w:val="18"/>
          <w:szCs w:val="18"/>
          <w:color w:val="auto"/>
        </w:rPr>
      </w:pPr>
    </w:p>
    <w:p>
      <w:pPr>
        <w:ind w:left="-20" w:firstLine="464"/>
        <w:spacing w:after="0" w:line="257" w:lineRule="auto"/>
        <w:tabs>
          <w:tab w:leader="none" w:pos="88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Each financial or operational projection or other “forward-looking statement” (as defined by Section 27A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60" w:top="274" w:right="259" w:bottom="1440" w:gutter="0" w:footer="0" w:header="0"/>
        </w:sectPr>
      </w:pPr>
    </w:p>
    <w:bookmarkStart w:id="30" w:name="page31"/>
    <w:bookmarkEnd w:id="30"/>
    <w:p>
      <w:pPr>
        <w:ind w:left="780" w:hanging="31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 to Sell and Purchase.</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the number of Firm Shares set forth in Schedule I hereto at US$[●] per American Depositary Share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hereby agrees to sell to the Underwriters the Additional Shares, and the Underwriters shall have the right to purchase, severally and not jointly, up to [562,500] Additional Shares in the form of [281,250] American Depositary Shares at the Purchase Price. The Representative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Representative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73"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For the avoidance of doubt but subject to the first sentence in the second paragraph of Section II, the Representative shall not be obligated to purchase from the Company any Firm Shares or Additional Shares agreed to be purchased by any other Underwriter pursuant to the terms of this Agreement.</w:t>
      </w:r>
    </w:p>
    <w:p>
      <w:pPr>
        <w:spacing w:after="0" w:line="124" w:lineRule="exact"/>
        <w:rPr>
          <w:sz w:val="20"/>
          <w:szCs w:val="20"/>
          <w:color w:val="auto"/>
        </w:rPr>
      </w:pPr>
    </w:p>
    <w:p>
      <w:pPr>
        <w:ind w:right="60" w:firstLine="464"/>
        <w:spacing w:after="0" w:line="276" w:lineRule="auto"/>
        <w:tabs>
          <w:tab w:leader="none" w:pos="771"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Terms of Public Offering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is advised by the Representative that the Underwriters propose to make a public offering of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 portions of the Shares in the form of American Depositary Shares as soon after the Registration Statement and this Agreement have become effective as in the judgment of the Representative is advisable. The Company is further advised by the Representative that the Shares are to be offered to the public initially at US$[●] per American Depositary Share (the “</w:t>
      </w:r>
      <w:r>
        <w:rPr>
          <w:rFonts w:ascii="Arial" w:cs="Arial" w:eastAsia="Arial" w:hAnsi="Arial"/>
          <w:sz w:val="17"/>
          <w:szCs w:val="17"/>
          <w:b w:val="1"/>
          <w:bCs w:val="1"/>
          <w:color w:val="auto"/>
        </w:rPr>
        <w:t>Public Offering Price</w:t>
      </w:r>
      <w:r>
        <w:rPr>
          <w:rFonts w:ascii="Arial" w:cs="Arial" w:eastAsia="Arial" w:hAnsi="Arial"/>
          <w:sz w:val="17"/>
          <w:szCs w:val="17"/>
          <w:color w:val="auto"/>
        </w:rPr>
        <w:t>”) and to certain dealers selected by the Representative at a price that represents a concession not in excess of US$[●] per American Depositary Share under the Public Offering Price.</w:t>
      </w:r>
    </w:p>
    <w:p>
      <w:pPr>
        <w:spacing w:after="0" w:line="280" w:lineRule="exact"/>
        <w:rPr>
          <w:rFonts w:ascii="Arial" w:cs="Arial" w:eastAsia="Arial" w:hAnsi="Arial"/>
          <w:sz w:val="17"/>
          <w:szCs w:val="17"/>
          <w:color w:val="auto"/>
        </w:rPr>
      </w:pPr>
    </w:p>
    <w:p>
      <w:pPr>
        <w:ind w:left="780" w:hanging="31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Payment and Delivery.</w:t>
      </w:r>
    </w:p>
    <w:p>
      <w:pPr>
        <w:spacing w:after="0" w:line="117" w:lineRule="exact"/>
        <w:rPr>
          <w:sz w:val="20"/>
          <w:szCs w:val="20"/>
          <w:color w:val="auto"/>
        </w:rPr>
      </w:pPr>
    </w:p>
    <w:p>
      <w:pPr>
        <w:ind w:firstLine="464"/>
        <w:spacing w:after="0" w:line="259" w:lineRule="auto"/>
        <w:tabs>
          <w:tab w:leader="none" w:pos="8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 for the Firm Shares to be sold by the Company shall be made to the Company in Federal or other funds immediately available in New York City against delivery of such Firm Shares for the respective accounts of the several Underwriters at 10:00 a.m., New York City time, on [●], 2017, or at such other time on the same or such other date, not later than [●], 2017, as shall be designated in writing by the Representative.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80" w:firstLine="464"/>
        <w:spacing w:after="0" w:line="259" w:lineRule="auto"/>
        <w:tabs>
          <w:tab w:leader="none" w:pos="8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2017 as shall be designated in writing by the Representative.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274" w:right="339" w:bottom="1440" w:gutter="0" w:footer="0" w:header="0"/>
        </w:sectPr>
      </w:pPr>
    </w:p>
    <w:bookmarkStart w:id="31" w:name="page32"/>
    <w:bookmarkEnd w:id="31"/>
    <w:p>
      <w:pPr>
        <w:ind w:left="-20" w:firstLine="464"/>
        <w:spacing w:after="0" w:line="291" w:lineRule="auto"/>
        <w:tabs>
          <w:tab w:leader="none" w:pos="813"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American Depositary Shares to be delivered to each Underwriter shall be delivered in book entry form, and in such denominations and registered in such names as the Representative may request in writing not later than one full business day prior to the Closing Date or an Option Closing Date, as the case may be. Such American Depositary Shares shall be delivered by or on behalf of the Company to the Representative through the facilities of DTC, for the account of such Underwriter, against payment by or on behalf of such Underwriter of the Purchase Price therefor by wire transfer of Federal or other immediately available funds to the account(s) specified by the Company to the Representative on the Closing Date or Option Closing Date, as the case may be, or at such other time and date as shall be designated in writing by the Representative. The Company will cause the draft certificates representing the Shares to be made available for inspection at least 24 hours prior to the Closing Date or Option Closing Date, as the case may be.</w:t>
      </w:r>
    </w:p>
    <w:p>
      <w:pPr>
        <w:spacing w:after="0" w:line="167" w:lineRule="exact"/>
        <w:rPr>
          <w:sz w:val="20"/>
          <w:szCs w:val="20"/>
          <w:color w:val="auto"/>
        </w:rPr>
      </w:pPr>
    </w:p>
    <w:p>
      <w:pPr>
        <w:ind w:left="-20" w:right="60" w:firstLine="464"/>
        <w:spacing w:after="0" w:line="264" w:lineRule="auto"/>
        <w:tabs>
          <w:tab w:leader="none" w:pos="75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Conditions to the Underwriters’ Obligations. </w:t>
      </w:r>
      <w:r>
        <w:rPr>
          <w:rFonts w:ascii="Arial" w:cs="Arial" w:eastAsia="Arial" w:hAnsi="Arial"/>
          <w:sz w:val="18"/>
          <w:szCs w:val="18"/>
          <w:color w:val="auto"/>
        </w:rPr>
        <w:t>The obligations of the Company to sell the Shares to the Underwriters and the several obligations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Underwriters to purchase and pay for the Shares on the Closing Date and each Option Closing Date are subject to the condition that the Registration Statement shall have become effective not later than [●] p.m.(New York City time) on the date hereof.</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225" w:lineRule="exact"/>
        <w:rPr>
          <w:sz w:val="20"/>
          <w:szCs w:val="20"/>
          <w:color w:val="auto"/>
        </w:rPr>
      </w:pPr>
    </w:p>
    <w:p>
      <w:pPr>
        <w:ind w:left="820" w:hanging="376"/>
        <w:spacing w:after="0"/>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 or Option Closing Date, as the case may be,</w:t>
      </w:r>
    </w:p>
    <w:p>
      <w:pPr>
        <w:spacing w:after="0" w:line="142" w:lineRule="exact"/>
        <w:rPr>
          <w:rFonts w:ascii="Arial" w:cs="Arial" w:eastAsia="Arial" w:hAnsi="Arial"/>
          <w:sz w:val="17"/>
          <w:szCs w:val="17"/>
          <w:color w:val="auto"/>
        </w:rPr>
      </w:pPr>
    </w:p>
    <w:p>
      <w:pPr>
        <w:ind w:left="1460" w:right="20" w:hanging="567"/>
        <w:spacing w:after="0" w:line="276" w:lineRule="auto"/>
        <w:tabs>
          <w:tab w:leader="none" w:pos="14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there shall not have occurred any change, or any development involving a prospective change, in the condition, financial or otherwise, or in the earnings, business or operations of the Company and its Subsidiaries and Affiliated Entities, taken as a whole, from that set forth in the Time of Sale Prospectus and the Prospectus as of the date of this Agreement that, in the judgment of the Representative, is material and adverse and that makes it, in the judgment of the Representative, impracticable to market the Shares on the terms and in the manner contemplated in the Time of Sale Prospectus and the Prospectus.</w:t>
      </w:r>
    </w:p>
    <w:p>
      <w:pPr>
        <w:spacing w:after="0" w:line="172" w:lineRule="exact"/>
        <w:rPr>
          <w:rFonts w:ascii="Arial" w:cs="Arial" w:eastAsia="Arial" w:hAnsi="Arial"/>
          <w:sz w:val="17"/>
          <w:szCs w:val="17"/>
          <w:color w:val="auto"/>
        </w:rPr>
      </w:pPr>
    </w:p>
    <w:p>
      <w:pPr>
        <w:ind w:left="-20" w:right="80" w:firstLine="464"/>
        <w:spacing w:after="0" w:line="273" w:lineRule="auto"/>
        <w:tabs>
          <w:tab w:leader="none" w:pos="82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or Option Closing Date, as the case may be, (i) a certificate, dated such date, signed by an executive officer of the Company, to the effect set forth in Section 5(a)(i) above and to the effect that the representations and warranties of the Company contained in this Agreement are true and correct as of the Closing Date or Option Closing Date, as the case may be, and that the Company has complied with all of the agreements and satisfied all of the conditions on its part to be performed or satisfied hereunder on or before such date (and the officer signing and delivering such certificate may rely upon the best of his or her knowledge as to proceedings threatened) and (ii) a certificate, dated such date, signed by the secretary of the Company, with respect to such matters as the Representative may reasonably require.</w:t>
      </w:r>
    </w:p>
    <w:p>
      <w:pPr>
        <w:spacing w:after="0" w:line="178" w:lineRule="exact"/>
        <w:rPr>
          <w:rFonts w:ascii="Arial" w:cs="Arial" w:eastAsia="Arial" w:hAnsi="Arial"/>
          <w:sz w:val="17"/>
          <w:szCs w:val="17"/>
          <w:color w:val="auto"/>
        </w:rPr>
      </w:pPr>
    </w:p>
    <w:p>
      <w:pPr>
        <w:ind w:left="-20" w:right="80" w:firstLine="464"/>
        <w:spacing w:after="0" w:line="264" w:lineRule="auto"/>
        <w:tabs>
          <w:tab w:leader="none" w:pos="8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Underwriters shall have received on each of the date hereof and on the Closing Date or Option Closing Date, as the case may be, a certificate in the form of Exhibit A hereto, dated such date and signed by the chief financial officer of the Company with respect to certain operating data and financial figures contained in the Registration Statement, the Time of Sale Prospectus and the Prospectus.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4" w:right="259" w:bottom="1440" w:gutter="0" w:footer="0" w:header="0"/>
        </w:sectPr>
      </w:pPr>
    </w:p>
    <w:bookmarkStart w:id="32" w:name="page33"/>
    <w:bookmarkEnd w:id="32"/>
    <w:p>
      <w:pPr>
        <w:ind w:firstLine="464"/>
        <w:spacing w:after="0" w:line="264" w:lineRule="auto"/>
        <w:tabs>
          <w:tab w:leader="none" w:pos="843"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Underwriters shall have received on the Closing Date or an Option Closing Date, as the case may be, an opinion and negative assurance letter of Cleary, Gottlieb, Steen &amp; Hamilton LLP, U.S. counsel for the Company, dated the Closing Date or Option Closing Date, as the case may be, in form and substance reasonably satisfactory to the Underwriters.</w:t>
      </w:r>
    </w:p>
    <w:p>
      <w:pPr>
        <w:spacing w:after="0" w:line="181" w:lineRule="exact"/>
        <w:rPr>
          <w:rFonts w:ascii="Arial" w:cs="Arial" w:eastAsia="Arial" w:hAnsi="Arial"/>
          <w:sz w:val="18"/>
          <w:szCs w:val="18"/>
          <w:color w:val="auto"/>
        </w:rPr>
      </w:pPr>
    </w:p>
    <w:p>
      <w:pPr>
        <w:ind w:right="200" w:firstLine="464"/>
        <w:spacing w:after="0" w:line="264" w:lineRule="auto"/>
        <w:tabs>
          <w:tab w:leader="none" w:pos="8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an Option Closing Date, as the case may be, an opinion of Travers Thorp Alberga, Attorneys at Law, Cayman Islands counsel for the Company, dated the Closing Date or Option Closing Date, as the case may be, in form and substance reasonably satisfactory to the Underwriters.</w:t>
      </w:r>
    </w:p>
    <w:p>
      <w:pPr>
        <w:spacing w:after="0" w:line="181" w:lineRule="exact"/>
        <w:rPr>
          <w:rFonts w:ascii="Arial" w:cs="Arial" w:eastAsia="Arial" w:hAnsi="Arial"/>
          <w:sz w:val="18"/>
          <w:szCs w:val="18"/>
          <w:color w:val="auto"/>
        </w:rPr>
      </w:pPr>
    </w:p>
    <w:p>
      <w:pPr>
        <w:jc w:val="both"/>
        <w:ind w:right="140" w:firstLine="464"/>
        <w:spacing w:after="0" w:line="264" w:lineRule="auto"/>
        <w:tabs>
          <w:tab w:leader="none" w:pos="8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have received on the Closing Date or an Option Closing Date, as the case may be, an opinion of Jingtian &amp; Gongcheng Law Offices, PRC counsel for the Company, dated the Closing Date or Option Closing Date, as the case may be, a copy of which shall have been provided to the Underwriters, in form and substance reasonably satisfactory to the Underwriters.</w:t>
      </w:r>
    </w:p>
    <w:p>
      <w:pPr>
        <w:spacing w:after="0" w:line="181" w:lineRule="exact"/>
        <w:rPr>
          <w:rFonts w:ascii="Arial" w:cs="Arial" w:eastAsia="Arial" w:hAnsi="Arial"/>
          <w:sz w:val="18"/>
          <w:szCs w:val="18"/>
          <w:color w:val="auto"/>
        </w:rPr>
      </w:pPr>
    </w:p>
    <w:p>
      <w:pPr>
        <w:ind w:right="60" w:firstLine="464"/>
        <w:spacing w:after="0" w:line="264" w:lineRule="auto"/>
        <w:tabs>
          <w:tab w:leader="none" w:pos="8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an Option Closing Date, as the case may be, an opinion of Cleary, Gottlieb, Steen &amp; Hamilton LLP, Hong Kong counsel for the Company, dated the Closing Date or Option Closing Date, as the case may be, in form and substance reasonably satisfactory to the Underwriters.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At the request of the Company, the opinions of counsel for the Company described above (except for the opinion of the PRC counsel for the Company) shall be addressed to the Underwriters and shall so state therein.</w:t>
      </w:r>
    </w:p>
    <w:p>
      <w:pPr>
        <w:spacing w:after="0" w:line="170" w:lineRule="exact"/>
        <w:rPr>
          <w:sz w:val="20"/>
          <w:szCs w:val="20"/>
          <w:color w:val="auto"/>
        </w:rPr>
      </w:pPr>
    </w:p>
    <w:p>
      <w:pPr>
        <w:jc w:val="both"/>
        <w:ind w:firstLine="464"/>
        <w:spacing w:after="0" w:line="264" w:lineRule="auto"/>
        <w:tabs>
          <w:tab w:leader="none" w:pos="8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an Option Closing Date, as the case may be, an opinion and negative assurance letter of Davis Polk &amp; Wardwell LLP, U.S. counsel for the Underwriters, dated the Closing Date or Option Closing Date, as the case may be, in form and substance satisfactory to the Underwriters.</w:t>
      </w:r>
    </w:p>
    <w:p>
      <w:pPr>
        <w:spacing w:after="0" w:line="181" w:lineRule="exact"/>
        <w:rPr>
          <w:rFonts w:ascii="Arial" w:cs="Arial" w:eastAsia="Arial" w:hAnsi="Arial"/>
          <w:sz w:val="18"/>
          <w:szCs w:val="18"/>
          <w:color w:val="auto"/>
        </w:rPr>
      </w:pPr>
    </w:p>
    <w:p>
      <w:pPr>
        <w:ind w:right="160" w:firstLine="464"/>
        <w:spacing w:after="0" w:line="342" w:lineRule="auto"/>
        <w:tabs>
          <w:tab w:leader="none" w:pos="80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or an Option Closing Date, as the case may be, an opinion of Fangda Partners, PRC counsel for the Underwriters, dated the Closing Date or an Option Closing Date, as the case may be, in form and substance satisfactory to the Underwriters.</w:t>
      </w:r>
    </w:p>
    <w:p>
      <w:pPr>
        <w:spacing w:after="0" w:line="123" w:lineRule="exact"/>
        <w:rPr>
          <w:rFonts w:ascii="Arial" w:cs="Arial" w:eastAsia="Arial" w:hAnsi="Arial"/>
          <w:sz w:val="16"/>
          <w:szCs w:val="16"/>
          <w:color w:val="auto"/>
        </w:rPr>
      </w:pPr>
    </w:p>
    <w:p>
      <w:pPr>
        <w:ind w:right="300" w:firstLine="464"/>
        <w:spacing w:after="0" w:line="264" w:lineRule="auto"/>
        <w:tabs>
          <w:tab w:leader="none" w:pos="8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or an Option Closing Date, as the case may be, an opinion of Pepper Hamilton LLP, counsel for the Depositary, dated the Closing Date or Option Closing Date, as the case may be, in form and substance reasonably satisfactory to the Underwriters.</w:t>
      </w:r>
    </w:p>
    <w:p>
      <w:pPr>
        <w:spacing w:after="0" w:line="181" w:lineRule="exact"/>
        <w:rPr>
          <w:rFonts w:ascii="Arial" w:cs="Arial" w:eastAsia="Arial" w:hAnsi="Arial"/>
          <w:sz w:val="18"/>
          <w:szCs w:val="18"/>
          <w:color w:val="auto"/>
        </w:rPr>
      </w:pPr>
    </w:p>
    <w:p>
      <w:pPr>
        <w:ind w:right="80" w:firstLine="464"/>
        <w:spacing w:after="0" w:line="257" w:lineRule="auto"/>
        <w:tabs>
          <w:tab w:leader="none" w:pos="8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Underwriters shall have received, on each of the date hereof and the Closing Date or Option Closing Date, as the case may be, a letter dated such date, in form and substance satisfactory to the Underwriters, from PricewaterhouseCoopers LLP, independent public accountants, containing statements and information of the type ordinarily included in accountants’ “comfort letters” to the Underwriters with respect to the financial statements and certain financial information contained in the Registration Statement, the Time of Sale Prospectus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shall use a “cut-off date” not earlier than three business days prior to the date of such letter.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33" w:name="page34"/>
    <w:bookmarkEnd w:id="33"/>
    <w:p>
      <w:pPr>
        <w:jc w:val="both"/>
        <w:ind w:left="-20" w:right="100" w:firstLine="464"/>
        <w:spacing w:after="0" w:line="264" w:lineRule="auto"/>
        <w:tabs>
          <w:tab w:leader="none" w:pos="783"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“lock-up” letters, each substantially in the form of Exhibit B hereto, executed by the individuals and entities listed on Schedule IV relating to sales and certain other dispositions of Ordinary Shares or certain other securities, delivered to the Representative on or before the date hereof, shall be in full force and effect on the Closing Date.</w:t>
      </w:r>
    </w:p>
    <w:p>
      <w:pPr>
        <w:spacing w:after="0" w:line="181" w:lineRule="exact"/>
        <w:rPr>
          <w:rFonts w:ascii="Arial" w:cs="Arial" w:eastAsia="Arial" w:hAnsi="Arial"/>
          <w:sz w:val="18"/>
          <w:szCs w:val="18"/>
          <w:color w:val="auto"/>
        </w:rPr>
      </w:pPr>
    </w:p>
    <w:p>
      <w:pPr>
        <w:ind w:left="-20" w:right="20" w:firstLine="464"/>
        <w:spacing w:after="0" w:line="259" w:lineRule="auto"/>
        <w:tabs>
          <w:tab w:leader="none" w:pos="8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and the Depositary shall have executed and delivered the Deposit Agreement and, in the case of the Company, the Depositary Side Letter, and the Deposit Agreement shall be in full force and effect on the Closing Date. The Company and the Depositary shall have taken all actions necessary to permit the deposit of the Shares and the issuance of the American Depositary Shares representing such Shares in accordance with the Deposit Agreement.</w:t>
      </w:r>
    </w:p>
    <w:p>
      <w:pPr>
        <w:spacing w:after="0" w:line="186" w:lineRule="exact"/>
        <w:rPr>
          <w:rFonts w:ascii="Arial" w:cs="Arial" w:eastAsia="Arial" w:hAnsi="Arial"/>
          <w:sz w:val="18"/>
          <w:szCs w:val="18"/>
          <w:color w:val="auto"/>
        </w:rPr>
      </w:pPr>
    </w:p>
    <w:p>
      <w:pPr>
        <w:ind w:left="-20" w:right="400" w:firstLine="464"/>
        <w:spacing w:after="0" w:line="259" w:lineRule="auto"/>
        <w:tabs>
          <w:tab w:leader="none" w:pos="8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Depositary shall have furnished or caused to be furnished to the Underwriters a certificate satisfactory to the Representative of one of its authorized officers with respect to the deposit with it of the Shares against issuance of the American Depositary Shares, the execution, issuance, countersignature and delivery of the American Depositary Shares pursuant to the Deposit Agreement and such other matters related thereto as the Representative may reasonably request.</w:t>
      </w:r>
    </w:p>
    <w:p>
      <w:pPr>
        <w:spacing w:after="0" w:line="186" w:lineRule="exact"/>
        <w:rPr>
          <w:rFonts w:ascii="Arial" w:cs="Arial" w:eastAsia="Arial" w:hAnsi="Arial"/>
          <w:sz w:val="18"/>
          <w:szCs w:val="18"/>
          <w:color w:val="auto"/>
        </w:rPr>
      </w:pPr>
    </w:p>
    <w:p>
      <w:pPr>
        <w:ind w:left="-20" w:right="280" w:firstLine="464"/>
        <w:spacing w:after="0" w:line="277" w:lineRule="auto"/>
        <w:tabs>
          <w:tab w:leader="none" w:pos="8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American Depositary Shares representing the Shares shall have been approved for listing on the NASDAQ Global Market, subject to only official notice of issuance.</w:t>
      </w:r>
    </w:p>
    <w:p>
      <w:pPr>
        <w:spacing w:after="0" w:line="170" w:lineRule="exact"/>
        <w:rPr>
          <w:rFonts w:ascii="Arial" w:cs="Arial" w:eastAsia="Arial" w:hAnsi="Arial"/>
          <w:sz w:val="18"/>
          <w:szCs w:val="18"/>
          <w:color w:val="auto"/>
        </w:rPr>
      </w:pPr>
    </w:p>
    <w:p>
      <w:pPr>
        <w:jc w:val="both"/>
        <w:ind w:left="-20" w:firstLine="464"/>
        <w:spacing w:after="0" w:line="259" w:lineRule="auto"/>
        <w:tabs>
          <w:tab w:leader="none" w:pos="8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Company elects to rely upon Rule 462(b) under the Securities Act, the Company shall have filed a Rule 462 Registration Statement with the Commission in compliance with Rule 462(b) promptly after 4:00 p.m., New York City time, on the date of this Agreement, and the Company shall have at the time of filing either paid to the Commission the filing fee for the Rule 462 Registration Statement or given irrevocable instructions for the payment of such fee pursuant to Rule 111(b) under the Securities Act.</w:t>
      </w:r>
    </w:p>
    <w:p>
      <w:pPr>
        <w:spacing w:after="0" w:line="186" w:lineRule="exact"/>
        <w:rPr>
          <w:rFonts w:ascii="Arial" w:cs="Arial" w:eastAsia="Arial" w:hAnsi="Arial"/>
          <w:sz w:val="18"/>
          <w:szCs w:val="18"/>
          <w:color w:val="auto"/>
        </w:rPr>
      </w:pPr>
    </w:p>
    <w:p>
      <w:pPr>
        <w:ind w:left="-20" w:right="40" w:firstLine="464"/>
        <w:spacing w:after="0" w:line="312" w:lineRule="auto"/>
        <w:tabs>
          <w:tab w:leader="none" w:pos="8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46" w:lineRule="exact"/>
        <w:rPr>
          <w:rFonts w:ascii="Arial" w:cs="Arial" w:eastAsia="Arial" w:hAnsi="Arial"/>
          <w:sz w:val="16"/>
          <w:szCs w:val="16"/>
          <w:color w:val="auto"/>
        </w:rPr>
      </w:pPr>
    </w:p>
    <w:p>
      <w:pPr>
        <w:ind w:left="-20" w:right="60" w:firstLine="464"/>
        <w:spacing w:after="0" w:line="264" w:lineRule="auto"/>
        <w:tabs>
          <w:tab w:leader="none" w:pos="7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the ADS Registration Statement, any Rule 462 Registration Statement, or any post-effective amendment to the Registration Statement, shall be in effect and no proceedings for such purpose shall have been instituted or threatened by the Commission.</w:t>
      </w:r>
    </w:p>
    <w:p>
      <w:pPr>
        <w:spacing w:after="0" w:line="181" w:lineRule="exact"/>
        <w:rPr>
          <w:rFonts w:ascii="Arial" w:cs="Arial" w:eastAsia="Arial" w:hAnsi="Arial"/>
          <w:sz w:val="18"/>
          <w:szCs w:val="18"/>
          <w:color w:val="auto"/>
        </w:rPr>
      </w:pPr>
    </w:p>
    <w:p>
      <w:pPr>
        <w:ind w:left="-20" w:right="620" w:firstLine="464"/>
        <w:spacing w:after="0" w:line="277" w:lineRule="auto"/>
        <w:tabs>
          <w:tab w:leader="none" w:pos="806"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transactions contemplated hereby.</w:t>
      </w:r>
    </w:p>
    <w:p>
      <w:pPr>
        <w:spacing w:after="0" w:line="170" w:lineRule="exact"/>
        <w:rPr>
          <w:rFonts w:ascii="Arial" w:cs="Arial" w:eastAsia="Arial" w:hAnsi="Arial"/>
          <w:sz w:val="18"/>
          <w:szCs w:val="18"/>
          <w:color w:val="auto"/>
        </w:rPr>
      </w:pPr>
    </w:p>
    <w:p>
      <w:pPr>
        <w:ind w:left="-20" w:right="20" w:firstLine="464"/>
        <w:spacing w:after="0" w:line="257" w:lineRule="auto"/>
        <w:tabs>
          <w:tab w:leader="none" w:pos="786"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the Closing Date or Option Closing Date, as the case may be, the Representative and counsel for the Underwriters shall have received such information, documents, certificates and opinions as they may reasonably require for the purposes of enabling them to pass upon the accuracy and completeness of any statement in the Registration Statement, the Time of Sale Prospectus and the Prospectus, issuance and sale of the Shares as contemplated herein, or in order to evidence the accuracy of any of the representations and warranties, or the satisfaction of any of the conditions or agreements, herein contained.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74" w:right="259" w:bottom="1440" w:gutter="0" w:footer="0" w:header="0"/>
        </w:sectPr>
      </w:pPr>
    </w:p>
    <w:bookmarkStart w:id="34" w:name="page35"/>
    <w:bookmarkEnd w:id="34"/>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several obligations of the Underwriters to purchase Additional Shares hereunder are subject to the delivery to the Representative on the applicable Option Closing Date of such documents as the Representative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Notwithstanding the immediately preceding paragraph, the Representative may in their sole discretion waive on behalf of the Underwriters compliance with any conditions to the obligations of the Underwriters hereunder, whether in respect of an Option Closing Date or otherwise.</w:t>
      </w:r>
    </w:p>
    <w:p>
      <w:pPr>
        <w:spacing w:after="0" w:line="255" w:lineRule="exact"/>
        <w:rPr>
          <w:sz w:val="20"/>
          <w:szCs w:val="20"/>
          <w:color w:val="auto"/>
        </w:rPr>
      </w:pPr>
    </w:p>
    <w:p>
      <w:pPr>
        <w:ind w:left="780" w:hanging="31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Covenants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 addition to its other agreements and obligations hereunder, covenants with each Underwriter as follows:</w:t>
      </w:r>
    </w:p>
    <w:p>
      <w:pPr>
        <w:spacing w:after="0" w:line="225" w:lineRule="exact"/>
        <w:rPr>
          <w:sz w:val="20"/>
          <w:szCs w:val="20"/>
          <w:color w:val="auto"/>
        </w:rPr>
      </w:pPr>
    </w:p>
    <w:p>
      <w:pPr>
        <w:ind w:left="840" w:hanging="376"/>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file the Prospectus with the Commission within the time periods specified by Rule 424(b) and Rule 430A under the Securities Act.</w:t>
      </w:r>
    </w:p>
    <w:p>
      <w:pPr>
        <w:spacing w:after="0" w:line="225" w:lineRule="exact"/>
        <w:rPr>
          <w:rFonts w:ascii="Arial" w:cs="Arial" w:eastAsia="Arial" w:hAnsi="Arial"/>
          <w:sz w:val="18"/>
          <w:szCs w:val="18"/>
          <w:color w:val="auto"/>
        </w:rPr>
      </w:pPr>
    </w:p>
    <w:p>
      <w:pPr>
        <w:ind w:firstLine="464"/>
        <w:spacing w:after="0" w:line="297" w:lineRule="auto"/>
        <w:tabs>
          <w:tab w:leader="none" w:pos="8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furnish to the Representative, without charge, six signed copies of the Registration Statement and the ADS Registration Statement (including, in each case, exhibits thereto) and for delivery to each other Underwriter a conformed copy of the Registration Statement and the ADS Registration Statement (in each case, without exhibits thereto) and to furnish to the Representative in New York City, without charge, prior to 10:00 a.m. New York City time on the business day next succeeding the date of this Agreement and during the period mentioned in Sections 6(f) or 6(g) below, as many copies of the Time of Sale Prospectus, the Prospectus and any supplements and amendments thereto or to the Registration Statement as the Representative may reasonably request.</w:t>
      </w:r>
    </w:p>
    <w:p>
      <w:pPr>
        <w:spacing w:after="0" w:line="158" w:lineRule="exact"/>
        <w:rPr>
          <w:rFonts w:ascii="Arial" w:cs="Arial" w:eastAsia="Arial" w:hAnsi="Arial"/>
          <w:sz w:val="16"/>
          <w:szCs w:val="16"/>
          <w:color w:val="auto"/>
        </w:rPr>
      </w:pPr>
    </w:p>
    <w:p>
      <w:pPr>
        <w:ind w:right="40" w:firstLine="464"/>
        <w:spacing w:after="0" w:line="259" w:lineRule="auto"/>
        <w:tabs>
          <w:tab w:leader="none" w:pos="8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ADS Registration Statement, the Time of Sale Prospectus or the Prospectus, to furnish to the Representative a copy of each such proposed amendment or supplement and not to file any such proposed amendment or supplement to which the Representative reasonably objects, and to file with the Commission within the applicable period specified in Rule 424(b) under the Securities Act any prospectus required to be filed pursuant to such Rule.</w:t>
      </w:r>
    </w:p>
    <w:p>
      <w:pPr>
        <w:spacing w:after="0" w:line="186" w:lineRule="exact"/>
        <w:rPr>
          <w:rFonts w:ascii="Arial" w:cs="Arial" w:eastAsia="Arial" w:hAnsi="Arial"/>
          <w:sz w:val="18"/>
          <w:szCs w:val="18"/>
          <w:color w:val="auto"/>
        </w:rPr>
      </w:pPr>
    </w:p>
    <w:p>
      <w:pPr>
        <w:ind w:right="180" w:firstLine="464"/>
        <w:spacing w:after="0" w:line="277" w:lineRule="auto"/>
        <w:tabs>
          <w:tab w:leader="none" w:pos="8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furnish to the Representative a copy of each proposed free writing prospectus to be prepared by or on behalf of, used by, or referred to by the Company and not to use or refer to any proposed free writing prospectus to which the Representative reasonably objects.</w:t>
      </w:r>
    </w:p>
    <w:p>
      <w:pPr>
        <w:spacing w:after="0" w:line="170" w:lineRule="exact"/>
        <w:rPr>
          <w:rFonts w:ascii="Arial" w:cs="Arial" w:eastAsia="Arial" w:hAnsi="Arial"/>
          <w:sz w:val="18"/>
          <w:szCs w:val="18"/>
          <w:color w:val="auto"/>
        </w:rPr>
      </w:pPr>
    </w:p>
    <w:p>
      <w:pPr>
        <w:ind w:right="80" w:firstLine="464"/>
        <w:spacing w:after="0" w:line="264" w:lineRule="auto"/>
        <w:tabs>
          <w:tab w:leader="none" w:pos="833"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Without the prior written consent of the Representative,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5" w:name="page36"/>
    <w:bookmarkEnd w:id="35"/>
    <w:p>
      <w:pPr>
        <w:ind w:right="100" w:firstLine="464"/>
        <w:spacing w:after="0" w:line="289" w:lineRule="auto"/>
        <w:tabs>
          <w:tab w:leader="none" w:pos="816"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66" w:lineRule="exact"/>
        <w:rPr>
          <w:rFonts w:ascii="Arial" w:cs="Arial" w:eastAsia="Arial" w:hAnsi="Arial"/>
          <w:sz w:val="16"/>
          <w:szCs w:val="16"/>
          <w:color w:val="auto"/>
        </w:rPr>
      </w:pPr>
    </w:p>
    <w:p>
      <w:pPr>
        <w:ind w:firstLine="464"/>
        <w:spacing w:after="0" w:line="270" w:lineRule="auto"/>
        <w:tabs>
          <w:tab w:leader="none" w:pos="846"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 will furnish to the Company) to which Shares may have been sold by the Representative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77" w:lineRule="exact"/>
        <w:rPr>
          <w:rFonts w:ascii="Arial" w:cs="Arial" w:eastAsia="Arial" w:hAnsi="Arial"/>
          <w:sz w:val="17"/>
          <w:szCs w:val="17"/>
          <w:color w:val="auto"/>
        </w:rPr>
      </w:pPr>
    </w:p>
    <w:p>
      <w:pPr>
        <w:ind w:right="900" w:firstLine="464"/>
        <w:spacing w:after="0" w:line="277" w:lineRule="auto"/>
        <w:tabs>
          <w:tab w:leader="none" w:pos="8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endeavor to qualify the Shares and the American Depositary Shares for offer and sale under the securities or Blue Sky laws of such jurisdictions as the Representative shall reasonably request.</w:t>
      </w:r>
    </w:p>
    <w:p>
      <w:pPr>
        <w:spacing w:after="0" w:line="170" w:lineRule="exact"/>
        <w:rPr>
          <w:rFonts w:ascii="Arial" w:cs="Arial" w:eastAsia="Arial" w:hAnsi="Arial"/>
          <w:sz w:val="18"/>
          <w:szCs w:val="18"/>
          <w:color w:val="auto"/>
        </w:rPr>
      </w:pPr>
    </w:p>
    <w:p>
      <w:pPr>
        <w:ind w:left="820" w:hanging="35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American Depositary Shares on the NASDAQ Global Market.</w:t>
      </w:r>
    </w:p>
    <w:p>
      <w:pPr>
        <w:spacing w:after="0" w:line="225" w:lineRule="exact"/>
        <w:rPr>
          <w:rFonts w:ascii="Arial" w:cs="Arial" w:eastAsia="Arial" w:hAnsi="Arial"/>
          <w:sz w:val="18"/>
          <w:szCs w:val="18"/>
          <w:color w:val="auto"/>
        </w:rPr>
      </w:pPr>
    </w:p>
    <w:p>
      <w:pPr>
        <w:ind w:right="60" w:firstLine="464"/>
        <w:spacing w:after="0" w:line="297" w:lineRule="auto"/>
        <w:tabs>
          <w:tab w:leader="none" w:pos="80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advise the Representative promptly and confirming such advice in writing, of any request by the Commission for amendments or supplements to the Registration Statement, the ADS Registration Statement, the Form 8-A Registration Statement, any Time of Sale Prospectus, Prospectus or free writing prospectus or for additional information with respect thereto, or of notice of institution of proceedings for, or the entry of a stop order, suspending the effectiveness of the Registration Statement or the ADS Registration Statement and, if the Commission should enter a stop order suspending the effectiveness of the Registration Statement or the ADS Registration Statement, to use its best efforts to obtain the lifting or removal of such order as soon as possible.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6" w:name="page37"/>
    <w:bookmarkEnd w:id="36"/>
    <w:p>
      <w:pPr>
        <w:ind w:firstLine="464"/>
        <w:spacing w:after="0" w:line="259" w:lineRule="auto"/>
        <w:tabs>
          <w:tab w:leader="none" w:pos="843"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make generally available to the Company’s security holders and to the Representative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(including, but not limited to, Rule 158 under the Securities Act).</w:t>
      </w:r>
    </w:p>
    <w:p>
      <w:pPr>
        <w:spacing w:after="0" w:line="186" w:lineRule="exact"/>
        <w:rPr>
          <w:rFonts w:ascii="Arial" w:cs="Arial" w:eastAsia="Arial" w:hAnsi="Arial"/>
          <w:sz w:val="18"/>
          <w:szCs w:val="18"/>
          <w:color w:val="auto"/>
        </w:rPr>
      </w:pPr>
    </w:p>
    <w:p>
      <w:pPr>
        <w:ind w:firstLine="464"/>
        <w:spacing w:after="0" w:line="290" w:lineRule="auto"/>
        <w:tabs>
          <w:tab w:leader="none" w:pos="806"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the period when the Prospectus is required to be delivered under the Securities Act, to file all documents required to be filed with the Commission pursuant to the Exchange Act within the time periods required by the Exchange Act and the rules and regulations of the Commission thereunder; during the five-year period after the date of this Agreement, to furnish to the Representative and, upon request, to each of the other Underwriters, as soon as practicable after the end of each fiscal year, a copy of its annual report to shareholders for such year; and to furnish to the Representative (i) as soon as available, a copy of each report and any definitive proxy statement of the Company filed with or furnished to the Commission under the Exchange Act or mailed to shareholders, and (ii) from time to time, such other information concerning the Company as the Representative may reasonably request. However, so long as the Company is subject to the reporting requirements of either Section 13 or Section 15(d) of the Exchange Act and is timely filing reports with the Commission on its EDGAR reporting system, it is not required to furnish such reports or statements filed through EDGAR to the Underwriters.</w:t>
      </w:r>
    </w:p>
    <w:p>
      <w:pPr>
        <w:spacing w:after="0" w:line="166" w:lineRule="exact"/>
        <w:rPr>
          <w:rFonts w:ascii="Arial" w:cs="Arial" w:eastAsia="Arial" w:hAnsi="Arial"/>
          <w:sz w:val="16"/>
          <w:szCs w:val="16"/>
          <w:color w:val="auto"/>
        </w:rPr>
      </w:pPr>
    </w:p>
    <w:p>
      <w:pPr>
        <w:ind w:right="20" w:firstLine="464"/>
        <w:spacing w:after="0" w:line="253" w:lineRule="auto"/>
        <w:tabs>
          <w:tab w:leader="none" w:pos="8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without the prior written consent of the Representative on behalf of the Underwriters, will not, during the period ending 180 days after the date of the Prospectus (the “</w:t>
      </w:r>
      <w:r>
        <w:rPr>
          <w:rFonts w:ascii="Arial" w:cs="Arial" w:eastAsia="Arial" w:hAnsi="Arial"/>
          <w:sz w:val="18"/>
          <w:szCs w:val="18"/>
          <w:b w:val="1"/>
          <w:bCs w:val="1"/>
          <w:color w:val="auto"/>
        </w:rPr>
        <w:t>Restricted Period</w:t>
      </w:r>
      <w:r>
        <w:rPr>
          <w:rFonts w:ascii="Arial" w:cs="Arial" w:eastAsia="Arial" w:hAnsi="Arial"/>
          <w:sz w:val="18"/>
          <w:szCs w:val="18"/>
          <w:color w:val="auto"/>
        </w:rPr>
        <w:t>”), (i) offer, pledge, sell, contract to sell, sell any option or contract to purchase, purchase any option or contract to sell, grant any option, right or warrant to purchase, lend, or otherwise transfer or dispose of, directly or indirectly, any Ordinary Shares, American Depositary Shares or any securities convertible into or exercisable or exchangeable for Ordinary Shares or American Depositary Shares or (ii) enter into any swap or other arrangement that transfers to another, in whole or in part, any of the economic consequences of ownership of the Ordinary Shares or American Depositary Shares, whether any such transaction described in clause (i) or (ii) above is to be settled by delivery of Ordinary Shares, American Depositary Shares or such other securities, in cash or otherwise or (iii) file any registration statement with the Commission relating to the offering of any Ordinary Shares, American Depositary Shares or any securities convertible into or exercisable or exchangeable for Ordinary Shares or American Depositary Shares.</w:t>
      </w:r>
    </w:p>
    <w:p>
      <w:pPr>
        <w:spacing w:after="0" w:line="19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restrictions contained in the preceding paragraph shall not apply to (i) the Shares to be sold hereunder, (ii) the issuance by the Company of Ordinary Shares upon the exercise of an option or warrant or the conversion of a security outstanding on the date hereof of which the Underwriters have been advised in writing and grants of employee share awards pursuant to the Company’s share incentive plans of which the Underwriters have been advised in writing and the issuance of Ordinary Shares pursuant to the exercise of such share awards, or (iii) the establishment of a trading plan pursuant to Rule 10b5-1 under the Exchange Act for the transfer of Securities, provided that (A) such plan does not provide for the transfer of Securities during the Restricted Period and (B) no public announcement shall be made regarding the establishment of such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7" w:name="page38"/>
    <w:bookmarkEnd w:id="37"/>
    <w:p>
      <w:pPr>
        <w:ind w:left="-20" w:right="40" w:firstLine="464"/>
        <w:spacing w:after="0" w:line="255" w:lineRule="auto"/>
        <w:tabs>
          <w:tab w:leader="none" w:pos="823"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apply the net proceeds to the Company from the sale of the Shares in the manner set forth under the heading “Use of Proceeds” in the Time of Sale Prospectus and the Prospectus and to file such reports with the Commission with respect to the sale of the Shares and the application of the proceeds therefrom as may be required by Rule 463 under the Securities Act; not to invest, or otherwise use the proceeds received by the Company from its sale of the American Depositary Shares in such a manner (i) as would require the Company or any of the Subsidiaries and Affiliated Entities to register as an investment company under the 1940 Act, and (ii) that would result in the Company being not in compliance with any applicable laws, rules and regulations of the State Administration of Foreign Exchange of the PRC.</w:t>
      </w:r>
    </w:p>
    <w:p>
      <w:pPr>
        <w:spacing w:after="0" w:line="193" w:lineRule="exact"/>
        <w:rPr>
          <w:rFonts w:ascii="Arial" w:cs="Arial" w:eastAsia="Arial" w:hAnsi="Arial"/>
          <w:sz w:val="18"/>
          <w:szCs w:val="18"/>
          <w:color w:val="auto"/>
        </w:rPr>
      </w:pPr>
    </w:p>
    <w:p>
      <w:pPr>
        <w:ind w:left="-20" w:right="120" w:firstLine="464"/>
        <w:spacing w:after="0" w:line="264" w:lineRule="auto"/>
        <w:tabs>
          <w:tab w:leader="none" w:pos="8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to, and to cause each of its Subsidiaries and Affiliated Entities not to, take, directly or indirectly, any action designed to or that would constitute or that might reasonably be expected to cause or result in the stabilization or manipulation of the price of any security of the Company to facilitate the sale or resale of the Shares or the American Depositary Shares.</w:t>
      </w:r>
    </w:p>
    <w:p>
      <w:pPr>
        <w:spacing w:after="0" w:line="181" w:lineRule="exact"/>
        <w:rPr>
          <w:rFonts w:ascii="Arial" w:cs="Arial" w:eastAsia="Arial" w:hAnsi="Arial"/>
          <w:sz w:val="18"/>
          <w:szCs w:val="18"/>
          <w:color w:val="auto"/>
        </w:rPr>
      </w:pPr>
    </w:p>
    <w:p>
      <w:pPr>
        <w:ind w:left="-20" w:firstLine="464"/>
        <w:spacing w:after="0" w:line="285" w:lineRule="auto"/>
        <w:tabs>
          <w:tab w:leader="none" w:pos="826"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The Company will indemnify and hold harmless the Underwriters against any stamp, issuance, registration, documentary, transaction, transfer, withholding, income or other similar taxes or duties, including any interest and penalties, on the creation, allotment, issue and sale of the Shares or American Depositary Shares to the Underwriters and on the execution and delivery of, the performance of the obligations under this Agreement or the Deposit Agreement and enforcement of this Agreement; (ii) all payments made by the Company hereunder shall be made free and clear of and without withholding or deduction for or on account of any present or future taxes, duties or governmental charges 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 provided, that such additional amount shall not be paid to an Underwriter on account of (including any combination of) (A) taxes which would not have been imposed but for the Underwriter having been a resident of the jurisdiction imposing such taxes or being or having been present or engaged in a trade or business therein or having had a permanent establishment therein, or (B) any taxes imposed or withheld as a result of the failure by such Underwriter to comply with a reasonable request of the Company that such Underwriter provide certification, information, documents or other evidence concerning the nationality, residence or identity of the Underwriter, which is required by a statute, treaty, regulation or administrative practice of the jurisdiction imposing such taxes as a precondition to exemption from all or part of such taxes, provided that the information is readily available to the Underwriter (or could be available using reasonable efforts); (iii) all payments by the Company to the Underwriters hereunder shall be considered exclusive of any value added or similar taxes. Where the Company is obliged to pay value added or similar tax on any amount payable hereunder to the Underwriters, the Company shall pay such additional amounts equal to any applicable value added or similar tax.</w:t>
      </w:r>
    </w:p>
    <w:p>
      <w:pPr>
        <w:spacing w:after="0" w:line="177" w:lineRule="exact"/>
        <w:rPr>
          <w:rFonts w:ascii="Arial" w:cs="Arial" w:eastAsia="Arial" w:hAnsi="Arial"/>
          <w:sz w:val="16"/>
          <w:szCs w:val="16"/>
          <w:color w:val="auto"/>
        </w:rPr>
      </w:pPr>
    </w:p>
    <w:p>
      <w:pPr>
        <w:ind w:left="-20" w:right="320" w:firstLine="464"/>
        <w:spacing w:after="0" w:line="342" w:lineRule="auto"/>
        <w:tabs>
          <w:tab w:leader="none" w:pos="8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comply with the terms of the Deposit Agreement so that the American Depositary Shares will be issued by the Depositary and delivered to each Underwriter’s participant account in DTC, pursuant to this Agreement on the Closing Date and each applicable Option Closing Date.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60" w:top="274" w:right="259" w:bottom="1440" w:gutter="0" w:footer="0" w:header="0"/>
        </w:sectPr>
      </w:pPr>
    </w:p>
    <w:bookmarkStart w:id="38" w:name="page39"/>
    <w:bookmarkEnd w:id="38"/>
    <w:p>
      <w:pPr>
        <w:ind w:left="-8" w:right="40" w:firstLine="464"/>
        <w:spacing w:after="0" w:line="257" w:lineRule="auto"/>
        <w:tabs>
          <w:tab w:leader="none" w:pos="853"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it will not attempt to avoid any judgment in connection with this Agreement obtained by it, applied to it, or denied to it in a court of competent jurisdiction outside the Cayman Islands; (ii) following the consummation of the offering, to use its reasonable efforts to obtain and maintain all approvals required in the Cayman Islands to pay and remit outside the Cayman Islands all dividends declared by the Company and payable on the Ordinary Shares, if any; and (iii) to use its reasonable efforts to obtain and maintain all approvals, if any, required in the Cayman Islands for the Company to acquire sufficient foreign exchange for the payment of dividends and all other relevant purposes.</w:t>
      </w:r>
    </w:p>
    <w:p>
      <w:pPr>
        <w:spacing w:after="0" w:line="188" w:lineRule="exact"/>
        <w:rPr>
          <w:rFonts w:ascii="Arial" w:cs="Arial" w:eastAsia="Arial" w:hAnsi="Arial"/>
          <w:sz w:val="18"/>
          <w:szCs w:val="18"/>
          <w:color w:val="auto"/>
        </w:rPr>
      </w:pPr>
    </w:p>
    <w:p>
      <w:pPr>
        <w:ind w:left="-8" w:firstLine="464"/>
        <w:spacing w:after="0" w:line="302" w:lineRule="auto"/>
        <w:tabs>
          <w:tab w:leader="none" w:pos="815" w:val="left"/>
        </w:tabs>
        <w:numPr>
          <w:ilvl w:val="1"/>
          <w:numId w:val="52"/>
        </w:numPr>
        <w:rPr>
          <w:rFonts w:ascii="Arial" w:cs="Arial" w:eastAsia="Arial" w:hAnsi="Arial"/>
          <w:sz w:val="16"/>
          <w:szCs w:val="16"/>
          <w:color w:val="auto"/>
        </w:rPr>
      </w:pPr>
      <w:r>
        <w:rPr>
          <w:rFonts w:ascii="Arial" w:cs="Arial" w:eastAsia="Arial" w:hAnsi="Arial"/>
          <w:sz w:val="16"/>
          <w:szCs w:val="16"/>
          <w:color w:val="auto"/>
        </w:rPr>
        <w:t>To comply with the PRC Overseas Investment and Listing Regulations, and to use its reasonable efforts to cause holders of its ordinary shares that are, or that are directly or indirectly owned or controlled by, Chinese residents or Chinese citizens, to comply with the PRC Overseas Investment and Listing Regulations applicable to them, including, without limitation, requesting each such shareholder to complete any registration and other procedures required under applicable PRC Overseas Investment and Listing Regulations (including any applicable rules and regulations of the SAFE).</w:t>
      </w:r>
    </w:p>
    <w:p>
      <w:pPr>
        <w:spacing w:after="0" w:line="154" w:lineRule="exact"/>
        <w:rPr>
          <w:rFonts w:ascii="Arial" w:cs="Arial" w:eastAsia="Arial" w:hAnsi="Arial"/>
          <w:sz w:val="16"/>
          <w:szCs w:val="16"/>
          <w:color w:val="auto"/>
        </w:rPr>
      </w:pPr>
    </w:p>
    <w:p>
      <w:pPr>
        <w:ind w:left="-8" w:right="80" w:firstLine="464"/>
        <w:spacing w:after="0" w:line="277" w:lineRule="auto"/>
        <w:tabs>
          <w:tab w:leader="none" w:pos="7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implement and maintain reasonable measures in compliance with PRC laws and regulations concerning copyrights, information dissemination over the Internet, user privacy protection and advertising.</w:t>
      </w:r>
    </w:p>
    <w:p>
      <w:pPr>
        <w:spacing w:after="0" w:line="170" w:lineRule="exact"/>
        <w:rPr>
          <w:rFonts w:ascii="Arial" w:cs="Arial" w:eastAsia="Arial" w:hAnsi="Arial"/>
          <w:sz w:val="18"/>
          <w:szCs w:val="18"/>
          <w:color w:val="auto"/>
        </w:rPr>
      </w:pPr>
    </w:p>
    <w:p>
      <w:pPr>
        <w:ind w:left="852" w:hanging="396"/>
        <w:spacing w:after="0"/>
        <w:tabs>
          <w:tab w:leader="none" w:pos="852"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Company will promptly notify the Representative if the Company ceases to be an Emerging Growth Company at any time prior to the later of</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completion of the distribution of the Shares within the meaning of the Securities Act and (b) completion of the Restricted Period.</w:t>
      </w:r>
    </w:p>
    <w:p>
      <w:pPr>
        <w:spacing w:after="0" w:line="210" w:lineRule="exact"/>
        <w:rPr>
          <w:rFonts w:ascii="Arial" w:cs="Arial" w:eastAsia="Arial" w:hAnsi="Arial"/>
          <w:sz w:val="18"/>
          <w:szCs w:val="18"/>
          <w:color w:val="auto"/>
        </w:rPr>
      </w:pPr>
    </w:p>
    <w:p>
      <w:pPr>
        <w:ind w:left="-8" w:right="20" w:firstLine="464"/>
        <w:spacing w:after="0" w:line="257" w:lineRule="auto"/>
        <w:tabs>
          <w:tab w:leader="none" w:pos="838"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Written Testing-the-Waters Communication to eliminate or correct such untrue statement or omission.</w:t>
      </w:r>
    </w:p>
    <w:p>
      <w:pPr>
        <w:spacing w:after="0" w:line="188" w:lineRule="exact"/>
        <w:rPr>
          <w:rFonts w:ascii="Arial" w:cs="Arial" w:eastAsia="Arial" w:hAnsi="Arial"/>
          <w:sz w:val="18"/>
          <w:szCs w:val="18"/>
          <w:color w:val="auto"/>
        </w:rPr>
      </w:pPr>
    </w:p>
    <w:p>
      <w:pPr>
        <w:ind w:left="-8" w:right="220" w:firstLine="464"/>
        <w:spacing w:after="0" w:line="277" w:lineRule="auto"/>
        <w:tabs>
          <w:tab w:leader="none" w:pos="875"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not release the Depositary from the obligations set forth in, or otherwise amend, terminate, fail to enforce or provide any consent under, the Depositary Side Letter during the Restricted Period without the prior written consents of the Representative.</w:t>
      </w:r>
    </w:p>
    <w:p>
      <w:pPr>
        <w:spacing w:after="0" w:line="170" w:lineRule="exact"/>
        <w:rPr>
          <w:rFonts w:ascii="Arial" w:cs="Arial" w:eastAsia="Arial" w:hAnsi="Arial"/>
          <w:sz w:val="18"/>
          <w:szCs w:val="18"/>
          <w:color w:val="auto"/>
        </w:rPr>
      </w:pPr>
    </w:p>
    <w:p>
      <w:pPr>
        <w:ind w:left="-8" w:right="640" w:firstLine="464"/>
        <w:spacing w:after="0" w:line="264" w:lineRule="auto"/>
        <w:tabs>
          <w:tab w:leader="none" w:pos="838"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Prior to the Closing Date, the Company will have purchased insurance covering its directors and officers for liabilities or losses arising in connection with this offering, including, without limitation, liabilities or losses arising under the Securities Act, the Exchange Act and the rules and regulations thereof.</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72"/>
          </w:cols>
          <w:pgMar w:left="248" w:top="274" w:right="279" w:bottom="1440" w:gutter="0" w:footer="0" w:header="0"/>
        </w:sectPr>
      </w:pPr>
    </w:p>
    <w:bookmarkStart w:id="39" w:name="page40"/>
    <w:bookmarkEnd w:id="39"/>
    <w:p>
      <w:pPr>
        <w:ind w:firstLine="464"/>
        <w:spacing w:after="0" w:line="283" w:lineRule="auto"/>
        <w:tabs>
          <w:tab w:leader="none" w:pos="861"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r>
        <w:rPr>
          <w:rFonts w:ascii="Arial" w:cs="Arial" w:eastAsia="Arial" w:hAnsi="Arial"/>
          <w:sz w:val="16"/>
          <w:szCs w:val="16"/>
          <w:color w:val="auto"/>
        </w:rPr>
        <w:t>. Whether or not the transactions contemplated in this Agreement are consummated or this Agreement is terminated,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agrees to pay or cause to be paid all expenses incident to the performance of its obligations under this Agreement (and any taxes thereof), including: (i) the fees, disbursements and expenses of the Company’s counsel and the Company’s accountants in connection with the registration and delivery of the Shares and the American Depositary Shares under the Securities Act and all other fees or expenses in connection with the preparation and filing of the Registration Statement, the ADS Registration Statement, the Form 8-A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and the American Depositary Shares to the Underwriters, including any transfer or other taxes payable thereon, (iii) the cost of printing or producing any Blue Sky or Legal Investment memorandum in connection with the offer and sale of the Shares or the American Depositary Shares under state securities laws and all expenses in connection with the qualification of the Shares and American Depositary Shares for offer and sale under state securities laws as provided in Section 6(h) hereof, (iv) all filing fees in connection with the review and qualification of the offering of the Shares by FINRA, (v) all fees and expenses in connection with the preparation and filing of the registration statement on Form 8-A relating to the American Depositary Shares and all costs and expenses incident to listing the Shares on the NASDAQ Global Market,</w:t>
      </w:r>
    </w:p>
    <w:p>
      <w:pPr>
        <w:spacing w:after="0" w:line="3" w:lineRule="exact"/>
        <w:rPr>
          <w:rFonts w:ascii="Arial" w:cs="Arial" w:eastAsia="Arial" w:hAnsi="Arial"/>
          <w:sz w:val="16"/>
          <w:szCs w:val="16"/>
          <w:color w:val="auto"/>
        </w:rPr>
      </w:pPr>
    </w:p>
    <w:p>
      <w:pPr>
        <w:ind w:right="180" w:firstLine="8"/>
        <w:spacing w:after="0" w:line="281" w:lineRule="auto"/>
        <w:tabs>
          <w:tab w:leader="none" w:pos="3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reasonable fees of counsel incurred in connection with the distribution and sale of the American Depositary Shares into Canada, if any, (vii) the cost of printing certificates representing the Shares or the American Depositary Shares, (viii) the costs and charges of any transfer agent, registrar or depositary,</w:t>
      </w:r>
    </w:p>
    <w:p>
      <w:pPr>
        <w:spacing w:after="0" w:line="1" w:lineRule="exact"/>
        <w:rPr>
          <w:rFonts w:ascii="Arial" w:cs="Arial" w:eastAsia="Arial" w:hAnsi="Arial"/>
          <w:sz w:val="16"/>
          <w:szCs w:val="16"/>
          <w:color w:val="auto"/>
        </w:rPr>
      </w:pPr>
    </w:p>
    <w:p>
      <w:pPr>
        <w:ind w:firstLine="8"/>
        <w:spacing w:after="0" w:line="268" w:lineRule="auto"/>
        <w:tabs>
          <w:tab w:leader="none" w:pos="30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costs and expenses of the Company relating to investor presentations on any “road show” undertaken in connection with the marketing of the offering of the American Depositary Shares, including, without limitation, expenses associated with the preparation or dissemination of any electronic road show, expenses associated with the production of road show slides and graphics, expenses associated with hosting investor meetings or luncheons, fees and expenses of any consultants engaged in connection with the road show presentations with the prior approval of the Company and travel, meals and lodging expenses of any such consultants and the Company’s representatives, (x) the document production charges and expenses associated with printing this Agreement and (xi) all other costs and expenses incident to the performance of the obligations of the Company hereunder for which provision is not otherwise made in this Section. It is understood, however, that except as provided in the paragraph immediately below, Section 9 entitled “Indemnity and Contribution” and the last paragraph of Section 11 below, the Underwriters will pay all of their costs and expenses, including any advertising expenses connected with any offers they may make. It is further understood that, notwithstanding anything in this paragraph, the expense allowance and reimbursement the underwriters are entitled to shall be limited to the amount set out in the paragraph immediately below.</w:t>
      </w:r>
    </w:p>
    <w:p>
      <w:pPr>
        <w:spacing w:after="0" w:line="18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agrees to provide the Underwriters a non-accountable expense allowance of 1% of the gross proceeds from the offering of the Shares and reimburse the Underwriters up to US$125,000 to cover its out-of-pocket expenses related to the offering of the Shares, including but not limited to:</w:t>
      </w:r>
    </w:p>
    <w:p>
      <w:pPr>
        <w:ind w:right="40" w:firstLine="8"/>
        <w:spacing w:after="0" w:line="253" w:lineRule="auto"/>
        <w:tabs>
          <w:tab w:leader="none" w:pos="2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reasonable travel and out-of-pocket expenses; (ii) reasonable fees of legal counsel incurred by the Representative in connection with the offering of the Shares; (iii) the cost of any due diligence meetings; and (iv) preparation of bound volumes and Lucite cube mementos in such quantities as the Representative may reasonably request. In addition, the Company agrees to reimburse the Underwriters US$500,000 for the fees and expenses of the Underwriters’ counsel, including the reasonable fees and disbursements of counsel to the Underwriters incurred in connection with the review and qualification of the offering of the Shares by FINRA.</w:t>
      </w:r>
    </w:p>
    <w:p>
      <w:pPr>
        <w:spacing w:after="0" w:line="19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If this Agreement is terminated by the Representative pursuant to Section 5, Section 10 or Section 11, or if the sale to the Underwriters of the ADSs on the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ADSs, including, but not limited to, fees and disbursements of counsel, printing expenses, travel expenses, postage, facsimile and telephone charges, subject to the limit set forth in the paragraph immediately above.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0" w:name="page41"/>
    <w:bookmarkEnd w:id="40"/>
    <w:p>
      <w:pPr>
        <w:ind w:left="-20" w:right="120" w:firstLine="464"/>
        <w:spacing w:after="0" w:line="266" w:lineRule="auto"/>
        <w:tabs>
          <w:tab w:leader="none" w:pos="751"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Covenants of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Underwriter severally covenants with the Company not to take any action that would result in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under Rule 433(d) a free writing prospectus prepared by or on behalf of such Underwriter that otherwise would not be required to be filed by the Company thereunder, but for the action of such Underwriter.</w:t>
      </w:r>
    </w:p>
    <w:p>
      <w:pPr>
        <w:spacing w:after="0" w:line="288" w:lineRule="exact"/>
        <w:rPr>
          <w:rFonts w:ascii="Arial" w:cs="Arial" w:eastAsia="Arial" w:hAnsi="Arial"/>
          <w:sz w:val="18"/>
          <w:szCs w:val="18"/>
          <w:color w:val="auto"/>
        </w:rPr>
      </w:pPr>
    </w:p>
    <w:p>
      <w:pPr>
        <w:ind w:left="760" w:hanging="316"/>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Indemnity and Contribution.</w:t>
      </w:r>
    </w:p>
    <w:p>
      <w:pPr>
        <w:spacing w:after="0" w:line="117" w:lineRule="exact"/>
        <w:rPr>
          <w:sz w:val="20"/>
          <w:szCs w:val="20"/>
          <w:color w:val="auto"/>
        </w:rPr>
      </w:pPr>
    </w:p>
    <w:p>
      <w:pPr>
        <w:ind w:left="-20" w:firstLine="464"/>
        <w:spacing w:after="0" w:line="286" w:lineRule="auto"/>
        <w:tabs>
          <w:tab w:leader="none" w:pos="813"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each director, officer, employee,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the ADS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or the Prospectus or any amendment or supplement thereto, or any Written Testing-the-Waters Communication caused by any omission or alleged omission to state therein a material fact required to be stated therein or necessary to make the statements therein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except insofar as such losses, claims, damages or liabilities are caused by any such untrue statement or omission or alleged untrue statement or omission based upon information furnished to the Company in writing by such Underwriter through the Representative expressly for use therein.</w:t>
      </w:r>
    </w:p>
    <w:p>
      <w:pPr>
        <w:spacing w:after="0" w:line="171" w:lineRule="exact"/>
        <w:rPr>
          <w:rFonts w:ascii="Arial" w:cs="Arial" w:eastAsia="Arial" w:hAnsi="Arial"/>
          <w:sz w:val="16"/>
          <w:szCs w:val="16"/>
          <w:color w:val="auto"/>
        </w:rPr>
      </w:pPr>
    </w:p>
    <w:p>
      <w:pPr>
        <w:ind w:left="-20" w:right="40" w:firstLine="464"/>
        <w:spacing w:after="0" w:line="291" w:lineRule="auto"/>
        <w:tabs>
          <w:tab w:leader="none" w:pos="826"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furnished to the Company in writing by such Underwriter through the Representative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consists of the name of the Underwriters appearing in the first paragraph, and the concession figures appearing in the fifth paragraph under the caption “Underwriting” (the “</w:t>
      </w:r>
      <w:r>
        <w:rPr>
          <w:rFonts w:ascii="Arial" w:cs="Arial" w:eastAsia="Arial" w:hAnsi="Arial"/>
          <w:sz w:val="16"/>
          <w:szCs w:val="16"/>
          <w:b w:val="1"/>
          <w:bCs w:val="1"/>
          <w:color w:val="auto"/>
        </w:rPr>
        <w:t>Underwriter Information</w:t>
      </w:r>
      <w:r>
        <w:rPr>
          <w:rFonts w:ascii="Arial" w:cs="Arial" w:eastAsia="Arial" w:hAnsi="Arial"/>
          <w:sz w:val="16"/>
          <w:szCs w:val="16"/>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60" w:top="270" w:right="239" w:bottom="1440" w:gutter="0" w:footer="0" w:header="0"/>
        </w:sectPr>
      </w:pPr>
    </w:p>
    <w:bookmarkStart w:id="41" w:name="page42"/>
    <w:bookmarkEnd w:id="41"/>
    <w:p>
      <w:pPr>
        <w:ind w:left="-20" w:firstLine="464"/>
        <w:spacing w:after="0" w:line="284" w:lineRule="auto"/>
        <w:tabs>
          <w:tab w:leader="none" w:pos="816"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any proceeding (including any governmental investigation) shall be instituted involving any person in respect of which indemnity may be sought pursuant to Section 9(a), or 9(b),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persons, and that all such fees and expenses shall be reimbursed as they are incurred. In the case of any such separate firm for the Underwriters and such control persons and affiliates of any Underwriters, such firm shall be designated in writing by the Representative.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60" w:top="274" w:right="239" w:bottom="1440" w:gutter="0" w:footer="0" w:header="0"/>
        </w:sectPr>
      </w:pPr>
    </w:p>
    <w:bookmarkStart w:id="42" w:name="page43"/>
    <w:bookmarkEnd w:id="42"/>
    <w:p>
      <w:pPr>
        <w:ind w:left="-60" w:right="20" w:firstLine="464"/>
        <w:spacing w:after="0" w:line="268" w:lineRule="auto"/>
        <w:tabs>
          <w:tab w:leader="none" w:pos="783" w:val="left"/>
        </w:tabs>
        <w:numPr>
          <w:ilvl w:val="0"/>
          <w:numId w:val="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the indemnification provided for in Section 9(a) or 9(b),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Shares they have purchased hereunder, and not joint.</w:t>
      </w:r>
    </w:p>
    <w:p>
      <w:pPr>
        <w:spacing w:after="0" w:line="180" w:lineRule="exact"/>
        <w:rPr>
          <w:rFonts w:ascii="Arial" w:cs="Arial" w:eastAsia="Arial" w:hAnsi="Arial"/>
          <w:sz w:val="17"/>
          <w:szCs w:val="17"/>
          <w:color w:val="auto"/>
        </w:rPr>
      </w:pPr>
    </w:p>
    <w:p>
      <w:pPr>
        <w:ind w:left="-60" w:firstLine="464"/>
        <w:spacing w:after="0" w:line="269" w:lineRule="auto"/>
        <w:tabs>
          <w:tab w:leader="none" w:pos="773"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The Company and the Underwriters agree that it would not be just or equitable if contribution pursuant to this Section 9 were determined by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allocation (even if the Underwriters were treated as one entity for such purpose) or by any other method of allocation that does not take account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equitable considerations referred to in Section 9(d). The amount paid or payable by an indemnified party as a result of the losses, claims, damages and liabilities referred to in Section 9 (d) shall be deemed to include, subject to the limitations set forth above, any legal or other expenses reasonably incurred by such indemnified party in connection with investigating or defending any such action or claim. Notwithstanding the provisions of this Section 9,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9(d)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182" w:lineRule="exact"/>
        <w:rPr>
          <w:rFonts w:ascii="Arial" w:cs="Arial" w:eastAsia="Arial" w:hAnsi="Arial"/>
          <w:sz w:val="17"/>
          <w:szCs w:val="17"/>
          <w:color w:val="auto"/>
        </w:rPr>
      </w:pPr>
    </w:p>
    <w:p>
      <w:pPr>
        <w:ind w:left="-60" w:firstLine="464"/>
        <w:spacing w:after="0" w:line="302" w:lineRule="auto"/>
        <w:tabs>
          <w:tab w:leader="none" w:pos="75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9 and Section 6(p) and the representations, warranties and other statements of the Company contained in this Agreement shall remain operative and in full force and effect regardless of (i) any termination of this Agreement, (ii) any investigation made by or on behalf of (A) any Underwriter, any person controlling any Underwriter or any affiliate of any Underwriter, or (B) the Company, its officers or directors or any person controlling the Company and (iii) acceptance of and payment for any of the Shares.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300" w:top="274" w:right="299" w:bottom="1440" w:gutter="0" w:footer="0" w:header="0"/>
        </w:sectPr>
      </w:pPr>
    </w:p>
    <w:bookmarkStart w:id="43" w:name="page44"/>
    <w:bookmarkEnd w:id="43"/>
    <w:p>
      <w:pPr>
        <w:jc w:val="both"/>
        <w:ind w:right="200" w:firstLine="464"/>
        <w:spacing w:after="0" w:line="288" w:lineRule="auto"/>
        <w:tabs>
          <w:tab w:leader="none" w:pos="861"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Arial" w:cs="Arial" w:eastAsia="Arial" w:hAnsi="Arial"/>
          <w:sz w:val="16"/>
          <w:szCs w:val="16"/>
          <w:color w:val="auto"/>
        </w:rPr>
        <w:t>. The Underwriters may terminate this Agreement by notice given by the Representative to the Company, if after the execution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NYSE MKT, the NASDAQ Global Market, The Hong Kong Stock Exchange or other relevant exchanges,</w:t>
      </w:r>
    </w:p>
    <w:p>
      <w:pPr>
        <w:ind w:right="60" w:firstLine="8"/>
        <w:spacing w:after="0" w:line="269" w:lineRule="auto"/>
        <w:tabs>
          <w:tab w:leader="none" w:pos="26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trading of any securities of the Company shall have been suspended on any exchange or in any over-the-counter market, (iii) a material disruption in securities settlement, payment or clearance services in the United States, the PRC or the Cayman Islands shall have occurred, (iv) any moratorium on commercial banking activities shall have been declared by United States Federal, New York State, PRC or Cayman Islands authorities or (v) there shall have occurred any outbreak or escalation of hostilities, or any change in financial markets, currency exchange rates or controls or any calamity or crisis that, in the judgment of the Representative, is material and adverse and which, singly or together with any other event specified in this clause (v), makes it, in the judgment of the Representative, impracticable or inadvisable to proceed with the offer, sale or delivery of the Shares on the terms and in the manner contemplated in the Time of Sale Prospectus or the Prospectus.</w:t>
      </w:r>
    </w:p>
    <w:p>
      <w:pPr>
        <w:spacing w:after="0" w:line="180" w:lineRule="exact"/>
        <w:rPr>
          <w:rFonts w:ascii="Arial" w:cs="Arial" w:eastAsia="Arial" w:hAnsi="Arial"/>
          <w:sz w:val="17"/>
          <w:szCs w:val="17"/>
          <w:color w:val="auto"/>
        </w:rPr>
      </w:pPr>
    </w:p>
    <w:p>
      <w:pPr>
        <w:ind w:left="860" w:hanging="396"/>
        <w:spacing w:after="0"/>
        <w:tabs>
          <w:tab w:leader="none" w:pos="860" w:val="left"/>
        </w:tabs>
        <w:numPr>
          <w:ilvl w:val="1"/>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 the Company for the purchase of such Firm Shares are not made within 36 hours after such default, this Agreement shall terminate without liability on the part of any non-defaulting Underwriter or the Company. In any such case either the Representative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(provided that if such default occurs with respect to Additional Securities after the Closing Date, this Agreement will not terminate as to the Firm Securities or any Additional Securities purchased prior to such termination) or (ii) purchase not less than the number of Additional Shares that such non-defaulting Underwriters would have been obligated to purchase in the absence of such default. For the avoidance of doubt but subject to the first sentence of this paragraph, none of the non-defaulting Underwriters shall be held liable to the Company or any other party in respect of any default of any defaulting Underwriter. Any action taken under this paragraph shall not relieve any defaulting Underwriter from liability in respect of any default of such Underwriter under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44" w:name="page45"/>
    <w:bookmarkEnd w:id="44"/>
    <w:p>
      <w:pPr>
        <w:ind w:right="6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printing expenses, travel expenses, postage, facsimile and telephone charges) reasonably incurred by such Underwriters in connection with this Agreement or the offering contemplated hereunder.</w:t>
      </w:r>
    </w:p>
    <w:p>
      <w:pPr>
        <w:spacing w:after="0" w:line="173" w:lineRule="exact"/>
        <w:rPr>
          <w:sz w:val="20"/>
          <w:szCs w:val="20"/>
          <w:color w:val="auto"/>
        </w:rPr>
      </w:pPr>
    </w:p>
    <w:p>
      <w:pPr>
        <w:ind w:firstLine="464"/>
        <w:spacing w:after="0" w:line="287" w:lineRule="auto"/>
        <w:tabs>
          <w:tab w:leader="none" w:pos="861"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Submission to Jurisdiction; Appointment of Agent for Service</w:t>
      </w:r>
      <w:r>
        <w:rPr>
          <w:rFonts w:ascii="Arial" w:cs="Arial" w:eastAsia="Arial" w:hAnsi="Arial"/>
          <w:sz w:val="16"/>
          <w:szCs w:val="16"/>
          <w:color w:val="auto"/>
        </w:rPr>
        <w:t>. The Company hereby irrevocably submits to the non-exclusive jurisdiction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federal and state courts in the Borough of Manhattan in The City of New York (each, a “</w:t>
      </w:r>
      <w:r>
        <w:rPr>
          <w:rFonts w:ascii="Arial" w:cs="Arial" w:eastAsia="Arial" w:hAnsi="Arial"/>
          <w:sz w:val="16"/>
          <w:szCs w:val="16"/>
          <w:b w:val="1"/>
          <w:bCs w:val="1"/>
          <w:color w:val="auto"/>
        </w:rPr>
        <w:t>New York Court</w:t>
      </w:r>
      <w:r>
        <w:rPr>
          <w:rFonts w:ascii="Arial" w:cs="Arial" w:eastAsia="Arial" w:hAnsi="Arial"/>
          <w:sz w:val="16"/>
          <w:szCs w:val="16"/>
          <w:color w:val="auto"/>
        </w:rPr>
        <w:t>”) in any suit or proceeding arising out of or relating to this Agreement, the Time of Sale Prospectus, the Prospectus, the Registration Statement, the ADS Registration Statement, the offering of the American Depositary Shares or any transactions contemplated hereby. The Company irrevocably and unconditionally waives any objection to the laying of venue of any suit or proceeding arising out of or relating to this Agreement, the Time of Sale Prospectus, the Prospectus, the Registration Statement, the ADS Registration Statement, the offering of the American Depositary Shares or any transactions contemplated hereby in the New York Courts, and irrevocably and unconditionally waives and agrees not to plead or claim in any such court that any such suit or proceeding in any such court has been brought in an inconvenient forum. The Company irrevocably appoints Law Debenture Corporate Services, Inc. as its respective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in the Borough of Manhattan in The City of New York upon which process may be served in any such suit or proceeding, and agree that service of process in any manner permitted by applicable law upon such agent shall be deemed in every respect effective service of process in any manner permitted by applicable law upon the Company, as the case may be, in any such suit or proceeding. The Company further agrees to take any and all action as may be necessary to maintain such designation and appointment of such agent in full force and effect for a period of seven years from the date of this Agreement.</w:t>
      </w:r>
    </w:p>
    <w:p>
      <w:pPr>
        <w:spacing w:after="0" w:line="168" w:lineRule="exact"/>
        <w:rPr>
          <w:rFonts w:ascii="Arial" w:cs="Arial" w:eastAsia="Arial" w:hAnsi="Arial"/>
          <w:sz w:val="16"/>
          <w:szCs w:val="16"/>
          <w:color w:val="auto"/>
        </w:rPr>
      </w:pPr>
    </w:p>
    <w:p>
      <w:pPr>
        <w:ind w:firstLine="464"/>
        <w:spacing w:after="0" w:line="269" w:lineRule="auto"/>
        <w:tabs>
          <w:tab w:leader="none" w:pos="861"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Judgment Currency</w:t>
      </w:r>
      <w:r>
        <w:rPr>
          <w:rFonts w:ascii="Arial" w:cs="Arial" w:eastAsia="Arial" w:hAnsi="Arial"/>
          <w:sz w:val="17"/>
          <w:szCs w:val="17"/>
          <w:color w:val="auto"/>
        </w:rPr>
        <w:t>. If for the purposes of obtaining judgment in any court it is necessary to convert a sum due hereunder into any currency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pursuant to this Agreement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45" w:name="page46"/>
    <w:bookmarkEnd w:id="45"/>
    <w:p>
      <w:pPr>
        <w:ind w:right="200" w:firstLine="464"/>
        <w:spacing w:after="0" w:line="302" w:lineRule="auto"/>
        <w:tabs>
          <w:tab w:leader="none" w:pos="861"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w:t>
      </w:r>
      <w:r>
        <w:rPr>
          <w:rFonts w:ascii="Arial" w:cs="Arial" w:eastAsia="Arial" w:hAnsi="Arial"/>
          <w:sz w:val="16"/>
          <w:szCs w:val="16"/>
          <w:color w:val="auto"/>
        </w:rPr>
        <w:t>. This Agreement, together with any contemporaneous written agreements and any prior written agreements (to the extent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superseded by this Agreement) that relate to the sale and purchase of the Shares and the offering of the American Depositary Shares, represents the entire agreement between the Company and the Underwriters with respect to the preparation of any preliminary prospectus, the Time of Sale Prospectus, the Prospectus, the conduct of the offering, and the purchase and sale of the Shares and the offering of the American Depositary Shares.</w:t>
      </w:r>
    </w:p>
    <w:p>
      <w:pPr>
        <w:spacing w:after="0" w:line="154" w:lineRule="exact"/>
        <w:rPr>
          <w:rFonts w:ascii="Arial" w:cs="Arial" w:eastAsia="Arial" w:hAnsi="Arial"/>
          <w:sz w:val="16"/>
          <w:szCs w:val="16"/>
          <w:color w:val="auto"/>
        </w:rPr>
      </w:pPr>
    </w:p>
    <w:p>
      <w:pPr>
        <w:ind w:right="520" w:firstLine="464"/>
        <w:spacing w:after="0" w:line="277" w:lineRule="auto"/>
        <w:tabs>
          <w:tab w:leader="none" w:pos="861"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Counterparts. </w:t>
      </w:r>
      <w:r>
        <w:rPr>
          <w:rFonts w:ascii="Arial" w:cs="Arial" w:eastAsia="Arial" w:hAnsi="Arial"/>
          <w:sz w:val="18"/>
          <w:szCs w:val="18"/>
          <w:color w:val="auto"/>
        </w:rPr>
        <w:t>This Agreement may be signed in two or more counterparts, each of which shall be an original, with the same effect as if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Applicable Law. </w:t>
      </w:r>
      <w:r>
        <w:rPr>
          <w:rFonts w:ascii="Arial" w:cs="Arial" w:eastAsia="Arial" w:hAnsi="Arial"/>
          <w:sz w:val="18"/>
          <w:szCs w:val="18"/>
          <w:color w:val="auto"/>
        </w:rPr>
        <w:t>This Agreement shall be governed by and construed in accordance with the internal laws of the State of New York.</w:t>
      </w:r>
    </w:p>
    <w:p>
      <w:pPr>
        <w:spacing w:after="0" w:line="225" w:lineRule="exact"/>
        <w:rPr>
          <w:rFonts w:ascii="Arial" w:cs="Arial" w:eastAsia="Arial" w:hAnsi="Arial"/>
          <w:sz w:val="18"/>
          <w:szCs w:val="18"/>
          <w:color w:val="auto"/>
        </w:rPr>
      </w:pPr>
    </w:p>
    <w:p>
      <w:pPr>
        <w:ind w:right="60" w:firstLine="464"/>
        <w:spacing w:after="0" w:line="277" w:lineRule="auto"/>
        <w:tabs>
          <w:tab w:leader="none" w:pos="861"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w:t>
      </w:r>
    </w:p>
    <w:p>
      <w:pPr>
        <w:spacing w:after="0" w:line="170" w:lineRule="exact"/>
        <w:rPr>
          <w:rFonts w:ascii="Arial" w:cs="Arial" w:eastAsia="Arial" w:hAnsi="Arial"/>
          <w:sz w:val="18"/>
          <w:szCs w:val="18"/>
          <w:color w:val="auto"/>
        </w:rPr>
      </w:pPr>
    </w:p>
    <w:p>
      <w:pPr>
        <w:ind w:right="60" w:firstLine="464"/>
        <w:spacing w:after="0" w:line="277" w:lineRule="auto"/>
        <w:tabs>
          <w:tab w:leader="none" w:pos="861"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communications hereunder shall be in writing and effective only upon receipt and if to the Underwriters shall be delivered, mailed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sent to the Representative at: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888 San Clemente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400, Newport Beach,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 92660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to the Company shall be delivered, mailed or sent to iClick Interactive Asia Group Limited, 15/F, Prosperity Millennia Plaza, 663 King’s Road, Quarry Bay, Hong Kong S.A.R., Attention: Jie Jiao;</w:t>
      </w:r>
    </w:p>
    <w:p>
      <w:pPr>
        <w:spacing w:after="0" w:line="166" w:lineRule="exact"/>
        <w:rPr>
          <w:sz w:val="20"/>
          <w:szCs w:val="20"/>
          <w:color w:val="auto"/>
        </w:rPr>
      </w:pPr>
    </w:p>
    <w:p>
      <w:pPr>
        <w:ind w:right="40" w:firstLine="464"/>
        <w:spacing w:after="0" w:line="281" w:lineRule="auto"/>
        <w:tabs>
          <w:tab w:leader="none" w:pos="861"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Parties at Interest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Agreement set forth has been and is made solely for the benefit of the Underwriters, the Company and to the extent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in Section 9 hereof the controlling persons, partners, directors and officers referred to in such sections and their respective successors, assigns, heirs, personal representatives and executors and administrators. No other person, partnership, association or corporation (including a purchaser, as such purchaser, from any of the Underwriters) shall acquire or have any rights under or by virtue of this Agreement.</w:t>
      </w:r>
    </w:p>
    <w:p>
      <w:pPr>
        <w:spacing w:after="0" w:line="164" w:lineRule="exact"/>
        <w:rPr>
          <w:rFonts w:ascii="Arial" w:cs="Arial" w:eastAsia="Arial" w:hAnsi="Arial"/>
          <w:sz w:val="17"/>
          <w:szCs w:val="17"/>
          <w:color w:val="auto"/>
        </w:rPr>
      </w:pPr>
    </w:p>
    <w:p>
      <w:pPr>
        <w:ind w:firstLine="464"/>
        <w:spacing w:after="0" w:line="282" w:lineRule="auto"/>
        <w:tabs>
          <w:tab w:leader="none" w:pos="861"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 will act for the several Underwriters in connection with the transactions contemplated by this Agreement,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action under this Agreement taken by the Representative jointly will be binding upon all the Underwriters.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6" w:name="page47"/>
    <w:bookmarkEnd w:id="46"/>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w:t>
      </w:r>
      <w:r>
        <w:rPr>
          <w:sz w:val="20"/>
          <w:szCs w:val="20"/>
          <w:color w:val="auto"/>
        </w:rPr>
        <w:tab/>
      </w: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acknowledges and agrees to each of the following</w:t>
      </w:r>
      <w:r>
        <w:rPr>
          <w:rFonts w:ascii="Arial" w:cs="Arial" w:eastAsia="Arial" w:hAnsi="Arial"/>
          <w:sz w:val="16"/>
          <w:szCs w:val="16"/>
          <w:b w:val="1"/>
          <w:bCs w:val="1"/>
          <w:color w:val="auto"/>
        </w:rPr>
        <w:t>:</w:t>
      </w:r>
    </w:p>
    <w:p>
      <w:pPr>
        <w:spacing w:after="0" w:line="229" w:lineRule="exact"/>
        <w:rPr>
          <w:sz w:val="20"/>
          <w:szCs w:val="20"/>
          <w:color w:val="auto"/>
        </w:rPr>
      </w:pPr>
    </w:p>
    <w:p>
      <w:pPr>
        <w:ind w:left="-20" w:firstLine="464"/>
        <w:spacing w:after="0" w:line="312" w:lineRule="auto"/>
        <w:tabs>
          <w:tab w:leader="none" w:pos="816"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No Other Relationship. </w:t>
      </w:r>
      <w:r>
        <w:rPr>
          <w:rFonts w:ascii="Arial" w:cs="Arial" w:eastAsia="Arial" w:hAnsi="Arial"/>
          <w:sz w:val="16"/>
          <w:szCs w:val="16"/>
          <w:color w:val="auto"/>
        </w:rPr>
        <w:t>The Representative has been retained solely to act as an underwriter in connection with the sale of the Shares and that no</w:t>
      </w:r>
      <w:r>
        <w:rPr>
          <w:rFonts w:ascii="Arial" w:cs="Arial" w:eastAsia="Arial" w:hAnsi="Arial"/>
          <w:sz w:val="16"/>
          <w:szCs w:val="16"/>
          <w:i w:val="1"/>
          <w:iCs w:val="1"/>
          <w:color w:val="auto"/>
        </w:rPr>
        <w:t xml:space="preserve"> </w:t>
      </w:r>
      <w:r>
        <w:rPr>
          <w:rFonts w:ascii="Arial" w:cs="Arial" w:eastAsia="Arial" w:hAnsi="Arial"/>
          <w:sz w:val="16"/>
          <w:szCs w:val="16"/>
          <w:color w:val="auto"/>
        </w:rPr>
        <w:t>fiduciary, advisory or agency relationship between the Company and the Representative has been created in respect of any of the transactions contemplated by this Agreement or the Prospectus, irrespective of whether the Representative has advised or are advising the Company on other matters.</w:t>
      </w:r>
    </w:p>
    <w:p>
      <w:pPr>
        <w:spacing w:after="0" w:line="146" w:lineRule="exact"/>
        <w:rPr>
          <w:rFonts w:ascii="Arial" w:cs="Arial" w:eastAsia="Arial" w:hAnsi="Arial"/>
          <w:sz w:val="16"/>
          <w:szCs w:val="16"/>
          <w:color w:val="auto"/>
        </w:rPr>
      </w:pPr>
    </w:p>
    <w:p>
      <w:pPr>
        <w:ind w:left="-20" w:right="100" w:firstLine="464"/>
        <w:spacing w:after="0" w:line="264" w:lineRule="auto"/>
        <w:tabs>
          <w:tab w:leader="none" w:pos="826"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Arms’ Length Negotiations. </w:t>
      </w:r>
      <w:r>
        <w:rPr>
          <w:rFonts w:ascii="Arial" w:cs="Arial" w:eastAsia="Arial" w:hAnsi="Arial"/>
          <w:sz w:val="18"/>
          <w:szCs w:val="18"/>
          <w:color w:val="auto"/>
        </w:rPr>
        <w:t>The price of the Shares set forth in this Agreement was established by the Company following discussions and arms-length negotiations with the Representative and the Company is capable of evaluating and understanding and understands and accepts the terms, risks and conditions of the transactions contemplated by this Agreement.</w:t>
      </w:r>
    </w:p>
    <w:p>
      <w:pPr>
        <w:spacing w:after="0" w:line="181" w:lineRule="exact"/>
        <w:rPr>
          <w:rFonts w:ascii="Arial" w:cs="Arial" w:eastAsia="Arial" w:hAnsi="Arial"/>
          <w:sz w:val="18"/>
          <w:szCs w:val="18"/>
          <w:color w:val="auto"/>
        </w:rPr>
      </w:pPr>
    </w:p>
    <w:p>
      <w:pPr>
        <w:jc w:val="both"/>
        <w:ind w:left="-20" w:right="540" w:firstLine="464"/>
        <w:spacing w:after="0" w:line="264" w:lineRule="auto"/>
        <w:tabs>
          <w:tab w:leader="none" w:pos="816"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Absence of Obligation to Disclose. </w:t>
      </w:r>
      <w:r>
        <w:rPr>
          <w:rFonts w:ascii="Arial" w:cs="Arial" w:eastAsia="Arial" w:hAnsi="Arial"/>
          <w:sz w:val="18"/>
          <w:szCs w:val="18"/>
          <w:color w:val="auto"/>
        </w:rPr>
        <w:t>The Company has been advised that the Representative and its affiliates are engaged in a broad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which may involve interests that differ from those of the Company and that Representative has no obligation to disclose such interests and transactions to the Company by virtue of any fiduciary, advisory or agency relationship.</w:t>
      </w:r>
    </w:p>
    <w:p>
      <w:pPr>
        <w:spacing w:after="0" w:line="181" w:lineRule="exact"/>
        <w:rPr>
          <w:rFonts w:ascii="Arial" w:cs="Arial" w:eastAsia="Arial" w:hAnsi="Arial"/>
          <w:sz w:val="18"/>
          <w:szCs w:val="18"/>
          <w:color w:val="auto"/>
        </w:rPr>
      </w:pPr>
    </w:p>
    <w:p>
      <w:pPr>
        <w:jc w:val="both"/>
        <w:ind w:left="-20" w:right="280" w:firstLine="464"/>
        <w:spacing w:after="0" w:line="259" w:lineRule="auto"/>
        <w:tabs>
          <w:tab w:leader="none" w:pos="826"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The Company waives, to the fullest extent permitted by law, any claims it may have against the Representative for breach of fiduciary</w:t>
      </w:r>
      <w:r>
        <w:rPr>
          <w:rFonts w:ascii="Arial" w:cs="Arial" w:eastAsia="Arial" w:hAnsi="Arial"/>
          <w:sz w:val="18"/>
          <w:szCs w:val="18"/>
          <w:i w:val="1"/>
          <w:iCs w:val="1"/>
          <w:color w:val="auto"/>
        </w:rPr>
        <w:t xml:space="preserve"> </w:t>
      </w:r>
      <w:r>
        <w:rPr>
          <w:rFonts w:ascii="Arial" w:cs="Arial" w:eastAsia="Arial" w:hAnsi="Arial"/>
          <w:sz w:val="18"/>
          <w:szCs w:val="18"/>
          <w:color w:val="auto"/>
        </w:rPr>
        <w:t>duty or alleged breach of fiduciary duty and agrees that the Representative shall have no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183" w:lineRule="exact"/>
        <w:rPr>
          <w:sz w:val="20"/>
          <w:szCs w:val="20"/>
          <w:color w:val="auto"/>
        </w:rPr>
      </w:pPr>
    </w:p>
    <w:p>
      <w:pPr>
        <w:ind w:left="-20" w:right="80" w:firstLine="464"/>
        <w:spacing w:after="0" w:line="271" w:lineRule="auto"/>
        <w:tabs>
          <w:tab w:leader="none" w:pos="841"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Successors and Assigns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shall be binding upon the Underwriters, the Company and their successors and assigns and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successor or assign of any substantial portion of the Company’s and any of the Underwriters’ respective businesses and/or assets.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Underwriters and each person or persons, if any, who control any Underwriter within the meaning of Section 15 of the Securities Act and (b) the indemnities and agreements of the Underwriters contained in this Agreement shall be deemed to be for the benefit of its directors, its officers who have signed the Registration Statement and any person controlling the Company within the meaning of Section 15 of the Securities Act. Nothing in this Agreement is intended or shall be construed to give any person, other than the persons referred to in this Section 22, any legal or equitable right, remedy or claim under or in respect of this Agreement or any provision contained herein.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60" w:top="270" w:right="239" w:bottom="1440" w:gutter="0" w:footer="0" w:header="0"/>
        </w:sectPr>
      </w:pPr>
    </w:p>
    <w:bookmarkStart w:id="47" w:name="page48"/>
    <w:bookmarkEnd w:id="47"/>
    <w:p>
      <w:pPr>
        <w:ind w:left="-100" w:firstLine="464"/>
        <w:spacing w:after="0" w:line="261" w:lineRule="auto"/>
        <w:tabs>
          <w:tab w:leader="none" w:pos="761"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Partial Unenforceability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invalidity or unenforceability of any section, subsection, paragraph or provision of this Agreement shall not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validity or enforceability of any other section, subsection, paragraph or provision hereof. If any section, subsection,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rFonts w:ascii="Arial" w:cs="Arial" w:eastAsia="Arial" w:hAnsi="Arial"/>
          <w:sz w:val="18"/>
          <w:szCs w:val="18"/>
          <w:color w:val="auto"/>
        </w:rPr>
      </w:pPr>
    </w:p>
    <w:p>
      <w:pPr>
        <w:ind w:left="-100" w:right="40" w:firstLine="464"/>
        <w:spacing w:after="0" w:line="282" w:lineRule="auto"/>
        <w:tabs>
          <w:tab w:leader="none" w:pos="761"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Amendments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only be amended or modified in writing, signed by all of the parties hereto, and no condition herein (express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implied) may be waived unless waived in writing by each party whom the condition is meant to benefit.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40" w:top="270" w:right="319" w:bottom="1440" w:gutter="0" w:footer="0" w:header="0"/>
        </w:sectPr>
      </w:pPr>
    </w:p>
    <w:bookmarkStart w:id="48" w:name="page49"/>
    <w:bookmarkEnd w:id="4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ICLICK INTERACTIVE ASIA GROUP LIMITED</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9400"/>
          </w:cols>
          <w:pgMar w:left="1440" w:top="274" w:right="10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several Underwriters named in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Schedule I hereto</w:t>
      </w:r>
    </w:p>
    <w:p>
      <w:pPr>
        <w:spacing w:after="0" w:line="238" w:lineRule="exact"/>
        <w:rPr>
          <w:sz w:val="20"/>
          <w:szCs w:val="20"/>
          <w:color w:val="auto"/>
        </w:rPr>
      </w:pPr>
    </w:p>
    <w:p>
      <w:pPr>
        <w:jc w:val="right"/>
        <w:ind w:right="8559"/>
        <w:spacing w:after="0"/>
        <w:rPr>
          <w:sz w:val="20"/>
          <w:szCs w:val="20"/>
          <w:color w:val="auto"/>
        </w:rPr>
      </w:pPr>
      <w:r>
        <w:rPr>
          <w:rFonts w:ascii="Arial" w:cs="Arial" w:eastAsia="Arial" w:hAnsi="Arial"/>
          <w:sz w:val="17"/>
          <w:szCs w:val="17"/>
          <w:color w:val="auto"/>
        </w:rPr>
        <w:t>By:  ROTH CAPITAL</w:t>
      </w:r>
    </w:p>
    <w:p>
      <w:pPr>
        <w:spacing w:after="0" w:line="35" w:lineRule="exact"/>
        <w:rPr>
          <w:sz w:val="20"/>
          <w:szCs w:val="20"/>
          <w:color w:val="auto"/>
        </w:rPr>
      </w:pPr>
    </w:p>
    <w:p>
      <w:pPr>
        <w:jc w:val="right"/>
        <w:ind w:right="8519"/>
        <w:spacing w:after="0"/>
        <w:rPr>
          <w:sz w:val="20"/>
          <w:szCs w:val="20"/>
          <w:color w:val="auto"/>
        </w:rPr>
      </w:pPr>
      <w:r>
        <w:rPr>
          <w:rFonts w:ascii="Arial" w:cs="Arial" w:eastAsia="Arial" w:hAnsi="Arial"/>
          <w:sz w:val="18"/>
          <w:szCs w:val="18"/>
          <w:color w:val="auto"/>
        </w:rPr>
        <w:t>PARTNERS,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50" w:name="page51"/>
    <w:bookmarkEnd w:id="50"/>
    <w:p>
      <w:pPr>
        <w:ind w:left="9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ectPr>
          <w:pgSz w:w="11900" w:h="16838" w:orient="portrait"/>
          <w:cols w:equalWidth="0" w:num="1">
            <w:col w:w="10220"/>
          </w:cols>
          <w:pgMar w:left="14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15240</wp:posOffset>
            </wp:positionV>
            <wp:extent cx="550545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Roth Capital Partners, LLC</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Shenwan Hongyuan Securities (H.K.) Limited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Network 1 Financial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-130810</wp:posOffset>
            </wp:positionV>
            <wp:extent cx="550545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16"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Schedule I</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Firm Shares</w:t>
      </w:r>
    </w:p>
    <w:p>
      <w:pPr>
        <w:jc w:val="center"/>
        <w:spacing w:after="0" w:line="221" w:lineRule="auto"/>
        <w:rPr>
          <w:sz w:val="20"/>
          <w:szCs w:val="20"/>
          <w:color w:val="auto"/>
        </w:rPr>
      </w:pPr>
      <w:r>
        <w:rPr>
          <w:rFonts w:ascii="Arial" w:cs="Arial" w:eastAsia="Arial" w:hAnsi="Arial"/>
          <w:sz w:val="14"/>
          <w:szCs w:val="14"/>
          <w:b w:val="1"/>
          <w:bCs w:val="1"/>
          <w:color w:val="auto"/>
        </w:rPr>
        <w:t>To Be</w:t>
      </w:r>
    </w:p>
    <w:p>
      <w:pPr>
        <w:jc w:val="center"/>
        <w:spacing w:after="0"/>
        <w:rPr>
          <w:sz w:val="20"/>
          <w:szCs w:val="20"/>
          <w:color w:val="auto"/>
        </w:rPr>
      </w:pPr>
      <w:r>
        <w:rPr>
          <w:rFonts w:ascii="Arial" w:cs="Arial" w:eastAsia="Arial" w:hAnsi="Arial"/>
          <w:sz w:val="14"/>
          <w:szCs w:val="14"/>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416560</wp:posOffset>
            </wp:positionV>
            <wp:extent cx="4889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433705</wp:posOffset>
            </wp:positionV>
            <wp:extent cx="4889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588010</wp:posOffset>
            </wp:positionV>
            <wp:extent cx="4889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605155</wp:posOffset>
            </wp:positionV>
            <wp:extent cx="4889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Maximum</w:t>
      </w:r>
    </w:p>
    <w:p>
      <w:pPr>
        <w:jc w:val="center"/>
        <w:ind w:right="1420"/>
        <w:spacing w:after="0" w:line="226" w:lineRule="auto"/>
        <w:rPr>
          <w:sz w:val="20"/>
          <w:szCs w:val="20"/>
          <w:color w:val="auto"/>
        </w:rPr>
      </w:pPr>
      <w:r>
        <w:rPr>
          <w:rFonts w:ascii="Arial" w:cs="Arial" w:eastAsia="Arial" w:hAnsi="Arial"/>
          <w:sz w:val="14"/>
          <w:szCs w:val="14"/>
          <w:b w:val="1"/>
          <w:bCs w:val="1"/>
          <w:color w:val="auto"/>
        </w:rPr>
        <w:t>Number of</w:t>
      </w:r>
    </w:p>
    <w:p>
      <w:pPr>
        <w:jc w:val="center"/>
        <w:ind w:right="1420"/>
        <w:spacing w:after="0" w:line="222" w:lineRule="auto"/>
        <w:rPr>
          <w:sz w:val="20"/>
          <w:szCs w:val="20"/>
          <w:color w:val="auto"/>
        </w:rPr>
      </w:pPr>
      <w:r>
        <w:rPr>
          <w:rFonts w:ascii="Arial" w:cs="Arial" w:eastAsia="Arial" w:hAnsi="Arial"/>
          <w:sz w:val="14"/>
          <w:szCs w:val="14"/>
          <w:b w:val="1"/>
          <w:bCs w:val="1"/>
          <w:color w:val="auto"/>
        </w:rPr>
        <w:t>Additional</w:t>
      </w:r>
    </w:p>
    <w:p>
      <w:pPr>
        <w:jc w:val="center"/>
        <w:ind w:right="1420"/>
        <w:spacing w:after="0"/>
        <w:rPr>
          <w:sz w:val="20"/>
          <w:szCs w:val="20"/>
          <w:color w:val="auto"/>
        </w:rPr>
      </w:pPr>
      <w:r>
        <w:rPr>
          <w:rFonts w:ascii="Arial" w:cs="Arial" w:eastAsia="Arial" w:hAnsi="Arial"/>
          <w:sz w:val="12"/>
          <w:szCs w:val="12"/>
          <w:b w:val="1"/>
          <w:bCs w:val="1"/>
          <w:color w:val="auto"/>
        </w:rPr>
        <w:t>Shares To Be</w:t>
      </w:r>
    </w:p>
    <w:p>
      <w:pPr>
        <w:spacing w:after="0" w:line="11"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5143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433705</wp:posOffset>
            </wp:positionV>
            <wp:extent cx="5143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588010</wp:posOffset>
            </wp:positionV>
            <wp:extent cx="5143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605155</wp:posOffset>
            </wp:positionV>
            <wp:extent cx="5143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ectPr>
          <w:pgSz w:w="11900" w:h="16838" w:orient="portrait"/>
          <w:cols w:equalWidth="0" w:num="3">
            <w:col w:w="6140" w:space="720"/>
            <w:col w:w="760" w:space="380"/>
            <w:col w:w="2220"/>
          </w:cols>
          <w:pgMar w:left="1440" w:top="270" w:right="2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Preliminary Prospectus issued December 18, 2017</w:t>
      </w:r>
    </w:p>
    <w:p>
      <w:pPr>
        <w:spacing w:after="0" w:line="252" w:lineRule="exact"/>
        <w:rPr>
          <w:rFonts w:ascii="Arial" w:cs="Arial" w:eastAsia="Arial" w:hAnsi="Arial"/>
          <w:sz w:val="18"/>
          <w:szCs w:val="18"/>
          <w:color w:val="auto"/>
        </w:rPr>
      </w:pPr>
    </w:p>
    <w:p>
      <w:pPr>
        <w:ind w:left="5300" w:right="4880" w:hanging="5292"/>
        <w:spacing w:after="0" w:line="536" w:lineRule="auto"/>
        <w:tabs>
          <w:tab w:leader="none" w:pos="452" w:val="left"/>
        </w:tabs>
        <w:numPr>
          <w:ilvl w:val="0"/>
          <w:numId w:val="70"/>
        </w:numPr>
        <w:rPr>
          <w:rFonts w:ascii="Arial" w:cs="Arial" w:eastAsia="Arial" w:hAnsi="Arial"/>
          <w:sz w:val="16"/>
          <w:szCs w:val="16"/>
          <w:color w:val="auto"/>
        </w:rPr>
      </w:pPr>
      <w:r>
        <w:rPr>
          <w:rFonts w:ascii="Arial" w:cs="Arial" w:eastAsia="Arial" w:hAnsi="Arial"/>
          <w:sz w:val="16"/>
          <w:szCs w:val="16"/>
          <w:color w:val="auto"/>
        </w:rPr>
        <w:t>orally communicated pricing information such as price per share and size of offering Schedule II</w:t>
      </w:r>
    </w:p>
    <w:p>
      <w:pPr>
        <w:sectPr>
          <w:pgSz w:w="11900" w:h="16838" w:orient="portrait"/>
          <w:cols w:equalWidth="0" w:num="1">
            <w:col w:w="11420"/>
          </w:cols>
          <w:pgMar w:left="240" w:top="27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7420" w:type="dxa"/>
            <w:vAlign w:val="bottom"/>
          </w:tcPr>
          <w:p>
            <w:pPr>
              <w:ind w:left="3860"/>
              <w:spacing w:after="0"/>
              <w:rPr>
                <w:sz w:val="20"/>
                <w:szCs w:val="20"/>
                <w:color w:val="auto"/>
              </w:rPr>
            </w:pPr>
            <w:r>
              <w:rPr>
                <w:rFonts w:ascii="Arial" w:cs="Arial" w:eastAsia="Arial" w:hAnsi="Arial"/>
                <w:sz w:val="18"/>
                <w:szCs w:val="18"/>
                <w:b w:val="1"/>
                <w:bCs w:val="1"/>
                <w:color w:val="auto"/>
              </w:rPr>
              <w:t>SUBSIDIARIES OF THE COMPANY</w:t>
            </w: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7420" w:type="dxa"/>
            <w:vAlign w:val="bottom"/>
            <w:vMerge w:val="restart"/>
          </w:tcPr>
          <w:p>
            <w:pPr>
              <w:ind w:left="80"/>
              <w:spacing w:after="0"/>
              <w:rPr>
                <w:sz w:val="20"/>
                <w:szCs w:val="20"/>
                <w:color w:val="auto"/>
              </w:rPr>
            </w:pPr>
            <w:r>
              <w:rPr>
                <w:rFonts w:ascii="Arial" w:cs="Arial" w:eastAsia="Arial" w:hAnsi="Arial"/>
                <w:sz w:val="18"/>
                <w:szCs w:val="18"/>
                <w:color w:val="auto"/>
              </w:rPr>
              <w:t>Optimix Media Asia Limited</w:t>
            </w:r>
          </w:p>
        </w:tc>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Place of Incorporation</w:t>
            </w:r>
          </w:p>
        </w:tc>
        <w:tc>
          <w:tcPr>
            <w:tcW w:w="0" w:type="dxa"/>
            <w:vAlign w:val="bottom"/>
          </w:tcPr>
          <w:p>
            <w:pPr>
              <w:spacing w:after="0"/>
              <w:rPr>
                <w:sz w:val="1"/>
                <w:szCs w:val="1"/>
                <w:color w:val="auto"/>
              </w:rPr>
            </w:pP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74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7420" w:type="dxa"/>
            <w:vAlign w:val="bottom"/>
          </w:tcPr>
          <w:p>
            <w:pPr>
              <w:ind w:left="80"/>
              <w:spacing w:after="0"/>
              <w:rPr>
                <w:sz w:val="20"/>
                <w:szCs w:val="20"/>
                <w:color w:val="auto"/>
              </w:rPr>
            </w:pPr>
            <w:r>
              <w:rPr>
                <w:rFonts w:ascii="Arial" w:cs="Arial" w:eastAsia="Arial" w:hAnsi="Arial"/>
                <w:sz w:val="18"/>
                <w:szCs w:val="18"/>
                <w:color w:val="auto"/>
              </w:rPr>
              <w:t>iClick Interactive Asia Limited</w:t>
            </w:r>
          </w:p>
        </w:tc>
        <w:tc>
          <w:tcPr>
            <w:tcW w:w="362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7420" w:type="dxa"/>
            <w:vAlign w:val="bottom"/>
          </w:tcPr>
          <w:p>
            <w:pPr>
              <w:ind w:left="80"/>
              <w:spacing w:after="0"/>
              <w:rPr>
                <w:sz w:val="20"/>
                <w:szCs w:val="20"/>
                <w:color w:val="auto"/>
              </w:rPr>
            </w:pPr>
            <w:r>
              <w:rPr>
                <w:rFonts w:ascii="Arial" w:cs="Arial" w:eastAsia="Arial" w:hAnsi="Arial"/>
                <w:sz w:val="18"/>
                <w:szCs w:val="18"/>
                <w:color w:val="auto"/>
              </w:rPr>
              <w:t>Performance Media Group Limited</w:t>
            </w:r>
          </w:p>
        </w:tc>
        <w:tc>
          <w:tcPr>
            <w:tcW w:w="362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7420" w:type="dxa"/>
            <w:vAlign w:val="bottom"/>
          </w:tcPr>
          <w:p>
            <w:pPr>
              <w:ind w:left="80"/>
              <w:spacing w:after="0"/>
              <w:rPr>
                <w:sz w:val="20"/>
                <w:szCs w:val="20"/>
                <w:color w:val="auto"/>
              </w:rPr>
            </w:pPr>
            <w:r>
              <w:rPr>
                <w:rFonts w:ascii="Arial" w:cs="Arial" w:eastAsia="Arial" w:hAnsi="Arial"/>
                <w:sz w:val="18"/>
                <w:szCs w:val="18"/>
                <w:color w:val="auto"/>
              </w:rPr>
              <w:t>Digital Marketing Group Limited</w:t>
            </w:r>
          </w:p>
        </w:tc>
        <w:tc>
          <w:tcPr>
            <w:tcW w:w="362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7420" w:type="dxa"/>
            <w:vAlign w:val="bottom"/>
          </w:tcPr>
          <w:p>
            <w:pPr>
              <w:ind w:left="80"/>
              <w:spacing w:after="0"/>
              <w:rPr>
                <w:sz w:val="20"/>
                <w:szCs w:val="20"/>
                <w:color w:val="auto"/>
              </w:rPr>
            </w:pPr>
            <w:r>
              <w:rPr>
                <w:rFonts w:ascii="Arial" w:cs="Arial" w:eastAsia="Arial" w:hAnsi="Arial"/>
                <w:sz w:val="18"/>
                <w:szCs w:val="18"/>
                <w:color w:val="auto"/>
              </w:rPr>
              <w:t>Tetris Media Limited</w:t>
            </w:r>
          </w:p>
        </w:tc>
        <w:tc>
          <w:tcPr>
            <w:tcW w:w="362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7420" w:type="dxa"/>
            <w:vAlign w:val="bottom"/>
          </w:tcPr>
          <w:p>
            <w:pPr>
              <w:ind w:left="80"/>
              <w:spacing w:after="0"/>
              <w:rPr>
                <w:sz w:val="20"/>
                <w:szCs w:val="20"/>
                <w:color w:val="auto"/>
              </w:rPr>
            </w:pPr>
            <w:r>
              <w:rPr>
                <w:rFonts w:ascii="Arial" w:cs="Arial" w:eastAsia="Arial" w:hAnsi="Arial"/>
                <w:sz w:val="18"/>
                <w:szCs w:val="18"/>
                <w:color w:val="auto"/>
              </w:rPr>
              <w:t>China Search (Asia) Limited</w:t>
            </w:r>
          </w:p>
        </w:tc>
        <w:tc>
          <w:tcPr>
            <w:tcW w:w="362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7420" w:type="dxa"/>
            <w:vAlign w:val="bottom"/>
          </w:tcPr>
          <w:p>
            <w:pPr>
              <w:ind w:left="80"/>
              <w:spacing w:after="0"/>
              <w:rPr>
                <w:sz w:val="20"/>
                <w:szCs w:val="20"/>
                <w:color w:val="auto"/>
              </w:rPr>
            </w:pPr>
            <w:r>
              <w:rPr>
                <w:rFonts w:ascii="Arial" w:cs="Arial" w:eastAsia="Arial" w:hAnsi="Arial"/>
                <w:sz w:val="18"/>
                <w:szCs w:val="18"/>
                <w:color w:val="auto"/>
              </w:rPr>
              <w:t>Buzzinate Company Limited</w:t>
            </w:r>
          </w:p>
        </w:tc>
        <w:tc>
          <w:tcPr>
            <w:tcW w:w="362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7420" w:type="dxa"/>
            <w:vAlign w:val="bottom"/>
          </w:tcPr>
          <w:p>
            <w:pPr>
              <w:ind w:left="80"/>
              <w:spacing w:after="0"/>
              <w:rPr>
                <w:sz w:val="20"/>
                <w:szCs w:val="20"/>
                <w:color w:val="auto"/>
              </w:rPr>
            </w:pPr>
            <w:r>
              <w:rPr>
                <w:rFonts w:ascii="Arial" w:cs="Arial" w:eastAsia="Arial" w:hAnsi="Arial"/>
                <w:sz w:val="18"/>
                <w:szCs w:val="18"/>
                <w:color w:val="auto"/>
              </w:rPr>
              <w:t>OptAim (HK) Limited</w:t>
            </w:r>
          </w:p>
        </w:tc>
        <w:tc>
          <w:tcPr>
            <w:tcW w:w="362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7420" w:type="dxa"/>
            <w:vAlign w:val="bottom"/>
          </w:tcPr>
          <w:p>
            <w:pPr>
              <w:ind w:left="80"/>
              <w:spacing w:after="0"/>
              <w:rPr>
                <w:sz w:val="20"/>
                <w:szCs w:val="20"/>
                <w:color w:val="auto"/>
              </w:rPr>
            </w:pPr>
            <w:r>
              <w:rPr>
                <w:rFonts w:ascii="Arial" w:cs="Arial" w:eastAsia="Arial" w:hAnsi="Arial"/>
                <w:sz w:val="18"/>
                <w:szCs w:val="18"/>
                <w:color w:val="auto"/>
              </w:rPr>
              <w:t>i-Click Interactive Taiwan Limited Taiwan Branch</w:t>
            </w:r>
          </w:p>
        </w:tc>
        <w:tc>
          <w:tcPr>
            <w:tcW w:w="3620" w:type="dxa"/>
            <w:vAlign w:val="bottom"/>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7420" w:type="dxa"/>
            <w:vAlign w:val="bottom"/>
          </w:tcPr>
          <w:p>
            <w:pPr>
              <w:ind w:left="80"/>
              <w:spacing w:after="0"/>
              <w:rPr>
                <w:sz w:val="20"/>
                <w:szCs w:val="20"/>
                <w:color w:val="auto"/>
              </w:rPr>
            </w:pPr>
            <w:r>
              <w:rPr>
                <w:rFonts w:ascii="Arial" w:cs="Arial" w:eastAsia="Arial" w:hAnsi="Arial"/>
                <w:sz w:val="18"/>
                <w:szCs w:val="18"/>
                <w:color w:val="auto"/>
              </w:rPr>
              <w:t>Diablo Holdings Corporation</w:t>
            </w:r>
          </w:p>
        </w:tc>
        <w:tc>
          <w:tcPr>
            <w:tcW w:w="3620" w:type="dxa"/>
            <w:vAlign w:val="bottom"/>
          </w:tcPr>
          <w:p>
            <w:pPr>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7420" w:type="dxa"/>
            <w:vAlign w:val="bottom"/>
          </w:tcPr>
          <w:p>
            <w:pPr>
              <w:ind w:left="80"/>
              <w:spacing w:after="0"/>
              <w:rPr>
                <w:sz w:val="20"/>
                <w:szCs w:val="20"/>
                <w:color w:val="auto"/>
              </w:rPr>
            </w:pPr>
            <w:r>
              <w:rPr>
                <w:rFonts w:ascii="Arial" w:cs="Arial" w:eastAsia="Arial" w:hAnsi="Arial"/>
                <w:sz w:val="18"/>
                <w:szCs w:val="18"/>
                <w:color w:val="auto"/>
              </w:rPr>
              <w:t>Harmanttan Capital Holdings Corporation</w:t>
            </w:r>
          </w:p>
        </w:tc>
        <w:tc>
          <w:tcPr>
            <w:tcW w:w="3620" w:type="dxa"/>
            <w:vAlign w:val="bottom"/>
          </w:tcPr>
          <w:p>
            <w:pPr>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7420" w:type="dxa"/>
            <w:vAlign w:val="bottom"/>
          </w:tcPr>
          <w:p>
            <w:pPr>
              <w:ind w:left="80"/>
              <w:spacing w:after="0"/>
              <w:rPr>
                <w:sz w:val="20"/>
                <w:szCs w:val="20"/>
                <w:color w:val="auto"/>
              </w:rPr>
            </w:pPr>
            <w:r>
              <w:rPr>
                <w:rFonts w:ascii="Arial" w:cs="Arial" w:eastAsia="Arial" w:hAnsi="Arial"/>
                <w:sz w:val="18"/>
                <w:szCs w:val="18"/>
                <w:color w:val="auto"/>
              </w:rPr>
              <w:t>OptAim Ltd.</w:t>
            </w:r>
          </w:p>
        </w:tc>
        <w:tc>
          <w:tcPr>
            <w:tcW w:w="3620" w:type="dxa"/>
            <w:vAlign w:val="bottom"/>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7420" w:type="dxa"/>
            <w:vAlign w:val="bottom"/>
          </w:tcPr>
          <w:p>
            <w:pPr>
              <w:ind w:left="80"/>
              <w:spacing w:after="0"/>
              <w:rPr>
                <w:sz w:val="20"/>
                <w:szCs w:val="20"/>
                <w:color w:val="auto"/>
              </w:rPr>
            </w:pPr>
            <w:r>
              <w:rPr>
                <w:rFonts w:ascii="Arial" w:cs="Arial" w:eastAsia="Arial" w:hAnsi="Arial"/>
                <w:sz w:val="18"/>
                <w:szCs w:val="18"/>
                <w:color w:val="auto"/>
              </w:rPr>
              <w:t>iClick Interactive (Singapore) Pte. Ltd.</w:t>
            </w:r>
          </w:p>
        </w:tc>
        <w:tc>
          <w:tcPr>
            <w:tcW w:w="3620" w:type="dxa"/>
            <w:vAlign w:val="bottom"/>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7420" w:type="dxa"/>
            <w:vAlign w:val="bottom"/>
          </w:tcPr>
          <w:p>
            <w:pPr>
              <w:ind w:left="80"/>
              <w:spacing w:after="0"/>
              <w:rPr>
                <w:sz w:val="20"/>
                <w:szCs w:val="20"/>
                <w:color w:val="auto"/>
              </w:rPr>
            </w:pPr>
            <w:r>
              <w:rPr>
                <w:rFonts w:ascii="Arial" w:cs="Arial" w:eastAsia="Arial" w:hAnsi="Arial"/>
                <w:sz w:val="18"/>
                <w:szCs w:val="18"/>
                <w:color w:val="auto"/>
              </w:rPr>
              <w:t>iClick Interactive (Beijing) Advertisement Co., Ltd.</w:t>
            </w:r>
          </w:p>
        </w:tc>
        <w:tc>
          <w:tcPr>
            <w:tcW w:w="362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7420" w:type="dxa"/>
            <w:vAlign w:val="bottom"/>
          </w:tcPr>
          <w:p>
            <w:pPr>
              <w:ind w:left="80"/>
              <w:spacing w:after="0"/>
              <w:rPr>
                <w:sz w:val="20"/>
                <w:szCs w:val="20"/>
                <w:color w:val="auto"/>
              </w:rPr>
            </w:pPr>
            <w:r>
              <w:rPr>
                <w:rFonts w:ascii="Arial" w:cs="Arial" w:eastAsia="Arial" w:hAnsi="Arial"/>
                <w:sz w:val="18"/>
                <w:szCs w:val="18"/>
                <w:color w:val="auto"/>
              </w:rPr>
              <w:t>OptAim (Beijing) Information Technology Co., Ltd.</w:t>
            </w:r>
          </w:p>
        </w:tc>
        <w:tc>
          <w:tcPr>
            <w:tcW w:w="362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7420" w:type="dxa"/>
            <w:vAlign w:val="bottom"/>
          </w:tcPr>
          <w:p>
            <w:pPr>
              <w:ind w:left="80"/>
              <w:spacing w:after="0"/>
              <w:rPr>
                <w:sz w:val="20"/>
                <w:szCs w:val="20"/>
                <w:color w:val="auto"/>
              </w:rPr>
            </w:pPr>
            <w:r>
              <w:rPr>
                <w:rFonts w:ascii="Arial" w:cs="Arial" w:eastAsia="Arial" w:hAnsi="Arial"/>
                <w:sz w:val="18"/>
                <w:szCs w:val="18"/>
                <w:color w:val="auto"/>
              </w:rPr>
              <w:t>Tetris Media (Shanghai) Co. Ltd.</w:t>
            </w:r>
          </w:p>
        </w:tc>
        <w:tc>
          <w:tcPr>
            <w:tcW w:w="362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7420" w:type="dxa"/>
            <w:vAlign w:val="bottom"/>
          </w:tcPr>
          <w:p>
            <w:pPr>
              <w:ind w:left="80"/>
              <w:spacing w:after="0"/>
              <w:rPr>
                <w:sz w:val="20"/>
                <w:szCs w:val="20"/>
                <w:color w:val="auto"/>
              </w:rPr>
            </w:pPr>
            <w:r>
              <w:rPr>
                <w:rFonts w:ascii="Arial" w:cs="Arial" w:eastAsia="Arial" w:hAnsi="Arial"/>
                <w:sz w:val="18"/>
                <w:szCs w:val="18"/>
                <w:color w:val="auto"/>
              </w:rPr>
              <w:t>Buzzinate (Shanghai) Information Technology Co., Ltd.</w:t>
            </w:r>
          </w:p>
        </w:tc>
        <w:tc>
          <w:tcPr>
            <w:tcW w:w="362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7420" w:type="dxa"/>
            <w:vAlign w:val="bottom"/>
          </w:tcPr>
          <w:p>
            <w:pPr>
              <w:ind w:left="80"/>
              <w:spacing w:after="0"/>
              <w:rPr>
                <w:sz w:val="20"/>
                <w:szCs w:val="20"/>
                <w:color w:val="auto"/>
              </w:rPr>
            </w:pPr>
            <w:r>
              <w:rPr>
                <w:rFonts w:ascii="Arial" w:cs="Arial" w:eastAsia="Arial" w:hAnsi="Arial"/>
                <w:sz w:val="18"/>
                <w:szCs w:val="18"/>
                <w:color w:val="auto"/>
              </w:rPr>
              <w:t>Search Asia Technology (Shenzhen) Ltd.</w:t>
            </w:r>
          </w:p>
        </w:tc>
        <w:tc>
          <w:tcPr>
            <w:tcW w:w="362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7420" w:type="dxa"/>
            <w:vAlign w:val="bottom"/>
          </w:tcPr>
          <w:p>
            <w:pPr>
              <w:ind w:left="80"/>
              <w:spacing w:after="0"/>
              <w:rPr>
                <w:sz w:val="20"/>
                <w:szCs w:val="20"/>
                <w:color w:val="auto"/>
              </w:rPr>
            </w:pPr>
            <w:r>
              <w:rPr>
                <w:rFonts w:ascii="Arial" w:cs="Arial" w:eastAsia="Arial" w:hAnsi="Arial"/>
                <w:sz w:val="18"/>
                <w:szCs w:val="18"/>
                <w:color w:val="auto"/>
              </w:rPr>
              <w:t>Anhui Zhiyunzhong Information Technology Co., Ltd.</w:t>
            </w:r>
          </w:p>
        </w:tc>
        <w:tc>
          <w:tcPr>
            <w:tcW w:w="3620" w:type="dxa"/>
            <w:vAlign w:val="bottom"/>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7420" w:type="dxa"/>
            <w:vAlign w:val="bottom"/>
          </w:tcPr>
          <w:p>
            <w:pPr>
              <w:ind w:left="4800"/>
              <w:spacing w:after="0"/>
              <w:rPr>
                <w:sz w:val="20"/>
                <w:szCs w:val="20"/>
                <w:color w:val="auto"/>
              </w:rPr>
            </w:pPr>
            <w:r>
              <w:rPr>
                <w:rFonts w:ascii="Arial" w:cs="Arial" w:eastAsia="Arial" w:hAnsi="Arial"/>
                <w:sz w:val="18"/>
                <w:szCs w:val="18"/>
                <w:color w:val="auto"/>
              </w:rPr>
              <w:t>Schedule III-A</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III-B</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rPr>
              <w:t>AFFILIATED ENTITIES OF THE COMPANY</w:t>
            </w:r>
          </w:p>
        </w:tc>
        <w:tc>
          <w:tcPr>
            <w:tcW w:w="0" w:type="dxa"/>
            <w:vAlign w:val="bottom"/>
          </w:tcPr>
          <w:p>
            <w:pPr>
              <w:spacing w:after="0"/>
              <w:rPr>
                <w:sz w:val="1"/>
                <w:szCs w:val="1"/>
                <w:color w:val="auto"/>
              </w:rPr>
            </w:pPr>
          </w:p>
        </w:tc>
      </w:tr>
      <w:tr>
        <w:trPr>
          <w:trHeight w:val="392"/>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Place of Incorporation</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580" w:type="dxa"/>
            <w:vAlign w:val="bottom"/>
            <w:gridSpan w:val="2"/>
          </w:tcPr>
          <w:p>
            <w:pPr>
              <w:ind w:left="20"/>
              <w:spacing w:after="0"/>
              <w:rPr>
                <w:sz w:val="20"/>
                <w:szCs w:val="20"/>
                <w:color w:val="auto"/>
              </w:rPr>
            </w:pPr>
            <w:r>
              <w:rPr>
                <w:rFonts w:ascii="Arial" w:cs="Arial" w:eastAsia="Arial" w:hAnsi="Arial"/>
                <w:sz w:val="18"/>
                <w:szCs w:val="18"/>
                <w:color w:val="auto"/>
                <w:w w:val="98"/>
              </w:rPr>
              <w:t>Beijing OptAim Network Technology Co., Ltd.</w:t>
            </w:r>
          </w:p>
        </w:tc>
        <w:tc>
          <w:tcPr>
            <w:tcW w:w="2320" w:type="dxa"/>
            <w:vAlign w:val="bottom"/>
            <w:vMerge w:val="continue"/>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PRC</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580" w:type="dxa"/>
            <w:vAlign w:val="bottom"/>
            <w:gridSpan w:val="2"/>
          </w:tcPr>
          <w:p>
            <w:pPr>
              <w:ind w:left="20"/>
              <w:spacing w:after="0"/>
              <w:rPr>
                <w:sz w:val="20"/>
                <w:szCs w:val="20"/>
                <w:color w:val="auto"/>
              </w:rPr>
            </w:pPr>
            <w:r>
              <w:rPr>
                <w:rFonts w:ascii="Arial" w:cs="Arial" w:eastAsia="Arial" w:hAnsi="Arial"/>
                <w:sz w:val="18"/>
                <w:szCs w:val="18"/>
                <w:color w:val="auto"/>
                <w:w w:val="96"/>
              </w:rPr>
              <w:t>Zhiyunzhong (Shanghai) Technology Co., Ltd.</w:t>
            </w:r>
          </w:p>
        </w:tc>
        <w:tc>
          <w:tcPr>
            <w:tcW w:w="23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PRC</w:t>
            </w: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820" w:type="dxa"/>
            <w:vAlign w:val="bottom"/>
            <w:gridSpan w:val="3"/>
          </w:tcPr>
          <w:p>
            <w:pPr>
              <w:jc w:val="center"/>
              <w:ind w:left="30"/>
              <w:spacing w:after="0"/>
              <w:rPr>
                <w:sz w:val="20"/>
                <w:szCs w:val="20"/>
                <w:color w:val="auto"/>
              </w:rPr>
            </w:pPr>
            <w:r>
              <w:rPr>
                <w:rFonts w:ascii="Arial" w:cs="Arial" w:eastAsia="Arial" w:hAnsi="Arial"/>
                <w:sz w:val="18"/>
                <w:szCs w:val="18"/>
                <w:color w:val="auto"/>
                <w:w w:val="93"/>
              </w:rPr>
              <w:t>Schedule III-B</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LOCKED-UP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and executive officers of the Company:</w:t>
      </w:r>
    </w:p>
    <w:p>
      <w:pPr>
        <w:spacing w:after="0" w:line="225" w:lineRule="exact"/>
        <w:rPr>
          <w:sz w:val="20"/>
          <w:szCs w:val="20"/>
          <w:color w:val="auto"/>
        </w:rPr>
      </w:pPr>
    </w:p>
    <w:p>
      <w:pPr>
        <w:ind w:left="780" w:hanging="31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Wing Hong Sammy Hsieh</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Jian Tang</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Yau Ping Ng</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Yu Long</w:t>
      </w:r>
    </w:p>
    <w:p>
      <w:pPr>
        <w:spacing w:after="0" w:line="225" w:lineRule="exact"/>
        <w:rPr>
          <w:rFonts w:ascii="Arial" w:cs="Arial" w:eastAsia="Arial" w:hAnsi="Arial"/>
          <w:sz w:val="18"/>
          <w:szCs w:val="18"/>
          <w:color w:val="auto"/>
        </w:rPr>
      </w:pPr>
    </w:p>
    <w:p>
      <w:pPr>
        <w:ind w:left="760" w:hanging="296"/>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Antares Au</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Jie Jiao</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Yan Lee</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Scott Moore</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Dylan Huang</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Honnus Cheung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0" w:hanging="31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Bertelsmann Asia Investments AG and its affiliate</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Blue Focus International Limited</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Sumitomo Corporation Equity Asia Limited</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Wing Hong Sammy Hsieh</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Czerny Holdings Limited</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Cervetto Holdings Limited</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Igomax Inc.</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Maestro Investment Holdings Limited</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 &amp; K Investment Limited</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Shenwan Hongyuan Goldspring Fund I</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Arda Holdings Limited</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Big Tooth Corporation</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Ng Yau Ping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IV</w:t>
      </w:r>
    </w:p>
    <w:p>
      <w:pPr>
        <w:sectPr>
          <w:pgSz w:w="11900" w:h="16838" w:orient="portrait"/>
          <w:cols w:equalWidth="0" w:num="1">
            <w:col w:w="11420"/>
          </w:cols>
          <w:pgMar w:left="240" w:top="270" w:right="239" w:bottom="1440" w:gutter="0" w:footer="0" w:header="0"/>
        </w:sectPr>
      </w:pPr>
    </w:p>
    <w:bookmarkStart w:id="55" w:name="page56"/>
    <w:bookmarkEnd w:id="55"/>
    <w:p>
      <w:pPr>
        <w:ind w:left="400" w:hanging="396"/>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Hao Zheng</w:t>
      </w:r>
    </w:p>
    <w:p>
      <w:pPr>
        <w:spacing w:after="0" w:line="225" w:lineRule="exact"/>
        <w:rPr>
          <w:rFonts w:ascii="Arial" w:cs="Arial" w:eastAsia="Arial" w:hAnsi="Arial"/>
          <w:sz w:val="18"/>
          <w:szCs w:val="18"/>
          <w:color w:val="auto"/>
        </w:rPr>
      </w:pPr>
    </w:p>
    <w:p>
      <w:pPr>
        <w:ind w:left="400" w:hanging="396"/>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BAI GmbH</w:t>
      </w:r>
    </w:p>
    <w:p>
      <w:pPr>
        <w:spacing w:after="0" w:line="225" w:lineRule="exact"/>
        <w:rPr>
          <w:rFonts w:ascii="Arial" w:cs="Arial" w:eastAsia="Arial" w:hAnsi="Arial"/>
          <w:sz w:val="18"/>
          <w:szCs w:val="18"/>
          <w:color w:val="auto"/>
        </w:rPr>
      </w:pPr>
    </w:p>
    <w:p>
      <w:pPr>
        <w:ind w:left="400" w:hanging="396"/>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Gold Saga Investments Limited</w:t>
      </w:r>
    </w:p>
    <w:p>
      <w:pPr>
        <w:spacing w:after="0" w:line="225" w:lineRule="exact"/>
        <w:rPr>
          <w:rFonts w:ascii="Arial" w:cs="Arial" w:eastAsia="Arial" w:hAnsi="Arial"/>
          <w:sz w:val="18"/>
          <w:szCs w:val="18"/>
          <w:color w:val="auto"/>
        </w:rPr>
      </w:pPr>
    </w:p>
    <w:p>
      <w:pPr>
        <w:ind w:left="400" w:hanging="396"/>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Bondwa Enterprises Limited</w:t>
      </w:r>
    </w:p>
    <w:p>
      <w:pPr>
        <w:spacing w:after="0" w:line="225" w:lineRule="exact"/>
        <w:rPr>
          <w:rFonts w:ascii="Arial" w:cs="Arial" w:eastAsia="Arial" w:hAnsi="Arial"/>
          <w:sz w:val="18"/>
          <w:szCs w:val="18"/>
          <w:color w:val="auto"/>
        </w:rPr>
      </w:pPr>
    </w:p>
    <w:p>
      <w:pPr>
        <w:ind w:left="400" w:hanging="396"/>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Triwin Holdings Limited</w:t>
      </w:r>
    </w:p>
    <w:p>
      <w:pPr>
        <w:spacing w:after="0" w:line="225" w:lineRule="exact"/>
        <w:rPr>
          <w:rFonts w:ascii="Arial" w:cs="Arial" w:eastAsia="Arial" w:hAnsi="Arial"/>
          <w:sz w:val="18"/>
          <w:szCs w:val="18"/>
          <w:color w:val="auto"/>
        </w:rPr>
      </w:pPr>
    </w:p>
    <w:p>
      <w:pPr>
        <w:ind w:left="400" w:hanging="396"/>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Vanguard Force Limited</w:t>
      </w:r>
    </w:p>
    <w:p>
      <w:pPr>
        <w:spacing w:after="0" w:line="225" w:lineRule="exact"/>
        <w:rPr>
          <w:rFonts w:ascii="Arial" w:cs="Arial" w:eastAsia="Arial" w:hAnsi="Arial"/>
          <w:sz w:val="18"/>
          <w:szCs w:val="18"/>
          <w:color w:val="auto"/>
        </w:rPr>
      </w:pPr>
    </w:p>
    <w:p>
      <w:pPr>
        <w:ind w:left="400" w:hanging="396"/>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Volfwin Inc.</w:t>
      </w:r>
    </w:p>
    <w:p>
      <w:pPr>
        <w:spacing w:after="0" w:line="158" w:lineRule="exact"/>
        <w:rPr>
          <w:sz w:val="20"/>
          <w:szCs w:val="20"/>
          <w:color w:val="auto"/>
        </w:rPr>
      </w:pPr>
    </w:p>
    <w:p>
      <w:pPr>
        <w:jc w:val="right"/>
        <w:ind w:right="28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Signatory page for Underwriting Agreement</w:t>
      </w:r>
      <w:r>
        <w:rPr>
          <w:rFonts w:ascii="Arial" w:cs="Arial" w:eastAsia="Arial" w:hAnsi="Arial"/>
          <w:sz w:val="18"/>
          <w:szCs w:val="18"/>
          <w:color w:val="auto"/>
        </w:rPr>
        <w:t>]</w:t>
      </w:r>
    </w:p>
    <w:p>
      <w:pPr>
        <w:sectPr>
          <w:pgSz w:w="11900" w:h="16838" w:orient="portrait"/>
          <w:cols w:equalWidth="0" w:num="1">
            <w:col w:w="9759"/>
          </w:cols>
          <w:pgMar w:left="700" w:top="274"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OFFICER’S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2017</w:t>
      </w:r>
    </w:p>
    <w:p>
      <w:pPr>
        <w:spacing w:after="0" w:line="2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7"/>
          <w:szCs w:val="17"/>
          <w:color w:val="auto"/>
        </w:rPr>
        <w:t>I, Jie Jiao, chief financial officer of iClick Interactive Asia Group Limited, a company incorporated in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am providing this Chief Financial Officer’s Certificate in connection with the initial public offering (the “</w:t>
      </w:r>
      <w:r>
        <w:rPr>
          <w:rFonts w:ascii="Arial" w:cs="Arial" w:eastAsia="Arial" w:hAnsi="Arial"/>
          <w:sz w:val="17"/>
          <w:szCs w:val="17"/>
          <w:b w:val="1"/>
          <w:bCs w:val="1"/>
          <w:color w:val="auto"/>
        </w:rPr>
        <w:t>Offering</w:t>
      </w:r>
      <w:r>
        <w:rPr>
          <w:rFonts w:ascii="Arial" w:cs="Arial" w:eastAsia="Arial" w:hAnsi="Arial"/>
          <w:sz w:val="17"/>
          <w:szCs w:val="17"/>
          <w:color w:val="auto"/>
        </w:rPr>
        <w:t>”) of [●] American Depositary Shares, each American depositary share representing [●] Class A ordinary shares, par value US$0.001 per share, of the Company, pursuant to Section 5(c) of the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dated [●], 2017 among the Company, Roth Capital Partners, LLC, as the representative on behalf of the several underwriters listed on Schedule I thereto (the “</w:t>
      </w:r>
      <w:r>
        <w:rPr>
          <w:rFonts w:ascii="Arial" w:cs="Arial" w:eastAsia="Arial" w:hAnsi="Arial"/>
          <w:sz w:val="17"/>
          <w:szCs w:val="17"/>
          <w:b w:val="1"/>
          <w:bCs w:val="1"/>
          <w:color w:val="auto"/>
        </w:rPr>
        <w:t>Underwriters</w:t>
      </w:r>
      <w:r>
        <w:rPr>
          <w:rFonts w:ascii="Arial" w:cs="Arial" w:eastAsia="Arial" w:hAnsi="Arial"/>
          <w:sz w:val="17"/>
          <w:szCs w:val="17"/>
          <w:color w:val="auto"/>
        </w:rPr>
        <w:t>”), and I hereby certify as follows:</w:t>
      </w:r>
    </w:p>
    <w:p>
      <w:pPr>
        <w:spacing w:after="0" w:line="78" w:lineRule="exact"/>
        <w:rPr>
          <w:sz w:val="20"/>
          <w:szCs w:val="20"/>
          <w:color w:val="auto"/>
        </w:rPr>
      </w:pPr>
    </w:p>
    <w:p>
      <w:pPr>
        <w:ind w:left="900" w:right="14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am responsible for, among other things, financial and accounting matters of the Company, and am familiar with the accounting, operations and records systems and internal controls over financial reporting of the Company.</w:t>
      </w:r>
    </w:p>
    <w:p>
      <w:pPr>
        <w:spacing w:after="0" w:line="75"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the amounts, percentages, ratios and other statistical data identified by you on the pages of each of the Registration Statement, the Time of Sale Prospectus and the Prospectus relating to the Offering attached hereto as Annex A and have performed the following procedures:</w:t>
      </w:r>
    </w:p>
    <w:p>
      <w:pPr>
        <w:spacing w:after="0" w:line="86"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compared the amount, percentage or ratio to, or computed the amount, percentage or ratio from, (i) the Company’s accounting books and records prepared by the Company’s accounting personnel, or (ii) the corresponding data and other records maintained by the Company, as applicable, for the periods, or as of the dates, indicated and found such information to be in agreement, and such information is true, complete and accurate (giving effect to rounding where applicable).</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Capitalized terms used herein and not otherwise defined shall have the meanings ascribed to them in the Underwriting Agreement. This certificate is to assist the Underwriters in conducting and documenting their investigation of the affairs of the Company in connection with the Offering.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420"/>
          </w:cols>
          <w:pgMar w:left="240" w:top="270"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duly executed and delivered this Chief Financial Officer’s Certificate as of the date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Jie Jiao</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Chief Financial Officer</w:t>
      </w:r>
    </w:p>
    <w:p>
      <w:pPr>
        <w:spacing w:after="0" w:line="14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CFO’s Certificate</w:t>
      </w:r>
      <w:r>
        <w:rPr>
          <w:rFonts w:ascii="Arial" w:cs="Arial" w:eastAsia="Arial" w:hAnsi="Arial"/>
          <w:sz w:val="18"/>
          <w:szCs w:val="18"/>
          <w:color w:val="auto"/>
        </w:rPr>
        <w:t>]</w:t>
      </w:r>
    </w:p>
    <w:p>
      <w:pPr>
        <w:sectPr>
          <w:pgSz w:w="11900" w:h="16838" w:orient="portrait"/>
          <w:cols w:equalWidth="0" w:num="1">
            <w:col w:w="10880"/>
          </w:cols>
          <w:pgMar w:left="700" w:top="274" w:right="3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2017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888 San Clemente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400, Newport Beach,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92660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understands that Roth Capital Partners, LLC, as representative (the “</w:t>
      </w:r>
      <w:r>
        <w:rPr>
          <w:rFonts w:ascii="Arial" w:cs="Arial" w:eastAsia="Arial" w:hAnsi="Arial"/>
          <w:sz w:val="18"/>
          <w:szCs w:val="18"/>
          <w:b w:val="1"/>
          <w:bCs w:val="1"/>
          <w:color w:val="auto"/>
        </w:rPr>
        <w:t>Representative</w:t>
      </w:r>
      <w:r>
        <w:rPr>
          <w:rFonts w:ascii="Arial" w:cs="Arial" w:eastAsia="Arial" w:hAnsi="Arial"/>
          <w:sz w:val="18"/>
          <w:szCs w:val="18"/>
          <w:color w:val="auto"/>
        </w:rPr>
        <w:t>”) of the several underwriters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Underwriters</w:t>
      </w:r>
      <w:r>
        <w:rPr>
          <w:rFonts w:ascii="Arial" w:cs="Arial" w:eastAsia="Arial" w:hAnsi="Arial"/>
          <w:sz w:val="17"/>
          <w:szCs w:val="17"/>
          <w:color w:val="auto"/>
        </w:rPr>
        <w:t>”) under the Underwriting Agreement, propose to enter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iClick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Interactive Asia Group Limited, an exempted company incorporated with limited liability under the laws of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providing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several Underwriters, including the Representative, of a certain number of Class A ordinary shares, par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US$0.001 per share, of the Company (the “</w:t>
      </w:r>
      <w:r>
        <w:rPr>
          <w:rFonts w:ascii="Arial" w:cs="Arial" w:eastAsia="Arial" w:hAnsi="Arial"/>
          <w:sz w:val="17"/>
          <w:szCs w:val="17"/>
          <w:b w:val="1"/>
          <w:bCs w:val="1"/>
          <w:color w:val="auto"/>
        </w:rPr>
        <w:t>Ordinary Shares</w:t>
      </w:r>
      <w:r>
        <w:rPr>
          <w:rFonts w:ascii="Arial" w:cs="Arial" w:eastAsia="Arial" w:hAnsi="Arial"/>
          <w:sz w:val="17"/>
          <w:szCs w:val="17"/>
          <w:color w:val="auto"/>
        </w:rPr>
        <w:t>”) in the form of American Depositary Shares (“</w:t>
      </w:r>
      <w:r>
        <w:rPr>
          <w:rFonts w:ascii="Arial" w:cs="Arial" w:eastAsia="Arial" w:hAnsi="Arial"/>
          <w:sz w:val="17"/>
          <w:szCs w:val="17"/>
          <w:b w:val="1"/>
          <w:bCs w:val="1"/>
          <w:color w:val="auto"/>
        </w:rPr>
        <w:t>American Depositary Shares</w:t>
      </w:r>
      <w:r>
        <w:rPr>
          <w:rFonts w:ascii="Arial" w:cs="Arial" w:eastAsia="Arial" w:hAnsi="Arial"/>
          <w:sz w:val="17"/>
          <w:szCs w:val="17"/>
          <w:color w:val="auto"/>
        </w:rPr>
        <w:t>”).</w:t>
      </w:r>
    </w:p>
    <w:p>
      <w:pPr>
        <w:spacing w:after="0" w:line="222"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the Representative on behalf of the Underwriters, it will not, during the period commencing on the date hereof and ending 180 days after the date of the final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Ordinary Shares or American Depositary Shares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 exercisable or exchangeable for the Securities or (2) enter into any swap or other arrangement that transfers to another, in whole or in part, any of the economic consequences of ownership of the Securities, whether any such transaction described in clause (1) or</w:t>
      </w:r>
    </w:p>
    <w:p>
      <w:pPr>
        <w:spacing w:after="0" w:line="1" w:lineRule="exact"/>
        <w:rPr>
          <w:sz w:val="20"/>
          <w:szCs w:val="20"/>
          <w:color w:val="auto"/>
        </w:rPr>
      </w:pPr>
    </w:p>
    <w:p>
      <w:pPr>
        <w:ind w:right="40" w:firstLine="8"/>
        <w:spacing w:after="0" w:line="281" w:lineRule="auto"/>
        <w:tabs>
          <w:tab w:leader="none" w:pos="2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above is to be settled by delivery of the Securities or such other securities, in cash or otherwise. The foregoing sentence shall not apply to (a) transactions relating to the Securities or other securities of the Company acquired in open market transactions after the completion of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Exchange Act shall be required or shall be voluntarily made in connection with subsequent sales of the Securities or other securities acquired in such open market transactions, (b) transfers of shares of the Securities or any security convertible into the Securities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w:t>
      </w:r>
    </w:p>
    <w:p>
      <w:pPr>
        <w:spacing w:after="0" w:line="2"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(c) transfers of shares of the Securities to any trust for the benefit of the undersigned or its immediate family member, (d) distributions of shares of the Securities or any security convertible into the Securities to limited partners or stockholders of the undersigned, (e) the issuance by the Company of Ordinary Shares upon the exercise of an option or warrant or the conversion of a security outstanding on the date hereof of which the Underwriters have been advised in writing and grants of employee share awards pursuant to the Company’s share incentive plans of which the Underwriters have been advised in writing and the issuance of Ordinary Shares pursuant to the exercise of such share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(b), (c), (d) or (e), (i) each donee or distributee shall sign and deliver to the Representative a lock-up letter substantially in the form of this letter and (ii) no filing under Section 16(a) of the Exchange Act, reporting a reduction in beneficial ownership of the Securities, shall be required or shall be voluntarily made during the Restricted Period, or (f) the establishment of a trading plan pursuant to Rule 10b5-1 under the Exchange Act for the transfer of Securities, provided that</w:t>
      </w:r>
    </w:p>
    <w:p>
      <w:pPr>
        <w:spacing w:after="0" w:line="5" w:lineRule="exact"/>
        <w:rPr>
          <w:rFonts w:ascii="Arial" w:cs="Arial" w:eastAsia="Arial" w:hAnsi="Arial"/>
          <w:sz w:val="16"/>
          <w:szCs w:val="16"/>
          <w:color w:val="auto"/>
        </w:rPr>
      </w:pPr>
    </w:p>
    <w:p>
      <w:pPr>
        <w:ind w:right="60"/>
        <w:spacing w:after="0" w:line="252" w:lineRule="auto"/>
        <w:rPr>
          <w:rFonts w:ascii="Arial" w:cs="Arial" w:eastAsia="Arial" w:hAnsi="Arial"/>
          <w:sz w:val="16"/>
          <w:szCs w:val="16"/>
          <w:color w:val="auto"/>
        </w:rPr>
      </w:pPr>
      <w:r>
        <w:rPr>
          <w:rFonts w:ascii="Arial" w:cs="Arial" w:eastAsia="Arial" w:hAnsi="Arial"/>
          <w:sz w:val="18"/>
          <w:szCs w:val="18"/>
          <w:color w:val="auto"/>
        </w:rPr>
        <w:t>(i) such plan does not provide for the transfer of Securities during the Restricted Period and (ii) no public announcement shall be made regarding the establishment of such plan. In addition, the undersigned agrees that, without the prior written consent of the Representative on behalf of the Underwriters, it will not, during the Restricted Period, make any demand for or exercise any right with respect to, the registration of any Securities or any security convertible into or exercisable or exchangeable for the Securities. The undersigned hereby also agrees and consents to the entry of stop transfer instructions with the Company’s transfer agent and registrar against the transfer of the undersigned’s Securities unless such transfer is in compliance with the foregoing restrictions.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1420"/>
          </w:cols>
          <w:pgMar w:left="240" w:top="270" w:right="239" w:bottom="1440" w:gutter="0" w:footer="0" w:header="0"/>
        </w:sectPr>
      </w:pPr>
    </w:p>
    <w:bookmarkStart w:id="59" w:name="page60"/>
    <w:bookmarkEnd w:id="59"/>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undersigned is an officer or director of the Company, the undersigned further agrees that the foregoing provisions shall be equally applicable to any issuer-directed Securities the undersigned may purchase in the Public Offering.</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undersigned is an officer or director of the Company, (i) the Representative agrees that, at least three business days before the effective date of any release or waiver of the foregoing restrictions in connection with a transfer of the Securities, the Representative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r>
        <w:rPr>
          <w:rFonts w:ascii="Arial" w:cs="Arial" w:eastAsia="Arial" w:hAnsi="Arial"/>
          <w:sz w:val="13"/>
          <w:szCs w:val="13"/>
          <w:color w:val="auto"/>
        </w:rPr>
        <w:t>1</w:t>
      </w:r>
    </w:p>
    <w:p>
      <w:pPr>
        <w:spacing w:after="0" w:line="16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Representative on behalf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360" w:right="5360" w:hanging="5352"/>
        <w:spacing w:after="0" w:line="536" w:lineRule="auto"/>
        <w:tabs>
          <w:tab w:leader="none" w:pos="447" w:val="left"/>
        </w:tabs>
        <w:numPr>
          <w:ilvl w:val="0"/>
          <w:numId w:val="76"/>
        </w:numPr>
        <w:rPr>
          <w:rFonts w:ascii="Arial" w:cs="Arial" w:eastAsia="Arial" w:hAnsi="Arial"/>
          <w:sz w:val="14"/>
          <w:szCs w:val="14"/>
          <w:color w:val="auto"/>
        </w:rPr>
      </w:pPr>
      <w:r>
        <w:rPr>
          <w:rFonts w:ascii="Arial" w:cs="Arial" w:eastAsia="Arial" w:hAnsi="Arial"/>
          <w:sz w:val="16"/>
          <w:szCs w:val="16"/>
          <w:color w:val="auto"/>
        </w:rPr>
        <w:t>Insert if the undersigned is an executive officer or director of the Company. Exhibit B</w:t>
      </w:r>
    </w:p>
    <w:p>
      <w:pPr>
        <w:sectPr>
          <w:pgSz w:w="11900" w:h="16838" w:orient="portrait"/>
          <w:cols w:equalWidth="0" w:num="1">
            <w:col w:w="11420"/>
          </w:cols>
          <w:pgMar w:left="240" w:top="274" w:right="239" w:bottom="1440" w:gutter="0" w:footer="0" w:header="0"/>
        </w:sectPr>
      </w:pPr>
    </w:p>
    <w:bookmarkStart w:id="60" w:name="page61"/>
    <w:bookmarkEnd w:id="6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is governed by, and to be construed in accordance with, the internal laws of the State of New York, without regard to the conflict of laws principles thereof.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1080"/>
          </w:cols>
          <w:pgMar w:left="240" w:top="274" w:right="5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r>
        <w:rPr>
          <w:rFonts w:ascii="Arial" w:cs="Arial" w:eastAsia="Arial" w:hAnsi="Arial"/>
          <w:sz w:val="15"/>
          <w:szCs w:val="15"/>
          <w:b w:val="1"/>
          <w:bCs w:val="1"/>
          <w:color w:val="auto"/>
        </w:rPr>
        <w:t>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This letter is being delivered to you in connection with the offering by iClick Interactive Asia Group Limited (the “</w:t>
      </w:r>
      <w:r>
        <w:rPr>
          <w:rFonts w:ascii="Arial" w:cs="Arial" w:eastAsia="Arial" w:hAnsi="Arial"/>
          <w:sz w:val="18"/>
          <w:szCs w:val="18"/>
          <w:b w:val="1"/>
          <w:bCs w:val="1"/>
          <w:color w:val="auto"/>
        </w:rPr>
        <w:t>Company</w:t>
      </w:r>
      <w:r>
        <w:rPr>
          <w:rFonts w:ascii="Arial" w:cs="Arial" w:eastAsia="Arial" w:hAnsi="Arial"/>
          <w:sz w:val="18"/>
          <w:szCs w:val="18"/>
          <w:color w:val="auto"/>
        </w:rPr>
        <w:t>”) of [1,875,000] Class A ordinary shares, par value US$0.001 per share, of the Company in the form of [3,750,000] American depositary shares, and the lock-up letter dated , 2017 (the “</w:t>
      </w:r>
      <w:r>
        <w:rPr>
          <w:rFonts w:ascii="Arial" w:cs="Arial" w:eastAsia="Arial" w:hAnsi="Arial"/>
          <w:sz w:val="18"/>
          <w:szCs w:val="18"/>
          <w:b w:val="1"/>
          <w:bCs w:val="1"/>
          <w:color w:val="auto"/>
        </w:rPr>
        <w:t>Lock-up Letter</w:t>
      </w:r>
      <w:r>
        <w:rPr>
          <w:rFonts w:ascii="Arial" w:cs="Arial" w:eastAsia="Arial" w:hAnsi="Arial"/>
          <w:sz w:val="18"/>
          <w:szCs w:val="18"/>
          <w:color w:val="auto"/>
        </w:rPr>
        <w:t>”), executed by you in connection with such offering, and your request for a [waiver] [release] dated , 2017, with respect to [●] Class A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undersigned hereby agrees to [waive] [release] the transfer restrictions set forth in the Lock-up Letter, but only with respect to the Shares, effective [●]; </w:t>
      </w:r>
      <w:r>
        <w:rPr>
          <w:rFonts w:ascii="Arial" w:cs="Arial" w:eastAsia="Arial" w:hAnsi="Arial"/>
          <w:sz w:val="18"/>
          <w:szCs w:val="18"/>
          <w:i w:val="1"/>
          <w:iCs w:val="1"/>
          <w:color w:val="auto"/>
        </w:rPr>
        <w:t>provided</w:t>
      </w:r>
      <w:r>
        <w:rPr>
          <w:rFonts w:ascii="Arial" w:cs="Arial" w:eastAsia="Arial" w:hAnsi="Arial"/>
          <w:sz w:val="18"/>
          <w:szCs w:val="18"/>
          <w:color w:val="auto"/>
        </w:rPr>
        <w:t>, however, that such [waiver] [release] is conditioned on the Company announcing the impending [waiver] [release] by press release through a major</w:t>
      </w:r>
      <w:r>
        <w:rPr>
          <w:rFonts w:ascii="Arial" w:cs="Arial" w:eastAsia="Arial" w:hAnsi="Arial"/>
          <w:sz w:val="18"/>
          <w:szCs w:val="18"/>
          <w:i w:val="1"/>
          <w:iCs w:val="1"/>
          <w:color w:val="auto"/>
        </w:rPr>
        <w:t xml:space="preserve"> </w:t>
      </w:r>
      <w:r>
        <w:rPr>
          <w:rFonts w:ascii="Arial" w:cs="Arial" w:eastAsia="Arial" w:hAnsi="Arial"/>
          <w:sz w:val="18"/>
          <w:szCs w:val="18"/>
          <w:color w:val="auto"/>
        </w:rPr>
        <w:t>news service at least two business days before effectiveness of such [waiver] [release]. This letter will serve as notice to the Company of the impending [waiver]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Underwriters named in Schedule 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5360" w:right="5360" w:hanging="5352"/>
        <w:spacing w:after="0" w:line="536" w:lineRule="auto"/>
        <w:tabs>
          <w:tab w:leader="none" w:pos="447" w:val="left"/>
        </w:tabs>
        <w:numPr>
          <w:ilvl w:val="0"/>
          <w:numId w:val="77"/>
        </w:numPr>
        <w:rPr>
          <w:rFonts w:ascii="Arial" w:cs="Arial" w:eastAsia="Arial" w:hAnsi="Arial"/>
          <w:sz w:val="14"/>
          <w:szCs w:val="14"/>
          <w:color w:val="auto"/>
        </w:rPr>
      </w:pPr>
      <w:r>
        <w:rPr>
          <w:rFonts w:ascii="Arial" w:cs="Arial" w:eastAsia="Arial" w:hAnsi="Arial"/>
          <w:sz w:val="16"/>
          <w:szCs w:val="16"/>
          <w:color w:val="auto"/>
        </w:rPr>
        <w:t>Insert if the undersigned is an executive officer or director of the Company. Exhibit C</w:t>
      </w:r>
    </w:p>
    <w:p>
      <w:pPr>
        <w:sectPr>
          <w:pgSz w:w="11900" w:h="16838" w:orient="portrait"/>
          <w:cols w:equalWidth="0" w:num="1">
            <w:col w:w="11420"/>
          </w:cols>
          <w:pgMar w:left="240" w:top="270" w:right="239" w:bottom="1440" w:gutter="0" w:footer="0" w:header="0"/>
        </w:sectPr>
      </w:pPr>
    </w:p>
    <w:bookmarkStart w:id="62" w:name="page63"/>
    <w:bookmarkEnd w:id="62"/>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pacing w:after="0" w:line="158" w:lineRule="exact"/>
        <w:rPr>
          <w:sz w:val="20"/>
          <w:szCs w:val="20"/>
          <w:color w:val="auto"/>
        </w:rPr>
      </w:pPr>
    </w:p>
    <w:p>
      <w:pPr>
        <w:jc w:val="right"/>
        <w:ind w:right="28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Signatory page for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63" w:name="page64"/>
    <w:bookmarkEnd w:id="6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iClick Interactive Asia Group Limited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Roth Capital Partners, LLC, the sole book-running manager in the Company’s recent public sale of [1,875,000] Class A ordinary shares in the form of [3,750,000] American depositary shares is [waiving] [releasing] a lock-up restriction with respect to [•] Class A ordinary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Company held by [</w:t>
      </w:r>
      <w:r>
        <w:rPr>
          <w:rFonts w:ascii="Arial" w:cs="Arial" w:eastAsia="Arial" w:hAnsi="Arial"/>
          <w:sz w:val="16"/>
          <w:szCs w:val="16"/>
          <w:i w:val="1"/>
          <w:iCs w:val="1"/>
          <w:color w:val="auto"/>
        </w:rPr>
        <w:t>certain officers or directors</w:t>
      </w:r>
      <w:r>
        <w:rPr>
          <w:rFonts w:ascii="Arial" w:cs="Arial" w:eastAsia="Arial" w:hAnsi="Arial"/>
          <w:sz w:val="16"/>
          <w:szCs w:val="16"/>
          <w:color w:val="auto"/>
        </w:rPr>
        <w:t>] [</w:t>
      </w:r>
      <w:r>
        <w:rPr>
          <w:rFonts w:ascii="Arial" w:cs="Arial" w:eastAsia="Arial" w:hAnsi="Arial"/>
          <w:sz w:val="16"/>
          <w:szCs w:val="16"/>
          <w:i w:val="1"/>
          <w:iCs w:val="1"/>
          <w:color w:val="auto"/>
        </w:rPr>
        <w:t>an officer or director</w:t>
      </w:r>
      <w:r>
        <w:rPr>
          <w:rFonts w:ascii="Arial" w:cs="Arial" w:eastAsia="Arial" w:hAnsi="Arial"/>
          <w:sz w:val="16"/>
          <w:szCs w:val="16"/>
          <w:color w:val="auto"/>
        </w:rPr>
        <w:t>] of the Company. The</w:t>
      </w:r>
    </w:p>
    <w:p>
      <w:pPr>
        <w:spacing w:after="0" w:line="2" w:lineRule="exact"/>
        <w:rPr>
          <w:sz w:val="20"/>
          <w:szCs w:val="20"/>
          <w:color w:val="auto"/>
        </w:rPr>
      </w:pPr>
    </w:p>
    <w:p>
      <w:pPr>
        <w:spacing w:after="0"/>
        <w:tabs>
          <w:tab w:leader="none" w:pos="3200" w:val="left"/>
          <w:tab w:leader="none" w:pos="3640" w:val="left"/>
        </w:tabs>
        <w:rPr>
          <w:sz w:val="20"/>
          <w:szCs w:val="20"/>
          <w:color w:val="auto"/>
        </w:rPr>
      </w:pPr>
      <w:r>
        <w:rPr>
          <w:rFonts w:ascii="Arial" w:cs="Arial" w:eastAsia="Arial" w:hAnsi="Arial"/>
          <w:sz w:val="18"/>
          <w:szCs w:val="18"/>
          <w:color w:val="auto"/>
        </w:rPr>
        <w:t>[waiver] [release] will take effect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and the Shares may be sold on or after such date.</w:t>
      </w:r>
    </w:p>
    <w:p>
      <w:pPr>
        <w:spacing w:after="0" w:line="207"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Form of Press Release</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1)"/>
      <w:numFmt w:val="decimal"/>
      <w:start w:val="2"/>
    </w:lvl>
  </w:abstractNum>
  <w:abstractNum w:abstractNumId="2">
    <w:nsid w:val="2D517796"/>
    <w:multiLevelType w:val="hybridMultilevel"/>
    <w:lvl w:ilvl="0">
      <w:lvlJc w:val="left"/>
      <w:lvlText w:val="1"/>
      <w:numFmt w:val="bullet"/>
      <w:start w:val="1"/>
    </w:lvl>
  </w:abstractNum>
  <w:abstractNum w:abstractNumId="3">
    <w:nsid w:val="580BD78F"/>
    <w:multiLevelType w:val="hybridMultilevel"/>
    <w:lvl w:ilvl="0">
      <w:lvlJc w:val="left"/>
      <w:lvlText w:val="2"/>
      <w:numFmt w:val="bullet"/>
      <w:start w:val="1"/>
    </w:lvl>
  </w:abstractNum>
  <w:abstractNum w:abstractNumId="4">
    <w:nsid w:val="153EA438"/>
    <w:multiLevelType w:val="hybridMultilevel"/>
    <w:lvl w:ilvl="0">
      <w:lvlJc w:val="left"/>
      <w:lvlText w:val="3"/>
      <w:numFmt w:val="bullet"/>
      <w:start w:val="1"/>
    </w:lvl>
  </w:abstractNum>
  <w:abstractNum w:abstractNumId="5">
    <w:nsid w:val="3855585C"/>
    <w:multiLevelType w:val="hybridMultilevel"/>
    <w:lvl w:ilvl="0">
      <w:lvlJc w:val="left"/>
      <w:lvlText w:val="4"/>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2"/>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lowerLetter"/>
      <w:start w:val="1"/>
    </w:lvl>
  </w:abstractNum>
  <w:abstractNum w:abstractNumId="11">
    <w:nsid w:val="2CD89A32"/>
    <w:multiLevelType w:val="hybridMultilevel"/>
    <w:lvl w:ilvl="0">
      <w:lvlJc w:val="left"/>
      <w:lvlText w:val="(%1)"/>
      <w:numFmt w:val="lowerLetter"/>
      <w:start w:val="3"/>
    </w:lvl>
  </w:abstractNum>
  <w:abstractNum w:abstractNumId="12">
    <w:nsid w:val="57E4CCAF"/>
    <w:multiLevelType w:val="hybridMultilevel"/>
    <w:lvl w:ilvl="0">
      <w:lvlJc w:val="left"/>
      <w:lvlText w:val="(%1)"/>
      <w:numFmt w:val="lowerLetter"/>
      <w:start w:val="5"/>
    </w:lvl>
  </w:abstractNum>
  <w:abstractNum w:abstractNumId="13">
    <w:nsid w:val="7A6D8D3C"/>
    <w:multiLevelType w:val="hybridMultilevel"/>
    <w:lvl w:ilvl="0">
      <w:lvlJc w:val="left"/>
      <w:lvlText w:val="(%1)"/>
      <w:numFmt w:val="lowerLetter"/>
      <w:start w:val="7"/>
    </w:lvl>
    <w:lvl w:ilvl="1">
      <w:lvlJc w:val="left"/>
      <w:lvlText w:val="(%2)"/>
      <w:numFmt w:val="lowerRoman"/>
      <w:start w:val="1"/>
    </w:lvl>
  </w:abstractNum>
  <w:abstractNum w:abstractNumId="14">
    <w:nsid w:val="4B588F54"/>
    <w:multiLevelType w:val="hybridMultilevel"/>
    <w:lvl w:ilvl="0">
      <w:lvlJc w:val="left"/>
      <w:lvlText w:val="%1"/>
      <w:numFmt w:val="lowerLetter"/>
      <w:start w:val="1"/>
    </w:lvl>
    <w:lvl w:ilvl="1">
      <w:lvlJc w:val="left"/>
      <w:lvlText w:val="(%2)"/>
      <w:numFmt w:val="lowerRoman"/>
      <w:start w:val="3"/>
    </w:lvl>
  </w:abstractNum>
  <w:abstractNum w:abstractNumId="15">
    <w:nsid w:val="542289EC"/>
    <w:multiLevelType w:val="hybridMultilevel"/>
    <w:lvl w:ilvl="0">
      <w:lvlJc w:val="left"/>
      <w:lvlText w:val="(%1)"/>
      <w:numFmt w:val="lowerLetter"/>
      <w:start w:val="8"/>
    </w:lvl>
    <w:lvl w:ilvl="1">
      <w:lvlJc w:val="left"/>
      <w:lvlText w:val="%2"/>
      <w:numFmt w:val="lowerRoman"/>
      <w:start w:val="1"/>
    </w:lvl>
  </w:abstractNum>
  <w:abstractNum w:abstractNumId="16">
    <w:nsid w:val="6DE91B18"/>
    <w:multiLevelType w:val="hybridMultilevel"/>
    <w:lvl w:ilvl="0">
      <w:lvlJc w:val="left"/>
      <w:lvlText w:val="(%1)"/>
      <w:numFmt w:val="lowerLetter"/>
      <w:start w:val="11"/>
    </w:lvl>
  </w:abstractNum>
  <w:abstractNum w:abstractNumId="17">
    <w:nsid w:val="38437FDB"/>
    <w:multiLevelType w:val="hybridMultilevel"/>
    <w:lvl w:ilvl="0">
      <w:lvlJc w:val="left"/>
      <w:lvlText w:val="%1"/>
      <w:numFmt w:val="lowerLetter"/>
      <w:start w:val="1"/>
    </w:lvl>
    <w:lvl w:ilvl="1">
      <w:lvlJc w:val="left"/>
      <w:lvlText w:val="(%2)"/>
      <w:numFmt w:val="lowerLetter"/>
      <w:start w:val="17"/>
    </w:lvl>
  </w:abstractNum>
  <w:abstractNum w:abstractNumId="18">
    <w:nsid w:val="7644A45C"/>
    <w:multiLevelType w:val="hybridMultilevel"/>
    <w:lvl w:ilvl="0">
      <w:lvlJc w:val="left"/>
      <w:lvlText w:val="(%1)"/>
      <w:numFmt w:val="lowerLetter"/>
      <w:start w:val="9"/>
    </w:lvl>
    <w:lvl w:ilvl="1">
      <w:lvlJc w:val="left"/>
      <w:lvlText w:val="%2"/>
      <w:numFmt w:val="lowerLetter"/>
      <w:start w:val="1"/>
    </w:lvl>
  </w:abstractNum>
  <w:abstractNum w:abstractNumId="19">
    <w:nsid w:val="32FFF902"/>
    <w:multiLevelType w:val="hybridMultilevel"/>
    <w:lvl w:ilvl="0">
      <w:lvlJc w:val="left"/>
      <w:lvlText w:val="(%1)"/>
      <w:numFmt w:val="lowerLetter"/>
      <w:start w:val="20"/>
    </w:lvl>
  </w:abstractNum>
  <w:abstractNum w:abstractNumId="20">
    <w:nsid w:val="684A481A"/>
    <w:multiLevelType w:val="hybridMultilevel"/>
    <w:lvl w:ilvl="0">
      <w:lvlJc w:val="left"/>
      <w:lvlText w:val="%1"/>
      <w:numFmt w:val="lowerLetter"/>
      <w:start w:val="1"/>
    </w:lvl>
    <w:lvl w:ilvl="1">
      <w:lvlJc w:val="left"/>
      <w:lvlText w:val="(%2)"/>
      <w:numFmt w:val="lowerLetter"/>
      <w:start w:val="25"/>
    </w:lvl>
  </w:abstractNum>
  <w:abstractNum w:abstractNumId="21">
    <w:nsid w:val="579478FE"/>
    <w:multiLevelType w:val="hybridMultilevel"/>
    <w:lvl w:ilvl="0">
      <w:lvlJc w:val="left"/>
      <w:lvlText w:val="(%1)"/>
      <w:numFmt w:val="lowerLetter"/>
      <w:start w:val="61"/>
    </w:lvl>
    <w:lvl w:ilvl="1">
      <w:lvlJc w:val="left"/>
      <w:lvlText w:val="(%2)"/>
      <w:numFmt w:val="lowerLetter"/>
      <w:start w:val="26"/>
    </w:lvl>
  </w:abstractNum>
  <w:abstractNum w:abstractNumId="22">
    <w:nsid w:val="749ABB43"/>
    <w:multiLevelType w:val="hybridMultilevel"/>
    <w:lvl w:ilvl="0">
      <w:lvlJc w:val="left"/>
      <w:lvlText w:val="(%1)"/>
      <w:numFmt w:val="lowerLetter"/>
      <w:start w:val="27"/>
    </w:lvl>
    <w:lvl w:ilvl="1">
      <w:lvlJc w:val="left"/>
      <w:lvlText w:val="(%2)"/>
      <w:numFmt w:val="upperLetter"/>
      <w:start w:val="1"/>
    </w:lvl>
  </w:abstractNum>
  <w:abstractNum w:abstractNumId="23">
    <w:nsid w:val="3DC240F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4">
    <w:nsid w:val="1BA026FA"/>
    <w:multiLevelType w:val="hybridMultilevel"/>
    <w:lvl w:ilvl="0">
      <w:lvlJc w:val="left"/>
      <w:lvlText w:val="(%1)"/>
      <w:numFmt w:val="lowerLetter"/>
      <w:start w:val="28"/>
    </w:lvl>
    <w:lvl w:ilvl="1">
      <w:lvlJc w:val="left"/>
      <w:lvlText w:val="%2"/>
      <w:numFmt w:val="lowerRoman"/>
      <w:start w:val="1"/>
    </w:lvl>
    <w:lvl w:ilvl="2">
      <w:lvlJc w:val="left"/>
      <w:lvlText w:val="%3"/>
      <w:numFmt w:val="upperLetter"/>
      <w:start w:val="1"/>
    </w:lvl>
  </w:abstractNum>
  <w:abstractNum w:abstractNumId="25">
    <w:nsid w:val="79A1DEAA"/>
    <w:multiLevelType w:val="hybridMultilevel"/>
    <w:lvl w:ilvl="0">
      <w:lvlJc w:val="left"/>
      <w:lvlText w:val="%1"/>
      <w:numFmt w:val="lowerLetter"/>
      <w:start w:val="1"/>
    </w:lvl>
    <w:lvl w:ilvl="1">
      <w:lvlJc w:val="left"/>
      <w:lvlText w:val="(%2)"/>
      <w:numFmt w:val="lowerLetter"/>
      <w:start w:val="30"/>
    </w:lvl>
  </w:abstractNum>
  <w:abstractNum w:abstractNumId="26">
    <w:nsid w:val="75C6C33A"/>
    <w:multiLevelType w:val="hybridMultilevel"/>
    <w:lvl w:ilvl="0">
      <w:lvlJc w:val="left"/>
      <w:lvlText w:val="(%1)"/>
      <w:numFmt w:val="lowerLetter"/>
      <w:start w:val="61"/>
    </w:lvl>
    <w:lvl w:ilvl="1">
      <w:lvlJc w:val="left"/>
      <w:lvlText w:val="(%2)"/>
      <w:numFmt w:val="lowerLetter"/>
      <w:start w:val="31"/>
    </w:lvl>
  </w:abstractNum>
  <w:abstractNum w:abstractNumId="27">
    <w:nsid w:val="12E685FB"/>
    <w:multiLevelType w:val="hybridMultilevel"/>
    <w:lvl w:ilvl="0">
      <w:lvlJc w:val="left"/>
      <w:lvlText w:val="(%1)"/>
      <w:numFmt w:val="lowerLetter"/>
      <w:start w:val="35"/>
    </w:lvl>
  </w:abstractNum>
  <w:abstractNum w:abstractNumId="28">
    <w:nsid w:val="70C6A529"/>
    <w:multiLevelType w:val="hybridMultilevel"/>
    <w:lvl w:ilvl="0">
      <w:lvlJc w:val="left"/>
      <w:lvlText w:val="%1"/>
      <w:numFmt w:val="lowerLetter"/>
      <w:start w:val="1"/>
    </w:lvl>
    <w:lvl w:ilvl="1">
      <w:lvlJc w:val="left"/>
      <w:lvlText w:val="(%2)"/>
      <w:numFmt w:val="lowerLetter"/>
      <w:start w:val="39"/>
    </w:lvl>
  </w:abstractNum>
  <w:abstractNum w:abstractNumId="29">
    <w:nsid w:val="520EEDD1"/>
    <w:multiLevelType w:val="hybridMultilevel"/>
    <w:lvl w:ilvl="0">
      <w:lvlJc w:val="left"/>
      <w:lvlText w:val="(%1)"/>
      <w:numFmt w:val="lowerLetter"/>
      <w:start w:val="35"/>
    </w:lvl>
    <w:lvl w:ilvl="1">
      <w:lvlJc w:val="left"/>
      <w:lvlText w:val="%2"/>
      <w:numFmt w:val="lowerLetter"/>
      <w:start w:val="1"/>
    </w:lvl>
  </w:abstractNum>
  <w:abstractNum w:abstractNumId="30">
    <w:nsid w:val="374A3FE6"/>
    <w:multiLevelType w:val="hybridMultilevel"/>
    <w:lvl w:ilvl="0">
      <w:lvlJc w:val="left"/>
      <w:lvlText w:val="%1"/>
      <w:numFmt w:val="lowerLetter"/>
      <w:start w:val="1"/>
    </w:lvl>
    <w:lvl w:ilvl="1">
      <w:lvlJc w:val="left"/>
      <w:lvlText w:val="(%2)"/>
      <w:numFmt w:val="lowerLetter"/>
      <w:start w:val="42"/>
    </w:lvl>
  </w:abstractNum>
  <w:abstractNum w:abstractNumId="31">
    <w:nsid w:val="4F4EF005"/>
    <w:multiLevelType w:val="hybridMultilevel"/>
    <w:lvl w:ilvl="0">
      <w:lvlJc w:val="left"/>
      <w:lvlText w:val="(%1)"/>
      <w:numFmt w:val="lowerLetter"/>
      <w:start w:val="35"/>
    </w:lvl>
    <w:lvl w:ilvl="1">
      <w:lvlJc w:val="left"/>
      <w:lvlText w:val="(%2)"/>
      <w:numFmt w:val="lowerLetter"/>
      <w:start w:val="43"/>
    </w:lvl>
  </w:abstractNum>
  <w:abstractNum w:abstractNumId="32">
    <w:nsid w:val="23F9C13C"/>
    <w:multiLevelType w:val="hybridMultilevel"/>
    <w:lvl w:ilvl="0">
      <w:lvlJc w:val="left"/>
      <w:lvlText w:val="(%1)"/>
      <w:numFmt w:val="lowerLetter"/>
      <w:start w:val="46"/>
    </w:lvl>
  </w:abstractNum>
  <w:abstractNum w:abstractNumId="33">
    <w:nsid w:val="649BB77C"/>
    <w:multiLevelType w:val="hybridMultilevel"/>
    <w:lvl w:ilvl="0">
      <w:lvlJc w:val="left"/>
      <w:lvlText w:val="(%1)"/>
      <w:numFmt w:val="lowerLetter"/>
      <w:start w:val="50"/>
    </w:lvl>
  </w:abstractNum>
  <w:abstractNum w:abstractNumId="34">
    <w:nsid w:val="275AC794"/>
    <w:multiLevelType w:val="hybridMultilevel"/>
    <w:lvl w:ilvl="0">
      <w:lvlJc w:val="left"/>
      <w:lvlText w:val="(%1)"/>
      <w:numFmt w:val="lowerLetter"/>
      <w:start w:val="53"/>
    </w:lvl>
  </w:abstractNum>
  <w:abstractNum w:abstractNumId="35">
    <w:nsid w:val="39386575"/>
    <w:multiLevelType w:val="hybridMultilevel"/>
    <w:lvl w:ilvl="0">
      <w:lvlJc w:val="left"/>
      <w:lvlText w:val="(%1)"/>
      <w:numFmt w:val="lowerLetter"/>
      <w:start w:val="54"/>
    </w:lvl>
  </w:abstractNum>
  <w:abstractNum w:abstractNumId="36">
    <w:nsid w:val="1CF10FD8"/>
    <w:multiLevelType w:val="hybridMultilevel"/>
    <w:lvl w:ilvl="0">
      <w:lvlJc w:val="left"/>
      <w:lvlText w:val="(%1)"/>
      <w:numFmt w:val="lowerLetter"/>
      <w:start w:val="56"/>
    </w:lvl>
  </w:abstractNum>
  <w:abstractNum w:abstractNumId="37">
    <w:nsid w:val="180115BE"/>
    <w:multiLevelType w:val="hybridMultilevel"/>
    <w:lvl w:ilvl="0">
      <w:lvlJc w:val="left"/>
      <w:lvlText w:val="%1."/>
      <w:numFmt w:val="decimal"/>
      <w:start w:val="2"/>
    </w:lvl>
  </w:abstractNum>
  <w:abstractNum w:abstractNumId="38">
    <w:nsid w:val="235BA861"/>
    <w:multiLevelType w:val="hybridMultilevel"/>
    <w:lvl w:ilvl="0">
      <w:lvlJc w:val="left"/>
      <w:lvlText w:val="%1."/>
      <w:numFmt w:val="decimal"/>
      <w:start w:val="3"/>
    </w:lvl>
  </w:abstractNum>
  <w:abstractNum w:abstractNumId="39">
    <w:nsid w:val="47398C89"/>
    <w:multiLevelType w:val="hybridMultilevel"/>
    <w:lvl w:ilvl="0">
      <w:lvlJc w:val="left"/>
      <w:lvlText w:val="(%1)"/>
      <w:numFmt w:val="lowerLetter"/>
      <w:start w:val="1"/>
    </w:lvl>
  </w:abstractNum>
  <w:abstractNum w:abstractNumId="40">
    <w:nsid w:val="354FE9F9"/>
    <w:multiLevelType w:val="hybridMultilevel"/>
    <w:lvl w:ilvl="0">
      <w:lvlJc w:val="left"/>
      <w:lvlText w:val="(%1)"/>
      <w:numFmt w:val="lowerLetter"/>
      <w:start w:val="3"/>
    </w:lvl>
  </w:abstractNum>
  <w:abstractNum w:abstractNumId="41">
    <w:nsid w:val="15B5AF5C"/>
    <w:multiLevelType w:val="hybridMultilevel"/>
    <w:lvl w:ilvl="0">
      <w:lvlJc w:val="left"/>
      <w:lvlText w:val="%1."/>
      <w:numFmt w:val="decimal"/>
      <w:start w:val="5"/>
    </w:lvl>
  </w:abstractNum>
  <w:abstractNum w:abstractNumId="42">
    <w:nsid w:val="741226BB"/>
    <w:multiLevelType w:val="hybridMultilevel"/>
    <w:lvl w:ilvl="0">
      <w:lvlJc w:val="left"/>
      <w:lvlText w:val="(%1)"/>
      <w:numFmt w:val="lowerLetter"/>
      <w:start w:val="1"/>
    </w:lvl>
    <w:lvl w:ilvl="1">
      <w:lvlJc w:val="left"/>
      <w:lvlText w:val="(%2)"/>
      <w:numFmt w:val="lowerRoman"/>
      <w:start w:val="1"/>
    </w:lvl>
  </w:abstractNum>
  <w:abstractNum w:abstractNumId="43">
    <w:nsid w:val="D34B6A8"/>
    <w:multiLevelType w:val="hybridMultilevel"/>
    <w:lvl w:ilvl="0">
      <w:lvlJc w:val="left"/>
      <w:lvlText w:val="(%1)"/>
      <w:numFmt w:val="lowerLetter"/>
      <w:start w:val="4"/>
    </w:lvl>
  </w:abstractNum>
  <w:abstractNum w:abstractNumId="44">
    <w:nsid w:val="10233C99"/>
    <w:multiLevelType w:val="hybridMultilevel"/>
    <w:lvl w:ilvl="0">
      <w:lvlJc w:val="left"/>
      <w:lvlText w:val="(%1)"/>
      <w:numFmt w:val="lowerLetter"/>
      <w:start w:val="8"/>
    </w:lvl>
  </w:abstractNum>
  <w:abstractNum w:abstractNumId="45">
    <w:nsid w:val="3F6AB60F"/>
    <w:multiLevelType w:val="hybridMultilevel"/>
    <w:lvl w:ilvl="0">
      <w:lvlJc w:val="left"/>
      <w:lvlText w:val="(%1)"/>
      <w:numFmt w:val="lowerLetter"/>
      <w:start w:val="12"/>
    </w:lvl>
  </w:abstractNum>
  <w:abstractNum w:abstractNumId="46">
    <w:nsid w:val="61574095"/>
    <w:multiLevelType w:val="hybridMultilevel"/>
    <w:lvl w:ilvl="0">
      <w:lvlJc w:val="left"/>
      <w:lvlText w:val="%1."/>
      <w:numFmt w:val="decimal"/>
      <w:start w:val="6"/>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6"/>
    </w:lvl>
  </w:abstractNum>
  <w:abstractNum w:abstractNumId="49">
    <w:nsid w:val="579BE4F1"/>
    <w:multiLevelType w:val="hybridMultilevel"/>
    <w:lvl w:ilvl="0">
      <w:lvlJc w:val="left"/>
      <w:lvlText w:val="(%1)"/>
      <w:numFmt w:val="lowerLetter"/>
      <w:start w:val="11"/>
    </w:lvl>
  </w:abstractNum>
  <w:abstractNum w:abstractNumId="50">
    <w:nsid w:val="310C50B3"/>
    <w:multiLevelType w:val="hybridMultilevel"/>
    <w:lvl w:ilvl="0">
      <w:lvlJc w:val="left"/>
      <w:lvlText w:val="(%1)"/>
      <w:numFmt w:val="lowerLetter"/>
      <w:start w:val="14"/>
    </w:lvl>
  </w:abstractNum>
  <w:abstractNum w:abstractNumId="51">
    <w:nsid w:val="5FF87E05"/>
    <w:multiLevelType w:val="hybridMultilevel"/>
    <w:lvl w:ilvl="0">
      <w:lvlJc w:val="left"/>
      <w:lvlText w:val="%1"/>
      <w:numFmt w:val="lowerLetter"/>
      <w:start w:val="1"/>
    </w:lvl>
    <w:lvl w:ilvl="1">
      <w:lvlJc w:val="left"/>
      <w:lvlText w:val="(%2)"/>
      <w:numFmt w:val="lowerLetter"/>
      <w:start w:val="18"/>
    </w:lvl>
  </w:abstractNum>
  <w:abstractNum w:abstractNumId="52">
    <w:nsid w:val="2F305DEF"/>
    <w:multiLevelType w:val="hybridMultilevel"/>
    <w:lvl w:ilvl="0">
      <w:lvlJc w:val="left"/>
      <w:lvlText w:val="(%1)"/>
      <w:numFmt w:val="lowerLetter"/>
      <w:start w:val="1"/>
    </w:lvl>
    <w:lvl w:ilvl="1">
      <w:lvlJc w:val="left"/>
      <w:lvlText w:val="(%2)"/>
      <w:numFmt w:val="lowerLetter"/>
      <w:start w:val="22"/>
    </w:lvl>
  </w:abstractNum>
  <w:abstractNum w:abstractNumId="53">
    <w:nsid w:val="25A70BF7"/>
    <w:multiLevelType w:val="hybridMultilevel"/>
    <w:lvl w:ilvl="0">
      <w:lvlJc w:val="left"/>
      <w:lvlText w:val="%1"/>
      <w:numFmt w:val="lowerRoman"/>
      <w:start w:val="1"/>
    </w:lvl>
    <w:lvl w:ilvl="1">
      <w:lvlJc w:val="left"/>
      <w:lvlText w:val="%2."/>
      <w:numFmt w:val="decimal"/>
      <w:start w:val="7"/>
    </w:lvl>
  </w:abstractNum>
  <w:abstractNum w:abstractNumId="54">
    <w:nsid w:val="1DBABF00"/>
    <w:multiLevelType w:val="hybridMultilevel"/>
    <w:lvl w:ilvl="0">
      <w:lvlJc w:val="left"/>
      <w:lvlText w:val="(%1)"/>
      <w:numFmt w:val="lowerRoman"/>
      <w:start w:val="6"/>
    </w:lvl>
    <w:lvl w:ilvl="1">
      <w:lvlJc w:val="left"/>
      <w:lvlText w:val="%2"/>
      <w:numFmt w:val="decimal"/>
      <w:start w:val="1"/>
    </w:lvl>
  </w:abstractNum>
  <w:abstractNum w:abstractNumId="55">
    <w:nsid w:val="4AD084E9"/>
    <w:multiLevelType w:val="hybridMultilevel"/>
    <w:lvl w:ilvl="0">
      <w:lvlJc w:val="left"/>
      <w:lvlText w:val="(%1)"/>
      <w:numFmt w:val="lowerRoman"/>
      <w:start w:val="9"/>
    </w:lvl>
    <w:lvl w:ilvl="1">
      <w:lvlJc w:val="left"/>
      <w:lvlText w:val="%2"/>
      <w:numFmt w:val="decimal"/>
      <w:start w:val="1"/>
    </w:lvl>
  </w:abstractNum>
  <w:abstractNum w:abstractNumId="56">
    <w:nsid w:val="1F48EAA1"/>
    <w:multiLevelType w:val="hybridMultilevel"/>
    <w:lvl w:ilvl="0">
      <w:lvlJc w:val="left"/>
      <w:lvlText w:val="(%1)"/>
      <w:numFmt w:val="lowerRoman"/>
      <w:start w:val="1"/>
    </w:lvl>
  </w:abstractNum>
  <w:abstractNum w:abstractNumId="57">
    <w:nsid w:val="1381823A"/>
    <w:multiLevelType w:val="hybridMultilevel"/>
    <w:lvl w:ilvl="0">
      <w:lvlJc w:val="left"/>
      <w:lvlText w:val="%1."/>
      <w:numFmt w:val="decimal"/>
      <w:start w:val="8"/>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Letter"/>
      <w:start w:val="3"/>
    </w:lvl>
  </w:abstractNum>
  <w:abstractNum w:abstractNumId="60">
    <w:nsid w:val="6590700B"/>
    <w:multiLevelType w:val="hybridMultilevel"/>
    <w:lvl w:ilvl="0">
      <w:lvlJc w:val="left"/>
      <w:lvlText w:val="(%1)"/>
      <w:numFmt w:val="lowerLetter"/>
      <w:start w:val="4"/>
    </w:lvl>
  </w:abstractNum>
  <w:abstractNum w:abstractNumId="61">
    <w:nsid w:val="15014ACB"/>
    <w:multiLevelType w:val="hybridMultilevel"/>
    <w:lvl w:ilvl="0">
      <w:lvlJc w:val="left"/>
      <w:lvlText w:val="%1"/>
      <w:numFmt w:val="lowerRoman"/>
      <w:start w:val="1"/>
    </w:lvl>
    <w:lvl w:ilvl="1">
      <w:lvlJc w:val="left"/>
      <w:lvlText w:val="%2."/>
      <w:numFmt w:val="decimal"/>
      <w:start w:val="10"/>
    </w:lvl>
  </w:abstractNum>
  <w:abstractNum w:abstractNumId="62">
    <w:nsid w:val="5F5E7FD0"/>
    <w:multiLevelType w:val="hybridMultilevel"/>
    <w:lvl w:ilvl="0">
      <w:lvlJc w:val="left"/>
      <w:lvlText w:val="(%1)"/>
      <w:numFmt w:val="lowerRoman"/>
      <w:start w:val="2"/>
    </w:lvl>
    <w:lvl w:ilvl="1">
      <w:lvlJc w:val="left"/>
      <w:lvlText w:val="%2."/>
      <w:numFmt w:val="decimal"/>
      <w:start w:val="11"/>
    </w:lvl>
  </w:abstractNum>
  <w:abstractNum w:abstractNumId="63">
    <w:nsid w:val="98A3148"/>
    <w:multiLevelType w:val="hybridMultilevel"/>
    <w:lvl w:ilvl="0">
      <w:lvlJc w:val="left"/>
      <w:lvlText w:val="%1."/>
      <w:numFmt w:val="decimal"/>
      <w:start w:val="12"/>
    </w:lvl>
  </w:abstractNum>
  <w:abstractNum w:abstractNumId="64">
    <w:nsid w:val="799D0247"/>
    <w:multiLevelType w:val="hybridMultilevel"/>
    <w:lvl w:ilvl="0">
      <w:lvlJc w:val="left"/>
      <w:lvlText w:val="%1."/>
      <w:numFmt w:val="decimal"/>
      <w:start w:val="14"/>
    </w:lvl>
  </w:abstractNum>
  <w:abstractNum w:abstractNumId="65">
    <w:nsid w:val="6B94764"/>
    <w:multiLevelType w:val="hybridMultilevel"/>
    <w:lvl w:ilvl="0">
      <w:lvlJc w:val="left"/>
      <w:lvlText w:val="%1."/>
      <w:numFmt w:val="decimal"/>
      <w:start w:val="19"/>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decimal"/>
      <w:start w:val="22"/>
    </w:lvl>
  </w:abstractNum>
  <w:abstractNum w:abstractNumId="68">
    <w:nsid w:val="1EBA5D23"/>
    <w:multiLevelType w:val="hybridMultilevel"/>
    <w:lvl w:ilvl="0">
      <w:lvlJc w:val="left"/>
      <w:lvlText w:val="%1."/>
      <w:numFmt w:val="decimal"/>
      <w:start w:val="23"/>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decimal"/>
      <w:start w:val="14"/>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2"/>
    </w:lvl>
  </w:abstractNum>
  <w:abstractNum w:abstractNumId="75">
    <w:nsid w:val="BF72B14"/>
    <w:multiLevelType w:val="hybridMultilevel"/>
    <w:lvl w:ilvl="0">
      <w:lvlJc w:val="left"/>
      <w:lvlText w:val="1"/>
      <w:numFmt w:val="bullet"/>
      <w:start w:val="1"/>
    </w:lvl>
  </w:abstractNum>
  <w:abstractNum w:abstractNumId="76">
    <w:nsid w:val="11447B7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51"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pn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png"/><Relationship Id="rId66" Type="http://schemas.openxmlformats.org/officeDocument/2006/relationships/image" Target="media/image32.png"/><Relationship Id="rId67" Type="http://schemas.openxmlformats.org/officeDocument/2006/relationships/image" Target="media/image33.png"/><Relationship Id="rId68" Type="http://schemas.openxmlformats.org/officeDocument/2006/relationships/image" Target="media/image34.png"/><Relationship Id="rId69" Type="http://schemas.openxmlformats.org/officeDocument/2006/relationships/image" Target="media/image35.png"/><Relationship Id="rId70"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png"/><Relationship Id="rId75" Type="http://schemas.openxmlformats.org/officeDocument/2006/relationships/image" Target="media/image41.png"/><Relationship Id="rId76" Type="http://schemas.openxmlformats.org/officeDocument/2006/relationships/image" Target="media/image42.png"/><Relationship Id="rId77" Type="http://schemas.openxmlformats.org/officeDocument/2006/relationships/image" Target="media/image43.png"/><Relationship Id="rId78" Type="http://schemas.openxmlformats.org/officeDocument/2006/relationships/image" Target="media/image44.pn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png"/><Relationship Id="rId86" Type="http://schemas.openxmlformats.org/officeDocument/2006/relationships/image" Target="media/image52.png"/><Relationship Id="rId87" Type="http://schemas.openxmlformats.org/officeDocument/2006/relationships/image" Target="media/image53.png"/><Relationship Id="rId88" Type="http://schemas.openxmlformats.org/officeDocument/2006/relationships/image" Target="media/image54.png"/><Relationship Id="rId89" Type="http://schemas.openxmlformats.org/officeDocument/2006/relationships/image" Target="media/image55.png"/><Relationship Id="rId90" Type="http://schemas.openxmlformats.org/officeDocument/2006/relationships/image" Target="media/image56.png"/><Relationship Id="rId91"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29" Type="http://schemas.openxmlformats.org/officeDocument/2006/relationships/hyperlink" Target="http://www.sec.gov/Archives/edgar/data/1697818/000119312517315220/d347875dex31.htm" TargetMode="External"/><Relationship Id="rId30" Type="http://schemas.openxmlformats.org/officeDocument/2006/relationships/hyperlink" Target="http://www.sec.gov/Archives/edgar/data/1697818/000119312517315220/d347875dex32.htm" TargetMode="External"/><Relationship Id="rId31" Type="http://schemas.openxmlformats.org/officeDocument/2006/relationships/hyperlink" Target="http://www.sec.gov/Archives/edgar/data/1697818/000119312517358756/d347875dex43.htm" TargetMode="External"/><Relationship Id="rId32" Type="http://schemas.openxmlformats.org/officeDocument/2006/relationships/hyperlink" Target="http://www.sec.gov/Archives/edgar/data/1697818/000119312517315220/d347875dex42.htm" TargetMode="External"/><Relationship Id="rId33" Type="http://schemas.openxmlformats.org/officeDocument/2006/relationships/hyperlink" Target="http://www.sec.gov/Archives/edgar/data/1697818/000119312517315220/d347875dex51.htm" TargetMode="External"/><Relationship Id="rId34" Type="http://schemas.openxmlformats.org/officeDocument/2006/relationships/hyperlink" Target="http://www.sec.gov/Archives/edgar/data/1697818/000119312517315220/d347875dex992.htm" TargetMode="External"/><Relationship Id="rId35" Type="http://schemas.openxmlformats.org/officeDocument/2006/relationships/hyperlink" Target="http://www.sec.gov/Archives/edgar/data/1697818/000119312517315220/d347875dex101.htm" TargetMode="External"/><Relationship Id="rId36" Type="http://schemas.openxmlformats.org/officeDocument/2006/relationships/hyperlink" Target="http://www.sec.gov/Archives/edgar/data/1697818/000119312517315220/d347875dex102.htm" TargetMode="External"/><Relationship Id="rId37" Type="http://schemas.openxmlformats.org/officeDocument/2006/relationships/hyperlink" Target="http://www.sec.gov/Archives/edgar/data/1697818/000119312517315220/d347875dex103.htm" TargetMode="External"/><Relationship Id="rId38" Type="http://schemas.openxmlformats.org/officeDocument/2006/relationships/hyperlink" Target="http://www.sec.gov/Archives/edgar/data/1697818/000119312517315220/d347875dex104.htm" TargetMode="External"/><Relationship Id="rId39" Type="http://schemas.openxmlformats.org/officeDocument/2006/relationships/hyperlink" Target="http://www.sec.gov/Archives/edgar/data/1697818/000119312517315220/d347875dex105.htm" TargetMode="External"/><Relationship Id="rId40" Type="http://schemas.openxmlformats.org/officeDocument/2006/relationships/hyperlink" Target="http://www.sec.gov/Archives/edgar/data/1697818/000119312517315220/d347875dex106.htm" TargetMode="External"/><Relationship Id="rId41" Type="http://schemas.openxmlformats.org/officeDocument/2006/relationships/hyperlink" Target="http://www.sec.gov/Archives/edgar/data/1697818/000119312517315220/d347875dex107.htm" TargetMode="External"/><Relationship Id="rId42" Type="http://schemas.openxmlformats.org/officeDocument/2006/relationships/hyperlink" Target="http://www.sec.gov/Archives/edgar/data/1697818/000119312517315220/d347875dex108.htm" TargetMode="External"/><Relationship Id="rId43" Type="http://schemas.openxmlformats.org/officeDocument/2006/relationships/hyperlink" Target="http://www.sec.gov/Archives/edgar/data/1697818/000119312517315220/d347875dex109.htm" TargetMode="External"/><Relationship Id="rId44" Type="http://schemas.openxmlformats.org/officeDocument/2006/relationships/hyperlink" Target="http://www.sec.gov/Archives/edgar/data/1697818/000119312517315220/d347875dex1010.htm" TargetMode="External"/><Relationship Id="rId45" Type="http://schemas.openxmlformats.org/officeDocument/2006/relationships/hyperlink" Target="http://www.sec.gov/Archives/edgar/data/1697818/000119312517315220/d347875dex1011.htm" TargetMode="External"/><Relationship Id="rId46" Type="http://schemas.openxmlformats.org/officeDocument/2006/relationships/hyperlink" Target="http://www.sec.gov/Archives/edgar/data/1697818/000119312517315220/d347875dex1012.htm" TargetMode="External"/><Relationship Id="rId47" Type="http://schemas.openxmlformats.org/officeDocument/2006/relationships/hyperlink" Target="http://www.sec.gov/Archives/edgar/data/1697818/000119312517315220/d347875dex1013.htm" TargetMode="External"/><Relationship Id="rId48" Type="http://schemas.openxmlformats.org/officeDocument/2006/relationships/hyperlink" Target="http://www.sec.gov/Archives/edgar/data/1697818/000119312517315220/d347875dex211.htm" TargetMode="External"/><Relationship Id="rId49" Type="http://schemas.openxmlformats.org/officeDocument/2006/relationships/hyperlink" Target="http://www.sec.gov/Archives/edgar/data/1697818/000119312517371674/d347875dex231.htm" TargetMode="External"/><Relationship Id="rId50" Type="http://schemas.openxmlformats.org/officeDocument/2006/relationships/hyperlink" Target="http://www.sec.gov/Archives/edgar/data/1697818/000119312517315220/d347875dex234.htm" TargetMode="External"/><Relationship Id="rId52" Type="http://schemas.openxmlformats.org/officeDocument/2006/relationships/hyperlink" Target="http://www.sec.gov/Archives/edgar/data/1697818/000119312517315220/d347875dex235.htm" TargetMode="External"/><Relationship Id="rId53" Type="http://schemas.openxmlformats.org/officeDocument/2006/relationships/hyperlink" Target="http://www.sec.gov/Archives/edgar/data/1697818/000119312517315220/d347875dex236.htm" TargetMode="External"/><Relationship Id="rId54" Type="http://schemas.openxmlformats.org/officeDocument/2006/relationships/hyperlink" Target="http://www.sec.gov/Archives/edgar/data/1697818/000119312517315220/d347875df1.htm#ii347875_1" TargetMode="External"/><Relationship Id="rId55" Type="http://schemas.openxmlformats.org/officeDocument/2006/relationships/hyperlink" Target="http://www.sec.gov/Archives/edgar/data/1697818/000119312517315220/d347875dex991.htm" TargetMode="External"/><Relationship Id="rId56" Type="http://schemas.openxmlformats.org/officeDocument/2006/relationships/hyperlink" Target="http://www.sec.gov/Archives/edgar/data/1697818/000119312517315220/d347875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2019-12-08T08:18:15Z</dcterms:created>
  <dcterms:modified xsi:type="dcterms:W3CDTF">2019-12-08T08:18:15Z</dcterms:modified>
</cp:coreProperties>
</file>