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4843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Reports First Quarter 2025 Unaudited Financial Results</w:t>
      </w:r>
    </w:p>
    <w:p>
      <w:pPr>
        <w:spacing w:after="0" w:line="227" w:lineRule="exact"/>
        <w:rPr>
          <w:sz w:val="20"/>
          <w:szCs w:val="20"/>
          <w:color w:val="auto"/>
        </w:rPr>
      </w:pPr>
    </w:p>
    <w:p>
      <w:pPr>
        <w:ind w:left="1360" w:hanging="107"/>
        <w:spacing w:after="0"/>
        <w:tabs>
          <w:tab w:leader="none" w:pos="13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Record-high revenue and gross profit, led by our successful Merger and robust growth in Wealth Management Solutions</w:t>
      </w:r>
    </w:p>
    <w:p>
      <w:pPr>
        <w:spacing w:after="0" w:line="29" w:lineRule="exact"/>
        <w:rPr>
          <w:rFonts w:ascii="Times New Roman" w:cs="Times New Roman" w:eastAsia="Times New Roman" w:hAnsi="Times New Roman"/>
          <w:sz w:val="18"/>
          <w:szCs w:val="18"/>
          <w:i w:val="1"/>
          <w:iCs w:val="1"/>
          <w:color w:val="auto"/>
        </w:rPr>
      </w:pPr>
    </w:p>
    <w:p>
      <w:pPr>
        <w:ind w:left="1800" w:hanging="99"/>
        <w:spacing w:after="0"/>
        <w:tabs>
          <w:tab w:leader="none" w:pos="1800" w:val="left"/>
        </w:tabs>
        <w:numPr>
          <w:ilvl w:val="1"/>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cost management and strategic investments also resulted in YoY improvement in operating income</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May 28, 2025 </w:t>
      </w:r>
      <w:r>
        <w:rPr>
          <w:rFonts w:ascii="Times New Roman" w:cs="Times New Roman" w:eastAsia="Times New Roman" w:hAnsi="Times New Roman"/>
          <w:sz w:val="18"/>
          <w:szCs w:val="18"/>
          <w:color w:val="auto"/>
        </w:rPr>
        <w:t>– Amber International Holding Limited (Nasdaq: AMBR) (“Amber International”, “we,” “us,” or the “Company”),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of institutional crypto financial services &amp; solutions and operating under the brand name “Amber Premium”, today announced unaudited financial results for the first quarter ended March 31, 2025.</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Wayne Huo, CEO and Director of Amber International, commented, “We are pleased to report a strong first quarter, highlighted by record revenue of US$14.9 million and improved profitability. The successful completion of the merger with iClick (the “Merger”) has enhanced our platform capabilities, enabling us to drive robust growth across core institutional offerings. Our high-margin Wealth Management Solutions continued to perform well, supported by a diversified and scalable revenue model that positions us for long-term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look to the second quarter and beyond, we’re focused on scaling our strategic growth initiatives. The launch of our US$100 million Crypto Ecosystem Reserve, the rollout of uMINT (a tokenized real-world assets (RWAs) offering backed by UBS Asset management), and continued developments in AgentFi exemplified by our AI ambassador MIA, are all examples of how we’re building for the next phase of institutional crypto finance. With our institutional infrastructure, regulated foundation, and strong momentum, we’re committed to serving the evolving needs of clients and expanding our global footprint,” Mr. Huo continued.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Josephine Ngai, CFO of Amber International, added, “Amber Premium’s first quarter financial results reflect the disciplined execution of our integration and cost optimization strategy. As we continue to expand our infrastructure, we remain focused on maintaining capital efficiency while investing in the capabilities that support institutional client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Quarterly Revenue</w:t>
      </w:r>
      <w:r>
        <w:rPr>
          <w:rFonts w:ascii="Times New Roman" w:cs="Times New Roman" w:eastAsia="Times New Roman" w:hAnsi="Times New Roman"/>
          <w:sz w:val="18"/>
          <w:szCs w:val="18"/>
          <w:color w:val="auto"/>
        </w:rPr>
        <w:t>: Reached US$14.9 million, led by our successful Merger and robust business growth.</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Revenue: </w:t>
      </w:r>
      <w:r>
        <w:rPr>
          <w:rFonts w:ascii="Times New Roman" w:cs="Times New Roman" w:eastAsia="Times New Roman" w:hAnsi="Times New Roman"/>
          <w:sz w:val="18"/>
          <w:szCs w:val="18"/>
          <w:color w:val="auto"/>
        </w:rPr>
        <w:t>Reached US$9.9 million, achieving multi-fold increase.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Surged to US$11.0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Profitability</w:t>
      </w:r>
      <w:r>
        <w:rPr>
          <w:rFonts w:ascii="Times New Roman" w:cs="Times New Roman" w:eastAsia="Times New Roman" w:hAnsi="Times New Roman"/>
          <w:sz w:val="18"/>
          <w:szCs w:val="18"/>
          <w:color w:val="auto"/>
        </w:rPr>
        <w:t>: Achieved operating income of US$0.8 million, versus a US$0.9 million loss in the first quarter of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US$1.6 million, versus a US$0.8 million loss in the first quarter of 2024.</w:t>
      </w:r>
    </w:p>
    <w:p>
      <w:pPr>
        <w:spacing w:after="0" w:line="9" w:lineRule="exact"/>
        <w:rPr>
          <w:rFonts w:ascii="Times New Roman" w:cs="Times New Roman" w:eastAsia="Times New Roman" w:hAnsi="Times New Roman"/>
          <w:sz w:val="18"/>
          <w:szCs w:val="18"/>
          <w:color w:val="auto"/>
        </w:rPr>
      </w:pPr>
    </w:p>
    <w:p>
      <w:pPr>
        <w:ind w:left="660" w:hanging="328"/>
        <w:spacing w:after="0" w:line="183" w:lineRule="auto"/>
        <w:tabs>
          <w:tab w:leader="none" w:pos="66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b w:val="1"/>
          <w:bCs w:val="1"/>
          <w:color w:val="auto"/>
        </w:rPr>
        <w:t>Client Assets on Platform</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Increased to US$1,275.4 million, up 11% from March 31, 2024.</w:t>
      </w:r>
    </w:p>
    <w:p>
      <w:pPr>
        <w:ind w:left="660" w:hanging="328"/>
        <w:spacing w:after="0" w:line="195"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Cumulative KYC'ed Users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Reached 4,657, up 22% from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ind w:right="40" w:firstLine="8"/>
        <w:spacing w:after="0" w:line="224"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Client Assets on Platform is defined as the total U.S. dollar equivalent value of client assets from Sparrow business, WhaleFin Markets Limited (the “WFM”), and WhaleFin Technologies Limited (the “WFTL”) as of a specific date. While Sparrow, WFM, and WFTL were not consolidated subsidiaries of the Company throughout the relevant periods, their client assets have been included on a pro forma basis for illustrative purposes assuming the completion of the DWM Asset Restructuring contemplated in the Merger. As of the date of this earnings release, other than the consolidation of Sparrow business following the relevant regulatory approval in April 2025, the DWM Asset Restructuring has not been completed.</w:t>
      </w:r>
    </w:p>
    <w:p>
      <w:pPr>
        <w:spacing w:after="0" w:line="26" w:lineRule="exact"/>
        <w:rPr>
          <w:sz w:val="20"/>
          <w:szCs w:val="20"/>
          <w:color w:val="auto"/>
        </w:rPr>
      </w:pPr>
    </w:p>
    <w:p>
      <w:pPr>
        <w:jc w:val="both"/>
        <w:ind w:right="200" w:firstLine="8"/>
        <w:spacing w:after="0" w:line="219"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Cumulative KYC’ed Users is defined as the total number of clients that completed the Company’s Know Your Customer identity verification as of a specific date, including those from Sparrow business, WFM, and WFTL. While Sparrow, WFM, and WFTL were not consolidated subsidiaries of the Company throughout the relevant periods, their operating data have been included on a pro forma basis for illustrative purposes to reflect performance of the DWM Asset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Developments and Strategic Updates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first quarter of 2025 delivered record financial performance alongside significant strategic milestones that position us for long term growth. In March, we successfully completed our Merger with iClick and began trading under our new ticker </w:t>
      </w:r>
      <w:r>
        <w:rPr>
          <w:rFonts w:ascii="Times New Roman" w:cs="Times New Roman" w:eastAsia="Times New Roman" w:hAnsi="Times New Roman"/>
          <w:sz w:val="18"/>
          <w:szCs w:val="18"/>
          <w:b w:val="1"/>
          <w:bCs w:val="1"/>
          <w:color w:val="auto"/>
        </w:rPr>
        <w:t>(Nasdaq: AMBR)</w:t>
      </w:r>
      <w:r>
        <w:rPr>
          <w:rFonts w:ascii="Times New Roman" w:cs="Times New Roman" w:eastAsia="Times New Roman" w:hAnsi="Times New Roman"/>
          <w:sz w:val="18"/>
          <w:szCs w:val="18"/>
          <w:color w:val="auto"/>
        </w:rPr>
        <w:t>—a defining moment as we entered the public markets. Operationally, we focused on integrating our expanded platform and delivering on growth targets.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Wealth Management Solutions business continued to demonstrate strong client demand, supported by growing interest in structured yield products, collateralized lending, and DeFi-enhanced offerings. This performance was underpinned by an 11% increase in client assets to US$1,275.4 million and a 22% growth in KYC’ed users, reflecting strong engagement and trust from high-value institutional clients who increasingly view digital assets as an important portfolio allocation.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ahead, we remain focused on long-term growth through three core strategic initiatives:</w:t>
      </w:r>
    </w:p>
    <w:p>
      <w:pPr>
        <w:spacing w:after="0" w:line="27" w:lineRule="exact"/>
        <w:rPr>
          <w:sz w:val="20"/>
          <w:szCs w:val="20"/>
          <w:color w:val="auto"/>
        </w:rPr>
      </w:pPr>
    </w:p>
    <w:p>
      <w:pPr>
        <w:ind w:left="660" w:right="1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launch of our US$100 million Crypto Ecosystem Reserve</w:t>
      </w:r>
      <w:r>
        <w:rPr>
          <w:rFonts w:ascii="Times New Roman" w:cs="Times New Roman" w:eastAsia="Times New Roman" w:hAnsi="Times New Roman"/>
          <w:sz w:val="18"/>
          <w:szCs w:val="18"/>
          <w:color w:val="auto"/>
        </w:rPr>
        <w:t>, designed to support product innovation, enhance market positioning, and create synergistic value through ecosystem participation;</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Continued expansion into </w:t>
      </w:r>
      <w:r>
        <w:rPr>
          <w:rFonts w:ascii="Times New Roman" w:cs="Times New Roman" w:eastAsia="Times New Roman" w:hAnsi="Times New Roman"/>
          <w:sz w:val="18"/>
          <w:szCs w:val="18"/>
          <w:b w:val="1"/>
          <w:bCs w:val="1"/>
          <w:color w:val="auto"/>
        </w:rPr>
        <w:t>tokenized real-world assets (RWAs)</w:t>
      </w:r>
      <w:r>
        <w:rPr>
          <w:rFonts w:ascii="Times New Roman" w:cs="Times New Roman" w:eastAsia="Times New Roman" w:hAnsi="Times New Roman"/>
          <w:sz w:val="18"/>
          <w:szCs w:val="18"/>
          <w:color w:val="auto"/>
        </w:rPr>
        <w:t>, with a focus on compliant, yield-bearing investment solutions;</w:t>
      </w:r>
    </w:p>
    <w:p>
      <w:pPr>
        <w:spacing w:after="0" w:line="9" w:lineRule="exact"/>
        <w:rPr>
          <w:rFonts w:ascii="Times New Roman" w:cs="Times New Roman" w:eastAsia="Times New Roman" w:hAnsi="Times New Roman"/>
          <w:sz w:val="18"/>
          <w:szCs w:val="18"/>
          <w:color w:val="auto"/>
        </w:rPr>
      </w:pPr>
    </w:p>
    <w:p>
      <w:pPr>
        <w:ind w:left="660" w:right="62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early-stage </w:t>
      </w:r>
      <w:r>
        <w:rPr>
          <w:rFonts w:ascii="Times New Roman" w:cs="Times New Roman" w:eastAsia="Times New Roman" w:hAnsi="Times New Roman"/>
          <w:sz w:val="18"/>
          <w:szCs w:val="18"/>
          <w:b w:val="1"/>
          <w:bCs w:val="1"/>
          <w:color w:val="auto"/>
        </w:rPr>
        <w:t>development of AgentFi infrastructure</w:t>
      </w:r>
      <w:r>
        <w:rPr>
          <w:rFonts w:ascii="Times New Roman" w:cs="Times New Roman" w:eastAsia="Times New Roman" w:hAnsi="Times New Roman"/>
          <w:sz w:val="18"/>
          <w:szCs w:val="18"/>
          <w:color w:val="auto"/>
        </w:rPr>
        <w:t>, starting with MIA (an AI agent developed by ai.ac) as our AgentFi ambassador, positioned us at the forefront of AI-native financial automation and agent-based digital asset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Results Summary</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March 12, 2025, iClick Interactive Asia Group Limited (“iClick”) completed its previously announced Merger with Amber DWM Holding Limited (“Amber DWM”)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 Merger is accounted for as a reverse acquisition for accounting purposes. Accordingly, the Merger is treated as the equivalent of Amber DWM issuing shares for the acquisition of iClick, accompanied by a recapitalization. The financial results of iClick have been included in the consolidated financial results since March 12, 2025.</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for the fiscal year beginning January 1, 2025, the Company would prepare and report its financial statements in accordance with the International Financial Reporting Standards (“IFRS”) issued by the International Accounting Standards Board to align with the preparation and reporting of the financial statements of Amber DWM. Also, Amber DWM changed its fiscal year end from June 30 to December 31 in order to align with the fiscal year end of the Company (previously known as iClick). For details, please refer to Form 6-K furnished to the SEC on May 22, 2025 and April 8,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5" w:lineRule="exact"/>
        <w:rPr>
          <w:sz w:val="20"/>
          <w:szCs w:val="20"/>
          <w:color w:val="auto"/>
        </w:rPr>
      </w:pPr>
    </w:p>
    <w:p>
      <w:pPr>
        <w:jc w:val="both"/>
        <w:ind w:firstLine="8"/>
        <w:spacing w:after="0" w:line="231" w:lineRule="auto"/>
        <w:tabs>
          <w:tab w:leader="none" w:pos="133"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the Merger, we entered into intercompany services agreements with certain wholly owned subsidiaries of our parent, Amber Group Limited.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WFTL (the “WFTL Assigned Contracts”) effective from January 1, 2025, and 100% consolidated net income of Sparrow Tech Private Limited (“Sparrow”) effective from March 12, 2025. Therefore, our results for the first quarter of 2025 have included the net income from WFTL Assigned Contracts and Sparrow, which was not reflected in our results for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table sets forth the key financial metrics of the Company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7"/>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3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except per share data; unaudited)</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Wealth Management Solutions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9,918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587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1,590%</w:t>
            </w:r>
          </w:p>
        </w:tc>
      </w:tr>
      <w:tr>
        <w:trPr>
          <w:trHeight w:val="216"/>
        </w:trPr>
        <w:tc>
          <w:tcPr>
            <w:tcW w:w="696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Execution Solutions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2,674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29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9,121%</w:t>
            </w:r>
          </w:p>
        </w:tc>
      </w:tr>
      <w:tr>
        <w:trPr>
          <w:trHeight w:val="216"/>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Payment Solutions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797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395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102%</w:t>
            </w:r>
          </w:p>
        </w:tc>
      </w:tr>
      <w:tr>
        <w:trPr>
          <w:trHeight w:val="257"/>
        </w:trPr>
        <w:tc>
          <w:tcPr>
            <w:tcW w:w="6960" w:type="dxa"/>
            <w:vAlign w:val="bottom"/>
            <w:gridSpan w:val="2"/>
          </w:tcPr>
          <w:p>
            <w:pPr>
              <w:ind w:left="340"/>
              <w:spacing w:after="0" w:line="256" w:lineRule="exact"/>
              <w:rPr>
                <w:sz w:val="20"/>
                <w:szCs w:val="20"/>
                <w:color w:val="auto"/>
              </w:rPr>
            </w:pPr>
            <w:r>
              <w:rPr>
                <w:rFonts w:ascii="Times New Roman" w:cs="Times New Roman" w:eastAsia="Times New Roman" w:hAnsi="Times New Roman"/>
                <w:sz w:val="18"/>
                <w:szCs w:val="18"/>
                <w:color w:val="auto"/>
              </w:rPr>
              <w:t>Sub-total of Amber Premium’s Business</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13,389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6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Marketing and Enterprise Solutions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1,551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14,940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(11,873)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income/(loss) per American Depositary Shares (“ADS”)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(792)</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net income/(loss)</w:t>
            </w:r>
            <w:r>
              <w:rPr>
                <w:rFonts w:ascii="Times New Roman" w:cs="Times New Roman" w:eastAsia="Times New Roman" w:hAnsi="Times New Roman"/>
                <w:sz w:val="29"/>
                <w:szCs w:val="29"/>
                <w:color w:val="auto"/>
                <w:vertAlign w:val="superscript"/>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 adjusted net income/(loss) per ADS</w:t>
            </w:r>
            <w:r>
              <w:rPr>
                <w:rFonts w:ascii="Times New Roman" w:cs="Times New Roman" w:eastAsia="Times New Roman" w:hAnsi="Times New Roman"/>
                <w:sz w:val="29"/>
                <w:szCs w:val="29"/>
                <w:color w:val="auto"/>
                <w:vertAlign w:val="superscript"/>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first quarter of 2025 was US$14.9 million, notably up from US$1.0 million in the first quarter of 2024, attributed to the intercompany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agreement dated March 12, 2025, pursuant to which the Company will consolidate the net income generated by the WFTL Assigned Contracts effective January 1, 2025, and continuous expansion of Amber Premium’s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reported the results into four revenue streams: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w:t>
      </w:r>
      <w:r>
        <w:rPr>
          <w:rFonts w:ascii="Times New Roman" w:cs="Times New Roman" w:eastAsia="Times New Roman" w:hAnsi="Times New Roman"/>
          <w:sz w:val="18"/>
          <w:szCs w:val="18"/>
          <w:color w:val="auto"/>
        </w:rPr>
        <w:t>revenue is mainly generated from (a) finance income and premiums earned on structured products and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(b) commission, rebates and spread earned from standard earn and structured products, DeFi yield enhanced products and strategic funds. We achieved a significant growth of revenue in the first quarter of 2025 at US$9.9 million from US$0.6 million in the same period of 2024, contributed by the WFTL Assigned Contracts recorded in the first quarter 2025, as well as strong demand on our diverse investment products, collateralized lending and asset management.</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Execution Solutions </w:t>
      </w:r>
      <w:r>
        <w:rPr>
          <w:rFonts w:ascii="Times New Roman" w:cs="Times New Roman" w:eastAsia="Times New Roman" w:hAnsi="Times New Roman"/>
          <w:sz w:val="18"/>
          <w:szCs w:val="18"/>
          <w:color w:val="auto"/>
        </w:rPr>
        <w:t>revenue mainly includes the transaction fees from the provision of OTC trading and execution services. US$2.7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was recorded in the first quarter of 2025, increased from US$29.0 thousand in the same period of 2024. The growth was primarily driven by revenue generated from the WFTL Assigned Contracts, and higher average fee rate and spread in the mix of different trading in this quarter.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 Solutions </w:t>
      </w:r>
      <w:r>
        <w:rPr>
          <w:rFonts w:ascii="Times New Roman" w:cs="Times New Roman" w:eastAsia="Times New Roman" w:hAnsi="Times New Roman"/>
          <w:sz w:val="18"/>
          <w:szCs w:val="18"/>
          <w:color w:val="auto"/>
        </w:rPr>
        <w:t>revenue is generated from the conversion fee of our fiat on/off-ramp services. US$0.8 million revenue was recorded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2025, increased from US$0.4 million for the same period of 2024, mainly contributed from the revenue generated from the WFTL Assigned Contracts.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Marketing and Enterprise Solutions </w:t>
      </w:r>
      <w:r>
        <w:rPr>
          <w:rFonts w:ascii="Times New Roman" w:cs="Times New Roman" w:eastAsia="Times New Roman" w:hAnsi="Times New Roman"/>
          <w:sz w:val="18"/>
          <w:szCs w:val="18"/>
          <w:color w:val="auto"/>
        </w:rPr>
        <w:t>revenue is generated from online marketing, SaaS products and services provided by iClick. US$1.6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revenue was recorded in the first quarter of 2025.</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first quarter of 2025 reached US$11.0 million, compared to US$0.5 million in the same period of 2024. Gross profit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demonstrated an upward trend to 73.7% in the first quarter of 2025, from 45.9% in the first quarter of 2024. The increase was mainly contributed by the WFTL Assigned Contracts and continuous expansion of Amber Premium’s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Amber Premium’s business comprises our Wealth Management Solutions, Execution Solutions, and Payment Solutions.</w:t>
      </w:r>
    </w:p>
    <w:p>
      <w:pPr>
        <w:spacing w:after="0" w:line="22" w:lineRule="exact"/>
        <w:rPr>
          <w:sz w:val="20"/>
          <w:szCs w:val="20"/>
          <w:color w:val="auto"/>
        </w:rPr>
      </w:pPr>
    </w:p>
    <w:p>
      <w:pPr>
        <w:ind w:right="120" w:firstLine="8"/>
        <w:spacing w:after="0" w:line="195"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US$10.2 million in the first quarter of 2025, increased from US$1.4 million in the first quarter of 2024. The change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of technology infrastructure expenses, software services expenses, personnel expenses and consultancy for business expansion and development of new products and services.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US$0.8 million in the first quarter of 2025, improved from US$0.9 million operating loss in the first quarter of 2024,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strategic investments and expansion of higher margin Amber Premium’s services. In addition, our marketing and enterprise solutions business recorded an overall breakeven result in the first quarter of 2025.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gains, net, </w:t>
      </w:r>
      <w:r>
        <w:rPr>
          <w:rFonts w:ascii="Times New Roman" w:cs="Times New Roman" w:eastAsia="Times New Roman" w:hAnsi="Times New Roman"/>
          <w:sz w:val="18"/>
          <w:szCs w:val="18"/>
          <w:color w:val="auto"/>
        </w:rPr>
        <w:t>were US$0.1 million in the first quarter of 2025, compared to other losses, net of US$11.0 million in the first quarter of 2024.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net in the first quarter of 2024 were mainly driven by unrealized loss in fair value of digital assets in connection with a related party's loan. The related party’s loan was waived prior to the Merger and thus the unrealized loss in fair value was nil in 2025.</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US$0.9 million in the first quarter of 2025, compared with net loss of US$11.9 million for the first quarter of 2024,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were US$1.6 million and US$1.5 million, respectively for the first quarter of 2025, compared to an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a loss of US$0.8 million and an adjusted net loss of US$0.9 million in the first quarter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Operating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operating metrics listed below to evaluate our business, measure our performance, identify trends and make strategic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unless specified)</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80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Operating Metrics</w:t>
            </w:r>
            <w:r>
              <w:rPr>
                <w:rFonts w:ascii="Times New Roman" w:cs="Times New Roman" w:eastAsia="Times New Roman" w:hAnsi="Times New Roman"/>
                <w:sz w:val="28"/>
                <w:szCs w:val="28"/>
                <w:b w:val="1"/>
                <w:bCs w:val="1"/>
                <w:color w:val="auto"/>
                <w:vertAlign w:val="superscript"/>
              </w:rPr>
              <w:t>6</w:t>
            </w: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KYC'ed users (in number)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3,827</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6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onboarded KYC'ed users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(in number)</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7"/>
        </w:trPr>
        <w:tc>
          <w:tcPr>
            <w:tcW w:w="6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Active clients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(in number)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assets on platform</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1,275,364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1,152,903</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6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Execution trading volume</w:t>
            </w:r>
            <w:r>
              <w:rPr>
                <w:rFonts w:ascii="Times New Roman" w:cs="Times New Roman" w:eastAsia="Times New Roman" w:hAnsi="Times New Roman"/>
                <w:sz w:val="29"/>
                <w:szCs w:val="29"/>
                <w:color w:val="auto"/>
                <w:vertAlign w:val="superscript"/>
              </w:rPr>
              <w:t>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2,454,371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3,125,614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69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Payment trading volume</w:t>
            </w:r>
            <w:r>
              <w:rPr>
                <w:rFonts w:ascii="Times New Roman" w:cs="Times New Roman" w:eastAsia="Times New Roman" w:hAnsi="Times New Roman"/>
                <w:sz w:val="29"/>
                <w:szCs w:val="29"/>
                <w:color w:val="auto"/>
                <w:vertAlign w:val="superscript"/>
              </w:rPr>
              <w:t>10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281,279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465,584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3" w:lineRule="exact"/>
        <w:rPr>
          <w:sz w:val="20"/>
          <w:szCs w:val="20"/>
          <w:color w:val="auto"/>
        </w:rPr>
      </w:pPr>
    </w:p>
    <w:p>
      <w:pPr>
        <w:ind w:right="160" w:firstLine="8"/>
        <w:spacing w:after="0" w:line="219"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operating metrics include operating data from Sparrow business, WFM, and WFTL. While Sparrow, WFM, and WFTL were not consolidated subsidiaries of the Company throughout the relevant periods, their operating data have been included on a pro forma basis for illustrative purposes assuming the completion of DWM Asset Restructuring contemplated in the Merger. As of the date of this earnings release, other than the consolidation of Sparrow business following the relevant regulatory approval in April 2025, the DWM Asset Restructuring has not been completed.</w:t>
      </w:r>
    </w:p>
    <w:p>
      <w:pPr>
        <w:spacing w:after="0" w:line="23" w:lineRule="exact"/>
        <w:rPr>
          <w:sz w:val="20"/>
          <w:szCs w:val="20"/>
          <w:color w:val="auto"/>
        </w:rPr>
      </w:pPr>
    </w:p>
    <w:p>
      <w:pPr>
        <w:ind w:right="16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New onboarded KYC'ed user is defined as the number of clients that completed the Company's Know Your Customer onboarding procedures during the period.</w:t>
      </w:r>
    </w:p>
    <w:p>
      <w:pPr>
        <w:spacing w:after="0" w:line="24" w:lineRule="exact"/>
        <w:rPr>
          <w:sz w:val="20"/>
          <w:szCs w:val="20"/>
          <w:color w:val="auto"/>
        </w:rPr>
      </w:pPr>
    </w:p>
    <w:p>
      <w:pPr>
        <w:ind w:right="220" w:firstLine="8"/>
        <w:spacing w:after="0" w:line="195" w:lineRule="auto"/>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active client is defined as a client who has conducted at least one transaction during any consecutive three months ended as of a specific date, or the assets under the client’s management were greater than US$10 thousand as of a specific date.</w:t>
      </w:r>
    </w:p>
    <w:p>
      <w:pPr>
        <w:spacing w:after="0" w:line="24" w:lineRule="exact"/>
        <w:rPr>
          <w:sz w:val="20"/>
          <w:szCs w:val="20"/>
          <w:color w:val="auto"/>
        </w:rPr>
      </w:pPr>
    </w:p>
    <w:p>
      <w:pPr>
        <w:ind w:right="120" w:firstLine="8"/>
        <w:spacing w:after="0" w:line="195"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Execution trading volume is defined as the total U.S. dollar equivalent value of two-side spot matched trades transacted of crypto assets between a buyer and seller through the Company, and excluding the deposit or withdrawal of crypto assets during the period.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Payment trading volume is defined as the total U.S. dollar equivalent value of one-side on/off-ramp through the Company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revenue outlook of Amber Premium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2025:</w:t>
      </w:r>
    </w:p>
    <w:p>
      <w:pPr>
        <w:spacing w:after="0" w:line="2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US$15.5 million and US$17.5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2025:</w:t>
      </w:r>
    </w:p>
    <w:p>
      <w:pPr>
        <w:spacing w:after="0" w:line="2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US$65.0 million and US$75.0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May 28, 2025 (8:00 PM Singapore time on May 28, 2025). Participants are asked to use one of the following teleconferencing numbers to participate in the call and reference the ID number 13754037 The Company requests that participants dial in 10 minutes before the conference call begins.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conference call will also be available via a live webcast </w:t>
      </w:r>
      <w:r>
        <w:rPr>
          <w:rFonts w:ascii="Times New Roman" w:cs="Times New Roman" w:eastAsia="Times New Roman" w:hAnsi="Times New Roman"/>
          <w:sz w:val="18"/>
          <w:szCs w:val="18"/>
          <w:color w:val="auto"/>
        </w:rPr>
        <w:t>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https://viavid.webcasts.com/starthere.jsp?ei=1721575&amp;tp_key=471a656b75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13754037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Wednesday, May 28, 2025, after 12:00 PM ET through Wednesday, June 11, 2025 at 11:59 PM ET.</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adjusted EBITDA, adjusted net income/(loss), and diluted adjusted net income/(loss) per ADS, each a non-GAAP financial measure, in evaluating the Company's operating results and for financial and operational decision-making purposes. The Company believes that adjusted EBITDA, adjusted net income/(loss), and diluted adjusted net income/(loss) per ADS help identify underlying trends in the Company's business that could otherwise be distorted by the effect of the expenses and gains that the Company includes in net income/(loss). The Company believes that adjusted EBITDA and adjusted net income/(loss)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adjusted net income/(loss), and diluted adjusted net income/(loss) per ADS should not be considered in isolation or construed as an alternative to net income/(loss)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(v) regulatory and market risks related to cryptocurrencies and digital assets and in the jurisdictions where the Company operates; (vi) risks related to fluctuations in the market price of bitcoin and any associated unrealized gains or losses on the digital assets that the Company may record in its financial statements as a result of a change in the market price of bitcoin from the value at which the Company’s bitcoins are carried on its balance sheet, as well as commercial, legal, regulatory, accounting and technical uncertainties associated with the Company’s crypto holdings; (vii) a decrease in liquidity in the markets in which the cryptocurrencies and digital assets are traded; and (viii) the impact of the availability of spot exchange traded products and other investment vehicles for digital assets.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pr@ambr.io | ir@ambr.io | ambr@paradigmconsulting.com.hk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amber@iecapitalusa.com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(3,935)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(3,393)</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(810)</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(5,975)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(10,969)</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gridSpan w:val="2"/>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gridSpan w:val="2"/>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income/(loss) attributable to the Company’s ordinary shareholders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per ADS attributable to the Company’s ordinary shareholders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68,315,567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68,325,051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tcPr>
          <w:p>
            <w:pPr>
              <w:spacing w:after="0"/>
              <w:rPr>
                <w:sz w:val="19"/>
                <w:szCs w:val="19"/>
                <w:color w:val="auto"/>
              </w:rPr>
            </w:pPr>
          </w:p>
        </w:tc>
      </w:tr>
      <w:tr>
        <w:trPr>
          <w:trHeight w:val="668"/>
        </w:trPr>
        <w:tc>
          <w:tcPr>
            <w:tcW w:w="844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represents net income/(loss) before (i) depreciation and amortization, (ii) interest expense, (iii) interest income, (iv) income tax expense,</w:t>
      </w:r>
    </w:p>
    <w:p>
      <w:pPr>
        <w:spacing w:after="0" w:line="27" w:lineRule="exact"/>
        <w:rPr>
          <w:sz w:val="20"/>
          <w:szCs w:val="20"/>
          <w:color w:val="auto"/>
        </w:rPr>
      </w:pPr>
    </w:p>
    <w:p>
      <w:pPr>
        <w:ind w:right="20" w:firstLine="8"/>
        <w:spacing w:after="0" w:line="260" w:lineRule="auto"/>
        <w:tabs>
          <w:tab w:leader="none" w:pos="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(vi) other gains, net, (vii) net loss attributable to non-controlling interests, (viii) realized loss/(gain) in fair value of digital assets, (ix) unrealized loss in fair value of digital assets, and (x) cost related to 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net income/(loss) for the periods indicated:</w:t>
      </w:r>
    </w:p>
    <w:p>
      <w:pPr>
        <w:spacing w:after="0" w:line="23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8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1,020</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9260" w:type="dxa"/>
            <w:vAlign w:val="bottom"/>
            <w:gridSpan w:val="2"/>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11</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80" w:type="dxa"/>
            <w:vAlign w:val="bottom"/>
          </w:tcPr>
          <w:p>
            <w:pPr>
              <w:spacing w:after="0"/>
              <w:rPr>
                <w:sz w:val="18"/>
                <w:szCs w:val="18"/>
                <w:color w:val="auto"/>
              </w:rPr>
            </w:pPr>
          </w:p>
        </w:tc>
      </w:tr>
      <w:tr>
        <w:trPr>
          <w:trHeight w:val="270"/>
        </w:trPr>
        <w:tc>
          <w:tcPr>
            <w:tcW w:w="9260" w:type="dxa"/>
            <w:vAlign w:val="bottom"/>
            <w:gridSpan w:val="2"/>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12</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1,581</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hanging="332"/>
        <w:spacing w:after="0" w:line="195" w:lineRule="auto"/>
        <w:tabs>
          <w:tab w:leader="none" w:pos="34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attributable to non-controlling interests has been adjusted back because the Company’s management regularly reviews EBITDA excluding non-controlling interests as a measure of its operational performance.</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Cost related to the merger represents 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income/(loss) represents net income/(loss) before (i) share-based compensation, (ii) other gains, net, (iii) net loss attributable to non-controlling interests, (iv) unrealized loss in fair value of digital assets, and (v) cost related to Merger. There is no material tax effects on these non-GAAP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income/(loss) from net income/(loss)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8440" w:type="dxa"/>
            <w:vAlign w:val="bottom"/>
            <w:shd w:val="clear" w:color="auto" w:fill="CCEEFF"/>
          </w:tcPr>
          <w:p>
            <w:pPr>
              <w:ind w:left="34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11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in fair value of digital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11,018</w:t>
            </w:r>
          </w:p>
        </w:tc>
      </w:tr>
      <w:tr>
        <w:trPr>
          <w:trHeight w:val="270"/>
        </w:trPr>
        <w:tc>
          <w:tcPr>
            <w:tcW w:w="8440" w:type="dxa"/>
            <w:vAlign w:val="bottom"/>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income/(loss)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The diluted adjusted net income/(loss) per ADS for the periods indicated are calculated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440" w:type="dxa"/>
            <w:vAlign w:val="bottom"/>
          </w:tcPr>
          <w:p>
            <w:pPr>
              <w:spacing w:after="0"/>
              <w:rPr>
                <w:sz w:val="24"/>
                <w:szCs w:val="24"/>
                <w:color w:val="auto"/>
              </w:rPr>
            </w:pPr>
          </w:p>
        </w:tc>
        <w:tc>
          <w:tcPr>
            <w:tcW w:w="28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 to net income/(loss)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10,963</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income/(loss)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net income/(loss) per ADS – Weighted average ADS outstanding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68,315,567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61,966,949</w:t>
            </w:r>
          </w:p>
        </w:tc>
      </w:tr>
      <w:tr>
        <w:trPr>
          <w:trHeight w:val="216"/>
        </w:trPr>
        <w:tc>
          <w:tcPr>
            <w:tcW w:w="84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adjusted net income/(loss) per ADS - Weighted average ADS outstanding</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68,325,051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61,966,949</w:t>
            </w:r>
          </w:p>
        </w:tc>
      </w:tr>
      <w:tr>
        <w:trPr>
          <w:trHeight w:val="216"/>
        </w:trPr>
        <w:tc>
          <w:tcPr>
            <w:tcW w:w="84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per ADS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 to net income/(loss) per ADS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0.18</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income/(loss) per ADS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6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4"/>
      <w:numFmt w:val="bullet"/>
      <w:start w:val="1"/>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6"/>
      <w:numFmt w:val="bullet"/>
      <w:start w:val="1"/>
    </w:lvl>
  </w:abstractNum>
  <w:abstractNum w:abstractNumId="10">
    <w:nsid w:val="DED7263"/>
    <w:multiLevelType w:val="hybridMultilevel"/>
    <w:lvl w:ilvl="0">
      <w:lvlJc w:val="left"/>
      <w:lvlText w:val="7"/>
      <w:numFmt w:val="bullet"/>
      <w:start w:val="1"/>
    </w:lvl>
  </w:abstractNum>
  <w:abstractNum w:abstractNumId="11">
    <w:nsid w:val="7FDCC233"/>
    <w:multiLevelType w:val="hybridMultilevel"/>
    <w:lvl w:ilvl="0">
      <w:lvlJc w:val="left"/>
      <w:lvlText w:val="8"/>
      <w:numFmt w:val="bullet"/>
      <w:start w:val="1"/>
    </w:lvl>
  </w:abstractNum>
  <w:abstractNum w:abstractNumId="12">
    <w:nsid w:val="1BEFD79F"/>
    <w:multiLevelType w:val="hybridMultilevel"/>
    <w:lvl w:ilvl="0">
      <w:lvlJc w:val="left"/>
      <w:lvlText w:val="9"/>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Roman"/>
      <w:start w:val="5"/>
    </w:lvl>
  </w:abstractNum>
  <w:abstractNum w:abstractNumId="16">
    <w:nsid w:val="25E45D3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2025-05-28T08:32:36Z</dcterms:created>
  <dcterms:modified xsi:type="dcterms:W3CDTF">2025-05-28T08:32:36Z</dcterms:modified>
</cp:coreProperties>
</file>