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-229870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754380</wp:posOffset>
            </wp:positionV>
            <wp:extent cx="7045960" cy="5466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Ngai Yuk Chun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WALLICH STREET, #30-02 GUOCO TOWER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Amber International Holding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00" w:hanging="4"/>
        <w:spacing w:after="0" w:line="262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1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380"/>
            <w:col w:w="3580" w:space="256"/>
            <w:col w:w="3344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078881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 $0.001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6,250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par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6,250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represent the vesting of restricted stock units ("RSUs") under the Issuer's Post-IPO Share Incentive Plan. RSUs are converted into Class A ordinary shares on a one-for-one basis.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previously disclosed, RSUs would be vested in two equal annual installments of 6,250 Class A ordinary shares on April 1, 2026 and April 1, 2027 pursuant to the Issuer's Post-IPO Share Incentive Plan.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Josephine Ngai Yuk Chun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0199" TargetMode="External"/><Relationship Id="rId14" Type="http://schemas.openxmlformats.org/officeDocument/2006/relationships/hyperlink" Target="http://www.sec.gov/cgi-bin/browse-edgar?action=getcompany&amp;CIK=0001697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2026-04-01T06:33:11Z</dcterms:created>
  <dcterms:modified xsi:type="dcterms:W3CDTF">2026-04-01T06:33:11Z</dcterms:modified>
</cp:coreProperties>
</file>