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13,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71" w:lineRule="exact"/>
        <w:rPr>
          <w:sz w:val="24"/>
          <w:szCs w:val="24"/>
          <w:color w:val="auto"/>
        </w:rPr>
      </w:pPr>
    </w:p>
    <w:p>
      <w:pPr>
        <w:ind w:firstLine="8"/>
        <w:spacing w:after="0" w:line="277" w:lineRule="auto"/>
        <w:tabs>
          <w:tab w:leader="none" w:pos="1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6"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346710</wp:posOffset>
            </wp:positionV>
            <wp:extent cx="7195185" cy="1852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5185" cy="185229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6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4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Yam Tak Cheung</w:t>
            </w:r>
          </w:p>
        </w:tc>
        <w:tc>
          <w:tcPr>
            <w:tcW w:w="3120" w:type="dxa"/>
            <w:vAlign w:val="bottom"/>
          </w:tcPr>
          <w:p>
            <w:pPr>
              <w:spacing w:after="0"/>
              <w:rPr>
                <w:sz w:val="24"/>
                <w:szCs w:val="24"/>
                <w:color w:val="auto"/>
              </w:rPr>
            </w:pPr>
          </w:p>
        </w:tc>
      </w:tr>
      <w:tr>
        <w:trPr>
          <w:trHeight w:val="34"/>
        </w:trPr>
        <w:tc>
          <w:tcPr>
            <w:tcW w:w="66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2</w:t>
            </w:r>
          </w:p>
        </w:tc>
        <w:tc>
          <w:tcPr>
            <w:tcW w:w="7540" w:type="dxa"/>
            <w:vAlign w:val="bottom"/>
          </w:tcPr>
          <w:p>
            <w:pPr>
              <w:ind w:left="5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Pr>
          <w:p>
            <w:pPr>
              <w:ind w:left="202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3120" w:type="dxa"/>
            <w:vAlign w:val="bottom"/>
          </w:tcPr>
          <w:p>
            <w:pPr>
              <w:ind w:left="2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0"/>
        </w:trPr>
        <w:tc>
          <w:tcPr>
            <w:tcW w:w="660" w:type="dxa"/>
            <w:vAlign w:val="bottom"/>
            <w:tcBorders>
              <w:bottom w:val="single" w:sz="8" w:color="auto"/>
            </w:tcBorders>
          </w:tcPr>
          <w:p>
            <w:pPr>
              <w:spacing w:after="0"/>
              <w:rPr>
                <w:sz w:val="20"/>
                <w:szCs w:val="20"/>
                <w:color w:val="auto"/>
              </w:rPr>
            </w:pPr>
          </w:p>
        </w:tc>
        <w:tc>
          <w:tcPr>
            <w:tcW w:w="75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r>
      <w:tr>
        <w:trPr>
          <w:trHeight w:val="243"/>
        </w:trPr>
        <w:tc>
          <w:tcPr>
            <w:tcW w:w="6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4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2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60" w:right="6500" w:hanging="1125"/>
        <w:spacing w:after="0" w:line="525"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Hong Kong</w:t>
      </w:r>
    </w:p>
    <w:tbl>
      <w:tblPr>
        <w:tblLayout w:type="fixed"/>
        <w:tblInd w:w="0" w:type="dxa"/>
        <w:tblCellMar>
          <w:top w:w="0" w:type="dxa"/>
          <w:left w:w="0" w:type="dxa"/>
          <w:bottom w:w="0" w:type="dxa"/>
          <w:right w:w="0" w:type="dxa"/>
        </w:tblCellMar>
      </w:tblPr>
      <w:tr>
        <w:trPr>
          <w:trHeight w:val="250"/>
        </w:trPr>
        <w:tc>
          <w:tcPr>
            <w:tcW w:w="100" w:type="dxa"/>
            <w:vAlign w:val="bottom"/>
            <w:tcBorders>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9"/>
              </w:rPr>
              <w:t>5</w:t>
            </w:r>
          </w:p>
        </w:tc>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8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spacing w:after="0"/>
              <w:rPr>
                <w:sz w:val="24"/>
                <w:szCs w:val="24"/>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2,585,258</w:t>
            </w: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6</w:t>
            </w: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2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7</w:t>
            </w: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2,585,258</w:t>
            </w: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right w:val="single" w:sz="8" w:color="auto"/>
            </w:tcBorders>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9"/>
              </w:rPr>
              <w:t>8</w:t>
            </w: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2,585,258</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0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4"/>
                <w:szCs w:val="24"/>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2"/>
        </w:trPr>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346710</wp:posOffset>
            </wp:positionV>
            <wp:extent cx="7195185" cy="1852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5185" cy="1852295"/>
                    </a:xfrm>
                    <a:prstGeom prst="rect">
                      <a:avLst/>
                    </a:prstGeom>
                    <a:noFill/>
                  </pic:spPr>
                </pic:pic>
              </a:graphicData>
            </a:graphic>
          </wp:anchor>
        </w:drawing>
      </w:r>
    </w:p>
    <w:p>
      <w:pPr>
        <w:sectPr>
          <w:pgSz w:w="11900" w:h="16838" w:orient="portrait"/>
          <w:cols w:equalWidth="0" w:num="1">
            <w:col w:w="11440"/>
          </w:cols>
          <w:pgMar w:left="240" w:top="179" w:right="219" w:bottom="1440" w:gutter="0" w:footer="0" w:header="0"/>
        </w:sectPr>
      </w:pP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6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4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7540" w:type="dxa"/>
            <w:vAlign w:val="bottom"/>
          </w:tcPr>
          <w:p>
            <w:pPr>
              <w:ind w:left="520"/>
              <w:spacing w:after="0"/>
              <w:rPr>
                <w:sz w:val="20"/>
                <w:szCs w:val="20"/>
                <w:color w:val="auto"/>
              </w:rPr>
            </w:pPr>
            <w:r>
              <w:rPr>
                <w:rFonts w:ascii="Arial" w:cs="Arial" w:eastAsia="Arial" w:hAnsi="Arial"/>
                <w:sz w:val="18"/>
                <w:szCs w:val="18"/>
                <w:color w:val="auto"/>
              </w:rPr>
              <w:t>Integrated Asset Management (Asia) Ltd.</w:t>
            </w:r>
          </w:p>
        </w:tc>
        <w:tc>
          <w:tcPr>
            <w:tcW w:w="3120" w:type="dxa"/>
            <w:vAlign w:val="bottom"/>
          </w:tcPr>
          <w:p>
            <w:pPr>
              <w:spacing w:after="0"/>
              <w:rPr>
                <w:sz w:val="24"/>
                <w:szCs w:val="24"/>
                <w:color w:val="auto"/>
              </w:rPr>
            </w:pPr>
          </w:p>
        </w:tc>
      </w:tr>
      <w:tr>
        <w:trPr>
          <w:trHeight w:val="34"/>
        </w:trPr>
        <w:tc>
          <w:tcPr>
            <w:tcW w:w="66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96"/>
        </w:trPr>
        <w:tc>
          <w:tcPr>
            <w:tcW w:w="660" w:type="dxa"/>
            <w:vAlign w:val="bottom"/>
          </w:tcPr>
          <w:p>
            <w:pPr>
              <w:jc w:val="right"/>
              <w:ind w:right="430"/>
              <w:spacing w:after="0" w:line="196" w:lineRule="exact"/>
              <w:rPr>
                <w:sz w:val="20"/>
                <w:szCs w:val="20"/>
                <w:color w:val="auto"/>
              </w:rPr>
            </w:pPr>
            <w:r>
              <w:rPr>
                <w:rFonts w:ascii="Arial" w:cs="Arial" w:eastAsia="Arial" w:hAnsi="Arial"/>
                <w:sz w:val="18"/>
                <w:szCs w:val="18"/>
                <w:color w:val="auto"/>
              </w:rPr>
              <w:t>2</w:t>
            </w:r>
          </w:p>
        </w:tc>
        <w:tc>
          <w:tcPr>
            <w:tcW w:w="7540" w:type="dxa"/>
            <w:vAlign w:val="bottom"/>
          </w:tcPr>
          <w:p>
            <w:pPr>
              <w:ind w:left="5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Pr>
          <w:p>
            <w:pPr>
              <w:ind w:left="202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3120" w:type="dxa"/>
            <w:vAlign w:val="bottom"/>
          </w:tcPr>
          <w:p>
            <w:pPr>
              <w:ind w:left="2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0"/>
        </w:trPr>
        <w:tc>
          <w:tcPr>
            <w:tcW w:w="660" w:type="dxa"/>
            <w:vAlign w:val="bottom"/>
            <w:tcBorders>
              <w:bottom w:val="single" w:sz="8" w:color="auto"/>
            </w:tcBorders>
          </w:tcPr>
          <w:p>
            <w:pPr>
              <w:spacing w:after="0"/>
              <w:rPr>
                <w:sz w:val="20"/>
                <w:szCs w:val="20"/>
                <w:color w:val="auto"/>
              </w:rPr>
            </w:pPr>
          </w:p>
        </w:tc>
        <w:tc>
          <w:tcPr>
            <w:tcW w:w="75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r>
      <w:tr>
        <w:trPr>
          <w:trHeight w:val="243"/>
        </w:trPr>
        <w:tc>
          <w:tcPr>
            <w:tcW w:w="6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4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2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60" w:right="6500" w:hanging="1125"/>
        <w:spacing w:after="0" w:line="525"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British Virgin Islands</w:t>
      </w:r>
    </w:p>
    <w:tbl>
      <w:tblPr>
        <w:tblLayout w:type="fixed"/>
        <w:tblInd w:w="0" w:type="dxa"/>
        <w:tblCellMar>
          <w:top w:w="0" w:type="dxa"/>
          <w:left w:w="0" w:type="dxa"/>
          <w:bottom w:w="0" w:type="dxa"/>
          <w:right w:w="0" w:type="dxa"/>
        </w:tblCellMar>
      </w:tblPr>
      <w:tr>
        <w:trPr>
          <w:trHeight w:val="250"/>
        </w:trPr>
        <w:tc>
          <w:tcPr>
            <w:tcW w:w="100" w:type="dxa"/>
            <w:vAlign w:val="bottom"/>
            <w:tcBorders>
              <w:right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9"/>
              </w:rPr>
              <w:t>5</w:t>
            </w:r>
          </w:p>
        </w:tc>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80" w:type="dxa"/>
            <w:vAlign w:val="bottom"/>
            <w:tcBorders>
              <w:top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Borders>
              <w:right w:val="single" w:sz="8" w:color="auto"/>
            </w:tcBorders>
          </w:tcPr>
          <w:p>
            <w:pPr>
              <w:spacing w:after="0"/>
              <w:rPr>
                <w:sz w:val="24"/>
                <w:szCs w:val="24"/>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2,585,258</w:t>
            </w: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right w:val="single" w:sz="8" w:color="auto"/>
            </w:tcBorders>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6</w:t>
            </w: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20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0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20" w:type="dxa"/>
            <w:vAlign w:val="bottom"/>
            <w:vMerge w:val="continue"/>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740" w:type="dxa"/>
            <w:vAlign w:val="bottom"/>
            <w:tcBorders>
              <w:right w:val="single" w:sz="8" w:color="auto"/>
            </w:tcBorders>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7</w:t>
            </w: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20" w:type="dxa"/>
            <w:vAlign w:val="bottom"/>
            <w:vMerge w:val="restart"/>
          </w:tcPr>
          <w:p>
            <w:pPr>
              <w:ind w:left="40"/>
              <w:spacing w:after="0"/>
              <w:rPr>
                <w:sz w:val="20"/>
                <w:szCs w:val="20"/>
                <w:color w:val="auto"/>
              </w:rPr>
            </w:pPr>
            <w:r>
              <w:rPr>
                <w:rFonts w:ascii="Arial" w:cs="Arial" w:eastAsia="Arial" w:hAnsi="Arial"/>
                <w:sz w:val="18"/>
                <w:szCs w:val="18"/>
                <w:color w:val="auto"/>
              </w:rPr>
              <w:t>2,585,258</w:t>
            </w:r>
          </w:p>
        </w:tc>
        <w:tc>
          <w:tcPr>
            <w:tcW w:w="20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Borders>
              <w:right w:val="single" w:sz="8" w:color="auto"/>
            </w:tcBorders>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2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9"/>
              </w:rPr>
              <w:t>8</w:t>
            </w:r>
          </w:p>
        </w:tc>
        <w:tc>
          <w:tcPr>
            <w:tcW w:w="67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20" w:type="dxa"/>
            <w:vAlign w:val="bottom"/>
          </w:tcPr>
          <w:p>
            <w:pPr>
              <w:ind w:left="4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2,585,258</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00" w:type="dxa"/>
            <w:vAlign w:val="bottom"/>
            <w:tcBorders>
              <w:right w:val="single" w:sz="8" w:color="auto"/>
            </w:tcBorders>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4"/>
                <w:szCs w:val="24"/>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3"/>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Borders>
              <w:right w:val="single" w:sz="8" w:color="auto"/>
            </w:tcBorders>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0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CO</w:t>
            </w:r>
          </w:p>
        </w:tc>
        <w:tc>
          <w:tcPr>
            <w:tcW w:w="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0" w:type="dxa"/>
            <w:vAlign w:val="bottom"/>
            <w:tcBorders>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8"/>
        </w:trPr>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79"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1000" w:type="dxa"/>
            <w:vAlign w:val="bottom"/>
          </w:tcPr>
          <w:p>
            <w:pPr>
              <w:spacing w:after="0"/>
              <w:rPr>
                <w:sz w:val="24"/>
                <w:szCs w:val="24"/>
                <w:color w:val="auto"/>
              </w:rPr>
            </w:pPr>
          </w:p>
        </w:tc>
        <w:tc>
          <w:tcPr>
            <w:tcW w:w="10440" w:type="dxa"/>
            <w:vAlign w:val="bottom"/>
          </w:tcPr>
          <w:p>
            <w:pPr>
              <w:ind w:left="240"/>
              <w:spacing w:after="0"/>
              <w:rPr>
                <w:sz w:val="20"/>
                <w:szCs w:val="20"/>
                <w:color w:val="auto"/>
              </w:rPr>
            </w:pPr>
            <w:r>
              <w:rPr>
                <w:rFonts w:ascii="Arial" w:cs="Arial" w:eastAsia="Arial" w:hAnsi="Arial"/>
                <w:sz w:val="18"/>
                <w:szCs w:val="18"/>
                <w:color w:val="auto"/>
              </w:rPr>
              <w:t>iClick Interactive Asia Group Limited</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0"/>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15/F, Prosperity Millennia Plaza</w:t>
            </w:r>
          </w:p>
        </w:tc>
      </w:tr>
      <w:tr>
        <w:trPr>
          <w:trHeight w:val="216"/>
        </w:trPr>
        <w:tc>
          <w:tcPr>
            <w:tcW w:w="1000" w:type="dxa"/>
            <w:vAlign w:val="bottom"/>
          </w:tcPr>
          <w:p>
            <w:pPr>
              <w:spacing w:after="0"/>
              <w:rPr>
                <w:sz w:val="18"/>
                <w:szCs w:val="18"/>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663 King’s Road, Quarry Bay</w:t>
            </w:r>
          </w:p>
        </w:tc>
      </w:tr>
      <w:tr>
        <w:trPr>
          <w:trHeight w:val="230"/>
        </w:trPr>
        <w:tc>
          <w:tcPr>
            <w:tcW w:w="100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Hong Kong S.A.R.</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Name of Person Filing:</w:t>
            </w:r>
          </w:p>
        </w:tc>
      </w:tr>
      <w:tr>
        <w:trPr>
          <w:trHeight w:val="310"/>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Integrated Asset Management (Asia) Ltd.</w:t>
            </w:r>
          </w:p>
        </w:tc>
      </w:tr>
      <w:tr>
        <w:trPr>
          <w:trHeight w:val="216"/>
        </w:trPr>
        <w:tc>
          <w:tcPr>
            <w:tcW w:w="1000" w:type="dxa"/>
            <w:vAlign w:val="bottom"/>
          </w:tcPr>
          <w:p>
            <w:pPr>
              <w:spacing w:after="0"/>
              <w:rPr>
                <w:sz w:val="18"/>
                <w:szCs w:val="18"/>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Yam Tak Cheung</w:t>
            </w:r>
          </w:p>
        </w:tc>
      </w:tr>
      <w:tr>
        <w:trPr>
          <w:trHeight w:val="230"/>
        </w:trPr>
        <w:tc>
          <w:tcPr>
            <w:tcW w:w="100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(collectively, “Reporting Persons”)</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24"/>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The address of the Reporting Persons is 21/F, 88 Gloucester Road, Wan Chai, Hong Kong S.A.R</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Citizenship:</w:t>
            </w:r>
          </w:p>
        </w:tc>
      </w:tr>
      <w:tr>
        <w:trPr>
          <w:trHeight w:val="310"/>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Integrated Asset Management (Asia) Ltd. — British Virgin Islands</w:t>
            </w:r>
          </w:p>
        </w:tc>
      </w:tr>
      <w:tr>
        <w:trPr>
          <w:trHeight w:val="230"/>
        </w:trPr>
        <w:tc>
          <w:tcPr>
            <w:tcW w:w="100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Yam Tak Cheung — Hong Kong</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Title of Class of Securities:</w:t>
            </w:r>
          </w:p>
        </w:tc>
      </w:tr>
      <w:tr>
        <w:trPr>
          <w:trHeight w:val="310"/>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3"/>
              </w:rPr>
              <w:t>Class A ordinary shares, par value of $0.001 per share (the “Class A Ordinary Shares”). The Issuer’s ordinary shares consist of Class A</w:t>
            </w:r>
          </w:p>
        </w:tc>
      </w:tr>
      <w:tr>
        <w:trPr>
          <w:trHeight w:val="216"/>
        </w:trPr>
        <w:tc>
          <w:tcPr>
            <w:tcW w:w="1000" w:type="dxa"/>
            <w:vAlign w:val="bottom"/>
          </w:tcPr>
          <w:p>
            <w:pPr>
              <w:spacing w:after="0"/>
              <w:rPr>
                <w:sz w:val="18"/>
                <w:szCs w:val="18"/>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5"/>
              </w:rPr>
              <w:t>Ordinary Shares and Class B ordinary shares, par value of $0.001 per share (“Class B Ordinary Shares”). The rights of the holders of</w:t>
            </w:r>
          </w:p>
        </w:tc>
      </w:tr>
      <w:tr>
        <w:trPr>
          <w:trHeight w:val="216"/>
        </w:trPr>
        <w:tc>
          <w:tcPr>
            <w:tcW w:w="1000" w:type="dxa"/>
            <w:vAlign w:val="bottom"/>
          </w:tcPr>
          <w:p>
            <w:pPr>
              <w:spacing w:after="0"/>
              <w:rPr>
                <w:sz w:val="18"/>
                <w:szCs w:val="18"/>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6"/>
              </w:rPr>
              <w:t>Class A Ordinary Shares and Class B Ordinary Shares are identical, except with respect to conversion rights and voting rights. Each</w:t>
            </w:r>
          </w:p>
        </w:tc>
      </w:tr>
      <w:tr>
        <w:trPr>
          <w:trHeight w:val="216"/>
        </w:trPr>
        <w:tc>
          <w:tcPr>
            <w:tcW w:w="1000" w:type="dxa"/>
            <w:vAlign w:val="bottom"/>
          </w:tcPr>
          <w:p>
            <w:pPr>
              <w:spacing w:after="0"/>
              <w:rPr>
                <w:sz w:val="18"/>
                <w:szCs w:val="18"/>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w w:val="91"/>
              </w:rPr>
              <w:t>Class B Ordinary Share is convertible at the option of the holder at any time into one Class A Ordinary Share. Each Class B Ordinary Share</w:t>
            </w:r>
          </w:p>
        </w:tc>
      </w:tr>
      <w:tr>
        <w:trPr>
          <w:trHeight w:val="230"/>
        </w:trPr>
        <w:tc>
          <w:tcPr>
            <w:tcW w:w="1000" w:type="dxa"/>
            <w:vAlign w:val="bottom"/>
          </w:tcPr>
          <w:p>
            <w:pPr>
              <w:spacing w:after="0"/>
              <w:rPr>
                <w:sz w:val="20"/>
                <w:szCs w:val="20"/>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is entitled to twenty (20) votes per share, whereas each Class A Ordinary Share is entitled to one vote per share.</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1000" w:type="dxa"/>
            <w:vAlign w:val="bottom"/>
          </w:tcPr>
          <w:p>
            <w:pPr>
              <w:spacing w:after="0"/>
              <w:rPr>
                <w:sz w:val="24"/>
                <w:szCs w:val="24"/>
                <w:color w:val="auto"/>
              </w:rPr>
            </w:pPr>
          </w:p>
        </w:tc>
        <w:tc>
          <w:tcPr>
            <w:tcW w:w="10440" w:type="dxa"/>
            <w:vAlign w:val="bottom"/>
          </w:tcPr>
          <w:p>
            <w:pPr>
              <w:ind w:left="360"/>
              <w:spacing w:after="0"/>
              <w:rPr>
                <w:sz w:val="20"/>
                <w:szCs w:val="20"/>
                <w:color w:val="auto"/>
              </w:rPr>
            </w:pPr>
            <w:r>
              <w:rPr>
                <w:rFonts w:ascii="Arial" w:cs="Arial" w:eastAsia="Arial" w:hAnsi="Arial"/>
                <w:sz w:val="18"/>
                <w:szCs w:val="18"/>
                <w:color w:val="auto"/>
              </w:rPr>
              <w:t>G47048 106</w:t>
            </w:r>
          </w:p>
        </w:tc>
      </w:tr>
      <w:tr>
        <w:trPr>
          <w:trHeight w:val="459"/>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40" w:type="dxa"/>
            <w:vAlign w:val="bottom"/>
          </w:tcPr>
          <w:p>
            <w:pPr>
              <w:ind w:left="380"/>
              <w:spacing w:after="0"/>
              <w:rPr>
                <w:sz w:val="20"/>
                <w:szCs w:val="20"/>
                <w:color w:val="auto"/>
              </w:rPr>
            </w:pPr>
            <w:r>
              <w:rPr>
                <w:rFonts w:ascii="Arial" w:cs="Arial" w:eastAsia="Arial" w:hAnsi="Arial"/>
                <w:sz w:val="18"/>
                <w:szCs w:val="18"/>
                <w:b w:val="1"/>
                <w:bCs w:val="1"/>
                <w:color w:val="auto"/>
              </w:rPr>
              <w:t>If this statement is filed pursuant to §§ 240.13d-1(b), or 240.13d -2(b) or (c), check whether the persons filing is a:</w:t>
            </w:r>
          </w:p>
        </w:tc>
      </w:tr>
      <w:tr>
        <w:trPr>
          <w:trHeight w:val="324"/>
        </w:trPr>
        <w:tc>
          <w:tcPr>
            <w:tcW w:w="1000" w:type="dxa"/>
            <w:vAlign w:val="bottom"/>
          </w:tcPr>
          <w:p>
            <w:pPr>
              <w:spacing w:after="0"/>
              <w:rPr>
                <w:sz w:val="24"/>
                <w:szCs w:val="24"/>
                <w:color w:val="auto"/>
              </w:rPr>
            </w:pPr>
          </w:p>
        </w:tc>
        <w:tc>
          <w:tcPr>
            <w:tcW w:w="104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358"/>
        </w:trPr>
        <w:tc>
          <w:tcPr>
            <w:tcW w:w="100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w w:val="93"/>
              </w:rPr>
              <w:t>Ownership.</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Shared Power</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Sole Power to</w:t>
            </w: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Percent of</w:t>
            </w:r>
          </w:p>
        </w:tc>
        <w:tc>
          <w:tcPr>
            <w:tcW w:w="146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140" w:type="dxa"/>
            <w:vAlign w:val="bottom"/>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4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Vote or to Direct</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Direct the</w:t>
            </w:r>
          </w:p>
        </w:tc>
        <w:tc>
          <w:tcPr>
            <w:tcW w:w="1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Direct the</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Owned:</w:t>
            </w:r>
          </w:p>
        </w:tc>
        <w:tc>
          <w:tcPr>
            <w:tcW w:w="15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10"/>
                <w:szCs w:val="10"/>
                <w:b w:val="1"/>
                <w:bCs w:val="1"/>
                <w:color w:val="auto"/>
              </w:rPr>
              <w:t>(1)</w:t>
            </w: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the Vote:</w:t>
            </w:r>
          </w:p>
        </w:tc>
        <w:tc>
          <w:tcPr>
            <w:tcW w:w="1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Direct the Vote:</w:t>
            </w:r>
          </w:p>
        </w:tc>
        <w:tc>
          <w:tcPr>
            <w:tcW w:w="17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Disposition of:</w:t>
            </w:r>
          </w:p>
        </w:tc>
        <w:tc>
          <w:tcPr>
            <w:tcW w:w="18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Disposition of:</w:t>
            </w:r>
          </w:p>
        </w:tc>
        <w:tc>
          <w:tcPr>
            <w:tcW w:w="0" w:type="dxa"/>
            <w:vAlign w:val="bottom"/>
          </w:tcPr>
          <w:p>
            <w:pPr>
              <w:spacing w:after="0"/>
              <w:rPr>
                <w:sz w:val="1"/>
                <w:szCs w:val="1"/>
                <w:color w:val="auto"/>
              </w:rPr>
            </w:pPr>
          </w:p>
        </w:tc>
      </w:tr>
      <w:tr>
        <w:trPr>
          <w:trHeight w:val="189"/>
        </w:trPr>
        <w:tc>
          <w:tcPr>
            <w:tcW w:w="10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Yam Tak</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Cheung</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240"/>
              <w:spacing w:after="0" w:line="230" w:lineRule="exact"/>
              <w:rPr>
                <w:sz w:val="20"/>
                <w:szCs w:val="20"/>
                <w:color w:val="auto"/>
              </w:rPr>
            </w:pPr>
            <w:r>
              <w:rPr>
                <w:rFonts w:ascii="Arial" w:cs="Arial" w:eastAsia="Arial" w:hAnsi="Arial"/>
                <w:sz w:val="18"/>
                <w:szCs w:val="18"/>
                <w:color w:val="auto"/>
              </w:rPr>
              <w:t>2,585,258</w:t>
            </w:r>
            <w:r>
              <w:rPr>
                <w:rFonts w:ascii="Arial" w:cs="Arial" w:eastAsia="Arial" w:hAnsi="Arial"/>
                <w:sz w:val="26"/>
                <w:szCs w:val="26"/>
                <w:color w:val="auto"/>
                <w:vertAlign w:val="superscript"/>
              </w:rPr>
              <w:t>(2)</w:t>
            </w: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3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2,585,258</w:t>
            </w:r>
            <w:r>
              <w:rPr>
                <w:rFonts w:ascii="Arial" w:cs="Arial" w:eastAsia="Arial" w:hAnsi="Arial"/>
                <w:sz w:val="26"/>
                <w:szCs w:val="26"/>
                <w:color w:val="auto"/>
                <w:w w:val="86"/>
                <w:vertAlign w:val="superscript"/>
              </w:rPr>
              <w:t>(2)</w:t>
            </w: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102"/>
              <w:spacing w:after="0" w:line="230" w:lineRule="exact"/>
              <w:rPr>
                <w:sz w:val="20"/>
                <w:szCs w:val="20"/>
                <w:color w:val="auto"/>
              </w:rPr>
            </w:pPr>
            <w:r>
              <w:rPr>
                <w:rFonts w:ascii="Arial" w:cs="Arial" w:eastAsia="Arial" w:hAnsi="Arial"/>
                <w:sz w:val="18"/>
                <w:szCs w:val="18"/>
                <w:color w:val="auto"/>
              </w:rPr>
              <w:t>2,585,258</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260" w:type="dxa"/>
            <w:vAlign w:val="bottom"/>
            <w:gridSpan w:val="2"/>
          </w:tcPr>
          <w:p>
            <w:pPr>
              <w:spacing w:after="0" w:line="201" w:lineRule="exact"/>
              <w:rPr>
                <w:sz w:val="20"/>
                <w:szCs w:val="20"/>
                <w:color w:val="auto"/>
              </w:rPr>
            </w:pPr>
            <w:r>
              <w:rPr>
                <w:rFonts w:ascii="Arial" w:cs="Arial" w:eastAsia="Arial" w:hAnsi="Arial"/>
                <w:sz w:val="18"/>
                <w:szCs w:val="18"/>
                <w:color w:val="auto"/>
                <w:w w:val="94"/>
              </w:rPr>
              <w:t>Integrated Asset</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ind w:left="220"/>
              <w:spacing w:after="0"/>
              <w:rPr>
                <w:sz w:val="20"/>
                <w:szCs w:val="20"/>
                <w:color w:val="auto"/>
              </w:rPr>
            </w:pPr>
            <w:r>
              <w:rPr>
                <w:rFonts w:ascii="Arial" w:cs="Arial" w:eastAsia="Arial" w:hAnsi="Arial"/>
                <w:sz w:val="18"/>
                <w:szCs w:val="18"/>
                <w:color w:val="auto"/>
                <w:w w:val="97"/>
              </w:rPr>
              <w:t>Management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080" w:type="dxa"/>
            <w:vAlign w:val="bottom"/>
          </w:tcPr>
          <w:p>
            <w:pPr>
              <w:ind w:left="220"/>
              <w:spacing w:after="0"/>
              <w:rPr>
                <w:sz w:val="20"/>
                <w:szCs w:val="20"/>
                <w:color w:val="auto"/>
              </w:rPr>
            </w:pPr>
            <w:r>
              <w:rPr>
                <w:rFonts w:ascii="Arial" w:cs="Arial" w:eastAsia="Arial" w:hAnsi="Arial"/>
                <w:sz w:val="18"/>
                <w:szCs w:val="18"/>
                <w:color w:val="auto"/>
              </w:rPr>
              <w:t>(Asia) Ltd.</w:t>
            </w:r>
          </w:p>
        </w:tc>
        <w:tc>
          <w:tcPr>
            <w:tcW w:w="180" w:type="dxa"/>
            <w:vAlign w:val="bottom"/>
          </w:tcPr>
          <w:p>
            <w:pPr>
              <w:spacing w:after="0"/>
              <w:rPr>
                <w:sz w:val="24"/>
                <w:szCs w:val="24"/>
                <w:color w:val="auto"/>
              </w:rPr>
            </w:pPr>
          </w:p>
        </w:tc>
        <w:tc>
          <w:tcPr>
            <w:tcW w:w="1820" w:type="dxa"/>
            <w:vAlign w:val="bottom"/>
            <w:gridSpan w:val="3"/>
          </w:tcPr>
          <w:p>
            <w:pPr>
              <w:jc w:val="right"/>
              <w:ind w:right="240"/>
              <w:spacing w:after="0"/>
              <w:rPr>
                <w:sz w:val="20"/>
                <w:szCs w:val="20"/>
                <w:color w:val="auto"/>
              </w:rPr>
            </w:pPr>
            <w:r>
              <w:rPr>
                <w:rFonts w:ascii="Arial" w:cs="Arial" w:eastAsia="Arial" w:hAnsi="Arial"/>
                <w:sz w:val="18"/>
                <w:szCs w:val="18"/>
                <w:color w:val="auto"/>
              </w:rPr>
              <w:t>2,585,258</w:t>
            </w:r>
            <w:r>
              <w:rPr>
                <w:rFonts w:ascii="Arial" w:cs="Arial" w:eastAsia="Arial" w:hAnsi="Arial"/>
                <w:sz w:val="26"/>
                <w:szCs w:val="26"/>
                <w:color w:val="auto"/>
                <w:vertAlign w:val="superscript"/>
              </w:rPr>
              <w:t>(3)</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2,585,258</w:t>
            </w:r>
            <w:r>
              <w:rPr>
                <w:rFonts w:ascii="Arial" w:cs="Arial" w:eastAsia="Arial" w:hAnsi="Arial"/>
                <w:sz w:val="26"/>
                <w:szCs w:val="26"/>
                <w:color w:val="auto"/>
                <w:w w:val="86"/>
                <w:vertAlign w:val="superscript"/>
              </w:rPr>
              <w:t>(3)</w:t>
            </w:r>
          </w:p>
        </w:tc>
        <w:tc>
          <w:tcPr>
            <w:tcW w:w="12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102"/>
              <w:spacing w:after="0"/>
              <w:rPr>
                <w:sz w:val="20"/>
                <w:szCs w:val="20"/>
                <w:color w:val="auto"/>
              </w:rPr>
            </w:pPr>
            <w:r>
              <w:rPr>
                <w:rFonts w:ascii="Arial" w:cs="Arial" w:eastAsia="Arial" w:hAnsi="Arial"/>
                <w:sz w:val="18"/>
                <w:szCs w:val="18"/>
                <w:color w:val="auto"/>
              </w:rPr>
              <w:t>2,585,258</w:t>
            </w:r>
            <w:r>
              <w:rPr>
                <w:rFonts w:ascii="Arial" w:cs="Arial" w:eastAsia="Arial" w:hAnsi="Arial"/>
                <w:sz w:val="26"/>
                <w:szCs w:val="26"/>
                <w:color w:val="auto"/>
                <w:vertAlign w:val="superscript"/>
              </w:rPr>
              <w:t>(3)</w:t>
            </w:r>
          </w:p>
        </w:tc>
        <w:tc>
          <w:tcPr>
            <w:tcW w:w="160" w:type="dxa"/>
            <w:vAlign w:val="bottom"/>
          </w:tcPr>
          <w:p>
            <w:pPr>
              <w:spacing w:after="0"/>
              <w:rPr>
                <w:sz w:val="24"/>
                <w:szCs w:val="24"/>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w:t>
      </w:r>
    </w:p>
    <w:p>
      <w:pPr>
        <w:spacing w:after="0" w:line="181"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2,585,258 Class A ordinary shares directly held by Integrated Asset Management (Asia) Ltd., a company incorporated in the British Virgin Islands. Mr. Yam Tak Cheung is the sole shareholder and the sole director of Integrated Asset Management (Asia) Ltd.</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2,585,258 Class A ordinary shares directly held by Integrated Asset Management (Asia)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Company or Control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60" w:type="dxa"/>
            <w:vAlign w:val="bottom"/>
          </w:tcPr>
          <w:p>
            <w:pPr>
              <w:ind w:left="400"/>
              <w:spacing w:after="0"/>
              <w:rPr>
                <w:sz w:val="20"/>
                <w:szCs w:val="20"/>
                <w:color w:val="auto"/>
              </w:rPr>
            </w:pPr>
            <w:r>
              <w:rPr>
                <w:rFonts w:ascii="Arial" w:cs="Arial" w:eastAsia="Arial" w:hAnsi="Arial"/>
                <w:sz w:val="18"/>
                <w:szCs w:val="18"/>
                <w:b w:val="1"/>
                <w:bCs w:val="1"/>
                <w:color w:val="auto"/>
              </w:rPr>
              <w:t>Certifications</w:t>
            </w:r>
          </w:p>
        </w:tc>
      </w:tr>
      <w:tr>
        <w:trPr>
          <w:trHeight w:val="310"/>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held in connection with or as a participant in any transaction having that purpose or effect, other than activities solely in connection with a</w:t>
            </w:r>
          </w:p>
        </w:tc>
      </w:tr>
      <w:tr>
        <w:trPr>
          <w:trHeight w:val="230"/>
        </w:trPr>
        <w:tc>
          <w:tcPr>
            <w:tcW w:w="98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nomination under § 240.14a-11.</w:t>
            </w:r>
          </w:p>
        </w:tc>
      </w:tr>
      <w:tr>
        <w:trPr>
          <w:trHeight w:val="601"/>
        </w:trPr>
        <w:tc>
          <w:tcPr>
            <w:tcW w:w="9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2020</w:t>
      </w:r>
    </w:p>
    <w:p>
      <w:pPr>
        <w:spacing w:after="0" w:line="35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Yam Tak Cheung</w:t>
      </w:r>
    </w:p>
    <w:p>
      <w:pPr>
        <w:spacing w:after="0" w:line="22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22212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Integrated Asset Management (Asia) Ltd</w:t>
      </w:r>
    </w:p>
    <w:p>
      <w:pPr>
        <w:spacing w:after="0" w:line="27"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Yam Tak Cheung</w:t>
      </w:r>
    </w:p>
    <w:p>
      <w:pPr>
        <w:spacing w:after="0" w:line="9"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-130810</wp:posOffset>
            </wp:positionV>
            <wp:extent cx="1758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hereby execute this Agreement as of January 23, 2020.</w:t>
      </w:r>
    </w:p>
    <w:p>
      <w:pPr>
        <w:spacing w:after="0" w:line="200" w:lineRule="exact"/>
        <w:rPr>
          <w:sz w:val="20"/>
          <w:szCs w:val="20"/>
          <w:color w:val="auto"/>
        </w:rPr>
      </w:pPr>
    </w:p>
    <w:p>
      <w:pPr>
        <w:spacing w:after="0" w:line="23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Yam Tak Cheung</w:t>
      </w:r>
    </w:p>
    <w:p>
      <w:pPr>
        <w:spacing w:after="0" w:line="22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222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Integrated Asset Management (Asia) Ltd</w:t>
      </w:r>
    </w:p>
    <w:p>
      <w:pPr>
        <w:spacing w:after="0" w:line="27"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Yam Tak Cheung</w:t>
      </w:r>
    </w:p>
    <w:p>
      <w:pPr>
        <w:spacing w:after="0" w:line="9"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-130810</wp:posOffset>
            </wp:positionV>
            <wp:extent cx="1758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2020-01-23T11:39:19Z</dcterms:created>
  <dcterms:modified xsi:type="dcterms:W3CDTF">2020-01-23T11:39:19Z</dcterms:modified>
</cp:coreProperties>
</file>