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6,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8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5" w:lineRule="exact"/>
        <w:rPr>
          <w:sz w:val="24"/>
          <w:szCs w:val="24"/>
          <w:color w:val="auto"/>
        </w:rPr>
      </w:pPr>
    </w:p>
    <w:p>
      <w:pPr>
        <w:ind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600" w:type="dxa"/>
            <w:vAlign w:val="bottom"/>
            <w:tcBorders>
              <w:top w:val="single" w:sz="8" w:color="auto"/>
              <w:right w:val="single" w:sz="8" w:color="auto"/>
            </w:tcBorders>
          </w:tcPr>
          <w:p>
            <w:pPr>
              <w:spacing w:after="0"/>
              <w:rPr>
                <w:sz w:val="23"/>
                <w:szCs w:val="23"/>
                <w:color w:val="auto"/>
              </w:rPr>
            </w:pPr>
          </w:p>
        </w:tc>
        <w:tc>
          <w:tcPr>
            <w:tcW w:w="81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Huang Jianjun</w:t>
            </w:r>
          </w:p>
        </w:tc>
        <w:tc>
          <w:tcPr>
            <w:tcW w:w="1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180" w:type="dxa"/>
            <w:vAlign w:val="bottom"/>
            <w:tcBorders>
              <w:bottom w:val="single" w:sz="8" w:color="auto"/>
            </w:tcBorders>
            <w:gridSpan w:val="3"/>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0" w:type="dxa"/>
            <w:vAlign w:val="bottom"/>
            <w:tcBorders>
              <w:left w:val="single" w:sz="8" w:color="auto"/>
            </w:tcBorders>
          </w:tcPr>
          <w:p>
            <w:pPr>
              <w:ind w:left="60"/>
              <w:spacing w:after="0" w:line="196" w:lineRule="exact"/>
              <w:rPr>
                <w:sz w:val="20"/>
                <w:szCs w:val="20"/>
                <w:color w:val="auto"/>
              </w:rPr>
            </w:pPr>
            <w:r>
              <w:rPr>
                <w:rFonts w:ascii="Arial" w:cs="Arial" w:eastAsia="Arial" w:hAnsi="Arial"/>
                <w:sz w:val="18"/>
                <w:szCs w:val="18"/>
                <w:color w:val="auto"/>
              </w:rPr>
              <w:t>2</w:t>
            </w:r>
          </w:p>
        </w:tc>
        <w:tc>
          <w:tcPr>
            <w:tcW w:w="600" w:type="dxa"/>
            <w:vAlign w:val="bottom"/>
            <w:tcBorders>
              <w:right w:val="single" w:sz="8" w:color="auto"/>
            </w:tcBorders>
          </w:tcPr>
          <w:p>
            <w:pPr>
              <w:spacing w:after="0"/>
              <w:rPr>
                <w:sz w:val="17"/>
                <w:szCs w:val="17"/>
                <w:color w:val="auto"/>
              </w:rPr>
            </w:pPr>
          </w:p>
        </w:tc>
        <w:tc>
          <w:tcPr>
            <w:tcW w:w="818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2100" w:type="dxa"/>
            <w:vAlign w:val="bottom"/>
            <w:tcBorders>
              <w:right w:val="single" w:sz="8" w:color="auto"/>
            </w:tcBorders>
          </w:tcPr>
          <w:p>
            <w:pPr>
              <w:ind w:left="108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100" w:type="dxa"/>
            <w:vAlign w:val="bottom"/>
            <w:tcBorders>
              <w:right w:val="single" w:sz="8" w:color="auto"/>
            </w:tcBorders>
          </w:tcPr>
          <w:p>
            <w:pPr>
              <w:ind w:left="10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w w:val="90"/>
              </w:rPr>
              <w:t>SEC USE ONLY</w:t>
            </w:r>
          </w:p>
        </w:tc>
        <w:tc>
          <w:tcPr>
            <w:tcW w:w="100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6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600" w:type="dxa"/>
            <w:vAlign w:val="bottom"/>
            <w:tcBorders>
              <w:right w:val="single" w:sz="8" w:color="auto"/>
            </w:tcBorders>
          </w:tcPr>
          <w:p>
            <w:pPr>
              <w:spacing w:after="0"/>
              <w:rPr>
                <w:sz w:val="21"/>
                <w:szCs w:val="21"/>
                <w:color w:val="auto"/>
              </w:rPr>
            </w:pPr>
          </w:p>
        </w:tc>
        <w:tc>
          <w:tcPr>
            <w:tcW w:w="818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6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w w:val="99"/>
              </w:rPr>
              <w:t>5</w:t>
            </w:r>
          </w:p>
        </w:tc>
        <w:tc>
          <w:tcPr>
            <w:tcW w:w="59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88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8"/>
              </w:rPr>
              <w:t>NUMBER OF</w:t>
            </w:r>
          </w:p>
        </w:tc>
        <w:tc>
          <w:tcPr>
            <w:tcW w:w="1000" w:type="dxa"/>
            <w:vAlign w:val="bottom"/>
            <w:tcBorders>
              <w:right w:val="single" w:sz="8" w:color="auto"/>
            </w:tcBorders>
          </w:tcPr>
          <w:p>
            <w:pPr>
              <w:spacing w:after="0"/>
              <w:rPr>
                <w:sz w:val="24"/>
                <w:szCs w:val="24"/>
                <w:color w:val="auto"/>
              </w:rPr>
            </w:pPr>
          </w:p>
        </w:tc>
        <w:tc>
          <w:tcPr>
            <w:tcW w:w="5900" w:type="dxa"/>
            <w:vAlign w:val="bottom"/>
          </w:tcPr>
          <w:p>
            <w:pPr>
              <w:ind w:left="40"/>
              <w:spacing w:after="0"/>
              <w:rPr>
                <w:sz w:val="20"/>
                <w:szCs w:val="20"/>
                <w:color w:val="auto"/>
              </w:rPr>
            </w:pPr>
            <w:r>
              <w:rPr>
                <w:rFonts w:ascii="Arial" w:cs="Arial" w:eastAsia="Arial" w:hAnsi="Arial"/>
                <w:sz w:val="18"/>
                <w:szCs w:val="18"/>
                <w:color w:val="auto"/>
              </w:rPr>
              <w:t>2,564,103</w:t>
            </w: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tcBorders>
          </w:tcPr>
          <w:p>
            <w:pPr>
              <w:spacing w:after="0"/>
              <w:rPr>
                <w:sz w:val="2"/>
                <w:szCs w:val="2"/>
                <w:color w:val="auto"/>
              </w:rPr>
            </w:pPr>
          </w:p>
        </w:tc>
        <w:tc>
          <w:tcPr>
            <w:tcW w:w="1880" w:type="dxa"/>
            <w:vAlign w:val="bottom"/>
            <w:tcBorders>
              <w:right w:val="single" w:sz="8" w:color="auto"/>
            </w:tcBorders>
            <w:gridSpan w:val="2"/>
            <w:vMerge w:val="continue"/>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tcBorders>
          </w:tcPr>
          <w:p>
            <w:pPr>
              <w:spacing w:after="0"/>
              <w:rPr>
                <w:sz w:val="4"/>
                <w:szCs w:val="4"/>
                <w:color w:val="auto"/>
              </w:rPr>
            </w:pPr>
          </w:p>
        </w:tc>
        <w:tc>
          <w:tcPr>
            <w:tcW w:w="1880" w:type="dxa"/>
            <w:vAlign w:val="bottom"/>
            <w:tcBorders>
              <w:right w:val="single" w:sz="8" w:color="auto"/>
            </w:tcBorders>
            <w:gridSpan w:val="2"/>
            <w:vMerge w:val="continue"/>
          </w:tcPr>
          <w:p>
            <w:pPr>
              <w:spacing w:after="0"/>
              <w:rPr>
                <w:sz w:val="4"/>
                <w:szCs w:val="4"/>
                <w:color w:val="auto"/>
              </w:rPr>
            </w:pPr>
          </w:p>
        </w:tc>
        <w:tc>
          <w:tcPr>
            <w:tcW w:w="1000" w:type="dxa"/>
            <w:vAlign w:val="bottom"/>
            <w:tcBorders>
              <w:right w:val="single" w:sz="8" w:color="auto"/>
            </w:tcBorders>
            <w:vMerge w:val="restart"/>
          </w:tcPr>
          <w:p>
            <w:pPr>
              <w:jc w:val="right"/>
              <w:ind w:right="790"/>
              <w:spacing w:after="0"/>
              <w:rPr>
                <w:sz w:val="20"/>
                <w:szCs w:val="20"/>
                <w:color w:val="auto"/>
              </w:rPr>
            </w:pPr>
            <w:r>
              <w:rPr>
                <w:rFonts w:ascii="Arial" w:cs="Arial" w:eastAsia="Arial" w:hAnsi="Arial"/>
                <w:sz w:val="18"/>
                <w:szCs w:val="18"/>
                <w:color w:val="auto"/>
                <w:w w:val="99"/>
              </w:rPr>
              <w:t>6</w:t>
            </w:r>
          </w:p>
        </w:tc>
        <w:tc>
          <w:tcPr>
            <w:tcW w:w="59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4"/>
              </w:rPr>
              <w:t>SHARES</w:t>
            </w:r>
          </w:p>
        </w:tc>
        <w:tc>
          <w:tcPr>
            <w:tcW w:w="1000" w:type="dxa"/>
            <w:vAlign w:val="bottom"/>
            <w:tcBorders>
              <w:right w:val="single" w:sz="8" w:color="auto"/>
            </w:tcBorders>
            <w:vMerge w:val="continue"/>
          </w:tcPr>
          <w:p>
            <w:pPr>
              <w:spacing w:after="0"/>
              <w:rPr>
                <w:sz w:val="18"/>
                <w:szCs w:val="18"/>
                <w:color w:val="auto"/>
              </w:rPr>
            </w:pPr>
          </w:p>
        </w:tc>
        <w:tc>
          <w:tcPr>
            <w:tcW w:w="5900" w:type="dxa"/>
            <w:vAlign w:val="bottom"/>
            <w:vMerge w:val="continue"/>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1000" w:type="dxa"/>
            <w:vAlign w:val="bottom"/>
            <w:tcBorders>
              <w:right w:val="single" w:sz="8" w:color="auto"/>
            </w:tcBorders>
          </w:tcPr>
          <w:p>
            <w:pPr>
              <w:spacing w:after="0"/>
              <w:rPr>
                <w:sz w:val="18"/>
                <w:szCs w:val="18"/>
                <w:color w:val="auto"/>
              </w:rPr>
            </w:pPr>
          </w:p>
        </w:tc>
        <w:tc>
          <w:tcPr>
            <w:tcW w:w="59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5"/>
              </w:rPr>
              <w:t>OWNED</w:t>
            </w:r>
          </w:p>
        </w:tc>
        <w:tc>
          <w:tcPr>
            <w:tcW w:w="1000" w:type="dxa"/>
            <w:vAlign w:val="bottom"/>
            <w:tcBorders>
              <w:bottom w:val="single" w:sz="8" w:color="auto"/>
              <w:right w:val="single" w:sz="8" w:color="auto"/>
            </w:tcBorders>
          </w:tcPr>
          <w:p>
            <w:pPr>
              <w:spacing w:after="0"/>
              <w:rPr>
                <w:sz w:val="19"/>
                <w:szCs w:val="19"/>
                <w:color w:val="auto"/>
              </w:rPr>
            </w:pPr>
          </w:p>
        </w:tc>
        <w:tc>
          <w:tcPr>
            <w:tcW w:w="590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 w:type="dxa"/>
            <w:vAlign w:val="bottom"/>
            <w:tcBorders>
              <w:left w:val="single" w:sz="8" w:color="auto"/>
            </w:tcBorders>
          </w:tcPr>
          <w:p>
            <w:pPr>
              <w:spacing w:after="0"/>
              <w:rPr>
                <w:sz w:val="16"/>
                <w:szCs w:val="16"/>
                <w:color w:val="auto"/>
              </w:rPr>
            </w:pPr>
          </w:p>
        </w:tc>
        <w:tc>
          <w:tcPr>
            <w:tcW w:w="1880" w:type="dxa"/>
            <w:vAlign w:val="bottom"/>
            <w:tcBorders>
              <w:right w:val="single" w:sz="8" w:color="auto"/>
            </w:tcBorders>
            <w:gridSpan w:val="2"/>
          </w:tcPr>
          <w:p>
            <w:pPr>
              <w:jc w:val="center"/>
              <w:ind w:right="250"/>
              <w:spacing w:after="0" w:line="189" w:lineRule="exact"/>
              <w:rPr>
                <w:sz w:val="20"/>
                <w:szCs w:val="20"/>
                <w:color w:val="auto"/>
              </w:rPr>
            </w:pPr>
            <w:r>
              <w:rPr>
                <w:rFonts w:ascii="Arial" w:cs="Arial" w:eastAsia="Arial" w:hAnsi="Arial"/>
                <w:sz w:val="18"/>
                <w:szCs w:val="18"/>
                <w:color w:val="auto"/>
                <w:w w:val="98"/>
              </w:rPr>
              <w:t>BY EACH</w:t>
            </w:r>
          </w:p>
        </w:tc>
        <w:tc>
          <w:tcPr>
            <w:tcW w:w="1000" w:type="dxa"/>
            <w:vAlign w:val="bottom"/>
            <w:tcBorders>
              <w:right w:val="single" w:sz="8" w:color="auto"/>
            </w:tcBorders>
          </w:tcPr>
          <w:p>
            <w:pPr>
              <w:jc w:val="right"/>
              <w:ind w:right="790"/>
              <w:spacing w:after="0" w:line="189" w:lineRule="exact"/>
              <w:rPr>
                <w:sz w:val="20"/>
                <w:szCs w:val="20"/>
                <w:color w:val="auto"/>
              </w:rPr>
            </w:pPr>
            <w:r>
              <w:rPr>
                <w:rFonts w:ascii="Arial" w:cs="Arial" w:eastAsia="Arial" w:hAnsi="Arial"/>
                <w:sz w:val="18"/>
                <w:szCs w:val="18"/>
                <w:color w:val="auto"/>
                <w:w w:val="99"/>
              </w:rPr>
              <w:t>7</w:t>
            </w:r>
          </w:p>
        </w:tc>
        <w:tc>
          <w:tcPr>
            <w:tcW w:w="590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2"/>
              </w:rPr>
              <w:t>PERSON</w:t>
            </w:r>
          </w:p>
        </w:tc>
        <w:tc>
          <w:tcPr>
            <w:tcW w:w="1000" w:type="dxa"/>
            <w:vAlign w:val="bottom"/>
            <w:tcBorders>
              <w:right w:val="single" w:sz="8" w:color="auto"/>
            </w:tcBorders>
          </w:tcPr>
          <w:p>
            <w:pPr>
              <w:spacing w:after="0"/>
              <w:rPr>
                <w:sz w:val="18"/>
                <w:szCs w:val="18"/>
                <w:color w:val="auto"/>
              </w:rPr>
            </w:pPr>
          </w:p>
        </w:tc>
        <w:tc>
          <w:tcPr>
            <w:tcW w:w="5900" w:type="dxa"/>
            <w:vAlign w:val="bottom"/>
          </w:tcPr>
          <w:p>
            <w:pPr>
              <w:ind w:left="40"/>
              <w:spacing w:after="0"/>
              <w:rPr>
                <w:sz w:val="20"/>
                <w:szCs w:val="20"/>
                <w:color w:val="auto"/>
              </w:rPr>
            </w:pPr>
            <w:r>
              <w:rPr>
                <w:rFonts w:ascii="Arial" w:cs="Arial" w:eastAsia="Arial" w:hAnsi="Arial"/>
                <w:sz w:val="18"/>
                <w:szCs w:val="18"/>
                <w:color w:val="auto"/>
              </w:rPr>
              <w:t>2,564,103</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6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10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gridSpan w:val="2"/>
            <w:vMerge w:val="continue"/>
          </w:tcPr>
          <w:p>
            <w:pPr>
              <w:spacing w:after="0"/>
              <w:rPr>
                <w:sz w:val="10"/>
                <w:szCs w:val="10"/>
                <w:color w:val="auto"/>
              </w:rPr>
            </w:pPr>
          </w:p>
        </w:tc>
        <w:tc>
          <w:tcPr>
            <w:tcW w:w="1000" w:type="dxa"/>
            <w:vAlign w:val="bottom"/>
            <w:tcBorders>
              <w:right w:val="single" w:sz="8" w:color="auto"/>
            </w:tcBorders>
            <w:vMerge w:val="restart"/>
          </w:tcPr>
          <w:p>
            <w:pPr>
              <w:jc w:val="right"/>
              <w:ind w:right="790"/>
              <w:spacing w:after="0"/>
              <w:rPr>
                <w:sz w:val="20"/>
                <w:szCs w:val="20"/>
                <w:color w:val="auto"/>
              </w:rPr>
            </w:pPr>
            <w:r>
              <w:rPr>
                <w:rFonts w:ascii="Arial" w:cs="Arial" w:eastAsia="Arial" w:hAnsi="Arial"/>
                <w:sz w:val="18"/>
                <w:szCs w:val="18"/>
                <w:color w:val="auto"/>
                <w:w w:val="99"/>
              </w:rPr>
              <w:t>8</w:t>
            </w:r>
          </w:p>
        </w:tc>
        <w:tc>
          <w:tcPr>
            <w:tcW w:w="59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5900" w:type="dxa"/>
            <w:vAlign w:val="bottom"/>
          </w:tcPr>
          <w:p>
            <w:pPr>
              <w:ind w:left="4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600" w:type="dxa"/>
            <w:vAlign w:val="bottom"/>
            <w:tcBorders>
              <w:right w:val="single" w:sz="8" w:color="auto"/>
            </w:tcBorders>
          </w:tcPr>
          <w:p>
            <w:pPr>
              <w:spacing w:after="0"/>
              <w:rPr>
                <w:sz w:val="21"/>
                <w:szCs w:val="21"/>
                <w:color w:val="auto"/>
              </w:rPr>
            </w:pPr>
          </w:p>
        </w:tc>
        <w:tc>
          <w:tcPr>
            <w:tcW w:w="81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2,564,103</w:t>
            </w:r>
          </w:p>
        </w:tc>
        <w:tc>
          <w:tcPr>
            <w:tcW w:w="1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600" w:type="dxa"/>
            <w:vAlign w:val="bottom"/>
            <w:tcBorders>
              <w:right w:val="single" w:sz="8" w:color="auto"/>
            </w:tcBorders>
          </w:tcPr>
          <w:p>
            <w:pPr>
              <w:spacing w:after="0"/>
              <w:rPr>
                <w:sz w:val="24"/>
                <w:szCs w:val="24"/>
                <w:color w:val="auto"/>
              </w:rPr>
            </w:pPr>
          </w:p>
        </w:tc>
        <w:tc>
          <w:tcPr>
            <w:tcW w:w="818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00" w:type="dxa"/>
            <w:vAlign w:val="bottom"/>
            <w:tcBorders>
              <w:right w:val="single" w:sz="8" w:color="auto"/>
            </w:tcBorders>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6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tcPr>
          <w:p>
            <w:pPr>
              <w:spacing w:after="0"/>
              <w:rPr>
                <w:sz w:val="21"/>
                <w:szCs w:val="21"/>
                <w:color w:val="auto"/>
              </w:rPr>
            </w:pPr>
          </w:p>
        </w:tc>
        <w:tc>
          <w:tcPr>
            <w:tcW w:w="81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7.0%</w:t>
            </w:r>
          </w:p>
        </w:tc>
        <w:tc>
          <w:tcPr>
            <w:tcW w:w="1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600" w:type="dxa"/>
            <w:vAlign w:val="bottom"/>
            <w:tcBorders>
              <w:right w:val="single" w:sz="8" w:color="auto"/>
            </w:tcBorders>
          </w:tcPr>
          <w:p>
            <w:pPr>
              <w:spacing w:after="0"/>
              <w:rPr>
                <w:sz w:val="19"/>
                <w:szCs w:val="19"/>
                <w:color w:val="auto"/>
              </w:rPr>
            </w:pP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TYPE OF REPORTING</w:t>
            </w:r>
          </w:p>
        </w:tc>
        <w:tc>
          <w:tcPr>
            <w:tcW w:w="590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PERSON</w:t>
            </w:r>
          </w:p>
        </w:tc>
        <w:tc>
          <w:tcPr>
            <w:tcW w:w="10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IN</w:t>
            </w:r>
          </w:p>
        </w:tc>
        <w:tc>
          <w:tcPr>
            <w:tcW w:w="1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780" w:type="dxa"/>
            <w:vAlign w:val="bottom"/>
            <w:tcBorders>
              <w:top w:val="single" w:sz="8" w:color="auto"/>
              <w:right w:val="single" w:sz="8" w:color="auto"/>
            </w:tcBorders>
          </w:tcPr>
          <w:p>
            <w:pPr>
              <w:spacing w:after="0"/>
              <w:rPr>
                <w:sz w:val="23"/>
                <w:szCs w:val="23"/>
                <w:color w:val="auto"/>
              </w:rPr>
            </w:pPr>
          </w:p>
        </w:tc>
        <w:tc>
          <w:tcPr>
            <w:tcW w:w="80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Marine Central Limited</w:t>
            </w:r>
          </w:p>
        </w:tc>
        <w:tc>
          <w:tcPr>
            <w:tcW w:w="59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2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0" w:type="dxa"/>
            <w:vAlign w:val="bottom"/>
            <w:tcBorders>
              <w:left w:val="single" w:sz="8" w:color="auto"/>
            </w:tcBorders>
          </w:tcPr>
          <w:p>
            <w:pPr>
              <w:ind w:left="60"/>
              <w:spacing w:after="0" w:line="196" w:lineRule="exact"/>
              <w:rPr>
                <w:sz w:val="20"/>
                <w:szCs w:val="20"/>
                <w:color w:val="auto"/>
              </w:rPr>
            </w:pPr>
            <w:r>
              <w:rPr>
                <w:rFonts w:ascii="Arial" w:cs="Arial" w:eastAsia="Arial" w:hAnsi="Arial"/>
                <w:sz w:val="18"/>
                <w:szCs w:val="18"/>
                <w:color w:val="auto"/>
              </w:rPr>
              <w:t>2</w:t>
            </w:r>
          </w:p>
        </w:tc>
        <w:tc>
          <w:tcPr>
            <w:tcW w:w="780" w:type="dxa"/>
            <w:vAlign w:val="bottom"/>
            <w:tcBorders>
              <w:right w:val="single" w:sz="8" w:color="auto"/>
            </w:tcBorders>
          </w:tcPr>
          <w:p>
            <w:pPr>
              <w:spacing w:after="0"/>
              <w:rPr>
                <w:sz w:val="17"/>
                <w:szCs w:val="17"/>
                <w:color w:val="auto"/>
              </w:rPr>
            </w:pPr>
          </w:p>
        </w:tc>
        <w:tc>
          <w:tcPr>
            <w:tcW w:w="80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2"/>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auto"/>
            </w:tcBorders>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5920" w:type="dxa"/>
            <w:vAlign w:val="bottom"/>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6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tcPr>
          <w:p>
            <w:pPr>
              <w:spacing w:after="0"/>
              <w:rPr>
                <w:sz w:val="21"/>
                <w:szCs w:val="21"/>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British Virgin Islands</w:t>
            </w:r>
          </w:p>
        </w:tc>
        <w:tc>
          <w:tcPr>
            <w:tcW w:w="59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w w:val="99"/>
              </w:rPr>
              <w:t>5</w:t>
            </w:r>
          </w:p>
        </w:tc>
        <w:tc>
          <w:tcPr>
            <w:tcW w:w="59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8"/>
              </w:rPr>
              <w:t>NUMBER OF</w:t>
            </w:r>
          </w:p>
        </w:tc>
        <w:tc>
          <w:tcPr>
            <w:tcW w:w="1040" w:type="dxa"/>
            <w:vAlign w:val="bottom"/>
            <w:tcBorders>
              <w:right w:val="single" w:sz="8" w:color="auto"/>
            </w:tcBorders>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2,564,103</w:t>
            </w: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tcBorders>
          </w:tcPr>
          <w:p>
            <w:pPr>
              <w:spacing w:after="0"/>
              <w:rPr>
                <w:sz w:val="2"/>
                <w:szCs w:val="2"/>
                <w:color w:val="auto"/>
              </w:rPr>
            </w:pPr>
          </w:p>
        </w:tc>
        <w:tc>
          <w:tcPr>
            <w:tcW w:w="1840" w:type="dxa"/>
            <w:vAlign w:val="bottom"/>
            <w:tcBorders>
              <w:right w:val="single" w:sz="8" w:color="auto"/>
            </w:tcBorders>
            <w:gridSpan w:val="2"/>
            <w:vMerge w:val="continue"/>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tcBorders>
          </w:tcPr>
          <w:p>
            <w:pPr>
              <w:spacing w:after="0"/>
              <w:rPr>
                <w:sz w:val="4"/>
                <w:szCs w:val="4"/>
                <w:color w:val="auto"/>
              </w:rPr>
            </w:pPr>
          </w:p>
        </w:tc>
        <w:tc>
          <w:tcPr>
            <w:tcW w:w="1840" w:type="dxa"/>
            <w:vAlign w:val="bottom"/>
            <w:tcBorders>
              <w:right w:val="single" w:sz="8" w:color="auto"/>
            </w:tcBorders>
            <w:gridSpan w:val="2"/>
            <w:vMerge w:val="continue"/>
          </w:tcPr>
          <w:p>
            <w:pPr>
              <w:spacing w:after="0"/>
              <w:rPr>
                <w:sz w:val="4"/>
                <w:szCs w:val="4"/>
                <w:color w:val="auto"/>
              </w:rPr>
            </w:pPr>
          </w:p>
        </w:tc>
        <w:tc>
          <w:tcPr>
            <w:tcW w:w="104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6</w:t>
            </w:r>
          </w:p>
        </w:tc>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4"/>
              </w:rPr>
              <w:t>SHARES</w:t>
            </w:r>
          </w:p>
        </w:tc>
        <w:tc>
          <w:tcPr>
            <w:tcW w:w="1040" w:type="dxa"/>
            <w:vAlign w:val="bottom"/>
            <w:tcBorders>
              <w:right w:val="single" w:sz="8" w:color="auto"/>
            </w:tcBorders>
            <w:vMerge w:val="continue"/>
          </w:tcPr>
          <w:p>
            <w:pPr>
              <w:spacing w:after="0"/>
              <w:rPr>
                <w:sz w:val="18"/>
                <w:szCs w:val="18"/>
                <w:color w:val="auto"/>
              </w:rPr>
            </w:pPr>
          </w:p>
        </w:tc>
        <w:tc>
          <w:tcPr>
            <w:tcW w:w="592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1040" w:type="dxa"/>
            <w:vAlign w:val="bottom"/>
            <w:tcBorders>
              <w:right w:val="single" w:sz="8" w:color="auto"/>
            </w:tcBorders>
          </w:tcPr>
          <w:p>
            <w:pPr>
              <w:spacing w:after="0"/>
              <w:rPr>
                <w:sz w:val="18"/>
                <w:szCs w:val="18"/>
                <w:color w:val="auto"/>
              </w:rPr>
            </w:pPr>
          </w:p>
        </w:tc>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8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5"/>
              </w:rPr>
              <w:t>OWNED</w:t>
            </w:r>
          </w:p>
        </w:tc>
        <w:tc>
          <w:tcPr>
            <w:tcW w:w="1040" w:type="dxa"/>
            <w:vAlign w:val="bottom"/>
            <w:tcBorders>
              <w:bottom w:val="single" w:sz="8" w:color="auto"/>
              <w:right w:val="single" w:sz="8" w:color="auto"/>
            </w:tcBorders>
          </w:tcPr>
          <w:p>
            <w:pPr>
              <w:spacing w:after="0"/>
              <w:rPr>
                <w:sz w:val="19"/>
                <w:szCs w:val="19"/>
                <w:color w:val="auto"/>
              </w:rPr>
            </w:pPr>
          </w:p>
        </w:tc>
        <w:tc>
          <w:tcPr>
            <w:tcW w:w="592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 w:type="dxa"/>
            <w:vAlign w:val="bottom"/>
            <w:tcBorders>
              <w:left w:val="single" w:sz="8" w:color="auto"/>
            </w:tcBorders>
          </w:tcPr>
          <w:p>
            <w:pPr>
              <w:spacing w:after="0"/>
              <w:rPr>
                <w:sz w:val="16"/>
                <w:szCs w:val="16"/>
                <w:color w:val="auto"/>
              </w:rPr>
            </w:pPr>
          </w:p>
        </w:tc>
        <w:tc>
          <w:tcPr>
            <w:tcW w:w="1840" w:type="dxa"/>
            <w:vAlign w:val="bottom"/>
            <w:tcBorders>
              <w:right w:val="single" w:sz="8" w:color="auto"/>
            </w:tcBorders>
            <w:gridSpan w:val="2"/>
          </w:tcPr>
          <w:p>
            <w:pPr>
              <w:jc w:val="center"/>
              <w:ind w:right="250"/>
              <w:spacing w:after="0" w:line="189" w:lineRule="exact"/>
              <w:rPr>
                <w:sz w:val="20"/>
                <w:szCs w:val="20"/>
                <w:color w:val="auto"/>
              </w:rPr>
            </w:pPr>
            <w:r>
              <w:rPr>
                <w:rFonts w:ascii="Arial" w:cs="Arial" w:eastAsia="Arial" w:hAnsi="Arial"/>
                <w:sz w:val="18"/>
                <w:szCs w:val="18"/>
                <w:color w:val="auto"/>
                <w:w w:val="98"/>
              </w:rPr>
              <w:t>BY EACH</w:t>
            </w:r>
          </w:p>
        </w:tc>
        <w:tc>
          <w:tcPr>
            <w:tcW w:w="1040" w:type="dxa"/>
            <w:vAlign w:val="bottom"/>
            <w:tcBorders>
              <w:right w:val="single" w:sz="8" w:color="auto"/>
            </w:tcBorders>
          </w:tcPr>
          <w:p>
            <w:pPr>
              <w:jc w:val="right"/>
              <w:ind w:right="830"/>
              <w:spacing w:after="0" w:line="189" w:lineRule="exact"/>
              <w:rPr>
                <w:sz w:val="20"/>
                <w:szCs w:val="20"/>
                <w:color w:val="auto"/>
              </w:rPr>
            </w:pPr>
            <w:r>
              <w:rPr>
                <w:rFonts w:ascii="Arial" w:cs="Arial" w:eastAsia="Arial" w:hAnsi="Arial"/>
                <w:sz w:val="18"/>
                <w:szCs w:val="18"/>
                <w:color w:val="auto"/>
                <w:w w:val="99"/>
              </w:rPr>
              <w:t>7</w:t>
            </w:r>
          </w:p>
        </w:tc>
        <w:tc>
          <w:tcPr>
            <w:tcW w:w="592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3"/>
              </w:rPr>
              <w:t>REPORTING</w:t>
            </w:r>
          </w:p>
        </w:tc>
        <w:tc>
          <w:tcPr>
            <w:tcW w:w="1040" w:type="dxa"/>
            <w:vAlign w:val="bottom"/>
            <w:tcBorders>
              <w:right w:val="single" w:sz="8" w:color="auto"/>
            </w:tcBorders>
          </w:tcPr>
          <w:p>
            <w:pPr>
              <w:spacing w:after="0"/>
              <w:rPr>
                <w:sz w:val="18"/>
                <w:szCs w:val="18"/>
                <w:color w:val="auto"/>
              </w:rPr>
            </w:pPr>
          </w:p>
        </w:tc>
        <w:tc>
          <w:tcPr>
            <w:tcW w:w="59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2"/>
              </w:rPr>
              <w:t>PERSON</w:t>
            </w:r>
          </w:p>
        </w:tc>
        <w:tc>
          <w:tcPr>
            <w:tcW w:w="1040" w:type="dxa"/>
            <w:vAlign w:val="bottom"/>
            <w:tcBorders>
              <w:right w:val="single" w:sz="8" w:color="auto"/>
            </w:tcBorders>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2,564,103</w:t>
            </w:r>
          </w:p>
        </w:tc>
        <w:tc>
          <w:tcPr>
            <w:tcW w:w="20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60" w:type="dxa"/>
            <w:vAlign w:val="bottom"/>
            <w:tcBorders>
              <w:left w:val="single" w:sz="8" w:color="auto"/>
            </w:tcBorders>
          </w:tcPr>
          <w:p>
            <w:pPr>
              <w:spacing w:after="0"/>
              <w:rPr>
                <w:sz w:val="7"/>
                <w:szCs w:val="7"/>
                <w:color w:val="auto"/>
              </w:rPr>
            </w:pPr>
          </w:p>
        </w:tc>
        <w:tc>
          <w:tcPr>
            <w:tcW w:w="18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1040" w:type="dxa"/>
            <w:vAlign w:val="bottom"/>
            <w:tcBorders>
              <w:bottom w:val="single" w:sz="8" w:color="auto"/>
              <w:right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continue"/>
          </w:tcPr>
          <w:p>
            <w:pPr>
              <w:spacing w:after="0"/>
              <w:rPr>
                <w:sz w:val="10"/>
                <w:szCs w:val="10"/>
                <w:color w:val="auto"/>
              </w:rPr>
            </w:pPr>
          </w:p>
        </w:tc>
        <w:tc>
          <w:tcPr>
            <w:tcW w:w="104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8</w:t>
            </w:r>
          </w:p>
        </w:tc>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592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auto"/>
            </w:tcBorders>
          </w:tcPr>
          <w:p>
            <w:pPr>
              <w:spacing w:after="0"/>
              <w:rPr>
                <w:sz w:val="21"/>
                <w:szCs w:val="21"/>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2,564,103</w:t>
            </w:r>
          </w:p>
        </w:tc>
        <w:tc>
          <w:tcPr>
            <w:tcW w:w="10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7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6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780" w:type="dxa"/>
            <w:vAlign w:val="bottom"/>
            <w:tcBorders>
              <w:right w:val="single" w:sz="8" w:color="auto"/>
            </w:tcBorders>
          </w:tcPr>
          <w:p>
            <w:pPr>
              <w:spacing w:after="0"/>
              <w:rPr>
                <w:sz w:val="21"/>
                <w:szCs w:val="21"/>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7.0%</w:t>
            </w:r>
          </w:p>
        </w:tc>
        <w:tc>
          <w:tcPr>
            <w:tcW w:w="10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780" w:type="dxa"/>
            <w:vAlign w:val="bottom"/>
            <w:tcBorders>
              <w:right w:val="single" w:sz="8" w:color="auto"/>
            </w:tcBorders>
          </w:tcPr>
          <w:p>
            <w:pPr>
              <w:spacing w:after="0"/>
              <w:rPr>
                <w:sz w:val="21"/>
                <w:szCs w:val="21"/>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CO</w:t>
            </w:r>
          </w:p>
        </w:tc>
        <w:tc>
          <w:tcPr>
            <w:tcW w:w="10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iClick Interactive Asia Group Limited</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0"/>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15/F, Prosperity Millennia Plaza</w:t>
            </w:r>
          </w:p>
        </w:tc>
      </w:tr>
      <w:tr>
        <w:trPr>
          <w:trHeight w:val="216"/>
        </w:trPr>
        <w:tc>
          <w:tcPr>
            <w:tcW w:w="104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663 King’s Road, Quarry Bay</w:t>
            </w:r>
          </w:p>
        </w:tc>
      </w:tr>
      <w:tr>
        <w:trPr>
          <w:trHeight w:val="230"/>
        </w:trPr>
        <w:tc>
          <w:tcPr>
            <w:tcW w:w="10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Hong Kong S.A.R.</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310"/>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Huang Jianjun</w:t>
            </w:r>
          </w:p>
        </w:tc>
      </w:tr>
      <w:tr>
        <w:trPr>
          <w:trHeight w:val="216"/>
        </w:trPr>
        <w:tc>
          <w:tcPr>
            <w:tcW w:w="104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Marine Central Limited</w:t>
            </w:r>
          </w:p>
        </w:tc>
      </w:tr>
      <w:tr>
        <w:trPr>
          <w:trHeight w:val="230"/>
        </w:trPr>
        <w:tc>
          <w:tcPr>
            <w:tcW w:w="10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(collectively, “Reporting Persons”)</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10"/>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2"/>
              </w:rPr>
              <w:t>The address of the Reporting Persons is Unit 2B, 17/F., Chung Kiu Commercial Bldg., No. 47-51 Shantung Street, Mongkok, Kowloon,</w:t>
            </w:r>
          </w:p>
        </w:tc>
      </w:tr>
      <w:tr>
        <w:trPr>
          <w:trHeight w:val="230"/>
        </w:trPr>
        <w:tc>
          <w:tcPr>
            <w:tcW w:w="10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Hong Kong</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310"/>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Huang Jianjun — People’s Republic of China</w:t>
            </w:r>
          </w:p>
        </w:tc>
      </w:tr>
      <w:tr>
        <w:trPr>
          <w:trHeight w:val="230"/>
        </w:trPr>
        <w:tc>
          <w:tcPr>
            <w:tcW w:w="10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Marine Central Limited — British Virgin Islands</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310"/>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2"/>
              </w:rPr>
              <w:t>Class A ordinary shares, par value of $0.001 per share (the “Class A Ordinary Shares”). The Issuer’s ordinary shares consist of Class A</w:t>
            </w:r>
          </w:p>
        </w:tc>
      </w:tr>
      <w:tr>
        <w:trPr>
          <w:trHeight w:val="216"/>
        </w:trPr>
        <w:tc>
          <w:tcPr>
            <w:tcW w:w="104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3"/>
              </w:rPr>
              <w:t>Ordinary Shares and Class B ordinary shares, par value of $0.001 per share (“Class B Ordinary Shares”). The rights of the holders of</w:t>
            </w:r>
          </w:p>
        </w:tc>
      </w:tr>
      <w:tr>
        <w:trPr>
          <w:trHeight w:val="216"/>
        </w:trPr>
        <w:tc>
          <w:tcPr>
            <w:tcW w:w="104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Class A Ordinary Shares and Class B Ordinary Shares are identical, except with respect to conversion rights and voting rights. Each</w:t>
            </w:r>
          </w:p>
        </w:tc>
      </w:tr>
      <w:tr>
        <w:trPr>
          <w:trHeight w:val="216"/>
        </w:trPr>
        <w:tc>
          <w:tcPr>
            <w:tcW w:w="104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Class B Ordinary Share is convertible at the option of the holder at any time into one Class A Ordinary Share. Each Class B Ordinary</w:t>
            </w:r>
          </w:p>
        </w:tc>
      </w:tr>
      <w:tr>
        <w:trPr>
          <w:trHeight w:val="230"/>
        </w:trPr>
        <w:tc>
          <w:tcPr>
            <w:tcW w:w="10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Share is entitled to twenty (20) votes per share, whereas each Class A Ordinary Share is entitled to one vote per share.</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104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G47048 106</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tcPr>
          <w:p>
            <w:pPr>
              <w:ind w:left="260"/>
              <w:spacing w:after="0"/>
              <w:rPr>
                <w:sz w:val="20"/>
                <w:szCs w:val="20"/>
                <w:color w:val="auto"/>
              </w:rPr>
            </w:pPr>
            <w:r>
              <w:rPr>
                <w:rFonts w:ascii="Arial" w:cs="Arial" w:eastAsia="Arial" w:hAnsi="Arial"/>
                <w:sz w:val="18"/>
                <w:szCs w:val="18"/>
                <w:b w:val="1"/>
                <w:bCs w:val="1"/>
                <w:color w:val="auto"/>
              </w:rPr>
              <w:t>If this statement is filed pursuant to §§ 240.13d-1(b), or 240.13d -2(b) or (c), check whether the persons filing is a:</w:t>
            </w:r>
          </w:p>
        </w:tc>
      </w:tr>
      <w:tr>
        <w:trPr>
          <w:trHeight w:val="324"/>
        </w:trPr>
        <w:tc>
          <w:tcPr>
            <w:tcW w:w="104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115"/>
        </w:trPr>
        <w:tc>
          <w:tcPr>
            <w:tcW w:w="1040" w:type="dxa"/>
            <w:vAlign w:val="bottom"/>
            <w:tcBorders>
              <w:bottom w:val="single" w:sz="8" w:color="9A9A9A"/>
            </w:tcBorders>
          </w:tcPr>
          <w:p>
            <w:pPr>
              <w:spacing w:after="0"/>
              <w:rPr>
                <w:sz w:val="10"/>
                <w:szCs w:val="10"/>
                <w:color w:val="auto"/>
              </w:rPr>
            </w:pPr>
          </w:p>
        </w:tc>
        <w:tc>
          <w:tcPr>
            <w:tcW w:w="10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80" w:type="dxa"/>
            <w:vAlign w:val="bottom"/>
            <w:gridSpan w:val="2"/>
          </w:tcPr>
          <w:p>
            <w:pPr>
              <w:ind w:left="680"/>
              <w:spacing w:after="0"/>
              <w:rPr>
                <w:sz w:val="20"/>
                <w:szCs w:val="20"/>
                <w:color w:val="auto"/>
              </w:rPr>
            </w:pPr>
            <w:r>
              <w:rPr>
                <w:rFonts w:ascii="Arial" w:cs="Arial" w:eastAsia="Arial" w:hAnsi="Arial"/>
                <w:sz w:val="18"/>
                <w:szCs w:val="18"/>
                <w:b w:val="1"/>
                <w:bCs w:val="1"/>
                <w:color w:val="auto"/>
              </w:rPr>
              <w:t>Ownership.</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Shared Power</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Percent of</w:t>
            </w:r>
          </w:p>
        </w:tc>
        <w:tc>
          <w:tcPr>
            <w:tcW w:w="14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Reporting Person:</w:t>
            </w:r>
          </w:p>
        </w:tc>
        <w:tc>
          <w:tcPr>
            <w:tcW w:w="14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Beneficially</w:t>
            </w:r>
          </w:p>
        </w:tc>
        <w:tc>
          <w:tcPr>
            <w:tcW w:w="150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Vote or to Direct</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 Vote or to</w:t>
            </w: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Direct the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Owned:</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the Vote:</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Direct the Vote:</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Disposition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Huang Jianjun</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1"/>
              </w:rPr>
              <w:t>2,564,103</w:t>
            </w:r>
            <w:r>
              <w:rPr>
                <w:rFonts w:ascii="Arial" w:cs="Arial" w:eastAsia="Arial" w:hAnsi="Arial"/>
                <w:sz w:val="15"/>
                <w:szCs w:val="15"/>
                <w:color w:val="auto"/>
                <w:w w:val="91"/>
              </w:rPr>
              <w:t>(2)</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9"/>
              </w:rPr>
              <w:t>2,564,103</w:t>
            </w:r>
            <w:r>
              <w:rPr>
                <w:rFonts w:ascii="Arial" w:cs="Arial" w:eastAsia="Arial" w:hAnsi="Arial"/>
                <w:sz w:val="15"/>
                <w:szCs w:val="15"/>
                <w:color w:val="auto"/>
                <w:w w:val="89"/>
              </w:rPr>
              <w:t>(2)</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2,564,103</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Marine Central Limited</w:t>
            </w:r>
          </w:p>
        </w:tc>
        <w:tc>
          <w:tcPr>
            <w:tcW w:w="1300" w:type="dxa"/>
            <w:vAlign w:val="bottom"/>
          </w:tcPr>
          <w:p>
            <w:pPr>
              <w:ind w:left="380"/>
              <w:spacing w:after="0"/>
              <w:rPr>
                <w:sz w:val="20"/>
                <w:szCs w:val="20"/>
                <w:color w:val="auto"/>
              </w:rPr>
            </w:pPr>
            <w:r>
              <w:rPr>
                <w:rFonts w:ascii="Arial" w:cs="Arial" w:eastAsia="Arial" w:hAnsi="Arial"/>
                <w:sz w:val="18"/>
                <w:szCs w:val="18"/>
                <w:color w:val="auto"/>
                <w:w w:val="91"/>
              </w:rPr>
              <w:t>2,564,103</w:t>
            </w:r>
            <w:r>
              <w:rPr>
                <w:rFonts w:ascii="Arial" w:cs="Arial" w:eastAsia="Arial" w:hAnsi="Arial"/>
                <w:sz w:val="15"/>
                <w:szCs w:val="15"/>
                <w:color w:val="auto"/>
                <w:w w:val="91"/>
              </w:rPr>
              <w:t>(3)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1280" w:type="dxa"/>
            <w:vAlign w:val="bottom"/>
          </w:tcPr>
          <w:p>
            <w:pPr>
              <w:ind w:left="380"/>
              <w:spacing w:after="0"/>
              <w:rPr>
                <w:sz w:val="20"/>
                <w:szCs w:val="20"/>
                <w:color w:val="auto"/>
              </w:rPr>
            </w:pPr>
            <w:r>
              <w:rPr>
                <w:rFonts w:ascii="Arial" w:cs="Arial" w:eastAsia="Arial" w:hAnsi="Arial"/>
                <w:sz w:val="18"/>
                <w:szCs w:val="18"/>
                <w:color w:val="auto"/>
                <w:w w:val="89"/>
              </w:rPr>
              <w:t>2,564,103</w:t>
            </w:r>
            <w:r>
              <w:rPr>
                <w:rFonts w:ascii="Arial" w:cs="Arial" w:eastAsia="Arial" w:hAnsi="Arial"/>
                <w:sz w:val="15"/>
                <w:szCs w:val="15"/>
                <w:color w:val="auto"/>
                <w:w w:val="89"/>
              </w:rPr>
              <w:t>(3)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2,564,103</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left="460" w:right="60" w:hanging="452"/>
        <w:spacing w:after="0" w:line="26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percentages set forth in this Schedule 13G are calculated based upon an aggregate of 36,879,844 ordinary shares, comprised of 32,059,236 Class A Ordinary Shares and 4,820,608 Class B Ordinary Shares, outstanding as of March 31, 2020, assuming conversion of all Class B Ordinary Shares into Class A Ordinary Shares).</w:t>
      </w:r>
    </w:p>
    <w:p>
      <w:pPr>
        <w:spacing w:after="0" w:line="183" w:lineRule="exact"/>
        <w:rPr>
          <w:rFonts w:ascii="Arial" w:cs="Arial" w:eastAsia="Arial" w:hAnsi="Arial"/>
          <w:sz w:val="18"/>
          <w:szCs w:val="18"/>
          <w:color w:val="auto"/>
        </w:rPr>
      </w:pPr>
    </w:p>
    <w:p>
      <w:pPr>
        <w:ind w:left="460" w:right="60" w:hanging="452"/>
        <w:spacing w:after="0" w:line="26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2,564,103 Class A ordinary shares directly held by Marine Central Limited, a company incorporated in the British Virgin Islands. Mr. Huang Jianjun is the majority shareholder and the sole director of Marine Central Limited. He possesses power to direct the voting and disposition of the shares beneficially owned by Marine Central Limited.</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2,564,103 Class A ordinary shares directly held by Marine Central Limited.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24"/>
        </w:trPr>
        <w:tc>
          <w:tcPr>
            <w:tcW w:w="98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98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rPr>
              <w:t>Company or Control Person</w:t>
            </w:r>
          </w:p>
        </w:tc>
      </w:tr>
      <w:tr>
        <w:trPr>
          <w:trHeight w:val="324"/>
        </w:trPr>
        <w:tc>
          <w:tcPr>
            <w:tcW w:w="98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98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98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80" w:type="dxa"/>
            <w:vAlign w:val="bottom"/>
          </w:tcPr>
          <w:p>
            <w:pPr>
              <w:ind w:left="320"/>
              <w:spacing w:after="0"/>
              <w:rPr>
                <w:sz w:val="20"/>
                <w:szCs w:val="20"/>
                <w:color w:val="auto"/>
              </w:rPr>
            </w:pPr>
            <w:r>
              <w:rPr>
                <w:rFonts w:ascii="Arial" w:cs="Arial" w:eastAsia="Arial" w:hAnsi="Arial"/>
                <w:sz w:val="18"/>
                <w:szCs w:val="18"/>
                <w:b w:val="1"/>
                <w:bCs w:val="1"/>
                <w:color w:val="auto"/>
              </w:rPr>
              <w:t>Certifications</w:t>
            </w:r>
          </w:p>
        </w:tc>
      </w:tr>
      <w:tr>
        <w:trPr>
          <w:trHeight w:val="310"/>
        </w:trPr>
        <w:tc>
          <w:tcPr>
            <w:tcW w:w="98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3"/>
              </w:rPr>
              <w:t>held for the purpose of or with the effect of changing or influencing the control of the issuer of the securities and were not acquired and</w:t>
            </w:r>
          </w:p>
        </w:tc>
      </w:tr>
      <w:tr>
        <w:trPr>
          <w:trHeight w:val="216"/>
        </w:trPr>
        <w:tc>
          <w:tcPr>
            <w:tcW w:w="98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8"/>
              </w:rPr>
              <w:t>are not held in connection with or as a participant in any transaction having that purpose or effect, other than activities solely in</w:t>
            </w:r>
          </w:p>
        </w:tc>
      </w:tr>
      <w:tr>
        <w:trPr>
          <w:trHeight w:val="230"/>
        </w:trPr>
        <w:tc>
          <w:tcPr>
            <w:tcW w:w="980" w:type="dxa"/>
            <w:vAlign w:val="bottom"/>
          </w:tcPr>
          <w:p>
            <w:pPr>
              <w:spacing w:after="0"/>
              <w:rPr>
                <w:sz w:val="20"/>
                <w:szCs w:val="20"/>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connection with a nomination under § 240.14a-11.</w:t>
            </w:r>
          </w:p>
        </w:tc>
      </w:tr>
      <w:tr>
        <w:trPr>
          <w:trHeight w:val="358"/>
        </w:trPr>
        <w:tc>
          <w:tcPr>
            <w:tcW w:w="98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5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Huang Jianjun</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Marine Central Limited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ind w:left="620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Huang Jianjun</w:t>
            </w:r>
          </w:p>
        </w:tc>
        <w:tc>
          <w:tcPr>
            <w:tcW w:w="20" w:type="dxa"/>
            <w:vAlign w:val="bottom"/>
          </w:tcPr>
          <w:p>
            <w:pPr>
              <w:spacing w:after="0"/>
              <w:rPr>
                <w:sz w:val="18"/>
                <w:szCs w:val="18"/>
                <w:color w:val="auto"/>
              </w:rPr>
            </w:pPr>
          </w:p>
        </w:tc>
      </w:tr>
      <w:tr>
        <w:trPr>
          <w:trHeight w:val="195"/>
        </w:trPr>
        <w:tc>
          <w:tcPr>
            <w:tcW w:w="7140" w:type="dxa"/>
            <w:vAlign w:val="bottom"/>
          </w:tcPr>
          <w:p>
            <w:pPr>
              <w:ind w:left="6200"/>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Huang Jianjun</w:t>
            </w:r>
          </w:p>
        </w:tc>
        <w:tc>
          <w:tcPr>
            <w:tcW w:w="20" w:type="dxa"/>
            <w:vAlign w:val="bottom"/>
          </w:tcPr>
          <w:p>
            <w:pPr>
              <w:spacing w:after="0"/>
              <w:rPr>
                <w:sz w:val="16"/>
                <w:szCs w:val="16"/>
                <w:color w:val="auto"/>
              </w:rPr>
            </w:pPr>
          </w:p>
        </w:tc>
      </w:tr>
      <w:tr>
        <w:trPr>
          <w:trHeight w:val="230"/>
        </w:trPr>
        <w:tc>
          <w:tcPr>
            <w:tcW w:w="7140" w:type="dxa"/>
            <w:vAlign w:val="bottom"/>
          </w:tcPr>
          <w:p>
            <w:pPr>
              <w:ind w:left="6200"/>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574"/>
        </w:trPr>
        <w:tc>
          <w:tcPr>
            <w:tcW w:w="7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t>LIST OF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ectPr>
          <w:pgSz w:w="11900" w:h="16838" w:orient="portrait"/>
          <w:cols w:equalWidth="0" w:num="1">
            <w:col w:w="10139"/>
          </w:cols>
          <w:pgMar w:left="320" w:top="12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hereby execute this Agreement as of May 6, 2020.</w:t>
      </w:r>
    </w:p>
    <w:p>
      <w:pPr>
        <w:spacing w:after="0" w:line="200" w:lineRule="exact"/>
        <w:rPr>
          <w:sz w:val="20"/>
          <w:szCs w:val="20"/>
          <w:color w:val="auto"/>
        </w:rPr>
      </w:pPr>
    </w:p>
    <w:p>
      <w:pPr>
        <w:spacing w:after="0" w:line="23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Huang Jianjun</w:t>
      </w:r>
    </w:p>
    <w:p>
      <w:pPr>
        <w:spacing w:after="0" w:line="22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14605</wp:posOffset>
            </wp:positionV>
            <wp:extent cx="2219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15"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Marine Central Limited</w:t>
      </w:r>
    </w:p>
    <w:p>
      <w:pPr>
        <w:spacing w:after="0" w:line="27" w:lineRule="exact"/>
        <w:rPr>
          <w:sz w:val="20"/>
          <w:szCs w:val="20"/>
          <w:color w:val="auto"/>
        </w:rPr>
      </w:pPr>
    </w:p>
    <w:p>
      <w:pPr>
        <w:ind w:left="77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5715</wp:posOffset>
            </wp:positionV>
            <wp:extent cx="17576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ind w:left="7740"/>
        <w:spacing w:after="0"/>
        <w:tabs>
          <w:tab w:leader="none" w:pos="8460" w:val="left"/>
        </w:tabs>
        <w:rPr>
          <w:sz w:val="20"/>
          <w:szCs w:val="20"/>
          <w:color w:val="auto"/>
        </w:rPr>
      </w:pPr>
      <w:r>
        <w:rPr>
          <w:rFonts w:ascii="Arial" w:cs="Arial" w:eastAsia="Arial" w:hAnsi="Arial"/>
          <w:sz w:val="18"/>
          <w:szCs w:val="18"/>
          <w:color w:val="auto"/>
        </w:rPr>
        <w:t>Name:</w:t>
        <w:tab/>
        <w:t>Huang Jianjun</w:t>
      </w:r>
    </w:p>
    <w:p>
      <w:pPr>
        <w:spacing w:after="0" w:line="23" w:lineRule="exact"/>
        <w:rPr>
          <w:sz w:val="20"/>
          <w:szCs w:val="20"/>
          <w:color w:val="auto"/>
        </w:rPr>
      </w:pPr>
    </w:p>
    <w:p>
      <w:pPr>
        <w:ind w:left="7740"/>
        <w:spacing w:after="0"/>
        <w:tabs>
          <w:tab w:leader="none" w:pos="8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2020-05-06T05:10:37Z</dcterms:created>
  <dcterms:modified xsi:type="dcterms:W3CDTF">2020-05-06T05:10:37Z</dcterms:modified>
</cp:coreProperties>
</file>