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December 2023</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iClick Interactive Asia Group Limited</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15/F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Prosperity Millennia Plaza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663 King’s Road, Quarry Bay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Hong Kong S.A.R.,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+852 3700 9000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60" w:type="dxa"/>
            <w:vAlign w:val="bottom"/>
          </w:tcPr>
          <w:p>
            <w:pPr>
              <w:jc w:val="center"/>
              <w:ind w:right="309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385"/>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806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Zhang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13, 2023</w:t>
      </w:r>
    </w:p>
    <w:p>
      <w:pPr>
        <w:spacing w:after="0" w:line="200" w:lineRule="exact"/>
        <w:rPr>
          <w:sz w:val="20"/>
          <w:szCs w:val="20"/>
          <w:color w:val="auto"/>
        </w:rPr>
      </w:pPr>
    </w:p>
    <w:p>
      <w:pPr>
        <w:spacing w:after="0" w:line="2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900"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156845</wp:posOffset>
            </wp:positionV>
            <wp:extent cx="1868805" cy="8826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68805"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Reports 2023 Half-Year Unaudited Financial Results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Hong Kong, December 13, 2023 </w:t>
      </w:r>
      <w:r>
        <w:rPr>
          <w:rFonts w:ascii="Times New Roman" w:cs="Times New Roman" w:eastAsia="Times New Roman" w:hAnsi="Times New Roman"/>
          <w:sz w:val="18"/>
          <w:szCs w:val="18"/>
          <w:color w:val="auto"/>
        </w:rPr>
        <w:t>-- iClick Interactive Asia Group Limited (“iClick” or the “Company”) (Nasdaq: ICLK), a leading enterprise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cloud platform in China that empowers worldwide brands with full-stack consumer lifecycle solutions, today announced unaudited financial results for the six months ended June 30, 2023.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4340" w:type="dxa"/>
            <w:vAlign w:val="bottom"/>
            <w:gridSpan w:val="5"/>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187"/>
        </w:trPr>
        <w:tc>
          <w:tcPr>
            <w:tcW w:w="690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220" w:type="dxa"/>
            <w:vAlign w:val="bottom"/>
          </w:tcPr>
          <w:p>
            <w:pPr>
              <w:spacing w:after="0"/>
              <w:rPr>
                <w:sz w:val="16"/>
                <w:szCs w:val="16"/>
                <w:color w:val="auto"/>
              </w:rPr>
            </w:pPr>
          </w:p>
        </w:tc>
      </w:tr>
      <w:tr>
        <w:trPr>
          <w:trHeight w:val="238"/>
        </w:trPr>
        <w:tc>
          <w:tcPr>
            <w:tcW w:w="6900" w:type="dxa"/>
            <w:vAlign w:val="bottom"/>
          </w:tcPr>
          <w:p>
            <w:pPr>
              <w:spacing w:after="0"/>
              <w:rPr>
                <w:sz w:val="20"/>
                <w:szCs w:val="20"/>
                <w:color w:val="auto"/>
              </w:rPr>
            </w:pPr>
          </w:p>
        </w:tc>
        <w:tc>
          <w:tcPr>
            <w:tcW w:w="184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89"/>
        </w:trPr>
        <w:tc>
          <w:tcPr>
            <w:tcW w:w="6900" w:type="dxa"/>
            <w:vAlign w:val="bottom"/>
          </w:tcPr>
          <w:p>
            <w:pPr>
              <w:spacing w:after="0"/>
              <w:rPr>
                <w:sz w:val="16"/>
                <w:szCs w:val="16"/>
                <w:color w:val="auto"/>
              </w:rPr>
            </w:pPr>
          </w:p>
        </w:tc>
        <w:tc>
          <w:tcPr>
            <w:tcW w:w="2680" w:type="dxa"/>
            <w:vAlign w:val="bottom"/>
            <w:tcBorders>
              <w:top w:val="single" w:sz="8" w:color="auto"/>
            </w:tcBorders>
            <w:gridSpan w:val="2"/>
          </w:tcPr>
          <w:p>
            <w:pPr>
              <w:jc w:val="right"/>
              <w:ind w:right="550"/>
              <w:spacing w:after="0" w:line="189" w:lineRule="exact"/>
              <w:rPr>
                <w:sz w:val="20"/>
                <w:szCs w:val="20"/>
                <w:color w:val="auto"/>
              </w:rPr>
            </w:pPr>
            <w:r>
              <w:rPr>
                <w:rFonts w:ascii="Times New Roman" w:cs="Times New Roman" w:eastAsia="Times New Roman" w:hAnsi="Times New Roman"/>
                <w:sz w:val="18"/>
                <w:szCs w:val="18"/>
                <w:i w:val="1"/>
                <w:iCs w:val="1"/>
                <w:color w:val="auto"/>
              </w:rPr>
              <w:t>(US$ in thousands)</w:t>
            </w:r>
          </w:p>
        </w:tc>
        <w:tc>
          <w:tcPr>
            <w:tcW w:w="2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236"/>
        </w:trPr>
        <w:tc>
          <w:tcPr>
            <w:tcW w:w="69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Metrics:</w:t>
            </w:r>
          </w:p>
        </w:tc>
        <w:tc>
          <w:tcPr>
            <w:tcW w:w="1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Solutions</w:t>
            </w:r>
          </w:p>
        </w:tc>
        <w:tc>
          <w:tcPr>
            <w:tcW w:w="1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45,595</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55,921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Enterprise Solutions</w:t>
            </w: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21,538</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29,533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8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67,133</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85,454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16,764</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25,251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(28,569)</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(55,063)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57"/>
        </w:trPr>
        <w:tc>
          <w:tcPr>
            <w:tcW w:w="69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p>
        </w:tc>
        <w:tc>
          <w:tcPr>
            <w:tcW w:w="18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(21,061)</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(16,546)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56"/>
        </w:trPr>
        <w:tc>
          <w:tcPr>
            <w:tcW w:w="69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Adjusted net loss</w:t>
            </w:r>
            <w:r>
              <w:rPr>
                <w:rFonts w:ascii="Times New Roman" w:cs="Times New Roman" w:eastAsia="Times New Roman" w:hAnsi="Times New Roman"/>
                <w:sz w:val="29"/>
                <w:szCs w:val="29"/>
                <w:color w:val="auto"/>
                <w:vertAlign w:val="superscript"/>
              </w:rPr>
              <w:t>1</w:t>
            </w:r>
          </w:p>
        </w:tc>
        <w:tc>
          <w:tcPr>
            <w:tcW w:w="18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(21,721)</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(20,532)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57"/>
        </w:trPr>
        <w:tc>
          <w:tcPr>
            <w:tcW w:w="69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Diluted adjusted net loss per American Depositary Shares (“ADS”)</w:t>
            </w:r>
            <w:r>
              <w:rPr>
                <w:rFonts w:ascii="Times New Roman" w:cs="Times New Roman" w:eastAsia="Times New Roman" w:hAnsi="Times New Roman"/>
                <w:sz w:val="29"/>
                <w:szCs w:val="29"/>
                <w:color w:val="auto"/>
                <w:vertAlign w:val="superscript"/>
              </w:rPr>
              <w:t>1,2</w:t>
            </w:r>
          </w:p>
        </w:tc>
        <w:tc>
          <w:tcPr>
            <w:tcW w:w="18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(2.13)</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Metrics:</w:t>
            </w:r>
          </w:p>
        </w:tc>
        <w:tc>
          <w:tcPr>
            <w:tcW w:w="1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Gross billing</w:t>
            </w: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99,177</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158,023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-2016760</wp:posOffset>
            </wp:positionV>
            <wp:extent cx="137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0" w:lineRule="exact"/>
        <w:rPr>
          <w:sz w:val="20"/>
          <w:szCs w:val="20"/>
          <w:color w:val="auto"/>
        </w:rPr>
      </w:pPr>
    </w:p>
    <w:p>
      <w:pPr>
        <w:ind w:firstLine="8"/>
        <w:spacing w:after="0" w:line="195" w:lineRule="auto"/>
        <w:tabs>
          <w:tab w:leader="none" w:pos="112"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more details on these non-GAAP financial measures, please see the tables captioned “Unaudited Reconciliations of GAAP and Non-GAAP Results” set forth at the end of this press release.</w:t>
      </w:r>
    </w:p>
    <w:p>
      <w:pPr>
        <w:spacing w:after="0" w:line="24" w:lineRule="exact"/>
        <w:rPr>
          <w:sz w:val="20"/>
          <w:szCs w:val="20"/>
          <w:color w:val="auto"/>
        </w:rPr>
      </w:pPr>
    </w:p>
    <w:p>
      <w:pPr>
        <w:jc w:val="both"/>
        <w:ind w:right="20" w:firstLine="8"/>
        <w:spacing w:after="0" w:line="210" w:lineRule="auto"/>
        <w:tabs>
          <w:tab w:leader="none" w:pos="112"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On November 14, 2022, the Company changed the ratio of the ADS representing its Class A ordinary shares from one ADS representing one-half of one Class A ordinary share to one ADS representing five Class A ordinary shares. The diluted adjusted net loss per ADS as presented in this document has been retrospectively adjusted to reflect the impact of the ratio change on the ADS.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Jian “T.J.” Tang, Chairman, Chief Executive Officer and Co-Founder of iClick, said, “In the first half of 2023, we fulfilled the service needs from key customers with our continuous strategy on reducing low-margin, high-risk businesses within the Marketing Solutions segment with reasonable targets to curtail cost for operational efficiency and performance. The Company’s topline performance was affected by slow recovery of economic growth and customer demand after the pandemic. In the future, we will continue to maintain a balanced customer base and core products and services offering, and look forward to improvements on the macro economic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First Half Year of 2023 Results: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for the first half of 2023 was US$67.1 million, compared with US$85.5 million for the first half of 2022 due to the ongoing strategic scale-down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Marketing Solutions businesses and macro economic environment.</w:t>
      </w:r>
    </w:p>
    <w:p>
      <w:pPr>
        <w:spacing w:after="0" w:line="15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from Marketing Solutions </w:t>
      </w:r>
      <w:r>
        <w:rPr>
          <w:rFonts w:ascii="Times New Roman" w:cs="Times New Roman" w:eastAsia="Times New Roman" w:hAnsi="Times New Roman"/>
          <w:sz w:val="18"/>
          <w:szCs w:val="18"/>
          <w:color w:val="auto"/>
        </w:rPr>
        <w:t>declined to US$45.6 million for the first half of 2023, compared with US$55.9 million for the first half of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because we strategically reduced lower margin and higher risk businesses within the Marketing Solutions segment. The uncertainties of the macro economic environment led to a broad-based advertising market slowdown in China.</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from Enterprise Solutions </w:t>
      </w:r>
      <w:r>
        <w:rPr>
          <w:rFonts w:ascii="Times New Roman" w:cs="Times New Roman" w:eastAsia="Times New Roman" w:hAnsi="Times New Roman"/>
          <w:sz w:val="18"/>
          <w:szCs w:val="18"/>
          <w:color w:val="auto"/>
        </w:rPr>
        <w:t>was US$21.5 million for the first half of 2023, compared with US$29.5 million for the first half of 2022. The decline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was because of the weaker demand from clients on digitalization products and services. In addition, the Company offered competitive pricing as a result of clients’ tightened IT budget.</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for the first half of 2023 was US$16.8 million, compared with US$25.3 million for the first half of 2022, aligned with the decline in revenue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adjustment on pricing strategy. Gross profit margin decreased to 25.0% for the first half of 2023 from 29.5% for the first half of 2022.</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US$40.7 million for the first half of 2023, compared with US$52.3 million for the first half of 2022. The change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due to decrease of bad debt expenses because of improvement in the collection of accounts receivable, a decrease in share-based compensation expenses as well as savings on promotional expenses and consulting expenses in connection with our cost optimization.</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totalled US$28.6 million for the first half of 2023, compared with US$55.1 million for the first half of 2022, mainly because we made goodwill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impairment of US$24.9 million in the first half of 2022, while did not make any goodwill impairment in the first half of 2023. Goodwill impairment in the first half of 2022 was primarily related to the volatile digital advertising industry, which resulted in a shortfall between the carrying value and the estimated fair value of the Marketing Solutions reporting unit as of June 30, 2022. Goodwill was fully impaired as of December 31, 2022. The decrease in net loss was partially offset by an increase in other losses, net, mainly due to the increase in impairment of equity investments.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attributable to the Company’s shareholders per basic and diluted ADS for the first half of 2023 were US$2.80, compared with a net loss attributable to the Company’s shareholders per basic and diluted ADS of US$5.38 for the first half of 2022.</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for the first half of 2023 was a loss of US$21.1 million, compared with loss of US$16.5 million for the first half of 2022.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reconciliation of the Company’s adjusted EBITDA from net loss, its most comparable GAAP measure, please refer to “Unaudited Reconciliations of GAAP and Non-GAAP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Adjusted net loss </w:t>
      </w:r>
      <w:r>
        <w:rPr>
          <w:rFonts w:ascii="Times New Roman" w:cs="Times New Roman" w:eastAsia="Times New Roman" w:hAnsi="Times New Roman"/>
          <w:sz w:val="18"/>
          <w:szCs w:val="18"/>
          <w:color w:val="auto"/>
        </w:rPr>
        <w:t>for the first half of 2023 was US$21.7 million, compared with US$20.5 million in the first half of 2022. For a reconciliation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adjusted net loss from net loss, its most comparable GAAP measure, please refer to “Unaudited Reconciliations of GAAP and Non-GAAP Results.”</w:t>
      </w:r>
    </w:p>
    <w:p>
      <w:pPr>
        <w:spacing w:after="0" w:line="17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b w:val="1"/>
          <w:bCs w:val="1"/>
          <w:color w:val="auto"/>
        </w:rPr>
        <w:t>Gross billing</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US$99.2 million for the first half of 2023, compared with US$158.0 million for the first half of 2022, mainly as a result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continued strategy of reducing lower margin and higher risk businesses in Marketing Solutions segment.</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2023, the Company had cash and cash equivalents, time deposits and restricted cash of US$73.3 million, compared with US$105.3 million as of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been incurring losses from operations since inception. For the six months ended June 30, 2023, the Company recorded a net loss of US$28.6 million. Accumulated deficit was amounted to US$450.6 million as of June 30, 2023. Net cash used in operating activities was US$17.6 million for the six months ended June 30, 2023.</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has developed plans to mitigate these adverse conditions and events which included a cash flow projection covering a period of 12 months from the issuance date of this press release. The cash flow projection has taken into account the anticipated cash flows to be generated from the Company’s future operations, including considerations of reasonably possible changes in its operating performance, and available financing during the period under projection, including availability of banking facilities, subject to uncertainty, such as (i) recovery of economy and broad-based advertising market in China, (ii) availability of banking facilities, and (iii) the achievement of targeted gross profit, cost control and working capital for operation by the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above, the directors of the Company concluded that the Company has sufficient financial resources to meet its financial obligations as and when they fall due and continue its operations in the coming 12 months after the issuance date of this press release. Accordingly, the directors of the Company continues to prepare the Company’s consolidated financial information on going concern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28, 2022, the Company announced a share repurchase program in which it may purchase its own ADSs with an aggregate value of up to US$5.0 million from January 1, 2023 to December 31, 2023. As of June 30, 2023, the aggregate value of purchased shares was approximately US$0.03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announced, on November 24, 2023, the Company entered into a Definitive Agreement and Plan of Merger with TSH Investment Holding Limited (“Parent”) and TSH Merger Sub Limited, a wholly-owned subsidiary of Parent (“Merger Sub”), pursuant to which, and subject to the terms and conditions thereof, Merger Sub will merge with and into the Company, with the Company continuing as the surviving company and becoming a wholly-owned subsidiary of Parent (the “Merger”).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Merger, which is currently expected to close in the first quarter of 2024, is subject to customary closing conditions including an affirmative vote of shareholders representing at least two-thirds of the voting power of the outstanding shares of the Company present and voting in person or by proxy at a meeting of the Company’s shareholders. If completed, the Merger will result in the Company becoming a privately-held company and its ADSs will no longer be listed on the Nasdaq Global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6"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Gross billing is defined as the aggregate dollar amount that clients pay the Company after deducting rebates paid and discounts given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iClick Interactive Asia Group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Founded in 2009, iClick Interactive Asia Group Limited (NASDAQ: ICLK) is a leading enterprise and marketing cloud platform in China. iClick’s mission is to empower worldwide brands to unlock the enormous market potential of smart retail. With its leading proprietary technologies, iClick's full suite of data-driven solutions helps brands drive significant business growth and profitability throughout the full consumer lifecycle. Headquartered in Hong Kong, iClick currently operates in eleven locations across Asia and Europe. For more information, please visit </w:t>
      </w:r>
      <w:r>
        <w:rPr>
          <w:rFonts w:ascii="Times New Roman" w:cs="Times New Roman" w:eastAsia="Times New Roman" w:hAnsi="Times New Roman"/>
          <w:sz w:val="18"/>
          <w:szCs w:val="18"/>
          <w:u w:val="single" w:color="auto"/>
          <w:color w:val="auto"/>
        </w:rPr>
        <w:t>https://ir.i-click.com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uses adjusted EBITDA, adjusted net loss, and diluted adjusted net loss per ADS, each a non-GAAP financial measure, in evaluating the Company’s operating results and for financial and operational decision-making purposes. The Company believes that adjusted EBITDA, adjusted net loss, and diluted adjusted net loss per ADS help identify underlying trends in the Company’s business that could otherwise be distorted by the effect of the expenses and gains that the Company includes in net loss. The Company believes that adjusted EBITDA and adjusted net loss provide useful information about the Company’s operating results, enhance the overall understanding of the Company’s past performance and future prospects, assess operating performance on a consistent basis, and allow for greater visibility with respect to key metrics used by the Company’s management in its financial and operational decision-making.</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EBITDA, adjusted net loss, and diluted adjusted net loss per ADS should not be considered in isolation or construed as an alternative to net loss or any other measure of performance or as an indicator of the Company’s operating performance. Investors are encouraged to review the historical non-GAAP financial measures to the most directly comparable GAAP measures. Adjusted EBITDA, adjusted net loss, and diluted adjusted net loss per ADS presented here may not be comparable to similarly titled measures presented by other companies. Other companies may calculate similarly titled measures differently, limiting their usefulness as comparative measures to the Company’s data. The Company encourages investors and others to review the Company’s financial information in its entirety and not rely on a single financial measure.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on these non-GAAP financial measures, please see the table captioned “Unaudited Reconciliations of GAAP and Non-GAAP results” set forth at the end of this press release.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non-GAAP financial measures were presented with the most directly comparable GAAP financial measures together for facilitating a more comprehensive understanding of operating performance between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including those related to the Company’s business strategies, operations and financial performance.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its strategic shift away from Marketing Solutions to focus on Enterprise Solutions; its success in implementing its SaaS + X business model;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favourable contractual terms; market competition;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the duration of the COVID-19 outbreak and its potential impact on the Company’s business and financial performance; fluctuations in foreign exchange rates;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tc>
        <w:tc>
          <w:tcPr>
            <w:tcW w:w="6980" w:type="dxa"/>
            <w:vAlign w:val="bottom"/>
          </w:tcPr>
          <w:p>
            <w:pPr>
              <w:spacing w:after="0"/>
              <w:rPr>
                <w:sz w:val="20"/>
                <w:szCs w:val="20"/>
                <w:color w:val="auto"/>
              </w:rPr>
            </w:pPr>
          </w:p>
        </w:tc>
      </w:tr>
      <w:tr>
        <w:trPr>
          <w:trHeight w:val="410"/>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 China:</w:t>
            </w:r>
          </w:p>
        </w:tc>
        <w:tc>
          <w:tcPr>
            <w:tcW w:w="6980" w:type="dxa"/>
            <w:vAlign w:val="bottom"/>
          </w:tcPr>
          <w:p>
            <w:pPr>
              <w:ind w:left="1360"/>
              <w:spacing w:after="0"/>
              <w:rPr>
                <w:sz w:val="20"/>
                <w:szCs w:val="20"/>
                <w:color w:val="auto"/>
              </w:rPr>
            </w:pPr>
            <w:r>
              <w:rPr>
                <w:rFonts w:ascii="Times New Roman" w:cs="Times New Roman" w:eastAsia="Times New Roman" w:hAnsi="Times New Roman"/>
                <w:sz w:val="18"/>
                <w:szCs w:val="18"/>
                <w:b w:val="1"/>
                <w:bCs w:val="1"/>
                <w:color w:val="auto"/>
              </w:rPr>
              <w:t>In the United States:</w:t>
            </w:r>
          </w:p>
        </w:tc>
      </w:tr>
      <w:tr>
        <w:trPr>
          <w:trHeight w:val="220"/>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c>
          <w:tcPr>
            <w:tcW w:w="6980" w:type="dxa"/>
            <w:vAlign w:val="bottom"/>
          </w:tcPr>
          <w:p>
            <w:pPr>
              <w:ind w:left="1360"/>
              <w:spacing w:after="0"/>
              <w:rPr>
                <w:sz w:val="20"/>
                <w:szCs w:val="20"/>
                <w:color w:val="auto"/>
              </w:rPr>
            </w:pPr>
            <w:r>
              <w:rPr>
                <w:rFonts w:ascii="Times New Roman" w:cs="Times New Roman" w:eastAsia="Times New Roman" w:hAnsi="Times New Roman"/>
                <w:sz w:val="18"/>
                <w:szCs w:val="18"/>
                <w:b w:val="1"/>
                <w:bCs w:val="1"/>
                <w:color w:val="auto"/>
              </w:rPr>
              <w:t>Core IR</w:t>
            </w:r>
          </w:p>
        </w:tc>
      </w:tr>
      <w:tr>
        <w:trPr>
          <w:trHeight w:val="216"/>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Catherine Chau</w:t>
            </w:r>
          </w:p>
        </w:tc>
        <w:tc>
          <w:tcPr>
            <w:tcW w:w="69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Tom Caden</w:t>
            </w:r>
          </w:p>
        </w:tc>
      </w:tr>
      <w:tr>
        <w:trPr>
          <w:trHeight w:val="216"/>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Phone: +852 3700 9100</w:t>
            </w:r>
          </w:p>
        </w:tc>
        <w:tc>
          <w:tcPr>
            <w:tcW w:w="69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Tel: +1-516-222-2560</w:t>
            </w:r>
          </w:p>
        </w:tc>
      </w:tr>
      <w:tr>
        <w:trPr>
          <w:trHeight w:val="194"/>
        </w:trPr>
        <w:tc>
          <w:tcPr>
            <w:tcW w:w="42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E-mail: ir@i-click.com</w:t>
            </w:r>
          </w:p>
        </w:tc>
        <w:tc>
          <w:tcPr>
            <w:tcW w:w="6980" w:type="dxa"/>
            <w:vAlign w:val="bottom"/>
          </w:tcPr>
          <w:p>
            <w:pPr>
              <w:ind w:left="1360"/>
              <w:spacing w:after="0" w:line="194" w:lineRule="exact"/>
              <w:rPr>
                <w:sz w:val="20"/>
                <w:szCs w:val="20"/>
                <w:color w:val="auto"/>
              </w:rPr>
            </w:pPr>
            <w:r>
              <w:rPr>
                <w:rFonts w:ascii="Times New Roman" w:cs="Times New Roman" w:eastAsia="Times New Roman" w:hAnsi="Times New Roman"/>
                <w:sz w:val="18"/>
                <w:szCs w:val="18"/>
                <w:color w:val="auto"/>
              </w:rPr>
              <w:t>E-mail: tomc@coreir.com</w:t>
            </w:r>
          </w:p>
        </w:tc>
      </w:tr>
      <w:tr>
        <w:trPr>
          <w:trHeight w:val="453"/>
        </w:trPr>
        <w:tc>
          <w:tcPr>
            <w:tcW w:w="60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580" w:type="dxa"/>
            <w:vAlign w:val="bottom"/>
          </w:tcPr>
          <w:p>
            <w:pPr>
              <w:spacing w:after="0"/>
              <w:rPr>
                <w:sz w:val="24"/>
                <w:szCs w:val="24"/>
                <w:color w:val="auto"/>
              </w:rPr>
            </w:pPr>
          </w:p>
        </w:tc>
        <w:tc>
          <w:tcPr>
            <w:tcW w:w="6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(financial tables follow)</w:t>
            </w:r>
          </w:p>
        </w:tc>
      </w:tr>
      <w:tr>
        <w:trPr>
          <w:trHeight w:val="675"/>
        </w:trPr>
        <w:tc>
          <w:tcPr>
            <w:tcW w:w="6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280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8440" w:type="dxa"/>
            <w:vAlign w:val="bottom"/>
          </w:tcPr>
          <w:p>
            <w:pPr>
              <w:spacing w:after="0"/>
              <w:rPr>
                <w:sz w:val="20"/>
                <w:szCs w:val="20"/>
                <w:color w:val="auto"/>
              </w:rPr>
            </w:pPr>
          </w:p>
        </w:tc>
        <w:tc>
          <w:tcPr>
            <w:tcW w:w="1780" w:type="dxa"/>
            <w:vAlign w:val="bottom"/>
            <w:tcBorders>
              <w:bottom w:val="single" w:sz="8" w:color="auto"/>
            </w:tcBorders>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84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85,454</w:t>
            </w:r>
          </w:p>
        </w:tc>
        <w:tc>
          <w:tcPr>
            <w:tcW w:w="100" w:type="dxa"/>
            <w:vAlign w:val="bottom"/>
            <w:gridSpan w:val="2"/>
            <w:shd w:val="clear" w:color="auto" w:fill="CCEEFF"/>
          </w:tcPr>
          <w:p>
            <w:pPr>
              <w:spacing w:after="0"/>
              <w:rPr>
                <w:sz w:val="18"/>
                <w:szCs w:val="18"/>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(50,369)</w:t>
            </w:r>
          </w:p>
        </w:tc>
        <w:tc>
          <w:tcPr>
            <w:tcW w:w="32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(60,203)</w:t>
            </w: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16,764</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25,251</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09"/>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(3,298)</w:t>
            </w: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(4,418)</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(20,105)</w:t>
            </w:r>
          </w:p>
        </w:tc>
        <w:tc>
          <w:tcPr>
            <w:tcW w:w="32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(22,569)</w:t>
            </w: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(17,283)</w:t>
            </w:r>
          </w:p>
        </w:tc>
        <w:tc>
          <w:tcPr>
            <w:tcW w:w="3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(25,344)</w:t>
            </w:r>
          </w:p>
        </w:tc>
      </w:tr>
      <w:tr>
        <w:trPr>
          <w:trHeight w:val="209"/>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(40,686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(52,331</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(24,945)</w:t>
            </w:r>
          </w:p>
        </w:tc>
        <w:tc>
          <w:tcPr>
            <w:tcW w:w="100" w:type="dxa"/>
            <w:vAlign w:val="bottom"/>
            <w:gridSpan w:val="2"/>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(618)</w:t>
            </w:r>
          </w:p>
        </w:tc>
        <w:tc>
          <w:tcPr>
            <w:tcW w:w="32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(1,313)</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739</w:t>
            </w: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w:t>
            </w: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Other losses, net</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(4,653)</w:t>
            </w:r>
          </w:p>
        </w:tc>
        <w:tc>
          <w:tcPr>
            <w:tcW w:w="32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(2,133)</w:t>
            </w: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 and share of losses from an equity investee</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(28,454)</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losses from an equity investee</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(96)</w:t>
            </w:r>
          </w:p>
        </w:tc>
        <w:tc>
          <w:tcPr>
            <w:tcW w:w="3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w:t>
            </w:r>
          </w:p>
        </w:tc>
      </w:tr>
      <w:tr>
        <w:trPr>
          <w:trHeight w:val="21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(28,569)</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(55,063)</w:t>
            </w:r>
          </w:p>
        </w:tc>
        <w:tc>
          <w:tcPr>
            <w:tcW w:w="100" w:type="dxa"/>
            <w:vAlign w:val="bottom"/>
            <w:gridSpan w:val="2"/>
          </w:tcPr>
          <w:p>
            <w:pPr>
              <w:spacing w:after="0"/>
              <w:rPr>
                <w:sz w:val="18"/>
                <w:szCs w:val="18"/>
                <w:color w:val="auto"/>
              </w:rPr>
            </w:pP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80" w:type="dxa"/>
            <w:vAlign w:val="bottom"/>
            <w:shd w:val="clear" w:color="auto" w:fill="CCEEFF"/>
          </w:tcPr>
          <w:p>
            <w:pPr>
              <w:spacing w:after="0"/>
              <w:rPr>
                <w:sz w:val="19"/>
                <w:szCs w:val="19"/>
                <w:color w:val="auto"/>
              </w:rPr>
            </w:pPr>
          </w:p>
        </w:tc>
      </w:tr>
      <w:tr>
        <w:trPr>
          <w:trHeight w:val="210"/>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iClick Interactive Asia Group Limited’s ordinary shareholders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(53,682</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8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(28,569)</w:t>
            </w:r>
          </w:p>
        </w:tc>
        <w:tc>
          <w:tcPr>
            <w:tcW w:w="32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(55,063)</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US$nil tax</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170</w:t>
            </w:r>
          </w:p>
        </w:tc>
        <w:tc>
          <w:tcPr>
            <w:tcW w:w="32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(2,908)</w:t>
            </w:r>
          </w:p>
        </w:tc>
      </w:tr>
      <w:tr>
        <w:trPr>
          <w:trHeight w:val="210"/>
        </w:trPr>
        <w:tc>
          <w:tcPr>
            <w:tcW w:w="84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(28,399)</w:t>
            </w:r>
          </w:p>
        </w:tc>
        <w:tc>
          <w:tcPr>
            <w:tcW w:w="32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(57,971)</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noncontrolling interests</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80" w:type="dxa"/>
            <w:vAlign w:val="bottom"/>
            <w:shd w:val="clear" w:color="auto" w:fill="CCEEFF"/>
          </w:tcPr>
          <w:p>
            <w:pPr>
              <w:spacing w:after="0"/>
              <w:rPr>
                <w:sz w:val="18"/>
                <w:szCs w:val="18"/>
                <w:color w:val="auto"/>
              </w:rPr>
            </w:pPr>
          </w:p>
        </w:tc>
      </w:tr>
      <w:tr>
        <w:trPr>
          <w:trHeight w:val="283"/>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iClick Interactive Asia Group Limited’s ordinary shareholders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(28,330)</w:t>
            </w:r>
          </w:p>
        </w:tc>
        <w:tc>
          <w:tcPr>
            <w:tcW w:w="320" w:type="dxa"/>
            <w:vAlign w:val="bottom"/>
          </w:tcPr>
          <w:p>
            <w:pPr>
              <w:spacing w:after="0"/>
              <w:rPr>
                <w:sz w:val="24"/>
                <w:szCs w:val="24"/>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(56,538)</w:t>
            </w:r>
          </w:p>
        </w:tc>
      </w:tr>
      <w:tr>
        <w:trPr>
          <w:trHeight w:val="197"/>
        </w:trPr>
        <w:tc>
          <w:tcPr>
            <w:tcW w:w="84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56"/>
        </w:trPr>
        <w:tc>
          <w:tcPr>
            <w:tcW w:w="8440" w:type="dxa"/>
            <w:vAlign w:val="bottom"/>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Net loss per ADS attributable to iClick Interactive Asia Group Limited’s ordinary shareholders</w:t>
            </w:r>
            <w:r>
              <w:rPr>
                <w:rFonts w:ascii="Times New Roman" w:cs="Times New Roman" w:eastAsia="Times New Roman" w:hAnsi="Times New Roman"/>
                <w:sz w:val="29"/>
                <w:szCs w:val="29"/>
                <w:b w:val="1"/>
                <w:bCs w:val="1"/>
                <w:color w:val="auto"/>
                <w:vertAlign w:val="superscript"/>
              </w:rPr>
              <w:t>2</w:t>
            </w: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(2.80)</w:t>
            </w: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(5.38)</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(2.80)</w:t>
            </w:r>
          </w:p>
        </w:tc>
        <w:tc>
          <w:tcPr>
            <w:tcW w:w="32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(5.38)</w:t>
            </w:r>
          </w:p>
        </w:tc>
      </w:tr>
      <w:tr>
        <w:trPr>
          <w:trHeight w:val="216"/>
        </w:trPr>
        <w:tc>
          <w:tcPr>
            <w:tcW w:w="8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7"/>
        </w:trPr>
        <w:tc>
          <w:tcPr>
            <w:tcW w:w="8440" w:type="dxa"/>
            <w:vAlign w:val="bottom"/>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Weighted average number of ADS used in per share calculation</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b w:val="1"/>
                <w:bCs w:val="1"/>
                <w:color w:val="auto"/>
              </w:rPr>
              <w:t>:</w:t>
            </w: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10,178,966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9,984,505</w:t>
            </w:r>
          </w:p>
        </w:tc>
        <w:tc>
          <w:tcPr>
            <w:tcW w:w="80" w:type="dxa"/>
            <w:vAlign w:val="bottom"/>
            <w:shd w:val="clear" w:color="auto" w:fill="CCEEFF"/>
          </w:tcPr>
          <w:p>
            <w:pPr>
              <w:spacing w:after="0"/>
              <w:rPr>
                <w:sz w:val="18"/>
                <w:szCs w:val="18"/>
                <w:color w:val="auto"/>
              </w:rPr>
            </w:pPr>
          </w:p>
        </w:tc>
      </w:tr>
      <w:tr>
        <w:trPr>
          <w:trHeight w:val="243"/>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10,178,966</w:t>
            </w:r>
          </w:p>
        </w:tc>
        <w:tc>
          <w:tcPr>
            <w:tcW w:w="32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9,984,505</w:t>
            </w:r>
          </w:p>
        </w:tc>
        <w:tc>
          <w:tcPr>
            <w:tcW w:w="80" w:type="dxa"/>
            <w:vAlign w:val="bottom"/>
          </w:tcPr>
          <w:p>
            <w:pPr>
              <w:spacing w:after="0"/>
              <w:rPr>
                <w:sz w:val="21"/>
                <w:szCs w:val="21"/>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8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ICLICK INTERACTIVE ASIA GROUP LIMITED Unaudited Condensed Consolidated Balance Sheets </w:t>
      </w:r>
      <w:r>
        <w:rPr>
          <w:rFonts w:ascii="Times New Roman" w:cs="Times New Roman" w:eastAsia="Times New Roman" w:hAnsi="Times New Roman"/>
          <w:sz w:val="18"/>
          <w:szCs w:val="18"/>
          <w:color w:val="auto"/>
        </w:rPr>
        <w:t>(US$’000, except share data and per share data, or otherwise noted, 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8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10"/>
        </w:trPr>
        <w:tc>
          <w:tcPr>
            <w:tcW w:w="8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time deposits and restricted cash</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73,297</w:t>
            </w:r>
          </w:p>
        </w:tc>
        <w:tc>
          <w:tcPr>
            <w:tcW w:w="1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105,307</w:t>
            </w:r>
          </w:p>
        </w:tc>
      </w:tr>
      <w:tr>
        <w:trPr>
          <w:trHeight w:val="198"/>
        </w:trPr>
        <w:tc>
          <w:tcPr>
            <w:tcW w:w="8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receivables of US$39,110 and US$37,215 as of June 30,</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 and December 31, 2022 respectively</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50,497</w:t>
            </w:r>
          </w:p>
        </w:tc>
        <w:tc>
          <w:tcPr>
            <w:tcW w:w="1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64,556</w:t>
            </w:r>
          </w:p>
        </w:tc>
      </w:tr>
      <w:tr>
        <w:trPr>
          <w:trHeight w:val="23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36,252</w:t>
            </w:r>
          </w:p>
        </w:tc>
        <w:tc>
          <w:tcPr>
            <w:tcW w:w="1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34,797</w:t>
            </w:r>
          </w:p>
        </w:tc>
      </w:tr>
      <w:tr>
        <w:trPr>
          <w:trHeight w:val="209"/>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160,046</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204,660</w:t>
            </w:r>
          </w:p>
        </w:tc>
        <w:tc>
          <w:tcPr>
            <w:tcW w:w="100" w:type="dxa"/>
            <w:vAlign w:val="bottom"/>
            <w:tcBorders>
              <w:bottom w:val="single" w:sz="8" w:color="CCEEFF"/>
            </w:tcBorders>
          </w:tcPr>
          <w:p>
            <w:pPr>
              <w:spacing w:after="0"/>
              <w:rPr>
                <w:sz w:val="18"/>
                <w:szCs w:val="18"/>
                <w:color w:val="auto"/>
              </w:rPr>
            </w:pPr>
          </w:p>
        </w:tc>
      </w:tr>
      <w:tr>
        <w:trPr>
          <w:trHeight w:val="209"/>
        </w:trPr>
        <w:tc>
          <w:tcPr>
            <w:tcW w:w="8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709</w:t>
            </w:r>
          </w:p>
        </w:tc>
        <w:tc>
          <w:tcPr>
            <w:tcW w:w="1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991</w:t>
            </w:r>
          </w:p>
        </w:tc>
      </w:tr>
      <w:tr>
        <w:trPr>
          <w:trHeight w:val="229"/>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9,140</w:t>
            </w:r>
          </w:p>
        </w:tc>
        <w:tc>
          <w:tcPr>
            <w:tcW w:w="1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16,131</w:t>
            </w:r>
          </w:p>
        </w:tc>
      </w:tr>
      <w:tr>
        <w:trPr>
          <w:trHeight w:val="210"/>
        </w:trPr>
        <w:tc>
          <w:tcPr>
            <w:tcW w:w="8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169,895</w:t>
            </w:r>
          </w:p>
        </w:tc>
        <w:tc>
          <w:tcPr>
            <w:tcW w:w="1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221,782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8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34,185</w:t>
            </w:r>
          </w:p>
        </w:tc>
        <w:tc>
          <w:tcPr>
            <w:tcW w:w="1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41,728</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Bank borrowings</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35,166</w:t>
            </w:r>
          </w:p>
        </w:tc>
        <w:tc>
          <w:tcPr>
            <w:tcW w:w="1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44,283</w:t>
            </w:r>
          </w:p>
        </w:tc>
      </w:tr>
      <w:tr>
        <w:trPr>
          <w:trHeight w:val="23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46,473</w:t>
            </w:r>
          </w:p>
        </w:tc>
        <w:tc>
          <w:tcPr>
            <w:tcW w:w="1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51,705</w:t>
            </w:r>
          </w:p>
        </w:tc>
      </w:tr>
      <w:tr>
        <w:trPr>
          <w:trHeight w:val="210"/>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115,824</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137,716</w:t>
            </w:r>
          </w:p>
        </w:tc>
        <w:tc>
          <w:tcPr>
            <w:tcW w:w="100" w:type="dxa"/>
            <w:vAlign w:val="bottom"/>
            <w:tcBorders>
              <w:bottom w:val="single" w:sz="8" w:color="CCEEFF"/>
            </w:tcBorders>
          </w:tcPr>
          <w:p>
            <w:pPr>
              <w:spacing w:after="0"/>
              <w:rPr>
                <w:sz w:val="18"/>
                <w:szCs w:val="18"/>
                <w:color w:val="auto"/>
              </w:rPr>
            </w:pPr>
          </w:p>
        </w:tc>
      </w:tr>
      <w:tr>
        <w:trPr>
          <w:trHeight w:val="209"/>
        </w:trPr>
        <w:tc>
          <w:tcPr>
            <w:tcW w:w="8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2,679</w:t>
            </w:r>
          </w:p>
        </w:tc>
        <w:tc>
          <w:tcPr>
            <w:tcW w:w="1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4,777</w:t>
            </w:r>
          </w:p>
        </w:tc>
      </w:tr>
      <w:tr>
        <w:trPr>
          <w:trHeight w:val="210"/>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100" w:type="dxa"/>
            <w:vAlign w:val="bottom"/>
            <w:tcBorders>
              <w:bottom w:val="single" w:sz="8" w:color="CCEEFF"/>
            </w:tcBorders>
          </w:tcPr>
          <w:p>
            <w:pPr>
              <w:spacing w:after="0"/>
              <w:rPr>
                <w:sz w:val="18"/>
                <w:szCs w:val="18"/>
                <w:color w:val="auto"/>
              </w:rPr>
            </w:pPr>
          </w:p>
        </w:tc>
      </w:tr>
      <w:tr>
        <w:trPr>
          <w:trHeight w:val="210"/>
        </w:trPr>
        <w:tc>
          <w:tcPr>
            <w:tcW w:w="8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118,503</w:t>
            </w:r>
          </w:p>
        </w:tc>
        <w:tc>
          <w:tcPr>
            <w:tcW w:w="1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142,493</w:t>
            </w:r>
          </w:p>
        </w:tc>
      </w:tr>
      <w:tr>
        <w:trPr>
          <w:trHeight w:val="209"/>
        </w:trPr>
        <w:tc>
          <w:tcPr>
            <w:tcW w:w="8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8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Ordinary shares – Class A (US$0.001 par value; 80,000,000 shares authorized as of June 30, 2023 and</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2022, respectively; 43,814,436 shares and 43,736,801 shares issued and outstanding as of</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June 30, 2023 and December 31, 2022, respectively)</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198"/>
        </w:trPr>
        <w:tc>
          <w:tcPr>
            <w:tcW w:w="8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Ordinary shares – Class B (US$0.001 par value; 20,000,000 shares authorized as of June 30, 2023 and</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2022, respectively; 5,034,427 shares issued and outstanding as of June 30, 2023 and</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2022, respectively)</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198"/>
        </w:trPr>
        <w:tc>
          <w:tcPr>
            <w:tcW w:w="8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Treasury shares (5,864,646 shares and 5,843,335 shares as of June 30, 2023 and December 31, 2022,</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(28,475)</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(28,457)</w:t>
            </w:r>
          </w:p>
        </w:tc>
      </w:tr>
      <w:tr>
        <w:trPr>
          <w:trHeight w:val="23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75,527</w:t>
            </w:r>
          </w:p>
        </w:tc>
        <w:tc>
          <w:tcPr>
            <w:tcW w:w="1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103,338</w:t>
            </w:r>
          </w:p>
        </w:tc>
      </w:tr>
      <w:tr>
        <w:trPr>
          <w:trHeight w:val="210"/>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Total iClick Interactive Asia Group Limited shareholders’ equity</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74,930</w:t>
            </w:r>
          </w:p>
        </w:tc>
        <w:tc>
          <w:tcPr>
            <w:tcW w:w="100" w:type="dxa"/>
            <w:vAlign w:val="bottom"/>
          </w:tcPr>
          <w:p>
            <w:pPr>
              <w:spacing w:after="0"/>
              <w:rPr>
                <w:sz w:val="18"/>
                <w:szCs w:val="18"/>
                <w:color w:val="auto"/>
              </w:rPr>
            </w:pPr>
          </w:p>
        </w:tc>
      </w:tr>
      <w:tr>
        <w:trPr>
          <w:trHeight w:val="23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4,291</w:t>
            </w:r>
          </w:p>
        </w:tc>
        <w:tc>
          <w:tcPr>
            <w:tcW w:w="1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4,359</w:t>
            </w:r>
          </w:p>
        </w:tc>
      </w:tr>
      <w:tr>
        <w:trPr>
          <w:trHeight w:val="209"/>
        </w:trPr>
        <w:tc>
          <w:tcPr>
            <w:tcW w:w="82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51,392</w:t>
            </w:r>
          </w:p>
        </w:tc>
        <w:tc>
          <w:tcPr>
            <w:tcW w:w="1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79,289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8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169,895</w:t>
            </w:r>
          </w:p>
        </w:tc>
        <w:tc>
          <w:tcPr>
            <w:tcW w:w="1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221,782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6"/>
        </w:trPr>
        <w:tc>
          <w:tcPr>
            <w:tcW w:w="8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ICLICK INTERACTIVE ASIA GROUP LIMITED Unaudited Reconciliations of GAAP and Non-GAAP Results </w:t>
      </w:r>
      <w:r>
        <w:rPr>
          <w:rFonts w:ascii="Times New Roman" w:cs="Times New Roman" w:eastAsia="Times New Roman" w:hAnsi="Times New Roman"/>
          <w:sz w:val="18"/>
          <w:szCs w:val="18"/>
          <w:color w:val="auto"/>
        </w:rPr>
        <w:t>(US$’000, except share data and per share data, or otherwise noted, unaudited)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represents net loss before (i) depreciation and amortization, (ii) interest expense, (iii) interest income, (iv) income tax expense,</w:t>
      </w:r>
    </w:p>
    <w:p>
      <w:pPr>
        <w:spacing w:after="0" w:line="27" w:lineRule="exact"/>
        <w:rPr>
          <w:sz w:val="20"/>
          <w:szCs w:val="20"/>
          <w:color w:val="auto"/>
        </w:rPr>
      </w:pPr>
    </w:p>
    <w:p>
      <w:pPr>
        <w:ind w:firstLine="8"/>
        <w:spacing w:after="0" w:line="260" w:lineRule="auto"/>
        <w:tabs>
          <w:tab w:leader="none" w:pos="27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(vi) goodwill impairment, (vii) other losses, net, (viii) impairment of right-of-use assets, (ix) net loss attributable to non-controlling interests, (x) share of losses from an equity investee, and (xi) cost related to new business setup or acquisitions.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a reconciliation of the Company’s adjusted EBITDA from net loss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280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8440" w:type="dxa"/>
            <w:vAlign w:val="bottom"/>
          </w:tcPr>
          <w:p>
            <w:pPr>
              <w:spacing w:after="0"/>
              <w:rPr>
                <w:sz w:val="20"/>
                <w:szCs w:val="20"/>
                <w:color w:val="auto"/>
              </w:rPr>
            </w:pPr>
          </w:p>
        </w:tc>
        <w:tc>
          <w:tcPr>
            <w:tcW w:w="182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84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(55,063)</w:t>
            </w:r>
          </w:p>
        </w:tc>
        <w:tc>
          <w:tcPr>
            <w:tcW w:w="100" w:type="dxa"/>
            <w:vAlign w:val="bottom"/>
            <w:gridSpan w:val="2"/>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Add/(less):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665</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618</w:t>
            </w:r>
          </w:p>
        </w:tc>
        <w:tc>
          <w:tcPr>
            <w:tcW w:w="3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(739)</w:t>
            </w:r>
          </w:p>
        </w:tc>
        <w:tc>
          <w:tcPr>
            <w:tcW w:w="3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(649)</w:t>
            </w:r>
          </w:p>
        </w:tc>
      </w:tr>
      <w:tr>
        <w:trPr>
          <w:trHeight w:val="229"/>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96</w:t>
            </w:r>
          </w:p>
        </w:tc>
        <w:tc>
          <w:tcPr>
            <w:tcW w:w="3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19"/>
                <w:szCs w:val="19"/>
                <w:color w:val="auto"/>
              </w:rPr>
            </w:pP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(27,929)</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Add/(less):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534</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80" w:type="dxa"/>
            <w:vAlign w:val="bottom"/>
            <w:shd w:val="clear" w:color="auto" w:fill="CCEEFF"/>
          </w:tcPr>
          <w:p>
            <w:pPr>
              <w:spacing w:after="0"/>
              <w:rPr>
                <w:sz w:val="18"/>
                <w:szCs w:val="18"/>
                <w:color w:val="auto"/>
              </w:rPr>
            </w:pPr>
          </w:p>
        </w:tc>
      </w:tr>
      <w:tr>
        <w:trPr>
          <w:trHeight w:val="257"/>
        </w:trPr>
        <w:tc>
          <w:tcPr>
            <w:tcW w:w="844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Goodwill impairment</w:t>
            </w:r>
            <w:r>
              <w:rPr>
                <w:rFonts w:ascii="Times New Roman" w:cs="Times New Roman" w:eastAsia="Times New Roman" w:hAnsi="Times New Roman"/>
                <w:sz w:val="29"/>
                <w:szCs w:val="29"/>
                <w:color w:val="auto"/>
                <w:vertAlign w:val="superscript"/>
              </w:rPr>
              <w:t>4</w:t>
            </w:r>
          </w:p>
        </w:tc>
        <w:tc>
          <w:tcPr>
            <w:tcW w:w="18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24,945</w:t>
            </w:r>
          </w:p>
        </w:tc>
        <w:tc>
          <w:tcPr>
            <w:tcW w:w="80" w:type="dxa"/>
            <w:vAlign w:val="bottom"/>
          </w:tcPr>
          <w:p>
            <w:pPr>
              <w:spacing w:after="0"/>
              <w:rPr>
                <w:sz w:val="22"/>
                <w:szCs w:val="22"/>
                <w:color w:val="auto"/>
              </w:rPr>
            </w:pPr>
          </w:p>
        </w:tc>
      </w:tr>
      <w:tr>
        <w:trPr>
          <w:trHeight w:val="256"/>
        </w:trPr>
        <w:tc>
          <w:tcPr>
            <w:tcW w:w="844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Other losses, net</w:t>
            </w:r>
            <w:r>
              <w:rPr>
                <w:rFonts w:ascii="Times New Roman" w:cs="Times New Roman" w:eastAsia="Times New Roman" w:hAnsi="Times New Roman"/>
                <w:sz w:val="29"/>
                <w:szCs w:val="29"/>
                <w:color w:val="auto"/>
                <w:vertAlign w:val="superscript"/>
              </w:rPr>
              <w:t>5</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5,225</w:t>
            </w:r>
          </w:p>
        </w:tc>
        <w:tc>
          <w:tcPr>
            <w:tcW w:w="3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80" w:type="dxa"/>
            <w:vAlign w:val="bottom"/>
            <w:shd w:val="clear" w:color="auto" w:fill="CCEEFF"/>
          </w:tcPr>
          <w:p>
            <w:pPr>
              <w:spacing w:after="0"/>
              <w:rPr>
                <w:sz w:val="22"/>
                <w:szCs w:val="22"/>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right-of-use assets</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1,014</w:t>
            </w:r>
          </w:p>
        </w:tc>
        <w:tc>
          <w:tcPr>
            <w:tcW w:w="36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44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Net loss attributable to noncontrolling interests</w:t>
            </w:r>
            <w:r>
              <w:rPr>
                <w:rFonts w:ascii="Times New Roman" w:cs="Times New Roman" w:eastAsia="Times New Roman" w:hAnsi="Times New Roman"/>
                <w:sz w:val="29"/>
                <w:szCs w:val="29"/>
                <w:color w:val="auto"/>
                <w:vertAlign w:val="superscript"/>
              </w:rPr>
              <w:t>6</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w:t>
            </w:r>
          </w:p>
        </w:tc>
        <w:tc>
          <w:tcPr>
            <w:tcW w:w="3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80" w:type="dxa"/>
            <w:vAlign w:val="bottom"/>
            <w:shd w:val="clear" w:color="auto" w:fill="CCEEFF"/>
          </w:tcPr>
          <w:p>
            <w:pPr>
              <w:spacing w:after="0"/>
              <w:rPr>
                <w:sz w:val="22"/>
                <w:szCs w:val="22"/>
                <w:color w:val="auto"/>
              </w:rPr>
            </w:pPr>
          </w:p>
        </w:tc>
      </w:tr>
      <w:tr>
        <w:trPr>
          <w:trHeight w:val="256"/>
        </w:trPr>
        <w:tc>
          <w:tcPr>
            <w:tcW w:w="844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Share of losses from an equity investee</w:t>
            </w:r>
            <w:r>
              <w:rPr>
                <w:rFonts w:ascii="Times New Roman" w:cs="Times New Roman" w:eastAsia="Times New Roman" w:hAnsi="Times New Roman"/>
                <w:sz w:val="29"/>
                <w:szCs w:val="29"/>
                <w:color w:val="auto"/>
                <w:vertAlign w:val="superscript"/>
              </w:rPr>
              <w:t>7</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2"/>
                <w:szCs w:val="22"/>
                <w:color w:val="auto"/>
              </w:rPr>
            </w:pPr>
          </w:p>
        </w:tc>
      </w:tr>
      <w:tr>
        <w:trPr>
          <w:trHeight w:val="270"/>
        </w:trPr>
        <w:tc>
          <w:tcPr>
            <w:tcW w:w="844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Cost related to new business setup or acquisitions</w:t>
            </w:r>
            <w:r>
              <w:rPr>
                <w:rFonts w:ascii="Times New Roman" w:cs="Times New Roman" w:eastAsia="Times New Roman" w:hAnsi="Times New Roman"/>
                <w:sz w:val="29"/>
                <w:szCs w:val="29"/>
                <w:color w:val="auto"/>
                <w:vertAlign w:val="superscript"/>
              </w:rPr>
              <w:t>8</w:t>
            </w:r>
          </w:p>
        </w:tc>
        <w:tc>
          <w:tcPr>
            <w:tcW w:w="18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3"/>
                <w:szCs w:val="23"/>
                <w:color w:val="auto"/>
              </w:rPr>
            </w:pPr>
          </w:p>
        </w:tc>
      </w:tr>
      <w:tr>
        <w:trPr>
          <w:trHeight w:val="223"/>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(16,546</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4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94"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Goodwill impairment represents the shortfall between the carrying value and the estimated fair value of Marketing Solutions reporting unit due to the</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volatile digital advertising industry for the first half of 2022.</w:t>
      </w:r>
    </w:p>
    <w:p>
      <w:pPr>
        <w:ind w:left="340" w:hanging="332"/>
        <w:spacing w:after="0" w:line="186" w:lineRule="auto"/>
        <w:tabs>
          <w:tab w:leader="none" w:pos="34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Other losses, net have been adjusted out, except for amounts of US$572 thousand and US$2,923 thousand in relation to government grants for the six</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months ended June 30, 2023 and 2022, respectively.</w:t>
      </w:r>
    </w:p>
    <w:p>
      <w:pPr>
        <w:spacing w:after="0" w:line="7" w:lineRule="exact"/>
        <w:rPr>
          <w:sz w:val="20"/>
          <w:szCs w:val="20"/>
          <w:color w:val="auto"/>
        </w:rPr>
      </w:pPr>
    </w:p>
    <w:p>
      <w:pPr>
        <w:ind w:left="340" w:hanging="332"/>
        <w:spacing w:after="0" w:line="187" w:lineRule="auto"/>
        <w:tabs>
          <w:tab w:leader="none" w:pos="34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Net loss attributable to non-controlling interests has been adjusted back because the Company’s management regularly reviews EBITDA excluding non-controlling interests as a measure of its operational performance.</w:t>
      </w:r>
    </w:p>
    <w:p>
      <w:pPr>
        <w:spacing w:after="0" w:line="2" w:lineRule="exact"/>
        <w:rPr>
          <w:sz w:val="20"/>
          <w:szCs w:val="20"/>
          <w:color w:val="auto"/>
        </w:rPr>
      </w:pPr>
    </w:p>
    <w:p>
      <w:pPr>
        <w:jc w:val="both"/>
        <w:ind w:left="340" w:hanging="332"/>
        <w:spacing w:after="0" w:line="204" w:lineRule="auto"/>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Share of losses from an equity investee represents share of losses incurred by the Company’s Thailand business operated through an equity investee over which the Company has significant influence, and which is not considered to be a part of the core business that the Company operates through its consolidated entities.</w:t>
      </w:r>
    </w:p>
    <w:p>
      <w:pPr>
        <w:ind w:left="340" w:hanging="332"/>
        <w:spacing w:after="0" w:line="182" w:lineRule="auto"/>
        <w:tabs>
          <w:tab w:leader="none" w:pos="34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Cost related to new business setup or acquisitions represents transaction cost (e.g. legal and professional fee)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Adjusted net loss represents net loss before (i) share-based compensation, (ii) goodwill impairment, (iii) other losses, net, (iv) impairment of right-of-use assets, (v) net loss attributable to non-controlling interests, (vi) share of losses from an equity investee, and (vii) cost related to new business setup or acquisitions. There is no material tax effects on these non-GAAP adjustments.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w w:val="99"/>
              </w:rPr>
              <w:t>The table below sets forth a reconciliation of the Company’s adjusted net loss from net loss for the periods indicated:</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440" w:type="dxa"/>
            <w:vAlign w:val="bottom"/>
          </w:tcPr>
          <w:p>
            <w:pPr>
              <w:spacing w:after="0"/>
              <w:rPr>
                <w:sz w:val="24"/>
                <w:szCs w:val="24"/>
                <w:color w:val="auto"/>
              </w:rPr>
            </w:pPr>
          </w:p>
        </w:tc>
        <w:tc>
          <w:tcPr>
            <w:tcW w:w="2800" w:type="dxa"/>
            <w:vAlign w:val="bottom"/>
            <w:gridSpan w:val="5"/>
          </w:tcPr>
          <w:p>
            <w:pPr>
              <w:jc w:val="right"/>
              <w:ind w:right="66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8440" w:type="dxa"/>
            <w:vAlign w:val="bottom"/>
          </w:tcPr>
          <w:p>
            <w:pPr>
              <w:spacing w:after="0"/>
              <w:rPr>
                <w:sz w:val="20"/>
                <w:szCs w:val="20"/>
                <w:color w:val="auto"/>
              </w:rPr>
            </w:pPr>
          </w:p>
        </w:tc>
        <w:tc>
          <w:tcPr>
            <w:tcW w:w="182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Add/(less):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534</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3,144</w:t>
            </w:r>
          </w:p>
        </w:tc>
        <w:tc>
          <w:tcPr>
            <w:tcW w:w="0" w:type="dxa"/>
            <w:vAlign w:val="bottom"/>
          </w:tcPr>
          <w:p>
            <w:pPr>
              <w:spacing w:after="0"/>
              <w:rPr>
                <w:sz w:val="1"/>
                <w:szCs w:val="1"/>
                <w:color w:val="auto"/>
              </w:rPr>
            </w:pPr>
          </w:p>
        </w:tc>
      </w:tr>
      <w:tr>
        <w:trPr>
          <w:trHeight w:val="256"/>
        </w:trPr>
        <w:tc>
          <w:tcPr>
            <w:tcW w:w="844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Goodwill impairment</w:t>
            </w:r>
            <w:r>
              <w:rPr>
                <w:rFonts w:ascii="Times New Roman" w:cs="Times New Roman" w:eastAsia="Times New Roman" w:hAnsi="Times New Roman"/>
                <w:sz w:val="29"/>
                <w:szCs w:val="29"/>
                <w:color w:val="auto"/>
                <w:vertAlign w:val="superscript"/>
              </w:rPr>
              <w:t>4</w:t>
            </w:r>
          </w:p>
        </w:tc>
        <w:tc>
          <w:tcPr>
            <w:tcW w:w="18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24,945</w:t>
            </w:r>
          </w:p>
        </w:tc>
        <w:tc>
          <w:tcPr>
            <w:tcW w:w="0" w:type="dxa"/>
            <w:vAlign w:val="bottom"/>
          </w:tcPr>
          <w:p>
            <w:pPr>
              <w:spacing w:after="0"/>
              <w:rPr>
                <w:sz w:val="1"/>
                <w:szCs w:val="1"/>
                <w:color w:val="auto"/>
              </w:rPr>
            </w:pPr>
          </w:p>
        </w:tc>
      </w:tr>
      <w:tr>
        <w:trPr>
          <w:trHeight w:val="257"/>
        </w:trPr>
        <w:tc>
          <w:tcPr>
            <w:tcW w:w="844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Other losses, net</w:t>
            </w:r>
            <w:r>
              <w:rPr>
                <w:rFonts w:ascii="Times New Roman" w:cs="Times New Roman" w:eastAsia="Times New Roman" w:hAnsi="Times New Roman"/>
                <w:sz w:val="29"/>
                <w:szCs w:val="29"/>
                <w:color w:val="auto"/>
                <w:vertAlign w:val="superscript"/>
              </w:rPr>
              <w:t>5</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5,225</w:t>
            </w:r>
          </w:p>
        </w:tc>
        <w:tc>
          <w:tcPr>
            <w:tcW w:w="3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5,056</w:t>
            </w:r>
          </w:p>
        </w:tc>
        <w:tc>
          <w:tcPr>
            <w:tcW w:w="0" w:type="dxa"/>
            <w:vAlign w:val="bottom"/>
          </w:tcPr>
          <w:p>
            <w:pPr>
              <w:spacing w:after="0"/>
              <w:rPr>
                <w:sz w:val="1"/>
                <w:szCs w:val="1"/>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right-of-use assets</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1,014</w:t>
            </w:r>
          </w:p>
        </w:tc>
        <w:tc>
          <w:tcPr>
            <w:tcW w:w="3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44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Net loss attributable to noncontrolling interests</w:t>
            </w:r>
            <w:r>
              <w:rPr>
                <w:rFonts w:ascii="Times New Roman" w:cs="Times New Roman" w:eastAsia="Times New Roman" w:hAnsi="Times New Roman"/>
                <w:sz w:val="29"/>
                <w:szCs w:val="29"/>
                <w:color w:val="auto"/>
                <w:vertAlign w:val="superscript"/>
              </w:rPr>
              <w:t>6</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w:t>
            </w:r>
          </w:p>
        </w:tc>
        <w:tc>
          <w:tcPr>
            <w:tcW w:w="3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57"/>
        </w:trPr>
        <w:tc>
          <w:tcPr>
            <w:tcW w:w="844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Share of losses from an equity investee</w:t>
            </w:r>
            <w:r>
              <w:rPr>
                <w:rFonts w:ascii="Times New Roman" w:cs="Times New Roman" w:eastAsia="Times New Roman" w:hAnsi="Times New Roman"/>
                <w:sz w:val="29"/>
                <w:szCs w:val="29"/>
                <w:color w:val="auto"/>
                <w:vertAlign w:val="superscript"/>
              </w:rPr>
              <w:t>7</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Cost related to new business setup or acquisitions</w:t>
            </w:r>
            <w:r>
              <w:rPr>
                <w:rFonts w:ascii="Times New Roman" w:cs="Times New Roman" w:eastAsia="Times New Roman" w:hAnsi="Times New Roman"/>
                <w:sz w:val="29"/>
                <w:szCs w:val="29"/>
                <w:color w:val="auto"/>
                <w:vertAlign w:val="superscript"/>
              </w:rPr>
              <w:t>8</w:t>
            </w:r>
          </w:p>
        </w:tc>
        <w:tc>
          <w:tcPr>
            <w:tcW w:w="18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net loss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diluted adjusted net loss per ADS for the periods indicated are calculated as follows:</w:t>
            </w: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440" w:type="dxa"/>
            <w:vAlign w:val="bottom"/>
          </w:tcPr>
          <w:p>
            <w:pPr>
              <w:spacing w:after="0"/>
              <w:rPr>
                <w:sz w:val="24"/>
                <w:szCs w:val="24"/>
                <w:color w:val="auto"/>
              </w:rPr>
            </w:pPr>
          </w:p>
        </w:tc>
        <w:tc>
          <w:tcPr>
            <w:tcW w:w="2800" w:type="dxa"/>
            <w:vAlign w:val="bottom"/>
            <w:gridSpan w:val="5"/>
          </w:tcPr>
          <w:p>
            <w:pPr>
              <w:jc w:val="right"/>
              <w:ind w:right="66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8440" w:type="dxa"/>
            <w:vAlign w:val="bottom"/>
          </w:tcPr>
          <w:p>
            <w:pPr>
              <w:spacing w:after="0"/>
              <w:rPr>
                <w:sz w:val="20"/>
                <w:szCs w:val="20"/>
                <w:color w:val="auto"/>
              </w:rPr>
            </w:pPr>
          </w:p>
        </w:tc>
        <w:tc>
          <w:tcPr>
            <w:tcW w:w="182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Add: Non-GAAP adjustments to net loss</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6,848</w:t>
            </w:r>
          </w:p>
        </w:tc>
        <w:tc>
          <w:tcPr>
            <w:tcW w:w="36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34,531</w:t>
            </w:r>
          </w:p>
        </w:tc>
        <w:tc>
          <w:tcPr>
            <w:tcW w:w="0" w:type="dxa"/>
            <w:vAlign w:val="bottom"/>
          </w:tcPr>
          <w:p>
            <w:pPr>
              <w:spacing w:after="0"/>
              <w:rPr>
                <w:sz w:val="1"/>
                <w:szCs w:val="1"/>
                <w:color w:val="auto"/>
              </w:rPr>
            </w:pPr>
          </w:p>
        </w:tc>
      </w:tr>
      <w:tr>
        <w:trPr>
          <w:trHeight w:val="223"/>
        </w:trPr>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loss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net loss per ADS - Weighted average ADS outstanding</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10,178,966</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9,984,505</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diluted adjusted net loss per ADS - Weighted average ADS outstanding</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10,178,966</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9,984,505</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loss per ADS</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(2.81)</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70"/>
        </w:trPr>
        <w:tc>
          <w:tcPr>
            <w:tcW w:w="844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Add: Non-GAAP adjustments to net loss per ADS</w:t>
            </w:r>
            <w:r>
              <w:rPr>
                <w:rFonts w:ascii="Times New Roman" w:cs="Times New Roman" w:eastAsia="Times New Roman" w:hAnsi="Times New Roman"/>
                <w:sz w:val="29"/>
                <w:szCs w:val="29"/>
                <w:color w:val="auto"/>
                <w:vertAlign w:val="superscript"/>
              </w:rPr>
              <w:t>2</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0.68</w:t>
            </w:r>
          </w:p>
        </w:tc>
        <w:tc>
          <w:tcPr>
            <w:tcW w:w="360" w:type="dxa"/>
            <w:vAlign w:val="bottom"/>
          </w:tcPr>
          <w:p>
            <w:pPr>
              <w:spacing w:after="0"/>
              <w:rPr>
                <w:sz w:val="23"/>
                <w:szCs w:val="23"/>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0"/>
        </w:trPr>
        <w:tc>
          <w:tcPr>
            <w:tcW w:w="8440" w:type="dxa"/>
            <w:vAlign w:val="bottom"/>
            <w:vMerge w:val="restart"/>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Diluted adjusted net loss per ADS</w:t>
            </w:r>
            <w:r>
              <w:rPr>
                <w:rFonts w:ascii="Times New Roman" w:cs="Times New Roman" w:eastAsia="Times New Roman" w:hAnsi="Times New Roman"/>
                <w:sz w:val="29"/>
                <w:szCs w:val="29"/>
                <w:color w:val="auto"/>
                <w:vertAlign w:val="superscript"/>
              </w:rPr>
              <w:t>2</w:t>
            </w: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40" w:type="dxa"/>
            <w:vAlign w:val="bottom"/>
            <w:vMerge w:val="continue"/>
            <w:shd w:val="clear" w:color="auto" w:fill="CCEEFF"/>
          </w:tcPr>
          <w:p>
            <w:pPr>
              <w:spacing w:after="0"/>
              <w:rPr>
                <w:sz w:val="22"/>
                <w:szCs w:val="22"/>
                <w:color w:val="auto"/>
              </w:rPr>
            </w:pP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(2.13)</w:t>
            </w:r>
          </w:p>
        </w:tc>
        <w:tc>
          <w:tcPr>
            <w:tcW w:w="3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8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bullet"/>
      <w:start w:val="1"/>
    </w:lvl>
  </w:abstractNum>
  <w:abstractNum w:abstractNumId="1">
    <w:nsid w:val="3D1B58BA"/>
    <w:multiLevelType w:val="hybridMultilevel"/>
    <w:lvl w:ilvl="0">
      <w:lvlJc w:val="left"/>
      <w:lvlText w:val="2"/>
      <w:numFmt w:val="bullet"/>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1)"/>
      <w:numFmt w:val="lowerRoman"/>
      <w:start w:val="5"/>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5"/>
      <w:numFmt w:val="bullet"/>
      <w:start w:val="1"/>
    </w:lvl>
  </w:abstractNum>
  <w:abstractNum w:abstractNumId="6">
    <w:nsid w:val="7545E146"/>
    <w:multiLevelType w:val="hybridMultilevel"/>
    <w:lvl w:ilvl="0">
      <w:lvlJc w:val="left"/>
      <w:lvlText w:val="6"/>
      <w:numFmt w:val="bullet"/>
      <w:start w:val="1"/>
    </w:lvl>
  </w:abstractNum>
  <w:abstractNum w:abstractNumId="7">
    <w:nsid w:val="515F007C"/>
    <w:multiLevelType w:val="hybridMultilevel"/>
    <w:lvl w:ilvl="0">
      <w:lvlJc w:val="left"/>
      <w:lvlText w:val="7"/>
      <w:numFmt w:val="bullet"/>
      <w:start w:val="1"/>
    </w:lvl>
  </w:abstractNum>
  <w:abstractNum w:abstractNumId="8">
    <w:nsid w:val="5BD062C2"/>
    <w:multiLevelType w:val="hybridMultilevel"/>
    <w:lvl w:ilvl="0">
      <w:lvlJc w:val="left"/>
      <w:lvlText w:val="8"/>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2023-12-13T08:28:36Z</dcterms:created>
  <dcterms:modified xsi:type="dcterms:W3CDTF">2023-12-13T08:28:36Z</dcterms:modified>
</cp:coreProperties>
</file>