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29450" cy="1962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29450" cy="1962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July 22,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iClick Interactive Asia Group Limited</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F-3 (File No. 333-239982)</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CIK No. 0001697818</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300" w:firstLine="991"/>
        <w:spacing w:after="0" w:line="308" w:lineRule="auto"/>
        <w:rPr>
          <w:sz w:val="20"/>
          <w:szCs w:val="20"/>
          <w:color w:val="auto"/>
        </w:rPr>
      </w:pPr>
      <w:r>
        <w:rPr>
          <w:rFonts w:ascii="Arial" w:cs="Arial" w:eastAsia="Arial" w:hAnsi="Arial"/>
          <w:sz w:val="17"/>
          <w:szCs w:val="17"/>
          <w:color w:val="auto"/>
        </w:rPr>
        <w:t>On behalf of the above-named registrant, we are filing this letter in order to provide the staff of the Division of Corporation Finance sufficient time to perform its customary screening and review of registration statements prior to their effectiveness.</w:t>
      </w:r>
    </w:p>
    <w:p>
      <w:pPr>
        <w:spacing w:after="0" w:line="146" w:lineRule="exact"/>
        <w:rPr>
          <w:sz w:val="24"/>
          <w:szCs w:val="24"/>
          <w:color w:val="auto"/>
        </w:rPr>
      </w:pPr>
    </w:p>
    <w:p>
      <w:pPr>
        <w:ind w:right="80" w:firstLine="991"/>
        <w:spacing w:after="0" w:line="263" w:lineRule="auto"/>
        <w:rPr>
          <w:sz w:val="20"/>
          <w:szCs w:val="20"/>
          <w:color w:val="auto"/>
        </w:rPr>
      </w:pPr>
      <w:r>
        <w:rPr>
          <w:rFonts w:ascii="Arial" w:cs="Arial" w:eastAsia="Arial" w:hAnsi="Arial"/>
          <w:sz w:val="18"/>
          <w:szCs w:val="18"/>
          <w:color w:val="auto"/>
        </w:rPr>
        <w:t>Pursuant to Rule 473(c) of the Securities Act of 1933 (the “Act”), the following delaying amendment, prescribed by Rule 473(a) of the Act, is hereby incorporated into the facing page (following the calculation of the registration fee) of the Registration Statement on Form F-3 (File No. 333-239982), filed by iClick Interactive Asia Group Limited on July 21, 2020:</w:t>
      </w:r>
    </w:p>
    <w:p>
      <w:pPr>
        <w:spacing w:after="0" w:line="184" w:lineRule="exact"/>
        <w:rPr>
          <w:sz w:val="24"/>
          <w:szCs w:val="24"/>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84455</wp:posOffset>
            </wp:positionV>
            <wp:extent cx="3960495"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0495" cy="257175"/>
                    </a:xfrm>
                    <a:prstGeom prst="rect">
                      <a:avLst/>
                    </a:prstGeom>
                    <a:noFill/>
                  </pic:spPr>
                </pic:pic>
              </a:graphicData>
            </a:graphic>
          </wp:anchor>
        </w:drawing>
      </w:r>
    </w:p>
    <w:p>
      <w:pPr>
        <w:sectPr>
          <w:pgSz w:w="11900" w:h="16838" w:orient="portrait"/>
          <w:cols w:equalWidth="0" w:num="1">
            <w:col w:w="10780"/>
          </w:cols>
          <w:pgMar w:left="440" w:top="1440"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 Securities and Exchange Commission, p. 2</w:t>
      </w:r>
    </w:p>
    <w:p>
      <w:pPr>
        <w:spacing w:after="0" w:line="266"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If you have any questions or comments in connection with this delaying amendment, please contact the undersigned by phone at +852-2532-3783 or via e-mail at szhao@cgsh.com, or Terence Li, Chief Financial Officer of iClick Interactive Asia Group Limited via email at terence.li@i-click.com.</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CLEARY GOTTLIEB STEEN &amp; HAMILTON LLP</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Shuang ZHAO, a Partner</w:t>
      </w: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Terence Li, Chief Financial Officer, iClick Interactive Asia Group Limited</w:t>
      </w:r>
    </w:p>
    <w:sectPr>
      <w:pgSz w:w="11900" w:h="16838" w:orient="portrait"/>
      <w:cols w:equalWidth="0" w:num="1">
        <w:col w:w="10380"/>
      </w:cols>
      <w:pgMar w:left="440" w:top="274"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2020-07-22T05:10:20Z</dcterms:created>
  <dcterms:modified xsi:type="dcterms:W3CDTF">2020-07-22T05:10:20Z</dcterms:modified>
</cp:coreProperties>
</file>