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9, 2018</w:t>
      </w:r>
    </w:p>
    <w:p>
      <w:pPr>
        <w:spacing w:after="0" w:line="27" w:lineRule="exact"/>
        <w:rPr>
          <w:sz w:val="24"/>
          <w:szCs w:val="24"/>
          <w:color w:val="auto"/>
        </w:rPr>
      </w:pPr>
    </w:p>
    <w:p>
      <w:pPr>
        <w:ind w:left="94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133350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133350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8"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12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Cayman Islands</w:t>
            </w:r>
          </w:p>
        </w:tc>
        <w:tc>
          <w:tcPr>
            <w:tcW w:w="3620" w:type="dxa"/>
            <w:vAlign w:val="bottom"/>
          </w:tcPr>
          <w:p>
            <w:pPr>
              <w:jc w:val="center"/>
              <w:ind w:left="1850"/>
              <w:spacing w:after="0"/>
              <w:rPr>
                <w:sz w:val="20"/>
                <w:szCs w:val="20"/>
                <w:color w:val="auto"/>
              </w:rPr>
            </w:pPr>
            <w:r>
              <w:rPr>
                <w:rFonts w:ascii="Arial" w:cs="Arial" w:eastAsia="Arial" w:hAnsi="Arial"/>
                <w:sz w:val="18"/>
                <w:szCs w:val="18"/>
                <w:b w:val="1"/>
                <w:bCs w:val="1"/>
                <w:color w:val="auto"/>
                <w:w w:val="92"/>
              </w:rPr>
              <w:t>Not Applicable</w:t>
            </w:r>
          </w:p>
        </w:tc>
      </w:tr>
      <w:tr>
        <w:trPr>
          <w:trHeight w:val="216"/>
        </w:trPr>
        <w:tc>
          <w:tcPr>
            <w:tcW w:w="4120" w:type="dxa"/>
            <w:vAlign w:val="bottom"/>
          </w:tcPr>
          <w:p>
            <w:pPr>
              <w:jc w:val="center"/>
              <w:ind w:right="1850"/>
              <w:spacing w:after="0"/>
              <w:rPr>
                <w:sz w:val="20"/>
                <w:szCs w:val="20"/>
                <w:color w:val="auto"/>
              </w:rPr>
            </w:pPr>
            <w:r>
              <w:rPr>
                <w:rFonts w:ascii="Arial" w:cs="Arial" w:eastAsia="Arial" w:hAnsi="Arial"/>
                <w:sz w:val="18"/>
                <w:szCs w:val="18"/>
                <w:color w:val="auto"/>
                <w:w w:val="93"/>
              </w:rPr>
              <w:t>(State or other jurisdiction of</w:t>
            </w:r>
          </w:p>
        </w:tc>
        <w:tc>
          <w:tcPr>
            <w:tcW w:w="3620" w:type="dxa"/>
            <w:vAlign w:val="bottom"/>
          </w:tcPr>
          <w:p>
            <w:pPr>
              <w:jc w:val="center"/>
              <w:ind w:left="1850"/>
              <w:spacing w:after="0"/>
              <w:rPr>
                <w:sz w:val="20"/>
                <w:szCs w:val="20"/>
                <w:color w:val="auto"/>
              </w:rPr>
            </w:pPr>
            <w:r>
              <w:rPr>
                <w:rFonts w:ascii="Arial" w:cs="Arial" w:eastAsia="Arial" w:hAnsi="Arial"/>
                <w:sz w:val="18"/>
                <w:szCs w:val="18"/>
                <w:color w:val="auto"/>
                <w:w w:val="93"/>
              </w:rPr>
              <w:t>(I.R.S. Employer</w:t>
            </w:r>
          </w:p>
        </w:tc>
      </w:tr>
      <w:tr>
        <w:trPr>
          <w:trHeight w:val="230"/>
        </w:trPr>
        <w:tc>
          <w:tcPr>
            <w:tcW w:w="4120" w:type="dxa"/>
            <w:vAlign w:val="bottom"/>
          </w:tcPr>
          <w:p>
            <w:pPr>
              <w:jc w:val="center"/>
              <w:ind w:right="1850"/>
              <w:spacing w:after="0"/>
              <w:rPr>
                <w:sz w:val="20"/>
                <w:szCs w:val="20"/>
                <w:color w:val="auto"/>
              </w:rPr>
            </w:pPr>
            <w:r>
              <w:rPr>
                <w:rFonts w:ascii="Arial" w:cs="Arial" w:eastAsia="Arial" w:hAnsi="Arial"/>
                <w:sz w:val="18"/>
                <w:szCs w:val="18"/>
                <w:color w:val="auto"/>
                <w:w w:val="93"/>
              </w:rPr>
              <w:t>incorporation or organization)</w:t>
            </w:r>
          </w:p>
        </w:tc>
        <w:tc>
          <w:tcPr>
            <w:tcW w:w="3620" w:type="dxa"/>
            <w:vAlign w:val="bottom"/>
          </w:tcPr>
          <w:p>
            <w:pPr>
              <w:jc w:val="center"/>
              <w:ind w:left="1870"/>
              <w:spacing w:after="0"/>
              <w:rPr>
                <w:sz w:val="20"/>
                <w:szCs w:val="20"/>
                <w:color w:val="auto"/>
              </w:rPr>
            </w:pPr>
            <w:r>
              <w:rPr>
                <w:rFonts w:ascii="Arial" w:cs="Arial" w:eastAsia="Arial" w:hAnsi="Arial"/>
                <w:sz w:val="18"/>
                <w:szCs w:val="18"/>
                <w:color w:val="auto"/>
                <w:w w:val="94"/>
              </w:rPr>
              <w:t>Identification Number)</w:t>
            </w: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+852 3700 9000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134620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Post-IPO Share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134620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 East 40th Street, 10th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(800) 221-0102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134620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45" w:right="239" w:bottom="0" w:gutter="0" w:footer="0" w:header="0"/>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 x</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x</w:t>
      </w:r>
    </w:p>
    <w:p>
      <w:pPr>
        <w:spacing w:after="0" w:line="126" w:lineRule="exact"/>
        <w:rPr>
          <w:sz w:val="24"/>
          <w:szCs w:val="24"/>
          <w:color w:val="auto"/>
        </w:rPr>
      </w:pPr>
    </w:p>
    <w:p>
      <w:pPr>
        <w:sectPr>
          <w:pgSz w:w="11900" w:h="16838" w:orient="portrait"/>
          <w:cols w:equalWidth="0" w:num="3">
            <w:col w:w="4020" w:space="720"/>
            <w:col w:w="3320" w:space="720"/>
            <w:col w:w="2640"/>
          </w:cols>
          <w:pgMar w:left="240" w:top="445" w:right="239" w:bottom="0" w:gutter="0" w:footer="0" w:header="0"/>
          <w:type w:val="continuous"/>
        </w:sect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x</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520" w:type="dxa"/>
            <w:vAlign w:val="bottom"/>
          </w:tcPr>
          <w:p>
            <w:pPr>
              <w:ind w:left="660"/>
              <w:spacing w:after="0"/>
              <w:rPr>
                <w:sz w:val="20"/>
                <w:szCs w:val="20"/>
                <w:color w:val="auto"/>
              </w:rPr>
            </w:pPr>
            <w:r>
              <w:rPr>
                <w:rFonts w:ascii="Arial" w:cs="Arial" w:eastAsia="Arial" w:hAnsi="Arial"/>
                <w:sz w:val="18"/>
                <w:szCs w:val="18"/>
                <w:b w:val="1"/>
                <w:bCs w:val="1"/>
                <w:color w:val="auto"/>
                <w:w w:val="95"/>
              </w:rPr>
              <w:t>Copies to:</w:t>
            </w:r>
          </w:p>
        </w:tc>
        <w:tc>
          <w:tcPr>
            <w:tcW w:w="1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4640" w:type="dxa"/>
            <w:vAlign w:val="bottom"/>
          </w:tcPr>
          <w:p>
            <w:pPr>
              <w:jc w:val="center"/>
              <w:ind w:left="852"/>
              <w:spacing w:after="0"/>
              <w:rPr>
                <w:sz w:val="20"/>
                <w:szCs w:val="20"/>
                <w:color w:val="auto"/>
              </w:rPr>
            </w:pPr>
            <w:r>
              <w:rPr>
                <w:rFonts w:ascii="Arial" w:cs="Arial" w:eastAsia="Arial" w:hAnsi="Arial"/>
                <w:sz w:val="18"/>
                <w:szCs w:val="18"/>
                <w:b w:val="1"/>
                <w:bCs w:val="1"/>
                <w:color w:val="auto"/>
                <w:w w:val="90"/>
              </w:rPr>
              <w:t>Wing Hong Sammy Hsieh</w:t>
            </w:r>
          </w:p>
        </w:tc>
        <w:tc>
          <w:tcPr>
            <w:tcW w:w="1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80" w:type="dxa"/>
            <w:vAlign w:val="bottom"/>
          </w:tcPr>
          <w:p>
            <w:pPr>
              <w:jc w:val="center"/>
              <w:ind w:right="678"/>
              <w:spacing w:after="0"/>
              <w:rPr>
                <w:sz w:val="20"/>
                <w:szCs w:val="20"/>
                <w:color w:val="auto"/>
              </w:rPr>
            </w:pPr>
            <w:r>
              <w:rPr>
                <w:rFonts w:ascii="Arial" w:cs="Arial" w:eastAsia="Arial" w:hAnsi="Arial"/>
                <w:sz w:val="18"/>
                <w:szCs w:val="18"/>
                <w:b w:val="1"/>
                <w:bCs w:val="1"/>
                <w:color w:val="auto"/>
                <w:w w:val="88"/>
              </w:rPr>
              <w:t>Shuang Zhao, Esq.</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jc w:val="center"/>
              <w:ind w:left="852"/>
              <w:spacing w:after="0"/>
              <w:rPr>
                <w:sz w:val="20"/>
                <w:szCs w:val="20"/>
                <w:color w:val="auto"/>
              </w:rPr>
            </w:pPr>
            <w:r>
              <w:rPr>
                <w:rFonts w:ascii="Arial" w:cs="Arial" w:eastAsia="Arial" w:hAnsi="Arial"/>
                <w:sz w:val="18"/>
                <w:szCs w:val="18"/>
                <w:color w:val="auto"/>
                <w:w w:val="92"/>
              </w:rPr>
              <w:t>Chairman and Chief Executive Officer</w:t>
            </w:r>
          </w:p>
        </w:tc>
        <w:tc>
          <w:tcPr>
            <w:tcW w:w="1520" w:type="dxa"/>
            <w:vAlign w:val="bottom"/>
          </w:tcPr>
          <w:p>
            <w:pPr>
              <w:spacing w:after="0"/>
              <w:rPr>
                <w:sz w:val="18"/>
                <w:szCs w:val="18"/>
                <w:color w:val="auto"/>
              </w:rPr>
            </w:pPr>
          </w:p>
        </w:tc>
        <w:tc>
          <w:tcPr>
            <w:tcW w:w="3960" w:type="dxa"/>
            <w:vAlign w:val="bottom"/>
            <w:gridSpan w:val="2"/>
          </w:tcPr>
          <w:p>
            <w:pPr>
              <w:jc w:val="center"/>
              <w:ind w:left="838"/>
              <w:spacing w:after="0"/>
              <w:rPr>
                <w:sz w:val="20"/>
                <w:szCs w:val="20"/>
                <w:color w:val="auto"/>
              </w:rPr>
            </w:pPr>
            <w:r>
              <w:rPr>
                <w:rFonts w:ascii="Arial" w:cs="Arial" w:eastAsia="Arial" w:hAnsi="Arial"/>
                <w:sz w:val="18"/>
                <w:szCs w:val="18"/>
                <w:color w:val="auto"/>
                <w:w w:val="94"/>
              </w:rPr>
              <w:t>Cleary Gottlieb Steen &amp; Hamilton LLP</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jc w:val="center"/>
              <w:ind w:left="852"/>
              <w:spacing w:after="0"/>
              <w:rPr>
                <w:sz w:val="20"/>
                <w:szCs w:val="20"/>
                <w:color w:val="auto"/>
              </w:rPr>
            </w:pPr>
            <w:r>
              <w:rPr>
                <w:rFonts w:ascii="Arial" w:cs="Arial" w:eastAsia="Arial" w:hAnsi="Arial"/>
                <w:sz w:val="18"/>
                <w:szCs w:val="18"/>
                <w:color w:val="auto"/>
                <w:w w:val="94"/>
              </w:rPr>
              <w:t>iClick Interactive Asia Group Limited</w:t>
            </w:r>
          </w:p>
        </w:tc>
        <w:tc>
          <w:tcPr>
            <w:tcW w:w="1520" w:type="dxa"/>
            <w:vAlign w:val="bottom"/>
          </w:tcPr>
          <w:p>
            <w:pPr>
              <w:spacing w:after="0"/>
              <w:rPr>
                <w:sz w:val="18"/>
                <w:szCs w:val="18"/>
                <w:color w:val="auto"/>
              </w:rPr>
            </w:pPr>
          </w:p>
        </w:tc>
        <w:tc>
          <w:tcPr>
            <w:tcW w:w="3960" w:type="dxa"/>
            <w:vAlign w:val="bottom"/>
            <w:gridSpan w:val="2"/>
          </w:tcPr>
          <w:p>
            <w:pPr>
              <w:jc w:val="center"/>
              <w:ind w:left="858"/>
              <w:spacing w:after="0" w:line="216" w:lineRule="exact"/>
              <w:rPr>
                <w:sz w:val="20"/>
                <w:szCs w:val="20"/>
                <w:color w:val="auto"/>
              </w:rPr>
            </w:pPr>
            <w:r>
              <w:rPr>
                <w:rFonts w:ascii="Arial" w:cs="Arial" w:eastAsia="Arial" w:hAnsi="Arial"/>
                <w:sz w:val="18"/>
                <w:szCs w:val="18"/>
                <w:color w:val="auto"/>
                <w:w w:val="88"/>
              </w:rPr>
              <w:t>c/o 37</w:t>
            </w:r>
            <w:r>
              <w:rPr>
                <w:rFonts w:ascii="Arial" w:cs="Arial" w:eastAsia="Arial" w:hAnsi="Arial"/>
                <w:sz w:val="23"/>
                <w:szCs w:val="23"/>
                <w:color w:val="auto"/>
                <w:w w:val="88"/>
                <w:vertAlign w:val="superscript"/>
              </w:rPr>
              <w:t>th</w:t>
            </w:r>
            <w:r>
              <w:rPr>
                <w:rFonts w:ascii="Arial" w:cs="Arial" w:eastAsia="Arial" w:hAnsi="Arial"/>
                <w:sz w:val="18"/>
                <w:szCs w:val="18"/>
                <w:color w:val="auto"/>
                <w:w w:val="88"/>
              </w:rPr>
              <w:t xml:space="preserve"> Floor, Hysan Place</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jc w:val="center"/>
              <w:ind w:left="852"/>
              <w:spacing w:after="0"/>
              <w:rPr>
                <w:sz w:val="20"/>
                <w:szCs w:val="20"/>
                <w:color w:val="auto"/>
              </w:rPr>
            </w:pPr>
            <w:r>
              <w:rPr>
                <w:rFonts w:ascii="Arial" w:cs="Arial" w:eastAsia="Arial" w:hAnsi="Arial"/>
                <w:sz w:val="18"/>
                <w:szCs w:val="18"/>
                <w:color w:val="auto"/>
                <w:w w:val="92"/>
              </w:rPr>
              <w:t>15/F, Prosperity Millennia Plaza</w:t>
            </w:r>
          </w:p>
        </w:tc>
        <w:tc>
          <w:tcPr>
            <w:tcW w:w="1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80" w:type="dxa"/>
            <w:vAlign w:val="bottom"/>
          </w:tcPr>
          <w:p>
            <w:pPr>
              <w:jc w:val="center"/>
              <w:ind w:right="678"/>
              <w:spacing w:after="0"/>
              <w:rPr>
                <w:sz w:val="20"/>
                <w:szCs w:val="20"/>
                <w:color w:val="auto"/>
              </w:rPr>
            </w:pPr>
            <w:r>
              <w:rPr>
                <w:rFonts w:ascii="Arial" w:cs="Arial" w:eastAsia="Arial" w:hAnsi="Arial"/>
                <w:sz w:val="18"/>
                <w:szCs w:val="18"/>
                <w:color w:val="auto"/>
                <w:w w:val="88"/>
              </w:rPr>
              <w:t>500 Hennessy Road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jc w:val="center"/>
              <w:ind w:left="852"/>
              <w:spacing w:after="0"/>
              <w:rPr>
                <w:sz w:val="20"/>
                <w:szCs w:val="20"/>
                <w:color w:val="auto"/>
              </w:rPr>
            </w:pPr>
            <w:r>
              <w:rPr>
                <w:rFonts w:ascii="Arial" w:cs="Arial" w:eastAsia="Arial" w:hAnsi="Arial"/>
                <w:sz w:val="18"/>
                <w:szCs w:val="18"/>
                <w:color w:val="auto"/>
                <w:w w:val="91"/>
              </w:rPr>
              <w:t>663 King’s Road, Quarry Bay</w:t>
            </w:r>
          </w:p>
        </w:tc>
        <w:tc>
          <w:tcPr>
            <w:tcW w:w="1520" w:type="dxa"/>
            <w:vAlign w:val="bottom"/>
          </w:tcPr>
          <w:p>
            <w:pPr>
              <w:spacing w:after="0"/>
              <w:rPr>
                <w:sz w:val="18"/>
                <w:szCs w:val="18"/>
                <w:color w:val="auto"/>
              </w:rPr>
            </w:pPr>
          </w:p>
        </w:tc>
        <w:tc>
          <w:tcPr>
            <w:tcW w:w="3960" w:type="dxa"/>
            <w:vAlign w:val="bottom"/>
            <w:gridSpan w:val="2"/>
          </w:tcPr>
          <w:p>
            <w:pPr>
              <w:jc w:val="center"/>
              <w:ind w:left="838"/>
              <w:spacing w:after="0"/>
              <w:rPr>
                <w:sz w:val="20"/>
                <w:szCs w:val="20"/>
                <w:color w:val="auto"/>
              </w:rPr>
            </w:pPr>
            <w:r>
              <w:rPr>
                <w:rFonts w:ascii="Arial" w:cs="Arial" w:eastAsia="Arial" w:hAnsi="Arial"/>
                <w:sz w:val="18"/>
                <w:szCs w:val="18"/>
                <w:color w:val="auto"/>
                <w:w w:val="90"/>
              </w:rPr>
              <w:t>Causeway Bay, Hong Kong</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jc w:val="center"/>
              <w:ind w:left="872"/>
              <w:spacing w:after="0"/>
              <w:rPr>
                <w:sz w:val="20"/>
                <w:szCs w:val="20"/>
                <w:color w:val="auto"/>
              </w:rPr>
            </w:pPr>
            <w:r>
              <w:rPr>
                <w:rFonts w:ascii="Arial" w:cs="Arial" w:eastAsia="Arial" w:hAnsi="Arial"/>
                <w:sz w:val="18"/>
                <w:szCs w:val="18"/>
                <w:color w:val="auto"/>
                <w:w w:val="92"/>
              </w:rPr>
              <w:t>Hong Kong S.A.R., People’s Republic of China</w:t>
            </w:r>
          </w:p>
        </w:tc>
        <w:tc>
          <w:tcPr>
            <w:tcW w:w="1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80" w:type="dxa"/>
            <w:vAlign w:val="bottom"/>
          </w:tcPr>
          <w:p>
            <w:pPr>
              <w:jc w:val="center"/>
              <w:ind w:right="658"/>
              <w:spacing w:after="0"/>
              <w:rPr>
                <w:sz w:val="20"/>
                <w:szCs w:val="20"/>
                <w:color w:val="auto"/>
              </w:rPr>
            </w:pPr>
            <w:r>
              <w:rPr>
                <w:rFonts w:ascii="Arial" w:cs="Arial" w:eastAsia="Arial" w:hAnsi="Arial"/>
                <w:sz w:val="18"/>
                <w:szCs w:val="18"/>
                <w:color w:val="auto"/>
                <w:w w:val="90"/>
              </w:rPr>
              <w:t>+852 2532 3783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jc w:val="center"/>
              <w:ind w:left="870"/>
              <w:spacing w:after="0"/>
              <w:rPr>
                <w:sz w:val="20"/>
                <w:szCs w:val="20"/>
                <w:color w:val="auto"/>
              </w:rPr>
            </w:pPr>
            <w:r>
              <w:rPr>
                <w:rFonts w:ascii="Arial" w:cs="Arial" w:eastAsia="Arial" w:hAnsi="Arial"/>
                <w:sz w:val="18"/>
                <w:szCs w:val="18"/>
                <w:color w:val="auto"/>
                <w:w w:val="90"/>
              </w:rPr>
              <w:t>+852 3700 9000</w:t>
            </w:r>
          </w:p>
        </w:tc>
        <w:tc>
          <w:tcPr>
            <w:tcW w:w="1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7840" w:type="dxa"/>
            <w:vAlign w:val="bottom"/>
            <w:gridSpan w:val="3"/>
          </w:tcPr>
          <w:p>
            <w:pPr>
              <w:jc w:val="right"/>
              <w:ind w:right="338"/>
              <w:spacing w:after="0"/>
              <w:rPr>
                <w:sz w:val="20"/>
                <w:szCs w:val="20"/>
                <w:color w:val="auto"/>
              </w:rPr>
            </w:pPr>
            <w:r>
              <w:rPr>
                <w:rFonts w:ascii="Arial" w:cs="Arial" w:eastAsia="Arial" w:hAnsi="Arial"/>
                <w:sz w:val="18"/>
                <w:szCs w:val="18"/>
                <w:b w:val="1"/>
                <w:bCs w:val="1"/>
                <w:color w:val="auto"/>
              </w:rPr>
              <w:t>CALCULATION OF REGISTRATION FEE</w:t>
            </w:r>
          </w:p>
        </w:tc>
        <w:tc>
          <w:tcPr>
            <w:tcW w:w="2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5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Amount to be</w:t>
            </w:r>
          </w:p>
        </w:tc>
        <w:tc>
          <w:tcPr>
            <w:tcW w:w="1680" w:type="dxa"/>
            <w:vAlign w:val="bottom"/>
          </w:tcPr>
          <w:p>
            <w:pPr>
              <w:jc w:val="center"/>
              <w:ind w:right="198"/>
              <w:spacing w:after="0" w:line="106" w:lineRule="exact"/>
              <w:rPr>
                <w:sz w:val="20"/>
                <w:szCs w:val="20"/>
                <w:color w:val="auto"/>
              </w:rPr>
            </w:pPr>
            <w:r>
              <w:rPr>
                <w:rFonts w:ascii="Arial" w:cs="Arial" w:eastAsia="Arial" w:hAnsi="Arial"/>
                <w:sz w:val="12"/>
                <w:szCs w:val="12"/>
                <w:b w:val="1"/>
                <w:bCs w:val="1"/>
                <w:color w:val="auto"/>
              </w:rPr>
              <w:t>Proposed Maximum</w:t>
            </w:r>
          </w:p>
        </w:tc>
        <w:tc>
          <w:tcPr>
            <w:tcW w:w="2280" w:type="dxa"/>
            <w:vAlign w:val="bottom"/>
          </w:tcPr>
          <w:p>
            <w:pPr>
              <w:jc w:val="center"/>
              <w:ind w:right="298"/>
              <w:spacing w:after="0" w:line="106" w:lineRule="exact"/>
              <w:rPr>
                <w:sz w:val="20"/>
                <w:szCs w:val="20"/>
                <w:color w:val="auto"/>
              </w:rPr>
            </w:pPr>
            <w:r>
              <w:rPr>
                <w:rFonts w:ascii="Arial" w:cs="Arial" w:eastAsia="Arial" w:hAnsi="Arial"/>
                <w:sz w:val="12"/>
                <w:szCs w:val="12"/>
                <w:b w:val="1"/>
                <w:bCs w:val="1"/>
                <w:color w:val="auto"/>
              </w:rPr>
              <w:t>Proposed Maximum</w:t>
            </w:r>
          </w:p>
        </w:tc>
        <w:tc>
          <w:tcPr>
            <w:tcW w:w="1280" w:type="dxa"/>
            <w:vAlign w:val="bottom"/>
          </w:tcPr>
          <w:p>
            <w:pPr>
              <w:jc w:val="center"/>
              <w:ind w:right="223"/>
              <w:spacing w:after="0" w:line="106" w:lineRule="exact"/>
              <w:rPr>
                <w:sz w:val="20"/>
                <w:szCs w:val="20"/>
                <w:color w:val="auto"/>
              </w:rPr>
            </w:pPr>
            <w:r>
              <w:rPr>
                <w:rFonts w:ascii="Arial" w:cs="Arial" w:eastAsia="Arial" w:hAnsi="Arial"/>
                <w:sz w:val="12"/>
                <w:szCs w:val="12"/>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 xml:space="preserve">Title of Securities to be Registered </w:t>
            </w:r>
            <w:r>
              <w:rPr>
                <w:rFonts w:ascii="Arial" w:cs="Arial" w:eastAsia="Arial" w:hAnsi="Arial"/>
                <w:sz w:val="17"/>
                <w:szCs w:val="17"/>
                <w:b w:val="1"/>
                <w:bCs w:val="1"/>
                <w:color w:val="auto"/>
                <w:vertAlign w:val="superscript"/>
              </w:rPr>
              <w:t>(1)</w:t>
            </w:r>
          </w:p>
        </w:tc>
        <w:tc>
          <w:tcPr>
            <w:tcW w:w="1520" w:type="dxa"/>
            <w:vAlign w:val="bottom"/>
            <w:vMerge w:val="continue"/>
          </w:tcPr>
          <w:p>
            <w:pPr>
              <w:spacing w:after="0"/>
              <w:rPr>
                <w:sz w:val="12"/>
                <w:szCs w:val="12"/>
                <w:color w:val="auto"/>
              </w:rPr>
            </w:pPr>
          </w:p>
        </w:tc>
        <w:tc>
          <w:tcPr>
            <w:tcW w:w="168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4"/>
              </w:rPr>
              <w:t>Offering Price Per</w:t>
            </w:r>
          </w:p>
        </w:tc>
        <w:tc>
          <w:tcPr>
            <w:tcW w:w="2280" w:type="dxa"/>
            <w:vAlign w:val="bottom"/>
          </w:tcPr>
          <w:p>
            <w:pPr>
              <w:jc w:val="center"/>
              <w:ind w:right="298"/>
              <w:spacing w:after="0" w:line="149" w:lineRule="exact"/>
              <w:rPr>
                <w:sz w:val="20"/>
                <w:szCs w:val="20"/>
                <w:color w:val="auto"/>
              </w:rPr>
            </w:pPr>
            <w:r>
              <w:rPr>
                <w:rFonts w:ascii="Arial" w:cs="Arial" w:eastAsia="Arial" w:hAnsi="Arial"/>
                <w:sz w:val="14"/>
                <w:szCs w:val="14"/>
                <w:b w:val="1"/>
                <w:bCs w:val="1"/>
                <w:color w:val="auto"/>
                <w:w w:val="89"/>
              </w:rPr>
              <w:t>Aggregate</w:t>
            </w:r>
          </w:p>
        </w:tc>
        <w:tc>
          <w:tcPr>
            <w:tcW w:w="128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90"/>
              </w:rPr>
              <w:t>Registration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Borders>
              <w:bottom w:val="single" w:sz="8" w:color="auto"/>
            </w:tcBorders>
            <w:vMerge w:val="continue"/>
          </w:tcPr>
          <w:p>
            <w:pPr>
              <w:spacing w:after="0"/>
              <w:rPr>
                <w:sz w:val="14"/>
                <w:szCs w:val="14"/>
                <w:color w:val="auto"/>
              </w:rPr>
            </w:pPr>
          </w:p>
        </w:tc>
        <w:tc>
          <w:tcPr>
            <w:tcW w:w="1520" w:type="dxa"/>
            <w:vAlign w:val="bottom"/>
            <w:tcBorders>
              <w:bottom w:val="single" w:sz="8" w:color="auto"/>
            </w:tcBorders>
          </w:tcPr>
          <w:p>
            <w:pPr>
              <w:ind w:left="160"/>
              <w:spacing w:after="0" w:line="172" w:lineRule="exact"/>
              <w:rPr>
                <w:sz w:val="20"/>
                <w:szCs w:val="20"/>
                <w:color w:val="auto"/>
              </w:rPr>
            </w:pPr>
            <w:r>
              <w:rPr>
                <w:rFonts w:ascii="Arial" w:cs="Arial" w:eastAsia="Arial" w:hAnsi="Arial"/>
                <w:sz w:val="14"/>
                <w:szCs w:val="14"/>
                <w:b w:val="1"/>
                <w:bCs w:val="1"/>
                <w:color w:val="auto"/>
              </w:rPr>
              <w:t xml:space="preserve">Registered </w:t>
            </w:r>
            <w:r>
              <w:rPr>
                <w:rFonts w:ascii="Arial" w:cs="Arial" w:eastAsia="Arial" w:hAnsi="Arial"/>
                <w:sz w:val="17"/>
                <w:szCs w:val="17"/>
                <w:b w:val="1"/>
                <w:bCs w:val="1"/>
                <w:color w:val="auto"/>
                <w:vertAlign w:val="superscript"/>
              </w:rPr>
              <w:t>(2)</w:t>
            </w:r>
          </w:p>
        </w:tc>
        <w:tc>
          <w:tcPr>
            <w:tcW w:w="16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2"/>
              </w:rPr>
              <w:t>Share</w:t>
            </w:r>
          </w:p>
        </w:tc>
        <w:tc>
          <w:tcPr>
            <w:tcW w:w="2280" w:type="dxa"/>
            <w:vAlign w:val="bottom"/>
            <w:tcBorders>
              <w:bottom w:val="single" w:sz="8" w:color="auto"/>
            </w:tcBorders>
          </w:tcPr>
          <w:p>
            <w:pPr>
              <w:jc w:val="center"/>
              <w:ind w:right="278"/>
              <w:spacing w:after="0"/>
              <w:rPr>
                <w:sz w:val="20"/>
                <w:szCs w:val="20"/>
                <w:color w:val="auto"/>
              </w:rPr>
            </w:pPr>
            <w:r>
              <w:rPr>
                <w:rFonts w:ascii="Arial" w:cs="Arial" w:eastAsia="Arial" w:hAnsi="Arial"/>
                <w:sz w:val="14"/>
                <w:szCs w:val="14"/>
                <w:b w:val="1"/>
                <w:bCs w:val="1"/>
                <w:color w:val="auto"/>
                <w:w w:val="94"/>
              </w:rPr>
              <w:t>Offering Price</w:t>
            </w:r>
          </w:p>
        </w:tc>
        <w:tc>
          <w:tcPr>
            <w:tcW w:w="128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 A Ordinary Shares, par value $0.001 per share</w:t>
            </w:r>
          </w:p>
        </w:tc>
        <w:tc>
          <w:tcPr>
            <w:tcW w:w="15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1,500,000</w:t>
            </w:r>
            <w:r>
              <w:rPr>
                <w:rFonts w:ascii="Arial" w:cs="Arial" w:eastAsia="Arial" w:hAnsi="Arial"/>
                <w:sz w:val="11"/>
                <w:szCs w:val="11"/>
                <w:color w:val="auto"/>
              </w:rPr>
              <w:t>(3)</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r>
              <w:rPr>
                <w:rFonts w:ascii="Arial" w:cs="Arial" w:eastAsia="Arial" w:hAnsi="Arial"/>
                <w:sz w:val="11"/>
                <w:szCs w:val="11"/>
                <w:color w:val="auto"/>
              </w:rPr>
              <w:t>(3)</w:t>
            </w:r>
          </w:p>
        </w:tc>
        <w:tc>
          <w:tcPr>
            <w:tcW w:w="228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color w:val="auto"/>
              </w:rPr>
              <w:t>$11,280,000.00</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rPr>
              <w:t>$1,367.14</w:t>
            </w:r>
          </w:p>
        </w:tc>
        <w:tc>
          <w:tcPr>
            <w:tcW w:w="0" w:type="dxa"/>
            <w:vAlign w:val="bottom"/>
          </w:tcPr>
          <w:p>
            <w:pPr>
              <w:spacing w:after="0"/>
              <w:rPr>
                <w:sz w:val="1"/>
                <w:szCs w:val="1"/>
                <w:color w:val="auto"/>
              </w:rPr>
            </w:pPr>
          </w:p>
        </w:tc>
      </w:tr>
      <w:tr>
        <w:trPr>
          <w:trHeight w:val="224"/>
        </w:trPr>
        <w:tc>
          <w:tcPr>
            <w:tcW w:w="4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ind w:left="400"/>
              <w:spacing w:after="0"/>
              <w:rPr>
                <w:sz w:val="20"/>
                <w:szCs w:val="20"/>
                <w:color w:val="auto"/>
              </w:rPr>
            </w:pPr>
            <w:r>
              <w:rPr>
                <w:rFonts w:ascii="Arial" w:cs="Arial" w:eastAsia="Arial" w:hAnsi="Arial"/>
                <w:sz w:val="18"/>
                <w:szCs w:val="18"/>
                <w:color w:val="auto"/>
              </w:rPr>
              <w:t>1,500,000</w:t>
            </w:r>
          </w:p>
        </w:tc>
        <w:tc>
          <w:tcPr>
            <w:tcW w:w="168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398"/>
              <w:spacing w:after="0"/>
              <w:rPr>
                <w:sz w:val="20"/>
                <w:szCs w:val="20"/>
                <w:color w:val="auto"/>
              </w:rPr>
            </w:pPr>
            <w:r>
              <w:rPr>
                <w:rFonts w:ascii="Arial" w:cs="Arial" w:eastAsia="Arial" w:hAnsi="Arial"/>
                <w:sz w:val="18"/>
                <w:szCs w:val="18"/>
                <w:color w:val="auto"/>
              </w:rPr>
              <w:t>$11,280,000.00</w:t>
            </w:r>
          </w:p>
        </w:tc>
        <w:tc>
          <w:tcPr>
            <w:tcW w:w="1280" w:type="dxa"/>
            <w:vAlign w:val="bottom"/>
          </w:tcPr>
          <w:p>
            <w:pPr>
              <w:jc w:val="right"/>
              <w:ind w:right="23"/>
              <w:spacing w:after="0"/>
              <w:rPr>
                <w:sz w:val="20"/>
                <w:szCs w:val="20"/>
                <w:color w:val="auto"/>
              </w:rPr>
            </w:pPr>
            <w:r>
              <w:rPr>
                <w:rFonts w:ascii="Arial" w:cs="Arial" w:eastAsia="Arial" w:hAnsi="Arial"/>
                <w:sz w:val="18"/>
                <w:szCs w:val="18"/>
                <w:color w:val="auto"/>
              </w:rPr>
              <w:t>$1,367.14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00" w:right="40" w:hanging="492"/>
        <w:spacing w:after="0" w:line="264" w:lineRule="auto"/>
        <w:tabs>
          <w:tab w:leader="none" w:pos="50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These shares may be represented by the Registrant’s American deposit shares (“ADSs”), two representing one Class A ordinary share. The Registrant’s ADSs issuable upon deposit of the Class A ordinary shares registered hereby have been registered under a separate registration statement on Form F-6 (333-221860).</w:t>
      </w:r>
    </w:p>
    <w:p>
      <w:pPr>
        <w:spacing w:after="0" w:line="59" w:lineRule="exact"/>
        <w:rPr>
          <w:rFonts w:ascii="Arial" w:cs="Arial" w:eastAsia="Arial" w:hAnsi="Arial"/>
          <w:sz w:val="18"/>
          <w:szCs w:val="18"/>
          <w:color w:val="auto"/>
        </w:rPr>
      </w:pPr>
    </w:p>
    <w:p>
      <w:pPr>
        <w:ind w:left="500" w:right="200" w:hanging="492"/>
        <w:spacing w:after="0" w:line="257" w:lineRule="auto"/>
        <w:tabs>
          <w:tab w:leader="none" w:pos="50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total amount to be registered represents 1,500,000 Class A ordinary shares that have been added to the award pool under the Post-IPO Share Incentive Plan, as amended and restated on September 22, 2018 (the “Plan”) and are reserved for future issuances pursuant to award grants under the Plan. Pursuant to Rule 416(a) under the Securities Act of 1933, as amended (the “Securities Act”), this registration statement also covers an indeterminate number of additional shares which may be offered and issued to prevent dilution from share splits, share dividends or similar transactions as provided in the Plan.</w:t>
      </w:r>
    </w:p>
    <w:p>
      <w:pPr>
        <w:spacing w:after="0" w:line="66" w:lineRule="exact"/>
        <w:rPr>
          <w:rFonts w:ascii="Arial" w:cs="Arial" w:eastAsia="Arial" w:hAnsi="Arial"/>
          <w:sz w:val="18"/>
          <w:szCs w:val="18"/>
          <w:color w:val="auto"/>
        </w:rPr>
      </w:pPr>
    </w:p>
    <w:p>
      <w:pPr>
        <w:ind w:left="500" w:right="320" w:hanging="492"/>
        <w:spacing w:after="0" w:line="291" w:lineRule="auto"/>
        <w:tabs>
          <w:tab w:leader="none" w:pos="501"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amount to be registered represents 1,500,000 Class A ordinary shares reserved for future award grants under the Plan. The proposed maximum offering price per share for these Class A ordinary shares, which is estimated solely for the purposes of calculating the registration fee under</w:t>
      </w:r>
    </w:p>
    <w:p>
      <w:pPr>
        <w:ind w:left="500" w:right="180"/>
        <w:spacing w:after="0" w:line="290" w:lineRule="auto"/>
        <w:rPr>
          <w:rFonts w:ascii="Arial" w:cs="Arial" w:eastAsia="Arial" w:hAnsi="Arial"/>
          <w:sz w:val="16"/>
          <w:szCs w:val="16"/>
          <w:color w:val="auto"/>
        </w:rPr>
      </w:pPr>
      <w:r>
        <w:rPr>
          <w:rFonts w:ascii="Arial" w:cs="Arial" w:eastAsia="Arial" w:hAnsi="Arial"/>
          <w:sz w:val="17"/>
          <w:szCs w:val="17"/>
          <w:color w:val="auto"/>
        </w:rPr>
        <w:t>Rule 457(h) and Rule 457(c) under the Securities Act, is based on $3.76 per ADS, the average of the high and low prices for the registrant’s ADSs as quoted on the Nasdaq Global Market on October 3, 2018 and adjusted for the Class A ordinary share-to-ADS ratio.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-1800225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t>EXPLANATORY NOTE</w:t>
      </w:r>
    </w:p>
    <w:p>
      <w:pPr>
        <w:spacing w:after="0" w:line="229" w:lineRule="exact"/>
        <w:rPr>
          <w:sz w:val="20"/>
          <w:szCs w:val="20"/>
          <w:color w:val="auto"/>
        </w:rPr>
      </w:pPr>
    </w:p>
    <w:p>
      <w:pPr>
        <w:jc w:val="both"/>
        <w:ind w:right="40" w:firstLine="446"/>
        <w:spacing w:after="0" w:line="264" w:lineRule="auto"/>
        <w:rPr>
          <w:sz w:val="20"/>
          <w:szCs w:val="20"/>
          <w:color w:val="auto"/>
        </w:rPr>
      </w:pPr>
      <w:r>
        <w:rPr>
          <w:rFonts w:ascii="Arial" w:cs="Arial" w:eastAsia="Arial" w:hAnsi="Arial"/>
          <w:sz w:val="18"/>
          <w:szCs w:val="18"/>
          <w:color w:val="auto"/>
        </w:rPr>
        <w:t>This registration statement on Form S-8 is filed pursuant to General Instruction E to Form S-8 for the purposes of registering an aggregate of 1,500,000 Class A Ordinary Shares of iClick Interactive Asia Group Limited (the “Registrant”) that have been added to the award pool pursuant to the terms of Post-IPO Share Incentive Plan, as amended and restated on September 22, 2018 (the “Plan”).</w:t>
      </w:r>
    </w:p>
    <w:p>
      <w:pPr>
        <w:spacing w:after="0" w:line="181" w:lineRule="exact"/>
        <w:rPr>
          <w:sz w:val="20"/>
          <w:szCs w:val="20"/>
          <w:color w:val="auto"/>
        </w:rPr>
      </w:pPr>
    </w:p>
    <w:p>
      <w:pPr>
        <w:ind w:right="100" w:firstLine="446"/>
        <w:spacing w:after="0" w:line="276" w:lineRule="auto"/>
        <w:rPr>
          <w:sz w:val="20"/>
          <w:szCs w:val="20"/>
          <w:color w:val="auto"/>
        </w:rPr>
      </w:pPr>
      <w:r>
        <w:rPr>
          <w:rFonts w:ascii="Arial" w:cs="Arial" w:eastAsia="Arial" w:hAnsi="Arial"/>
          <w:sz w:val="17"/>
          <w:szCs w:val="17"/>
          <w:color w:val="auto"/>
        </w:rPr>
        <w:t>Previously, an aggregate of 1,106,194 Class A ordinary shares of the Registrant were registered for issuance under the Plan pursuant to the Registrant’s registration statements on Form S-8 filed on June 12, 2018 (File No. 333-225568) (the “Prior Registration Statement”). In accordance with General Instruction E to Form S-8, the contents of the Prior Registration Statement are incorporated herein by reference, except as otherwise set forth herein. On September 22, 2018, the board of directors of the Registrant approved an increase of 1,500,000 Class A ordinary shares to the award pool under the Plan. The newly added 1,500,000 Class A ordinary shares are being registered on this registration statement.</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Incorporation of Documents by Reference</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following documents previously filed by the Registrant with the Securities and Exchange Commission (the “Commission”) are incorporated by reference herein:</w:t>
      </w:r>
    </w:p>
    <w:p>
      <w:pPr>
        <w:spacing w:after="0" w:line="170" w:lineRule="exact"/>
        <w:rPr>
          <w:sz w:val="20"/>
          <w:szCs w:val="20"/>
          <w:color w:val="auto"/>
        </w:rPr>
      </w:pPr>
    </w:p>
    <w:p>
      <w:pPr>
        <w:ind w:left="1300" w:hanging="968"/>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Prior Registration Statement;</w:t>
      </w:r>
    </w:p>
    <w:p>
      <w:pPr>
        <w:spacing w:after="0" w:line="225" w:lineRule="exact"/>
        <w:rPr>
          <w:rFonts w:ascii="Arial" w:cs="Arial" w:eastAsia="Arial" w:hAnsi="Arial"/>
          <w:sz w:val="18"/>
          <w:szCs w:val="18"/>
          <w:color w:val="auto"/>
        </w:rPr>
      </w:pPr>
    </w:p>
    <w:p>
      <w:pPr>
        <w:ind w:left="1300" w:right="540" w:hanging="968"/>
        <w:spacing w:after="0" w:line="277" w:lineRule="auto"/>
        <w:tabs>
          <w:tab w:leader="none" w:pos="130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20-F for the year ended December 31, 2017, filed with the Commission on April 20, 2018, as amended on June 8, 2018 (File No. 001-38313); and</w:t>
      </w:r>
    </w:p>
    <w:p>
      <w:pPr>
        <w:spacing w:after="0" w:line="170" w:lineRule="exact"/>
        <w:rPr>
          <w:rFonts w:ascii="Arial" w:cs="Arial" w:eastAsia="Arial" w:hAnsi="Arial"/>
          <w:sz w:val="18"/>
          <w:szCs w:val="18"/>
          <w:color w:val="auto"/>
        </w:rPr>
      </w:pPr>
    </w:p>
    <w:p>
      <w:pPr>
        <w:ind w:left="1300" w:right="60" w:hanging="968"/>
        <w:spacing w:after="0" w:line="264" w:lineRule="auto"/>
        <w:tabs>
          <w:tab w:leader="none" w:pos="131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Class A ordinary shares and ADSs incorporated by reference in the Registrant’s registration statement on Form 8-A (File No. 001-38313) filed with the Commission on December 1, 2017, including any amendment and report subsequently filed for the purpose of updating that description.</w:t>
      </w:r>
    </w:p>
    <w:p>
      <w:pPr>
        <w:spacing w:after="0" w:line="181"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All documents subsequently filed by the Registrant pursuant to Sections 13(a), 13(c), 14 or 15(d) of the Securities Exchange Act of 1934, as amended (the “Exchange Act”),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hereof from the date of filing of such documents. Any statement in a document incorporated or deemed to be incorporated by reference in this registration statement will be deemed to be modified or superseded to the extent that a statement contained in this registration statement or in any other later filed document that also is or is deemed to be incorporated by reference modifies or supersedes such statement. Any such statement so modified or superseded will not be deemed, except as so modified or superseded, to be a part of this registration statement.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Index to Exhibits attached hereto.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4600" w:type="dxa"/>
            <w:vAlign w:val="bottom"/>
            <w:gridSpan w:val="5"/>
          </w:tcPr>
          <w:p>
            <w:pPr>
              <w:jc w:val="right"/>
              <w:ind w:right="220"/>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32"/>
        </w:trPr>
        <w:tc>
          <w:tcPr>
            <w:tcW w:w="13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40" w:type="dxa"/>
            <w:vAlign w:val="bottom"/>
            <w:gridSpan w:val="14"/>
          </w:tcPr>
          <w:p>
            <w:pPr>
              <w:jc w:val="center"/>
              <w:ind w:right="40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3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gridSpan w:val="11"/>
          </w:tcPr>
          <w:p>
            <w:pPr>
              <w:ind w:left="2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318"/>
        </w:trPr>
        <w:tc>
          <w:tcPr>
            <w:tcW w:w="138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EE"/>
                <w:w w:val="96"/>
              </w:rPr>
            </w:pPr>
            <w:hyperlink r:id="rId20">
              <w:r>
                <w:rPr>
                  <w:rFonts w:ascii="Arial" w:cs="Arial" w:eastAsia="Arial" w:hAnsi="Arial"/>
                  <w:sz w:val="18"/>
                  <w:szCs w:val="18"/>
                  <w:color w:val="0000EE"/>
                  <w:w w:val="96"/>
                </w:rPr>
                <w:t>Eighth Amended and Restated Memorandum and Articles of Association of the Registrant (incorporated herein by reference to</w:t>
              </w:r>
            </w:hyperlink>
          </w:p>
        </w:tc>
      </w:tr>
      <w:tr>
        <w:trPr>
          <w:trHeight w:val="196"/>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Exhibit 3.2 to the registration statement on Form F-1, as amended (File No.333-221034))</w:t>
              </w:r>
            </w:hyperlink>
          </w:p>
        </w:tc>
        <w:tc>
          <w:tcPr>
            <w:tcW w:w="600" w:type="dxa"/>
            <w:vAlign w:val="bottom"/>
            <w:gridSpan w:val="5"/>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EE"/>
                <w:w w:val="95"/>
              </w:rPr>
            </w:pPr>
            <w:hyperlink r:id="rId21">
              <w:r>
                <w:rPr>
                  <w:rFonts w:ascii="Arial" w:cs="Arial" w:eastAsia="Arial" w:hAnsi="Arial"/>
                  <w:sz w:val="18"/>
                  <w:szCs w:val="18"/>
                  <w:color w:val="0000EE"/>
                  <w:w w:val="95"/>
                </w:rPr>
                <w:t>Registrant’s Specimen Certificate for Class A Ordinary Shares (incorporated herein by reference to Exhibit 4.2 to the registration</w:t>
              </w:r>
            </w:hyperlink>
          </w:p>
        </w:tc>
      </w:tr>
      <w:tr>
        <w:trPr>
          <w:trHeight w:val="196"/>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statement on Form F-1, as amended (File No.333-221034))</w:t>
              </w:r>
            </w:hyperlink>
          </w:p>
        </w:tc>
        <w:tc>
          <w:tcPr>
            <w:tcW w:w="460" w:type="dxa"/>
            <w:vAlign w:val="bottom"/>
            <w:gridSpan w:val="4"/>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EE"/>
                <w:w w:val="93"/>
              </w:rPr>
            </w:pPr>
            <w:hyperlink r:id="rId22">
              <w:r>
                <w:rPr>
                  <w:rFonts w:ascii="Arial" w:cs="Arial" w:eastAsia="Arial" w:hAnsi="Arial"/>
                  <w:sz w:val="18"/>
                  <w:szCs w:val="18"/>
                  <w:color w:val="0000EE"/>
                  <w:w w:val="93"/>
                </w:rPr>
                <w:t>Deposit Agreement, dated December 21, 2017, among the Registrant, JPMorgan Chase Bank, N.A., as depositary, and all holders</w:t>
              </w:r>
            </w:hyperlink>
          </w:p>
        </w:tc>
      </w:tr>
      <w:tr>
        <w:trPr>
          <w:trHeight w:val="196"/>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20" w:type="dxa"/>
            <w:vAlign w:val="bottom"/>
            <w:tcBorders>
              <w:top w:val="single" w:sz="8" w:color="0000EE"/>
            </w:tcBorders>
            <w:gridSpan w:val="13"/>
          </w:tcPr>
          <w:p>
            <w:pPr>
              <w:spacing w:after="0" w:line="196" w:lineRule="exact"/>
              <w:rPr>
                <w:rFonts w:ascii="Arial" w:cs="Arial" w:eastAsia="Arial" w:hAnsi="Arial"/>
                <w:sz w:val="18"/>
                <w:szCs w:val="18"/>
                <w:color w:val="0000EE"/>
                <w:w w:val="93"/>
              </w:rPr>
            </w:pPr>
            <w:hyperlink r:id="rId22">
              <w:r>
                <w:rPr>
                  <w:rFonts w:ascii="Arial" w:cs="Arial" w:eastAsia="Arial" w:hAnsi="Arial"/>
                  <w:sz w:val="18"/>
                  <w:szCs w:val="18"/>
                  <w:color w:val="0000EE"/>
                  <w:w w:val="93"/>
                </w:rPr>
                <w:t>from time to time of American Depositary Receipts issued thereunder (incorporated herein by reference to Exhibits 4.3 to the</w:t>
              </w:r>
            </w:hyperlink>
          </w:p>
        </w:tc>
        <w:tc>
          <w:tcPr>
            <w:tcW w:w="42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22">
              <w:r>
                <w:rPr>
                  <w:rFonts w:ascii="Arial" w:cs="Arial" w:eastAsia="Arial" w:hAnsi="Arial"/>
                  <w:sz w:val="18"/>
                  <w:szCs w:val="18"/>
                  <w:color w:val="0000EE"/>
                  <w:w w:val="90"/>
                </w:rPr>
                <w:t>registration statement on Form F-1, as amended (File No.333-221034))</w:t>
              </w:r>
            </w:hyperlink>
          </w:p>
        </w:tc>
        <w:tc>
          <w:tcPr>
            <w:tcW w:w="3880" w:type="dxa"/>
            <w:vAlign w:val="bottom"/>
            <w:tcBorders>
              <w:top w:val="single" w:sz="8" w:color="0000EE"/>
            </w:tcBorders>
            <w:gridSpan w:val="5"/>
          </w:tcPr>
          <w:p>
            <w:pPr>
              <w:spacing w:after="0"/>
              <w:rPr>
                <w:sz w:val="17"/>
                <w:szCs w:val="17"/>
                <w:color w:val="auto"/>
              </w:rPr>
            </w:pPr>
          </w:p>
        </w:tc>
        <w:tc>
          <w:tcPr>
            <w:tcW w:w="720" w:type="dxa"/>
            <w:vAlign w:val="bottom"/>
            <w:gridSpan w:val="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EE"/>
                <w:w w:val="93"/>
              </w:rPr>
            </w:pPr>
            <w:hyperlink r:id="rId23">
              <w:r>
                <w:rPr>
                  <w:rFonts w:ascii="Arial" w:cs="Arial" w:eastAsia="Arial" w:hAnsi="Arial"/>
                  <w:sz w:val="18"/>
                  <w:szCs w:val="18"/>
                  <w:color w:val="0000EE"/>
                  <w:w w:val="93"/>
                </w:rPr>
                <w:t>Opinion of Travers Thorp Alberga Attorneys at Law, Cayman Islands counsel to the Registrant, regarding the legality of the Class A</w:t>
              </w:r>
            </w:hyperlink>
          </w:p>
        </w:tc>
      </w:tr>
      <w:tr>
        <w:trPr>
          <w:trHeight w:val="196"/>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5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ordinary shares being registered</w:t>
              </w:r>
            </w:hyperlink>
          </w:p>
        </w:tc>
        <w:tc>
          <w:tcPr>
            <w:tcW w:w="22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EE"/>
              </w:rPr>
            </w:pPr>
            <w:hyperlink r:id="rId24">
              <w:r>
                <w:rPr>
                  <w:rFonts w:ascii="Arial" w:cs="Arial" w:eastAsia="Arial" w:hAnsi="Arial"/>
                  <w:sz w:val="18"/>
                  <w:szCs w:val="18"/>
                  <w:color w:val="0000EE"/>
                </w:rPr>
                <w:t>Post-IPO Share Incentive Plan of the Registrant, as amended and restated on September 22, 2018</w:t>
              </w:r>
            </w:hyperlink>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7000" w:type="dxa"/>
            <w:vAlign w:val="bottom"/>
            <w:tcBorders>
              <w:top w:val="single" w:sz="8" w:color="0000EE"/>
            </w:tcBorders>
            <w:gridSpan w:val="9"/>
          </w:tcPr>
          <w:p>
            <w:pPr>
              <w:spacing w:after="0"/>
              <w:rPr>
                <w:rFonts w:ascii="Arial" w:cs="Arial" w:eastAsia="Arial" w:hAnsi="Arial"/>
                <w:sz w:val="18"/>
                <w:szCs w:val="18"/>
                <w:color w:val="0000EE"/>
              </w:rPr>
            </w:pPr>
            <w:hyperlink r:id="rId25">
              <w:r>
                <w:rPr>
                  <w:rFonts w:ascii="Arial" w:cs="Arial" w:eastAsia="Arial" w:hAnsi="Arial"/>
                  <w:sz w:val="18"/>
                  <w:szCs w:val="18"/>
                  <w:color w:val="0000EE"/>
                </w:rPr>
                <w:t>Consent of PricewaterhouseCoopers, an independent registered public accounting firm</w:t>
              </w:r>
            </w:hyperlink>
          </w:p>
        </w:tc>
        <w:tc>
          <w:tcPr>
            <w:tcW w:w="2740" w:type="dxa"/>
            <w:vAlign w:val="bottom"/>
            <w:gridSpan w:val="7"/>
          </w:tcPr>
          <w:p>
            <w:pPr>
              <w:spacing w:after="0"/>
              <w:rPr>
                <w:sz w:val="24"/>
                <w:szCs w:val="2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4"/>
                <w:szCs w:val="24"/>
                <w:color w:val="auto"/>
              </w:rPr>
            </w:pPr>
          </w:p>
        </w:tc>
        <w:tc>
          <w:tcPr>
            <w:tcW w:w="56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r:id="rId23">
              <w:r>
                <w:rPr>
                  <w:rFonts w:ascii="Arial" w:cs="Arial" w:eastAsia="Arial" w:hAnsi="Arial"/>
                  <w:sz w:val="18"/>
                  <w:szCs w:val="18"/>
                  <w:color w:val="0000EE"/>
                  <w:w w:val="92"/>
                </w:rPr>
                <w:t>Consent of Travers Thorp Alberga Attorneys at Law (included in Exhibit 5.1)</w:t>
              </w:r>
            </w:hyperlink>
          </w:p>
        </w:tc>
        <w:tc>
          <w:tcPr>
            <w:tcW w:w="640" w:type="dxa"/>
            <w:vAlign w:val="bottom"/>
            <w:tcBorders>
              <w:top w:val="single" w:sz="8" w:color="0000EE"/>
            </w:tcBorders>
          </w:tcPr>
          <w:p>
            <w:pPr>
              <w:spacing w:after="0"/>
              <w:rPr>
                <w:sz w:val="24"/>
                <w:szCs w:val="24"/>
                <w:color w:val="auto"/>
              </w:rPr>
            </w:pPr>
          </w:p>
        </w:tc>
        <w:tc>
          <w:tcPr>
            <w:tcW w:w="3500" w:type="dxa"/>
            <w:vAlign w:val="bottom"/>
            <w:gridSpan w:val="9"/>
          </w:tcPr>
          <w:p>
            <w:pPr>
              <w:spacing w:after="0"/>
              <w:rPr>
                <w:sz w:val="24"/>
                <w:szCs w:val="2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Powers of attorney (included on signature page hereto)</w:t>
              </w:r>
            </w:hyperlink>
          </w:p>
        </w:tc>
      </w:tr>
      <w:tr>
        <w:trPr>
          <w:trHeight w:val="345"/>
        </w:trPr>
        <w:tc>
          <w:tcPr>
            <w:tcW w:w="13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60" w:type="dxa"/>
            <w:vAlign w:val="bottom"/>
            <w:tcBorders>
              <w:top w:val="single" w:sz="8" w:color="0000EE"/>
              <w:bottom w:val="single" w:sz="8" w:color="808080"/>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6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-3817620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-3817620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53" w:right="19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Hong Kong on October 9, 2018.</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c>
          <w:tcPr>
            <w:tcW w:w="40" w:type="dxa"/>
            <w:vAlign w:val="bottom"/>
          </w:tcPr>
          <w:p>
            <w:pPr>
              <w:spacing w:after="0"/>
              <w:rPr>
                <w:sz w:val="20"/>
                <w:szCs w:val="20"/>
                <w:color w:val="auto"/>
              </w:rPr>
            </w:pPr>
          </w:p>
        </w:tc>
      </w:tr>
      <w:tr>
        <w:trPr>
          <w:trHeight w:val="191"/>
        </w:trPr>
        <w:tc>
          <w:tcPr>
            <w:tcW w:w="6460" w:type="dxa"/>
            <w:vAlign w:val="bottom"/>
          </w:tcPr>
          <w:p>
            <w:pPr>
              <w:ind w:left="5720"/>
              <w:spacing w:after="0" w:line="191" w:lineRule="exact"/>
              <w:rPr>
                <w:sz w:val="20"/>
                <w:szCs w:val="20"/>
                <w:color w:val="auto"/>
              </w:rPr>
            </w:pPr>
            <w:r>
              <w:rPr>
                <w:rFonts w:ascii="Arial" w:cs="Arial" w:eastAsia="Arial" w:hAnsi="Arial"/>
                <w:sz w:val="18"/>
                <w:szCs w:val="18"/>
                <w:b w:val="1"/>
                <w:bCs w:val="1"/>
                <w:color w:val="auto"/>
              </w:rPr>
              <w:t>Name:</w:t>
            </w:r>
          </w:p>
        </w:tc>
        <w:tc>
          <w:tcPr>
            <w:tcW w:w="4960" w:type="dxa"/>
            <w:vAlign w:val="bottom"/>
          </w:tcPr>
          <w:p>
            <w:pPr>
              <w:spacing w:after="0" w:line="191" w:lineRule="exact"/>
              <w:rPr>
                <w:sz w:val="20"/>
                <w:szCs w:val="20"/>
                <w:color w:val="auto"/>
              </w:rPr>
            </w:pPr>
            <w:r>
              <w:rPr>
                <w:rFonts w:ascii="Arial" w:cs="Arial" w:eastAsia="Arial" w:hAnsi="Arial"/>
                <w:sz w:val="18"/>
                <w:szCs w:val="18"/>
                <w:b w:val="1"/>
                <w:bCs w:val="1"/>
                <w:color w:val="auto"/>
              </w:rPr>
              <w:t>Wing Hong Sammy Hsieh</w:t>
            </w:r>
          </w:p>
        </w:tc>
        <w:tc>
          <w:tcPr>
            <w:tcW w:w="40" w:type="dxa"/>
            <w:vAlign w:val="bottom"/>
          </w:tcPr>
          <w:p>
            <w:pPr>
              <w:spacing w:after="0"/>
              <w:rPr>
                <w:sz w:val="16"/>
                <w:szCs w:val="16"/>
                <w:color w:val="auto"/>
              </w:rPr>
            </w:pPr>
          </w:p>
        </w:tc>
      </w:tr>
      <w:tr>
        <w:trPr>
          <w:trHeight w:val="234"/>
        </w:trPr>
        <w:tc>
          <w:tcPr>
            <w:tcW w:w="6460" w:type="dxa"/>
            <w:vAlign w:val="bottom"/>
          </w:tcPr>
          <w:p>
            <w:pPr>
              <w:ind w:left="5720"/>
              <w:spacing w:after="0"/>
              <w:rPr>
                <w:sz w:val="20"/>
                <w:szCs w:val="20"/>
                <w:color w:val="auto"/>
              </w:rPr>
            </w:pPr>
            <w:r>
              <w:rPr>
                <w:rFonts w:ascii="Arial" w:cs="Arial" w:eastAsia="Arial" w:hAnsi="Arial"/>
                <w:sz w:val="18"/>
                <w:szCs w:val="18"/>
                <w:b w:val="1"/>
                <w:bCs w:val="1"/>
                <w:color w:val="auto"/>
              </w:rPr>
              <w:t>Title:</w:t>
            </w:r>
          </w:p>
        </w:tc>
        <w:tc>
          <w:tcPr>
            <w:tcW w:w="4960" w:type="dxa"/>
            <w:vAlign w:val="bottom"/>
          </w:tcPr>
          <w:p>
            <w:pPr>
              <w:spacing w:after="0"/>
              <w:rPr>
                <w:sz w:val="20"/>
                <w:szCs w:val="20"/>
                <w:color w:val="auto"/>
              </w:rPr>
            </w:pPr>
            <w:r>
              <w:rPr>
                <w:rFonts w:ascii="Arial" w:cs="Arial" w:eastAsia="Arial" w:hAnsi="Arial"/>
                <w:sz w:val="18"/>
                <w:szCs w:val="18"/>
                <w:b w:val="1"/>
                <w:bCs w:val="1"/>
                <w:color w:val="auto"/>
              </w:rPr>
              <w:t>Chairman and Chief Executive Officer</w:t>
            </w:r>
          </w:p>
        </w:tc>
        <w:tc>
          <w:tcPr>
            <w:tcW w:w="40" w:type="dxa"/>
            <w:vAlign w:val="bottom"/>
          </w:tcPr>
          <w:p>
            <w:pPr>
              <w:spacing w:after="0"/>
              <w:rPr>
                <w:sz w:val="20"/>
                <w:szCs w:val="20"/>
                <w:color w:val="auto"/>
              </w:rPr>
            </w:pPr>
          </w:p>
        </w:tc>
      </w:tr>
      <w:tr>
        <w:trPr>
          <w:trHeight w:val="432"/>
        </w:trPr>
        <w:tc>
          <w:tcPr>
            <w:tcW w:w="6460" w:type="dxa"/>
            <w:vAlign w:val="bottom"/>
          </w:tcPr>
          <w:p>
            <w:pPr>
              <w:jc w:val="right"/>
              <w:ind w:right="610"/>
              <w:spacing w:after="0"/>
              <w:rPr>
                <w:sz w:val="20"/>
                <w:szCs w:val="20"/>
                <w:color w:val="auto"/>
              </w:rPr>
            </w:pPr>
            <w:r>
              <w:rPr>
                <w:rFonts w:ascii="Arial" w:cs="Arial" w:eastAsia="Arial" w:hAnsi="Arial"/>
                <w:sz w:val="18"/>
                <w:szCs w:val="18"/>
                <w:color w:val="auto"/>
              </w:rPr>
              <w:t>4</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severally and not jointly, each of Wing Hong Sammy Hsieh and Jie Jiao, with full power to act alone, as his or her true and lawful attorney-in-fact, with the power of substitution, for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each said attorney-in-fact full power and authority to do and perform each and every act and thing requisite and necessary to be done as fully to all intents and purposes as he or she might or could do in person, hereby ratifying and confirming all that each said attorney-in-fact may lawfully do or cause to be done by virtue hereof.</w:t>
      </w:r>
    </w:p>
    <w:p>
      <w:pPr>
        <w:spacing w:after="0" w:line="18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October 9,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Signature</w:t>
            </w:r>
          </w:p>
        </w:tc>
        <w:tc>
          <w:tcPr>
            <w:tcW w:w="1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jc w:val="center"/>
              <w:ind w:right="1094"/>
              <w:spacing w:after="0"/>
              <w:rPr>
                <w:sz w:val="20"/>
                <w:szCs w:val="20"/>
                <w:color w:val="auto"/>
              </w:rPr>
            </w:pPr>
            <w:r>
              <w:rPr>
                <w:rFonts w:ascii="Arial" w:cs="Arial" w:eastAsia="Arial" w:hAnsi="Arial"/>
                <w:sz w:val="14"/>
                <w:szCs w:val="14"/>
                <w:b w:val="1"/>
                <w:bCs w:val="1"/>
                <w:color w:val="auto"/>
                <w:w w:val="92"/>
              </w:rPr>
              <w:t>Date</w:t>
            </w:r>
          </w:p>
        </w:tc>
        <w:tc>
          <w:tcPr>
            <w:tcW w:w="40" w:type="dxa"/>
            <w:vAlign w:val="bottom"/>
          </w:tcPr>
          <w:p>
            <w:pPr>
              <w:spacing w:after="0"/>
              <w:rPr>
                <w:sz w:val="14"/>
                <w:szCs w:val="14"/>
                <w:color w:val="auto"/>
              </w:rPr>
            </w:pPr>
          </w:p>
        </w:tc>
      </w:tr>
      <w:tr>
        <w:trPr>
          <w:trHeight w:val="426"/>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/s/ Wing Hong Sammy Hsieh</w:t>
            </w:r>
          </w:p>
        </w:tc>
        <w:tc>
          <w:tcPr>
            <w:tcW w:w="1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060" w:type="dxa"/>
            <w:vAlign w:val="bottom"/>
            <w:gridSpan w:val="3"/>
          </w:tcPr>
          <w:p>
            <w:pPr>
              <w:jc w:val="center"/>
              <w:ind w:right="1400"/>
              <w:spacing w:after="0"/>
              <w:rPr>
                <w:sz w:val="20"/>
                <w:szCs w:val="20"/>
                <w:color w:val="auto"/>
              </w:rPr>
            </w:pPr>
            <w:r>
              <w:rPr>
                <w:rFonts w:ascii="Arial" w:cs="Arial" w:eastAsia="Arial" w:hAnsi="Arial"/>
                <w:sz w:val="18"/>
                <w:szCs w:val="18"/>
                <w:color w:val="auto"/>
                <w:w w:val="92"/>
              </w:rPr>
              <w:t>Chairman and Chief Executive Officer</w:t>
            </w:r>
          </w:p>
        </w:tc>
        <w:tc>
          <w:tcPr>
            <w:tcW w:w="2460" w:type="dxa"/>
            <w:vAlign w:val="bottom"/>
          </w:tcPr>
          <w:p>
            <w:pPr>
              <w:jc w:val="center"/>
              <w:ind w:right="1094"/>
              <w:spacing w:after="0"/>
              <w:rPr>
                <w:sz w:val="20"/>
                <w:szCs w:val="20"/>
                <w:color w:val="auto"/>
              </w:rPr>
            </w:pPr>
            <w:r>
              <w:rPr>
                <w:rFonts w:ascii="Arial" w:cs="Arial" w:eastAsia="Arial" w:hAnsi="Arial"/>
                <w:sz w:val="18"/>
                <w:szCs w:val="18"/>
                <w:color w:val="auto"/>
                <w:w w:val="89"/>
              </w:rPr>
              <w:t>October 9, 2018</w:t>
            </w:r>
          </w:p>
        </w:tc>
        <w:tc>
          <w:tcPr>
            <w:tcW w:w="40" w:type="dxa"/>
            <w:vAlign w:val="bottom"/>
          </w:tcPr>
          <w:p>
            <w:pPr>
              <w:spacing w:after="0"/>
              <w:rPr>
                <w:sz w:val="24"/>
                <w:szCs w:val="24"/>
                <w:color w:val="auto"/>
              </w:rPr>
            </w:pPr>
          </w:p>
        </w:tc>
      </w:tr>
      <w:tr>
        <w:trPr>
          <w:trHeight w:val="224"/>
        </w:trPr>
        <w:tc>
          <w:tcPr>
            <w:tcW w:w="2320" w:type="dxa"/>
            <w:vAlign w:val="bottom"/>
          </w:tcPr>
          <w:p>
            <w:pPr>
              <w:spacing w:after="0"/>
              <w:rPr>
                <w:sz w:val="20"/>
                <w:szCs w:val="20"/>
                <w:color w:val="auto"/>
              </w:rPr>
            </w:pPr>
            <w:r>
              <w:rPr>
                <w:rFonts w:ascii="Arial" w:cs="Arial" w:eastAsia="Arial" w:hAnsi="Arial"/>
                <w:sz w:val="18"/>
                <w:szCs w:val="18"/>
                <w:color w:val="auto"/>
              </w:rPr>
              <w:t>Wing Hong Sammy Hsieh</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60" w:type="dxa"/>
            <w:vAlign w:val="bottom"/>
            <w:gridSpan w:val="3"/>
          </w:tcPr>
          <w:p>
            <w:pPr>
              <w:jc w:val="center"/>
              <w:ind w:right="1400"/>
              <w:spacing w:after="0"/>
              <w:rPr>
                <w:sz w:val="20"/>
                <w:szCs w:val="20"/>
                <w:color w:val="auto"/>
              </w:rPr>
            </w:pPr>
            <w:r>
              <w:rPr>
                <w:rFonts w:ascii="Arial" w:cs="Arial" w:eastAsia="Arial" w:hAnsi="Arial"/>
                <w:sz w:val="18"/>
                <w:szCs w:val="18"/>
                <w:color w:val="auto"/>
                <w:w w:val="94"/>
              </w:rPr>
              <w:t>(principal executive officer)</w:t>
            </w:r>
          </w:p>
        </w:tc>
        <w:tc>
          <w:tcPr>
            <w:tcW w:w="24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Jie Jiao</w:t>
            </w:r>
          </w:p>
        </w:tc>
        <w:tc>
          <w:tcPr>
            <w:tcW w:w="1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060" w:type="dxa"/>
            <w:vAlign w:val="bottom"/>
            <w:gridSpan w:val="3"/>
          </w:tcPr>
          <w:p>
            <w:pPr>
              <w:jc w:val="center"/>
              <w:ind w:right="1420"/>
              <w:spacing w:after="0"/>
              <w:rPr>
                <w:sz w:val="20"/>
                <w:szCs w:val="20"/>
                <w:color w:val="auto"/>
              </w:rPr>
            </w:pPr>
            <w:r>
              <w:rPr>
                <w:rFonts w:ascii="Arial" w:cs="Arial" w:eastAsia="Arial" w:hAnsi="Arial"/>
                <w:sz w:val="18"/>
                <w:szCs w:val="18"/>
                <w:color w:val="auto"/>
                <w:w w:val="94"/>
              </w:rPr>
              <w:t>Chief Financial Officer</w:t>
            </w:r>
          </w:p>
        </w:tc>
        <w:tc>
          <w:tcPr>
            <w:tcW w:w="2460" w:type="dxa"/>
            <w:vAlign w:val="bottom"/>
          </w:tcPr>
          <w:p>
            <w:pPr>
              <w:jc w:val="center"/>
              <w:ind w:right="1094"/>
              <w:spacing w:after="0"/>
              <w:rPr>
                <w:sz w:val="20"/>
                <w:szCs w:val="20"/>
                <w:color w:val="auto"/>
              </w:rPr>
            </w:pPr>
            <w:r>
              <w:rPr>
                <w:rFonts w:ascii="Arial" w:cs="Arial" w:eastAsia="Arial" w:hAnsi="Arial"/>
                <w:sz w:val="18"/>
                <w:szCs w:val="18"/>
                <w:color w:val="auto"/>
                <w:w w:val="89"/>
              </w:rPr>
              <w:t>October 9, 2018</w:t>
            </w:r>
          </w:p>
        </w:tc>
        <w:tc>
          <w:tcPr>
            <w:tcW w:w="40" w:type="dxa"/>
            <w:vAlign w:val="bottom"/>
          </w:tcPr>
          <w:p>
            <w:pPr>
              <w:spacing w:after="0"/>
              <w:rPr>
                <w:sz w:val="24"/>
                <w:szCs w:val="24"/>
                <w:color w:val="auto"/>
              </w:rPr>
            </w:pPr>
          </w:p>
        </w:tc>
      </w:tr>
      <w:tr>
        <w:trPr>
          <w:trHeight w:val="224"/>
        </w:trPr>
        <w:tc>
          <w:tcPr>
            <w:tcW w:w="2320" w:type="dxa"/>
            <w:vAlign w:val="bottom"/>
          </w:tcPr>
          <w:p>
            <w:pPr>
              <w:spacing w:after="0"/>
              <w:rPr>
                <w:sz w:val="20"/>
                <w:szCs w:val="20"/>
                <w:color w:val="auto"/>
              </w:rPr>
            </w:pPr>
            <w:r>
              <w:rPr>
                <w:rFonts w:ascii="Arial" w:cs="Arial" w:eastAsia="Arial" w:hAnsi="Arial"/>
                <w:sz w:val="18"/>
                <w:szCs w:val="18"/>
                <w:color w:val="auto"/>
              </w:rPr>
              <w:t>Jie Jiao</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60" w:type="dxa"/>
            <w:vAlign w:val="bottom"/>
            <w:gridSpan w:val="3"/>
          </w:tcPr>
          <w:p>
            <w:pPr>
              <w:jc w:val="center"/>
              <w:ind w:right="1400"/>
              <w:spacing w:after="0"/>
              <w:rPr>
                <w:sz w:val="20"/>
                <w:szCs w:val="20"/>
                <w:color w:val="auto"/>
              </w:rPr>
            </w:pPr>
            <w:r>
              <w:rPr>
                <w:rFonts w:ascii="Arial" w:cs="Arial" w:eastAsia="Arial" w:hAnsi="Arial"/>
                <w:sz w:val="18"/>
                <w:szCs w:val="18"/>
                <w:color w:val="auto"/>
                <w:w w:val="93"/>
              </w:rPr>
              <w:t>(principal financial and accounting officer)</w:t>
            </w:r>
          </w:p>
        </w:tc>
        <w:tc>
          <w:tcPr>
            <w:tcW w:w="24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Jian Tang</w:t>
            </w:r>
          </w:p>
        </w:tc>
        <w:tc>
          <w:tcPr>
            <w:tcW w:w="1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060" w:type="dxa"/>
            <w:vAlign w:val="bottom"/>
            <w:gridSpan w:val="3"/>
          </w:tcPr>
          <w:p>
            <w:pPr>
              <w:jc w:val="center"/>
              <w:ind w:right="1420"/>
              <w:spacing w:after="0"/>
              <w:rPr>
                <w:sz w:val="20"/>
                <w:szCs w:val="20"/>
                <w:color w:val="auto"/>
              </w:rPr>
            </w:pPr>
            <w:r>
              <w:rPr>
                <w:rFonts w:ascii="Arial" w:cs="Arial" w:eastAsia="Arial" w:hAnsi="Arial"/>
                <w:sz w:val="18"/>
                <w:szCs w:val="18"/>
                <w:color w:val="auto"/>
                <w:w w:val="95"/>
              </w:rPr>
              <w:t>Director</w:t>
            </w:r>
          </w:p>
        </w:tc>
        <w:tc>
          <w:tcPr>
            <w:tcW w:w="2460" w:type="dxa"/>
            <w:vAlign w:val="bottom"/>
          </w:tcPr>
          <w:p>
            <w:pPr>
              <w:jc w:val="center"/>
              <w:ind w:right="1094"/>
              <w:spacing w:after="0"/>
              <w:rPr>
                <w:sz w:val="20"/>
                <w:szCs w:val="20"/>
                <w:color w:val="auto"/>
              </w:rPr>
            </w:pPr>
            <w:r>
              <w:rPr>
                <w:rFonts w:ascii="Arial" w:cs="Arial" w:eastAsia="Arial" w:hAnsi="Arial"/>
                <w:sz w:val="18"/>
                <w:szCs w:val="18"/>
                <w:color w:val="auto"/>
                <w:w w:val="89"/>
              </w:rPr>
              <w:t>October 9, 2018</w:t>
            </w:r>
          </w:p>
        </w:tc>
        <w:tc>
          <w:tcPr>
            <w:tcW w:w="40" w:type="dxa"/>
            <w:vAlign w:val="bottom"/>
          </w:tcPr>
          <w:p>
            <w:pPr>
              <w:spacing w:after="0"/>
              <w:rPr>
                <w:sz w:val="24"/>
                <w:szCs w:val="24"/>
                <w:color w:val="auto"/>
              </w:rPr>
            </w:pPr>
          </w:p>
        </w:tc>
      </w:tr>
      <w:tr>
        <w:trPr>
          <w:trHeight w:val="224"/>
        </w:trPr>
        <w:tc>
          <w:tcPr>
            <w:tcW w:w="2320" w:type="dxa"/>
            <w:vAlign w:val="bottom"/>
          </w:tcPr>
          <w:p>
            <w:pPr>
              <w:spacing w:after="0"/>
              <w:rPr>
                <w:sz w:val="20"/>
                <w:szCs w:val="20"/>
                <w:color w:val="auto"/>
              </w:rPr>
            </w:pPr>
            <w:r>
              <w:rPr>
                <w:rFonts w:ascii="Arial" w:cs="Arial" w:eastAsia="Arial" w:hAnsi="Arial"/>
                <w:sz w:val="18"/>
                <w:szCs w:val="18"/>
                <w:color w:val="auto"/>
              </w:rPr>
              <w:t>Jian Tang</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Yau Ping Ricky Ng</w:t>
            </w:r>
          </w:p>
        </w:tc>
        <w:tc>
          <w:tcPr>
            <w:tcW w:w="1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060" w:type="dxa"/>
            <w:vAlign w:val="bottom"/>
            <w:gridSpan w:val="3"/>
          </w:tcPr>
          <w:p>
            <w:pPr>
              <w:jc w:val="center"/>
              <w:ind w:right="1420"/>
              <w:spacing w:after="0"/>
              <w:rPr>
                <w:sz w:val="20"/>
                <w:szCs w:val="20"/>
                <w:color w:val="auto"/>
              </w:rPr>
            </w:pPr>
            <w:r>
              <w:rPr>
                <w:rFonts w:ascii="Arial" w:cs="Arial" w:eastAsia="Arial" w:hAnsi="Arial"/>
                <w:sz w:val="18"/>
                <w:szCs w:val="18"/>
                <w:color w:val="auto"/>
                <w:w w:val="95"/>
              </w:rPr>
              <w:t>Director</w:t>
            </w:r>
          </w:p>
        </w:tc>
        <w:tc>
          <w:tcPr>
            <w:tcW w:w="2460" w:type="dxa"/>
            <w:vAlign w:val="bottom"/>
          </w:tcPr>
          <w:p>
            <w:pPr>
              <w:jc w:val="center"/>
              <w:ind w:right="1094"/>
              <w:spacing w:after="0"/>
              <w:rPr>
                <w:sz w:val="20"/>
                <w:szCs w:val="20"/>
                <w:color w:val="auto"/>
              </w:rPr>
            </w:pPr>
            <w:r>
              <w:rPr>
                <w:rFonts w:ascii="Arial" w:cs="Arial" w:eastAsia="Arial" w:hAnsi="Arial"/>
                <w:sz w:val="18"/>
                <w:szCs w:val="18"/>
                <w:color w:val="auto"/>
                <w:w w:val="89"/>
              </w:rPr>
              <w:t>October 9, 2018</w:t>
            </w:r>
          </w:p>
        </w:tc>
        <w:tc>
          <w:tcPr>
            <w:tcW w:w="40" w:type="dxa"/>
            <w:vAlign w:val="bottom"/>
          </w:tcPr>
          <w:p>
            <w:pPr>
              <w:spacing w:after="0"/>
              <w:rPr>
                <w:sz w:val="24"/>
                <w:szCs w:val="24"/>
                <w:color w:val="auto"/>
              </w:rPr>
            </w:pPr>
          </w:p>
        </w:tc>
      </w:tr>
      <w:tr>
        <w:trPr>
          <w:trHeight w:val="224"/>
        </w:trPr>
        <w:tc>
          <w:tcPr>
            <w:tcW w:w="2320" w:type="dxa"/>
            <w:vAlign w:val="bottom"/>
          </w:tcPr>
          <w:p>
            <w:pPr>
              <w:spacing w:after="0"/>
              <w:rPr>
                <w:sz w:val="20"/>
                <w:szCs w:val="20"/>
                <w:color w:val="auto"/>
              </w:rPr>
            </w:pPr>
            <w:r>
              <w:rPr>
                <w:rFonts w:ascii="Arial" w:cs="Arial" w:eastAsia="Arial" w:hAnsi="Arial"/>
                <w:sz w:val="18"/>
                <w:szCs w:val="18"/>
                <w:color w:val="auto"/>
              </w:rPr>
              <w:t>Yau Ping Ricky Ng</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Moore</w:t>
            </w:r>
          </w:p>
        </w:tc>
        <w:tc>
          <w:tcPr>
            <w:tcW w:w="1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060" w:type="dxa"/>
            <w:vAlign w:val="bottom"/>
            <w:gridSpan w:val="3"/>
          </w:tcPr>
          <w:p>
            <w:pPr>
              <w:jc w:val="center"/>
              <w:ind w:right="1420"/>
              <w:spacing w:after="0"/>
              <w:rPr>
                <w:sz w:val="20"/>
                <w:szCs w:val="20"/>
                <w:color w:val="auto"/>
              </w:rPr>
            </w:pPr>
            <w:r>
              <w:rPr>
                <w:rFonts w:ascii="Arial" w:cs="Arial" w:eastAsia="Arial" w:hAnsi="Arial"/>
                <w:sz w:val="18"/>
                <w:szCs w:val="18"/>
                <w:color w:val="auto"/>
                <w:w w:val="95"/>
              </w:rPr>
              <w:t>Director</w:t>
            </w:r>
          </w:p>
        </w:tc>
        <w:tc>
          <w:tcPr>
            <w:tcW w:w="2460" w:type="dxa"/>
            <w:vAlign w:val="bottom"/>
          </w:tcPr>
          <w:p>
            <w:pPr>
              <w:jc w:val="center"/>
              <w:ind w:right="1094"/>
              <w:spacing w:after="0"/>
              <w:rPr>
                <w:sz w:val="20"/>
                <w:szCs w:val="20"/>
                <w:color w:val="auto"/>
              </w:rPr>
            </w:pPr>
            <w:r>
              <w:rPr>
                <w:rFonts w:ascii="Arial" w:cs="Arial" w:eastAsia="Arial" w:hAnsi="Arial"/>
                <w:sz w:val="18"/>
                <w:szCs w:val="18"/>
                <w:color w:val="auto"/>
                <w:w w:val="89"/>
              </w:rPr>
              <w:t>October 9, 2018</w:t>
            </w:r>
          </w:p>
        </w:tc>
        <w:tc>
          <w:tcPr>
            <w:tcW w:w="40" w:type="dxa"/>
            <w:vAlign w:val="bottom"/>
          </w:tcPr>
          <w:p>
            <w:pPr>
              <w:spacing w:after="0"/>
              <w:rPr>
                <w:sz w:val="24"/>
                <w:szCs w:val="24"/>
                <w:color w:val="auto"/>
              </w:rPr>
            </w:pPr>
          </w:p>
        </w:tc>
      </w:tr>
      <w:tr>
        <w:trPr>
          <w:trHeight w:val="224"/>
        </w:trPr>
        <w:tc>
          <w:tcPr>
            <w:tcW w:w="2320" w:type="dxa"/>
            <w:vAlign w:val="bottom"/>
          </w:tcPr>
          <w:p>
            <w:pPr>
              <w:spacing w:after="0"/>
              <w:rPr>
                <w:sz w:val="20"/>
                <w:szCs w:val="20"/>
                <w:color w:val="auto"/>
              </w:rPr>
            </w:pPr>
            <w:r>
              <w:rPr>
                <w:rFonts w:ascii="Arial" w:cs="Arial" w:eastAsia="Arial" w:hAnsi="Arial"/>
                <w:sz w:val="18"/>
                <w:szCs w:val="18"/>
                <w:color w:val="auto"/>
              </w:rPr>
              <w:t>Scott Moore</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Dylan Huang</w:t>
            </w:r>
          </w:p>
        </w:tc>
        <w:tc>
          <w:tcPr>
            <w:tcW w:w="1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060" w:type="dxa"/>
            <w:vAlign w:val="bottom"/>
            <w:gridSpan w:val="3"/>
          </w:tcPr>
          <w:p>
            <w:pPr>
              <w:jc w:val="center"/>
              <w:ind w:right="1420"/>
              <w:spacing w:after="0"/>
              <w:rPr>
                <w:sz w:val="20"/>
                <w:szCs w:val="20"/>
                <w:color w:val="auto"/>
              </w:rPr>
            </w:pPr>
            <w:r>
              <w:rPr>
                <w:rFonts w:ascii="Arial" w:cs="Arial" w:eastAsia="Arial" w:hAnsi="Arial"/>
                <w:sz w:val="18"/>
                <w:szCs w:val="18"/>
                <w:color w:val="auto"/>
                <w:w w:val="95"/>
              </w:rPr>
              <w:t>Director</w:t>
            </w:r>
          </w:p>
        </w:tc>
        <w:tc>
          <w:tcPr>
            <w:tcW w:w="2460" w:type="dxa"/>
            <w:vAlign w:val="bottom"/>
          </w:tcPr>
          <w:p>
            <w:pPr>
              <w:jc w:val="center"/>
              <w:ind w:right="1094"/>
              <w:spacing w:after="0"/>
              <w:rPr>
                <w:sz w:val="20"/>
                <w:szCs w:val="20"/>
                <w:color w:val="auto"/>
              </w:rPr>
            </w:pPr>
            <w:r>
              <w:rPr>
                <w:rFonts w:ascii="Arial" w:cs="Arial" w:eastAsia="Arial" w:hAnsi="Arial"/>
                <w:sz w:val="18"/>
                <w:szCs w:val="18"/>
                <w:color w:val="auto"/>
                <w:w w:val="89"/>
              </w:rPr>
              <w:t>October 9, 2018</w:t>
            </w:r>
          </w:p>
        </w:tc>
        <w:tc>
          <w:tcPr>
            <w:tcW w:w="40" w:type="dxa"/>
            <w:vAlign w:val="bottom"/>
          </w:tcPr>
          <w:p>
            <w:pPr>
              <w:spacing w:after="0"/>
              <w:rPr>
                <w:sz w:val="24"/>
                <w:szCs w:val="24"/>
                <w:color w:val="auto"/>
              </w:rPr>
            </w:pPr>
          </w:p>
        </w:tc>
      </w:tr>
      <w:tr>
        <w:trPr>
          <w:trHeight w:val="224"/>
        </w:trPr>
        <w:tc>
          <w:tcPr>
            <w:tcW w:w="2320" w:type="dxa"/>
            <w:vAlign w:val="bottom"/>
          </w:tcPr>
          <w:p>
            <w:pPr>
              <w:spacing w:after="0"/>
              <w:rPr>
                <w:sz w:val="20"/>
                <w:szCs w:val="20"/>
                <w:color w:val="auto"/>
              </w:rPr>
            </w:pPr>
            <w:r>
              <w:rPr>
                <w:rFonts w:ascii="Arial" w:cs="Arial" w:eastAsia="Arial" w:hAnsi="Arial"/>
                <w:sz w:val="18"/>
                <w:szCs w:val="18"/>
                <w:color w:val="auto"/>
              </w:rPr>
              <w:t>Dylan Huang</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4"/>
        </w:trPr>
        <w:tc>
          <w:tcPr>
            <w:tcW w:w="2320" w:type="dxa"/>
            <w:vAlign w:val="bottom"/>
          </w:tcPr>
          <w:p>
            <w:pPr>
              <w:spacing w:after="0"/>
              <w:rPr>
                <w:sz w:val="24"/>
                <w:szCs w:val="24"/>
                <w:color w:val="auto"/>
              </w:rPr>
            </w:pPr>
          </w:p>
        </w:tc>
        <w:tc>
          <w:tcPr>
            <w:tcW w:w="5240" w:type="dxa"/>
            <w:vAlign w:val="bottom"/>
            <w:gridSpan w:val="3"/>
          </w:tcPr>
          <w:p>
            <w:pPr>
              <w:jc w:val="center"/>
              <w:ind w:left="1450"/>
              <w:spacing w:after="0"/>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32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5060" w:type="dxa"/>
            <w:vAlign w:val="bottom"/>
            <w:tcBorders>
              <w:bottom w:val="single" w:sz="8" w:color="808080"/>
            </w:tcBorders>
            <w:gridSpan w:val="3"/>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13"/>
        </w:trPr>
        <w:tc>
          <w:tcPr>
            <w:tcW w:w="232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Signature</w:t>
            </w:r>
          </w:p>
        </w:tc>
        <w:tc>
          <w:tcPr>
            <w:tcW w:w="1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center"/>
              <w:ind w:right="1094"/>
              <w:spacing w:after="0"/>
              <w:rPr>
                <w:sz w:val="20"/>
                <w:szCs w:val="20"/>
                <w:color w:val="auto"/>
              </w:rPr>
            </w:pPr>
            <w:r>
              <w:rPr>
                <w:rFonts w:ascii="Arial" w:cs="Arial" w:eastAsia="Arial" w:hAnsi="Arial"/>
                <w:sz w:val="14"/>
                <w:szCs w:val="14"/>
                <w:b w:val="1"/>
                <w:bCs w:val="1"/>
                <w:color w:val="auto"/>
                <w:w w:val="92"/>
              </w:rPr>
              <w:t>Date</w:t>
            </w:r>
          </w:p>
        </w:tc>
        <w:tc>
          <w:tcPr>
            <w:tcW w:w="40" w:type="dxa"/>
            <w:vAlign w:val="bottom"/>
          </w:tcPr>
          <w:p>
            <w:pPr>
              <w:spacing w:after="0"/>
              <w:rPr>
                <w:sz w:val="24"/>
                <w:szCs w:val="24"/>
                <w:color w:val="auto"/>
              </w:rPr>
            </w:pPr>
          </w:p>
        </w:tc>
      </w:tr>
      <w:tr>
        <w:trPr>
          <w:trHeight w:val="426"/>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Honnus Cheung</w:t>
            </w:r>
          </w:p>
        </w:tc>
        <w:tc>
          <w:tcPr>
            <w:tcW w:w="1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060" w:type="dxa"/>
            <w:vAlign w:val="bottom"/>
            <w:gridSpan w:val="3"/>
          </w:tcPr>
          <w:p>
            <w:pPr>
              <w:jc w:val="center"/>
              <w:ind w:right="1420"/>
              <w:spacing w:after="0"/>
              <w:rPr>
                <w:sz w:val="20"/>
                <w:szCs w:val="20"/>
                <w:color w:val="auto"/>
              </w:rPr>
            </w:pPr>
            <w:r>
              <w:rPr>
                <w:rFonts w:ascii="Arial" w:cs="Arial" w:eastAsia="Arial" w:hAnsi="Arial"/>
                <w:sz w:val="18"/>
                <w:szCs w:val="18"/>
                <w:color w:val="auto"/>
                <w:w w:val="95"/>
              </w:rPr>
              <w:t>Director</w:t>
            </w:r>
          </w:p>
        </w:tc>
        <w:tc>
          <w:tcPr>
            <w:tcW w:w="2460" w:type="dxa"/>
            <w:vAlign w:val="bottom"/>
          </w:tcPr>
          <w:p>
            <w:pPr>
              <w:jc w:val="center"/>
              <w:ind w:right="1094"/>
              <w:spacing w:after="0"/>
              <w:rPr>
                <w:sz w:val="20"/>
                <w:szCs w:val="20"/>
                <w:color w:val="auto"/>
              </w:rPr>
            </w:pPr>
            <w:r>
              <w:rPr>
                <w:rFonts w:ascii="Arial" w:cs="Arial" w:eastAsia="Arial" w:hAnsi="Arial"/>
                <w:sz w:val="18"/>
                <w:szCs w:val="18"/>
                <w:color w:val="auto"/>
                <w:w w:val="89"/>
              </w:rPr>
              <w:t>October 9, 2018</w:t>
            </w:r>
          </w:p>
        </w:tc>
        <w:tc>
          <w:tcPr>
            <w:tcW w:w="40" w:type="dxa"/>
            <w:vAlign w:val="bottom"/>
          </w:tcPr>
          <w:p>
            <w:pPr>
              <w:spacing w:after="0"/>
              <w:rPr>
                <w:sz w:val="24"/>
                <w:szCs w:val="24"/>
                <w:color w:val="auto"/>
              </w:rPr>
            </w:pPr>
          </w:p>
        </w:tc>
      </w:tr>
      <w:tr>
        <w:trPr>
          <w:trHeight w:val="224"/>
        </w:trPr>
        <w:tc>
          <w:tcPr>
            <w:tcW w:w="2320" w:type="dxa"/>
            <w:vAlign w:val="bottom"/>
          </w:tcPr>
          <w:p>
            <w:pPr>
              <w:spacing w:after="0"/>
              <w:rPr>
                <w:sz w:val="20"/>
                <w:szCs w:val="20"/>
                <w:color w:val="auto"/>
              </w:rPr>
            </w:pPr>
            <w:r>
              <w:rPr>
                <w:rFonts w:ascii="Arial" w:cs="Arial" w:eastAsia="Arial" w:hAnsi="Arial"/>
                <w:sz w:val="18"/>
                <w:szCs w:val="18"/>
                <w:color w:val="auto"/>
              </w:rPr>
              <w:t>Honnus Cheung</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Kim</w:t>
            </w:r>
          </w:p>
        </w:tc>
        <w:tc>
          <w:tcPr>
            <w:tcW w:w="1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060" w:type="dxa"/>
            <w:vAlign w:val="bottom"/>
            <w:gridSpan w:val="3"/>
          </w:tcPr>
          <w:p>
            <w:pPr>
              <w:jc w:val="center"/>
              <w:ind w:right="1420"/>
              <w:spacing w:after="0"/>
              <w:rPr>
                <w:sz w:val="20"/>
                <w:szCs w:val="20"/>
                <w:color w:val="auto"/>
              </w:rPr>
            </w:pPr>
            <w:r>
              <w:rPr>
                <w:rFonts w:ascii="Arial" w:cs="Arial" w:eastAsia="Arial" w:hAnsi="Arial"/>
                <w:sz w:val="18"/>
                <w:szCs w:val="18"/>
                <w:color w:val="auto"/>
                <w:w w:val="95"/>
              </w:rPr>
              <w:t>Director</w:t>
            </w:r>
          </w:p>
        </w:tc>
        <w:tc>
          <w:tcPr>
            <w:tcW w:w="2460" w:type="dxa"/>
            <w:vAlign w:val="bottom"/>
          </w:tcPr>
          <w:p>
            <w:pPr>
              <w:jc w:val="center"/>
              <w:ind w:right="1094"/>
              <w:spacing w:after="0"/>
              <w:rPr>
                <w:sz w:val="20"/>
                <w:szCs w:val="20"/>
                <w:color w:val="auto"/>
              </w:rPr>
            </w:pPr>
            <w:r>
              <w:rPr>
                <w:rFonts w:ascii="Arial" w:cs="Arial" w:eastAsia="Arial" w:hAnsi="Arial"/>
                <w:sz w:val="18"/>
                <w:szCs w:val="18"/>
                <w:color w:val="auto"/>
                <w:w w:val="89"/>
              </w:rPr>
              <w:t>October 9, 2018</w:t>
            </w:r>
          </w:p>
        </w:tc>
        <w:tc>
          <w:tcPr>
            <w:tcW w:w="40" w:type="dxa"/>
            <w:vAlign w:val="bottom"/>
          </w:tcPr>
          <w:p>
            <w:pPr>
              <w:spacing w:after="0"/>
              <w:rPr>
                <w:sz w:val="24"/>
                <w:szCs w:val="24"/>
                <w:color w:val="auto"/>
              </w:rPr>
            </w:pPr>
          </w:p>
        </w:tc>
      </w:tr>
      <w:tr>
        <w:trPr>
          <w:trHeight w:val="224"/>
        </w:trPr>
        <w:tc>
          <w:tcPr>
            <w:tcW w:w="2320" w:type="dxa"/>
            <w:vAlign w:val="bottom"/>
          </w:tcPr>
          <w:p>
            <w:pPr>
              <w:spacing w:after="0"/>
              <w:rPr>
                <w:sz w:val="20"/>
                <w:szCs w:val="20"/>
                <w:color w:val="auto"/>
              </w:rPr>
            </w:pPr>
            <w:r>
              <w:rPr>
                <w:rFonts w:ascii="Arial" w:cs="Arial" w:eastAsia="Arial" w:hAnsi="Arial"/>
                <w:sz w:val="18"/>
                <w:szCs w:val="18"/>
                <w:color w:val="auto"/>
              </w:rPr>
              <w:t>James Kim</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320" w:type="dxa"/>
            <w:vAlign w:val="bottom"/>
          </w:tcPr>
          <w:p>
            <w:pPr>
              <w:spacing w:after="0"/>
              <w:rPr>
                <w:sz w:val="24"/>
                <w:szCs w:val="24"/>
                <w:color w:val="auto"/>
              </w:rPr>
            </w:pPr>
          </w:p>
        </w:tc>
        <w:tc>
          <w:tcPr>
            <w:tcW w:w="5240" w:type="dxa"/>
            <w:vAlign w:val="bottom"/>
            <w:gridSpan w:val="3"/>
          </w:tcPr>
          <w:p>
            <w:pPr>
              <w:jc w:val="center"/>
              <w:ind w:left="1450"/>
              <w:spacing w:after="0"/>
              <w:rPr>
                <w:sz w:val="20"/>
                <w:szCs w:val="20"/>
                <w:color w:val="auto"/>
              </w:rPr>
            </w:pPr>
            <w:r>
              <w:rPr>
                <w:rFonts w:ascii="Arial" w:cs="Arial" w:eastAsia="Arial" w:hAnsi="Arial"/>
                <w:sz w:val="18"/>
                <w:szCs w:val="18"/>
                <w:color w:val="auto"/>
                <w:w w:val="99"/>
              </w:rPr>
              <w:t>6</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320" w:type="dxa"/>
            <w:vAlign w:val="bottom"/>
            <w:tcBorders>
              <w:bottom w:val="single" w:sz="8" w:color="808080"/>
            </w:tcBorders>
          </w:tcPr>
          <w:p>
            <w:pPr>
              <w:spacing w:after="0"/>
              <w:rPr>
                <w:sz w:val="11"/>
                <w:szCs w:val="11"/>
                <w:color w:val="auto"/>
              </w:rPr>
            </w:pPr>
          </w:p>
        </w:tc>
        <w:tc>
          <w:tcPr>
            <w:tcW w:w="6640" w:type="dxa"/>
            <w:vAlign w:val="bottom"/>
            <w:tcBorders>
              <w:bottom w:val="single" w:sz="8" w:color="808080"/>
            </w:tcBorders>
            <w:gridSpan w:val="5"/>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320" w:type="dxa"/>
            <w:vAlign w:val="bottom"/>
          </w:tcPr>
          <w:p>
            <w:pPr>
              <w:spacing w:after="0"/>
              <w:rPr>
                <w:sz w:val="24"/>
                <w:szCs w:val="24"/>
                <w:color w:val="auto"/>
              </w:rPr>
            </w:pPr>
          </w:p>
        </w:tc>
        <w:tc>
          <w:tcPr>
            <w:tcW w:w="664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rPr>
              <w:t>SIGNATURE OF AUTHORIZED REPRESENTATIVE IN THE UNITED STATES</w:t>
            </w:r>
          </w:p>
        </w:tc>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-2197100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-2197100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76" w:gutter="0" w:footer="0" w:header="0"/>
        </w:sectPr>
      </w:pPr>
    </w:p>
    <w:bookmarkStart w:id="3" w:name="page4"/>
    <w:bookmarkEnd w:id="3"/>
    <w:p>
      <w:pPr>
        <w:ind w:firstLine="647"/>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iClick Interactive Asia Group Limited has signed this registration statement or amendment thereto in New York on October 9, 2018.</w:t>
      </w:r>
    </w:p>
    <w:p>
      <w:pPr>
        <w:spacing w:after="0" w:line="166"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Authorized U.S. Representative</w:t>
      </w:r>
    </w:p>
    <w:p>
      <w:pPr>
        <w:spacing w:after="0" w:line="2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COGENCY GLOBAL INC.</w:t>
      </w:r>
    </w:p>
    <w:p>
      <w:pPr>
        <w:spacing w:after="0" w:line="211"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tab/>
        <w:t>/s/ Siu Fung Ming</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Siu Fung 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-130810</wp:posOffset>
            </wp:positionV>
            <wp:extent cx="3302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Assistant Secretary</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80"/>
          </w:cols>
          <w:pgMar w:left="340" w:top="125" w:right="5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154940</wp:posOffset>
            </wp:positionV>
            <wp:extent cx="2006600" cy="1235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2006600"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Office:</w:t>
      </w:r>
      <w:r>
        <w:rPr>
          <w:sz w:val="20"/>
          <w:szCs w:val="20"/>
          <w:color w:val="auto"/>
        </w:rPr>
        <w:tab/>
      </w:r>
      <w:r>
        <w:rPr>
          <w:rFonts w:ascii="Arial" w:cs="Arial" w:eastAsia="Arial" w:hAnsi="Arial"/>
          <w:sz w:val="18"/>
          <w:szCs w:val="18"/>
          <w:color w:val="auto"/>
        </w:rPr>
        <w:t>+852 2801 6066</w:t>
      </w:r>
    </w:p>
    <w:p>
      <w:pPr>
        <w:spacing w:after="0" w:line="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Mobile:</w:t>
      </w:r>
      <w:r>
        <w:rPr>
          <w:sz w:val="20"/>
          <w:szCs w:val="20"/>
          <w:color w:val="auto"/>
        </w:rPr>
        <w:tab/>
      </w:r>
      <w:r>
        <w:rPr>
          <w:rFonts w:ascii="Arial" w:cs="Arial" w:eastAsia="Arial" w:hAnsi="Arial"/>
          <w:sz w:val="18"/>
          <w:szCs w:val="18"/>
          <w:color w:val="auto"/>
        </w:rPr>
        <w:t>+852 9718 8740</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Email:</w:t>
      </w:r>
      <w:r>
        <w:rPr>
          <w:sz w:val="20"/>
          <w:szCs w:val="20"/>
          <w:color w:val="auto"/>
        </w:rPr>
        <w:tab/>
      </w:r>
      <w:r>
        <w:rPr>
          <w:rFonts w:ascii="Arial" w:cs="Arial" w:eastAsia="Arial" w:hAnsi="Arial"/>
          <w:sz w:val="18"/>
          <w:szCs w:val="18"/>
          <w:color w:val="auto"/>
        </w:rPr>
        <w:t>rthorp@tta.lawyer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663 King’s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Quarry Bay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211"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9 October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examined the Registration Statement on Form S-8 to be filed by iClick Interactive Asia Group Limited, a Cayman Islands exempted company incorporated with limited liability (the “</w:t>
      </w:r>
      <w:r>
        <w:rPr>
          <w:rFonts w:ascii="Arial" w:cs="Arial" w:eastAsia="Arial" w:hAnsi="Arial"/>
          <w:sz w:val="17"/>
          <w:szCs w:val="17"/>
          <w:b w:val="1"/>
          <w:bCs w:val="1"/>
          <w:color w:val="auto"/>
        </w:rPr>
        <w:t>Registrant</w:t>
      </w:r>
      <w:r>
        <w:rPr>
          <w:rFonts w:ascii="Arial" w:cs="Arial" w:eastAsia="Arial" w:hAnsi="Arial"/>
          <w:sz w:val="17"/>
          <w:szCs w:val="17"/>
          <w:color w:val="auto"/>
        </w:rPr>
        <w:t>”), with the Securities and Exchange Commission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relating to the registration under the Securities Act of 1933, as amended, of an amount of Class A Ordinary Shares of the Registrant (the “</w:t>
      </w:r>
      <w:r>
        <w:rPr>
          <w:rFonts w:ascii="Arial" w:cs="Arial" w:eastAsia="Arial" w:hAnsi="Arial"/>
          <w:sz w:val="17"/>
          <w:szCs w:val="17"/>
          <w:b w:val="1"/>
          <w:bCs w:val="1"/>
          <w:color w:val="auto"/>
        </w:rPr>
        <w:t>Shares</w:t>
      </w:r>
      <w:r>
        <w:rPr>
          <w:rFonts w:ascii="Arial" w:cs="Arial" w:eastAsia="Arial" w:hAnsi="Arial"/>
          <w:sz w:val="17"/>
          <w:szCs w:val="17"/>
          <w:color w:val="auto"/>
        </w:rPr>
        <w:t>”) for issuance pursuant to the iClick Interactive Asia Group Limited Post-IPO Share Incentive Plan, as amended and restated on September 22, 2018 (the “</w:t>
      </w:r>
      <w:r>
        <w:rPr>
          <w:rFonts w:ascii="Arial" w:cs="Arial" w:eastAsia="Arial" w:hAnsi="Arial"/>
          <w:sz w:val="17"/>
          <w:szCs w:val="17"/>
          <w:b w:val="1"/>
          <w:bCs w:val="1"/>
          <w:color w:val="auto"/>
        </w:rPr>
        <w:t>Plan</w:t>
      </w:r>
      <w:r>
        <w:rPr>
          <w:rFonts w:ascii="Arial" w:cs="Arial" w:eastAsia="Arial" w:hAnsi="Arial"/>
          <w:sz w:val="17"/>
          <w:szCs w:val="17"/>
          <w:color w:val="auto"/>
        </w:rPr>
        <w:t>”).</w:t>
      </w:r>
    </w:p>
    <w:p>
      <w:pPr>
        <w:spacing w:after="0" w:line="17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Cayman Islands counsel to the Registrant, we have examined the corporate authorisations of the Registrant in connection with the Plan and the issue of the Shares by the Registrant and have assumed that the Shares will be issued in accordance with the Plan and the resolutions authorizing the issue.</w:t>
      </w:r>
    </w:p>
    <w:p>
      <w:pPr>
        <w:spacing w:after="0" w:line="12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It is our opinion that the Shares to be issued by the Registrant have been duly and validly authorised, and when issued, sold and paid for in the manner described in the Plans and in accordance with the relevant resolutions adopted by the Board of Directors of the Registrant (or any committee to whom the Board of Directors have delegated their powers with respect to administration of the Plan) and when appropriate entries have been made in the Register of Members of the Registrant, will be legally issued, fully paid and nonassessable.</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all references to us in the Registration Statement and any amendments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TRAVERS THORP ALBERGA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1267460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154940</wp:posOffset>
            </wp:positionV>
            <wp:extent cx="2521585" cy="909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2521585" cy="90932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POST-IPO SHARE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20" w:firstLine="389"/>
        <w:spacing w:after="0" w:line="255" w:lineRule="auto"/>
        <w:rPr>
          <w:sz w:val="20"/>
          <w:szCs w:val="20"/>
          <w:color w:val="auto"/>
        </w:rPr>
      </w:pPr>
      <w:r>
        <w:rPr>
          <w:rFonts w:ascii="Arial" w:cs="Arial" w:eastAsia="Arial" w:hAnsi="Arial"/>
          <w:sz w:val="18"/>
          <w:szCs w:val="18"/>
          <w:color w:val="auto"/>
        </w:rPr>
        <w:t>The purpose of this Post-IPO Share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is to promote the success and enhance the value of iClick Interactive Asia Group Limited, an exempted company formed under the laws of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 by linking the personal interests of the Directors, Employees, and Consultants to those of the Company’s shareholders and by providing such individuals with an incentive for outstanding performance to generate superior returns to the Company’s shareholders. The Plan is further intended to provide flexibility to the Company in its ability to motivate, attract, and retain the services of the Directors, Employees, and Consultants upon whose judgment, interest, and special effort the successful conduct of the Company’s operation is largely dependent.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29" w:lineRule="exact"/>
        <w:rPr>
          <w:sz w:val="20"/>
          <w:szCs w:val="20"/>
          <w:color w:val="auto"/>
        </w:rPr>
      </w:pPr>
    </w:p>
    <w:p>
      <w:pPr>
        <w:ind w:right="400" w:firstLine="389"/>
        <w:spacing w:after="0" w:line="277"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70" w:lineRule="exact"/>
        <w:rPr>
          <w:sz w:val="20"/>
          <w:szCs w:val="20"/>
          <w:color w:val="auto"/>
        </w:rPr>
      </w:pPr>
    </w:p>
    <w:p>
      <w:pPr>
        <w:ind w:left="220" w:right="180" w:firstLine="583"/>
        <w:spacing w:after="0" w:line="264"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Plan and the Awards under applicable provisions of the corporate, securities, tax and other laws, rules, regulations and government orders, and the rules of any applicable stock exchange or national market system, of any jurisdiction applicable to Awards granted to residents therein.</w:t>
      </w:r>
    </w:p>
    <w:p>
      <w:pPr>
        <w:spacing w:after="0" w:line="181"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an Option, Restricted Share or Restricted Share Unit award granted to a Participant pursuant to the Plan.</w:t>
      </w:r>
    </w:p>
    <w:p>
      <w:pPr>
        <w:spacing w:after="0" w:line="225" w:lineRule="exact"/>
        <w:rPr>
          <w:sz w:val="20"/>
          <w:szCs w:val="20"/>
          <w:color w:val="auto"/>
        </w:rPr>
      </w:pPr>
    </w:p>
    <w:p>
      <w:pPr>
        <w:ind w:left="220" w:right="440" w:firstLine="583"/>
        <w:spacing w:after="0" w:line="277"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any written agreement, contract, or other instrument or document evidencing an Award, including through electronic medium.</w:t>
      </w:r>
    </w:p>
    <w:p>
      <w:pPr>
        <w:spacing w:after="0" w:line="170"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right="40" w:firstLine="583"/>
        <w:spacing w:after="0" w:line="259"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Cause</w:t>
      </w:r>
      <w:r>
        <w:rPr>
          <w:rFonts w:ascii="Arial" w:cs="Arial" w:eastAsia="Arial" w:hAnsi="Arial"/>
          <w:sz w:val="18"/>
          <w:szCs w:val="18"/>
          <w:color w:val="auto"/>
        </w:rPr>
        <w:t>” with respect to a Participant means (unless otherwise expressly provided in the applicable Award Agreement, or another applicable contract with the Participant that defines such term for purposes of determining the effect that a “for cause” termination has on the Participant’s Awards) a termination of employment or service based upon a finding by the Service Recipient, acting in good faith and based on its reasonable belief at the time, that the Participant:</w:t>
      </w:r>
    </w:p>
    <w:p>
      <w:pPr>
        <w:spacing w:after="0" w:line="187" w:lineRule="exact"/>
        <w:rPr>
          <w:sz w:val="20"/>
          <w:szCs w:val="20"/>
          <w:color w:val="auto"/>
        </w:rPr>
      </w:pPr>
    </w:p>
    <w:p>
      <w:pPr>
        <w:ind w:right="560" w:firstLine="786"/>
        <w:spacing w:after="0" w:line="277" w:lineRule="auto"/>
        <w:tabs>
          <w:tab w:leader="none" w:pos="1288" w:val="left"/>
        </w:tabs>
        <w:numPr>
          <w:ilvl w:val="0"/>
          <w:numId w:val="3"/>
        </w:numPr>
        <w:rPr>
          <w:rFonts w:ascii="Arial" w:cs="Arial" w:eastAsia="Arial" w:hAnsi="Arial"/>
          <w:sz w:val="18"/>
          <w:szCs w:val="18"/>
          <w:color w:val="auto"/>
        </w:rPr>
      </w:pPr>
      <w:r>
        <w:rPr>
          <w:rFonts w:ascii="Arial" w:cs="Arial" w:eastAsia="Arial" w:hAnsi="Arial"/>
          <w:sz w:val="18"/>
          <w:szCs w:val="18"/>
          <w:color w:val="auto"/>
        </w:rPr>
        <w:t>has been negligent in the discharge of his or her duties to the Service Recipient, has refused to perform stated or assigned duties or is incompetent in or (other than by reason of a disability or analogous condition) incapable of performing those duties;</w:t>
      </w:r>
    </w:p>
    <w:p>
      <w:pPr>
        <w:spacing w:after="0" w:line="170" w:lineRule="exact"/>
        <w:rPr>
          <w:rFonts w:ascii="Arial" w:cs="Arial" w:eastAsia="Arial" w:hAnsi="Arial"/>
          <w:sz w:val="18"/>
          <w:szCs w:val="18"/>
          <w:color w:val="auto"/>
        </w:rPr>
      </w:pPr>
    </w:p>
    <w:p>
      <w:pPr>
        <w:ind w:right="720" w:firstLine="786"/>
        <w:spacing w:after="0" w:line="277" w:lineRule="auto"/>
        <w:tabs>
          <w:tab w:leader="none" w:pos="1298" w:val="left"/>
        </w:tabs>
        <w:numPr>
          <w:ilvl w:val="0"/>
          <w:numId w:val="3"/>
        </w:numPr>
        <w:rPr>
          <w:rFonts w:ascii="Arial" w:cs="Arial" w:eastAsia="Arial" w:hAnsi="Arial"/>
          <w:sz w:val="18"/>
          <w:szCs w:val="18"/>
          <w:color w:val="auto"/>
        </w:rPr>
      </w:pPr>
      <w:r>
        <w:rPr>
          <w:rFonts w:ascii="Arial" w:cs="Arial" w:eastAsia="Arial" w:hAnsi="Arial"/>
          <w:sz w:val="18"/>
          <w:szCs w:val="18"/>
          <w:color w:val="auto"/>
        </w:rPr>
        <w:t>has been dishonest or committed or engaged in an act of theft, embezzlement or fraud, a breach of confidentiality, an unauthorized disclosure or use of inside information, customer lists, trade secrets or other confidential information;</w:t>
      </w:r>
    </w:p>
    <w:p>
      <w:pPr>
        <w:spacing w:after="0" w:line="170" w:lineRule="exact"/>
        <w:rPr>
          <w:rFonts w:ascii="Arial" w:cs="Arial" w:eastAsia="Arial" w:hAnsi="Arial"/>
          <w:sz w:val="18"/>
          <w:szCs w:val="18"/>
          <w:color w:val="auto"/>
        </w:rPr>
      </w:pPr>
    </w:p>
    <w:p>
      <w:pPr>
        <w:ind w:right="80" w:firstLine="786"/>
        <w:spacing w:after="0" w:line="342" w:lineRule="auto"/>
        <w:tabs>
          <w:tab w:leader="none" w:pos="1302" w:val="left"/>
        </w:tabs>
        <w:numPr>
          <w:ilvl w:val="0"/>
          <w:numId w:val="3"/>
        </w:numPr>
        <w:rPr>
          <w:rFonts w:ascii="Arial" w:cs="Arial" w:eastAsia="Arial" w:hAnsi="Arial"/>
          <w:sz w:val="16"/>
          <w:szCs w:val="16"/>
          <w:color w:val="auto"/>
        </w:rPr>
      </w:pPr>
      <w:r>
        <w:rPr>
          <w:rFonts w:ascii="Arial" w:cs="Arial" w:eastAsia="Arial" w:hAnsi="Arial"/>
          <w:sz w:val="16"/>
          <w:szCs w:val="16"/>
          <w:color w:val="auto"/>
        </w:rPr>
        <w:t>has breached a fiduciary duty, or willfully and materially violated any other duty, law, rule, regulation or policy of the Service Recipient; or has been convicted of, or plead guilty or nolo contendere to, a felony or misdemeanor (other than minor traffic violations or similar offenses);</w:t>
      </w:r>
    </w:p>
    <w:p>
      <w:pPr>
        <w:spacing w:after="0" w:line="123" w:lineRule="exact"/>
        <w:rPr>
          <w:rFonts w:ascii="Arial" w:cs="Arial" w:eastAsia="Arial" w:hAnsi="Arial"/>
          <w:sz w:val="16"/>
          <w:szCs w:val="16"/>
          <w:color w:val="auto"/>
        </w:rPr>
      </w:pPr>
    </w:p>
    <w:p>
      <w:pPr>
        <w:ind w:left="1300" w:hanging="51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has materially breached any of the provisions of any agreement with the Service Recipient;</w:t>
      </w:r>
    </w:p>
    <w:p>
      <w:pPr>
        <w:spacing w:after="0" w:line="225" w:lineRule="exact"/>
        <w:rPr>
          <w:rFonts w:ascii="Arial" w:cs="Arial" w:eastAsia="Arial" w:hAnsi="Arial"/>
          <w:sz w:val="18"/>
          <w:szCs w:val="18"/>
          <w:color w:val="auto"/>
        </w:rPr>
      </w:pPr>
    </w:p>
    <w:p>
      <w:pPr>
        <w:ind w:right="260" w:firstLine="786"/>
        <w:spacing w:after="0" w:line="277" w:lineRule="auto"/>
        <w:tabs>
          <w:tab w:leader="none" w:pos="1302" w:val="left"/>
        </w:tabs>
        <w:numPr>
          <w:ilvl w:val="0"/>
          <w:numId w:val="3"/>
        </w:numPr>
        <w:rPr>
          <w:rFonts w:ascii="Arial" w:cs="Arial" w:eastAsia="Arial" w:hAnsi="Arial"/>
          <w:sz w:val="18"/>
          <w:szCs w:val="18"/>
          <w:color w:val="auto"/>
        </w:rPr>
      </w:pPr>
      <w:r>
        <w:rPr>
          <w:rFonts w:ascii="Arial" w:cs="Arial" w:eastAsia="Arial" w:hAnsi="Arial"/>
          <w:sz w:val="18"/>
          <w:szCs w:val="18"/>
          <w:color w:val="auto"/>
        </w:rPr>
        <w:t>has engaged in unfair competition with, or otherwise acted intentionally in a manner injurious to the reputation, business or assets of, the Service Recipient; or</w:t>
      </w:r>
    </w:p>
    <w:p>
      <w:pPr>
        <w:spacing w:after="0" w:line="170" w:lineRule="exact"/>
        <w:rPr>
          <w:rFonts w:ascii="Arial" w:cs="Arial" w:eastAsia="Arial" w:hAnsi="Arial"/>
          <w:sz w:val="18"/>
          <w:szCs w:val="18"/>
          <w:color w:val="auto"/>
        </w:rPr>
      </w:pPr>
    </w:p>
    <w:p>
      <w:pPr>
        <w:ind w:right="60" w:firstLine="786"/>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has improperly induced a vendor or customer to break or terminate any contract with the Service Recipient or induced a principal for whom the Service Recipient acts as agent to terminate such agency relationship.</w:t>
      </w:r>
    </w:p>
    <w:p>
      <w:pPr>
        <w:spacing w:after="0" w:line="170" w:lineRule="exact"/>
        <w:rPr>
          <w:sz w:val="20"/>
          <w:szCs w:val="20"/>
          <w:color w:val="auto"/>
        </w:rPr>
      </w:pPr>
    </w:p>
    <w:p>
      <w:pPr>
        <w:ind w:right="100" w:firstLine="389"/>
        <w:spacing w:after="0" w:line="277" w:lineRule="auto"/>
        <w:rPr>
          <w:sz w:val="20"/>
          <w:szCs w:val="20"/>
          <w:color w:val="auto"/>
        </w:rPr>
      </w:pPr>
      <w:r>
        <w:rPr>
          <w:rFonts w:ascii="Arial" w:cs="Arial" w:eastAsia="Arial" w:hAnsi="Arial"/>
          <w:sz w:val="18"/>
          <w:szCs w:val="18"/>
          <w:color w:val="auto"/>
        </w:rPr>
        <w:t>A termination for Cause shall be deemed to occur (subject to reinstatement upon a contrary final determination by the Committee) on the date on which the Service Recipient first delivers written notice to the Participant of a finding of termination for Cause.</w:t>
      </w:r>
    </w:p>
    <w:p>
      <w:pPr>
        <w:spacing w:after="0" w:line="170"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of the United States, as amended.</w:t>
      </w:r>
    </w:p>
    <w:p>
      <w:pPr>
        <w:spacing w:after="0" w:line="225"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a committee of the Board described in Article 10.</w:t>
      </w:r>
    </w:p>
    <w:p>
      <w:pPr>
        <w:spacing w:after="0" w:line="225" w:lineRule="exact"/>
        <w:rPr>
          <w:sz w:val="20"/>
          <w:szCs w:val="20"/>
          <w:color w:val="auto"/>
        </w:rPr>
      </w:pPr>
    </w:p>
    <w:p>
      <w:pPr>
        <w:ind w:left="220" w:right="40" w:firstLine="583"/>
        <w:spacing w:after="0" w:line="259"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consultant or adviser if: (a) the consultant or adviser renders bona fide services to a Service Recipient; (b) the services rendered by the consultant or adviser are not in connection with the offer or sale of securities in a capital- raising transaction and do not directly or indirectly promote or maintain a market for the Company’s securities; and (c) the consultant or adviser is a natural person who has contracted directly with the Service Recipient to render such services.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16" w:gutter="0" w:footer="0" w:header="0"/>
        </w:sectPr>
      </w:pPr>
    </w:p>
    <w:bookmarkStart w:id="6" w:name="page7"/>
    <w:bookmarkEnd w:id="6"/>
    <w:p>
      <w:pPr>
        <w:ind w:left="200" w:right="40" w:firstLine="583"/>
        <w:spacing w:after="0" w:line="342" w:lineRule="auto"/>
        <w:rPr>
          <w:sz w:val="20"/>
          <w:szCs w:val="20"/>
          <w:color w:val="auto"/>
        </w:rPr>
      </w:pPr>
      <w:r>
        <w:rPr>
          <w:rFonts w:ascii="Arial" w:cs="Arial" w:eastAsia="Arial" w:hAnsi="Arial"/>
          <w:sz w:val="16"/>
          <w:szCs w:val="16"/>
          <w:color w:val="auto"/>
        </w:rPr>
        <w:t>2.9 “</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unless otherwise defined in an Award Agreement, means any of the following transactions, provided, however, that the Committee shall determine under (d) and (e) whether multiple transactions are related, and its determination shall be final, binding and conclusive:</w:t>
      </w:r>
    </w:p>
    <w:p>
      <w:pPr>
        <w:spacing w:after="0" w:line="124" w:lineRule="exact"/>
        <w:rPr>
          <w:sz w:val="20"/>
          <w:szCs w:val="20"/>
          <w:color w:val="auto"/>
        </w:rPr>
      </w:pPr>
    </w:p>
    <w:p>
      <w:pPr>
        <w:jc w:val="both"/>
        <w:ind w:left="-20" w:right="40" w:firstLine="786"/>
        <w:spacing w:after="0" w:line="312" w:lineRule="auto"/>
        <w:tabs>
          <w:tab w:leader="none" w:pos="1268" w:val="left"/>
        </w:tabs>
        <w:numPr>
          <w:ilvl w:val="0"/>
          <w:numId w:val="4"/>
        </w:numPr>
        <w:rPr>
          <w:rFonts w:ascii="Arial" w:cs="Arial" w:eastAsia="Arial" w:hAnsi="Arial"/>
          <w:sz w:val="16"/>
          <w:szCs w:val="16"/>
          <w:color w:val="auto"/>
        </w:rPr>
      </w:pPr>
      <w:r>
        <w:rPr>
          <w:rFonts w:ascii="Arial" w:cs="Arial" w:eastAsia="Arial" w:hAnsi="Arial"/>
          <w:sz w:val="16"/>
          <w:szCs w:val="16"/>
          <w:color w:val="auto"/>
        </w:rPr>
        <w:t>an amalgamation, arrangement or consolidation or scheme of arrangement (i) in which the Company is not the surviving entity, except for a transaction the principal purpose of which is to change the jurisdiction in which the Company is incorporated or (ii) following which the holders of the voting securities of the Company do not continue to hold more than 50% of the combined voting power of the voting securities of the surviving entity;</w:t>
      </w:r>
    </w:p>
    <w:p>
      <w:pPr>
        <w:spacing w:after="0" w:line="146" w:lineRule="exact"/>
        <w:rPr>
          <w:rFonts w:ascii="Arial" w:cs="Arial" w:eastAsia="Arial" w:hAnsi="Arial"/>
          <w:sz w:val="16"/>
          <w:szCs w:val="16"/>
          <w:color w:val="auto"/>
        </w:rPr>
      </w:pPr>
    </w:p>
    <w:p>
      <w:pPr>
        <w:ind w:left="1280" w:hanging="514"/>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assets of the Company;</w:t>
      </w:r>
    </w:p>
    <w:p>
      <w:pPr>
        <w:spacing w:after="0" w:line="225" w:lineRule="exact"/>
        <w:rPr>
          <w:rFonts w:ascii="Arial" w:cs="Arial" w:eastAsia="Arial" w:hAnsi="Arial"/>
          <w:sz w:val="18"/>
          <w:szCs w:val="18"/>
          <w:color w:val="auto"/>
        </w:rPr>
      </w:pPr>
    </w:p>
    <w:p>
      <w:pPr>
        <w:ind w:left="1280" w:hanging="514"/>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complete liquidation or dissolution of the Company;</w:t>
      </w:r>
    </w:p>
    <w:p>
      <w:pPr>
        <w:spacing w:after="0" w:line="225" w:lineRule="exact"/>
        <w:rPr>
          <w:rFonts w:ascii="Arial" w:cs="Arial" w:eastAsia="Arial" w:hAnsi="Arial"/>
          <w:sz w:val="18"/>
          <w:szCs w:val="18"/>
          <w:color w:val="auto"/>
        </w:rPr>
      </w:pPr>
    </w:p>
    <w:p>
      <w:pPr>
        <w:ind w:left="-20" w:right="40" w:firstLine="786"/>
        <w:spacing w:after="0" w:line="273" w:lineRule="auto"/>
        <w:tabs>
          <w:tab w:leader="none" w:pos="1278"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reverse takeover or series of related transactions culminating in a reverse takeover (including, but not limited to, a tender offer followed by a reverse takeover) in which the Company is the surviving entity but (A) the Company’s equity securities outstanding immediately prior to such takeover are converted or exchanged by virtue of the takeover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takeover or the initial transaction culminating in such takeover, but excluding any such transaction or series of related transactions that the Committee determines shall not be a Corporate Transaction; or</w:t>
      </w:r>
    </w:p>
    <w:p>
      <w:pPr>
        <w:spacing w:after="0" w:line="178" w:lineRule="exact"/>
        <w:rPr>
          <w:rFonts w:ascii="Arial" w:cs="Arial" w:eastAsia="Arial" w:hAnsi="Arial"/>
          <w:sz w:val="17"/>
          <w:szCs w:val="17"/>
          <w:color w:val="auto"/>
        </w:rPr>
      </w:pPr>
    </w:p>
    <w:p>
      <w:pPr>
        <w:ind w:left="-20" w:right="20" w:firstLine="786"/>
        <w:spacing w:after="0" w:line="259" w:lineRule="auto"/>
        <w:tabs>
          <w:tab w:leader="none" w:pos="1282"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Committee determines shall not be a Corporate Transaction.</w:t>
      </w:r>
    </w:p>
    <w:p>
      <w:pPr>
        <w:spacing w:after="0" w:line="187" w:lineRule="exact"/>
        <w:rPr>
          <w:sz w:val="20"/>
          <w:szCs w:val="20"/>
          <w:color w:val="auto"/>
        </w:rPr>
      </w:pPr>
    </w:p>
    <w:p>
      <w:pPr>
        <w:ind w:left="780"/>
        <w:spacing w:after="0"/>
        <w:tabs>
          <w:tab w:leader="none" w:pos="12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Director”, means a member of the Board or a member of the board of directors of any Subsidiary of the Company.</w:t>
      </w:r>
    </w:p>
    <w:p>
      <w:pPr>
        <w:spacing w:after="0" w:line="225" w:lineRule="exact"/>
        <w:rPr>
          <w:sz w:val="20"/>
          <w:szCs w:val="20"/>
          <w:color w:val="auto"/>
        </w:rPr>
      </w:pPr>
    </w:p>
    <w:p>
      <w:pPr>
        <w:ind w:left="200" w:firstLine="583"/>
        <w:spacing w:after="0" w:line="293" w:lineRule="auto"/>
        <w:rPr>
          <w:sz w:val="20"/>
          <w:szCs w:val="20"/>
          <w:color w:val="auto"/>
        </w:rPr>
      </w:pPr>
      <w:r>
        <w:rPr>
          <w:rFonts w:ascii="Arial" w:cs="Arial" w:eastAsia="Arial" w:hAnsi="Arial"/>
          <w:sz w:val="16"/>
          <w:szCs w:val="16"/>
          <w:color w:val="auto"/>
        </w:rPr>
        <w:t>2.11 “</w:t>
      </w:r>
      <w:r>
        <w:rPr>
          <w:rFonts w:ascii="Arial" w:cs="Arial" w:eastAsia="Arial" w:hAnsi="Arial"/>
          <w:sz w:val="16"/>
          <w:szCs w:val="16"/>
          <w:u w:val="single" w:color="auto"/>
          <w:color w:val="auto"/>
        </w:rPr>
        <w:t>Disability</w:t>
      </w:r>
      <w:r>
        <w:rPr>
          <w:rFonts w:ascii="Arial" w:cs="Arial" w:eastAsia="Arial" w:hAnsi="Arial"/>
          <w:sz w:val="16"/>
          <w:szCs w:val="16"/>
          <w:color w:val="auto"/>
        </w:rPr>
        <w:t>”, unless otherwise defined in an Award Agreement, means that the Participant qualifies to receive long- term disability payments under the Service Recipient’s long-term disability insurance program, as it may be amended from time to time, to which the Participant provides services regardless of whether the Participant is covered by such policy. If the Service Recipient to which the Participant provides service does not have a long-term disability plan in place, “Disability” means that a Participant is unable to carry out the responsibilities and functions of the position held by the Participant by reason of any medically determinable physical or mental impairment for a period of not less than ninety (90) consecutive days. A Participant will not be considered to have incurred a Disability unless he or she furnishes proof of such impairment sufficient to satisfy the Committee in its discretion.</w:t>
      </w:r>
    </w:p>
    <w:p>
      <w:pPr>
        <w:spacing w:after="0" w:line="165" w:lineRule="exact"/>
        <w:rPr>
          <w:sz w:val="20"/>
          <w:szCs w:val="20"/>
          <w:color w:val="auto"/>
        </w:rPr>
      </w:pPr>
    </w:p>
    <w:p>
      <w:pPr>
        <w:ind w:left="780"/>
        <w:spacing w:after="0"/>
        <w:tabs>
          <w:tab w:leader="none" w:pos="12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have the meaning set forth in Section 11.1.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right="100" w:firstLine="583"/>
        <w:spacing w:after="0" w:line="264"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an officer or a Director, who is in the employment of a Service Recipient, subject to the control and direction of the Service Recipient as to both the work to be performed and the manner and method of performance. The payment of a director’s fee by a Service Recipient shall not be sufficient to constitute “employment” by the Service Recipient.</w:t>
      </w:r>
    </w:p>
    <w:p>
      <w:pPr>
        <w:spacing w:after="0" w:line="181" w:lineRule="exact"/>
        <w:rPr>
          <w:sz w:val="20"/>
          <w:szCs w:val="20"/>
          <w:color w:val="auto"/>
        </w:rPr>
      </w:pPr>
    </w:p>
    <w:p>
      <w:pPr>
        <w:ind w:left="780"/>
        <w:spacing w:after="0"/>
        <w:tabs>
          <w:tab w:leader="none" w:pos="12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of the United States, as amended.</w:t>
      </w:r>
    </w:p>
    <w:p>
      <w:pPr>
        <w:spacing w:after="0" w:line="225" w:lineRule="exact"/>
        <w:rPr>
          <w:sz w:val="20"/>
          <w:szCs w:val="20"/>
          <w:color w:val="auto"/>
        </w:rPr>
      </w:pPr>
    </w:p>
    <w:p>
      <w:pPr>
        <w:ind w:left="780"/>
        <w:spacing w:after="0"/>
        <w:tabs>
          <w:tab w:leader="none" w:pos="12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as of any date, the value of Shares determined as follows:</w:t>
      </w:r>
    </w:p>
    <w:p>
      <w:pPr>
        <w:spacing w:after="0" w:line="225" w:lineRule="exact"/>
        <w:rPr>
          <w:sz w:val="20"/>
          <w:szCs w:val="20"/>
          <w:color w:val="auto"/>
        </w:rPr>
      </w:pPr>
    </w:p>
    <w:p>
      <w:pPr>
        <w:ind w:left="-20" w:right="120" w:firstLine="786"/>
        <w:spacing w:after="0" w:line="297" w:lineRule="auto"/>
        <w:tabs>
          <w:tab w:leader="none" w:pos="1268"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the Shares are listed on one or more established stock exchanges or national market systems, including without limitation, the New York Stock Exchange or the NASDAQ Stock Market, its Fair Market Value shall be the closing sales price for such shares (or the closing bid, if no sales were reported) as quoted on the principal exchange or system on which the Shares are listed (as determined by the Committee) on the date of determination (or, if no closing sales price or closing bid was reported on that date, as applicable, on the last trading date such closing sales price or closing bid was reported), as reported on the website maintained by such exchange or market system or such other source as the Committee deems reliable;</w:t>
      </w:r>
    </w:p>
    <w:p>
      <w:pPr>
        <w:spacing w:after="0" w:line="158" w:lineRule="exact"/>
        <w:rPr>
          <w:rFonts w:ascii="Arial" w:cs="Arial" w:eastAsia="Arial" w:hAnsi="Arial"/>
          <w:sz w:val="16"/>
          <w:szCs w:val="16"/>
          <w:color w:val="auto"/>
        </w:rPr>
      </w:pPr>
    </w:p>
    <w:p>
      <w:pPr>
        <w:ind w:left="-20" w:right="40" w:firstLine="786"/>
        <w:spacing w:after="0" w:line="257" w:lineRule="auto"/>
        <w:tabs>
          <w:tab w:leader="none" w:pos="127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Shares are regularly quoted on an automated quotation system (including the OTC Bulletin Board) or by a recognized securities dealer, its Fair Market Value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Committee deems reliable; or</w:t>
      </w:r>
    </w:p>
    <w:p>
      <w:pPr>
        <w:spacing w:after="0" w:line="188" w:lineRule="exact"/>
        <w:rPr>
          <w:rFonts w:ascii="Arial" w:cs="Arial" w:eastAsia="Arial" w:hAnsi="Arial"/>
          <w:sz w:val="18"/>
          <w:szCs w:val="18"/>
          <w:color w:val="auto"/>
        </w:rPr>
      </w:pPr>
    </w:p>
    <w:p>
      <w:pPr>
        <w:ind w:left="-20" w:right="60" w:firstLine="786"/>
        <w:spacing w:after="0" w:line="255" w:lineRule="auto"/>
        <w:tabs>
          <w:tab w:leader="none" w:pos="128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absence of an established market for the Shares of the type described in (a) and (b), above, the Fair Market Value thereof shall be determined by the Committee in good faith and in its discretion by reference to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 and the general economic and market conditions since such transaction, (iii) an independent valuation of the Shares, or (iv) such other methodologies or information as the Committee determines to be indicative of Fair Market Value.</w:t>
      </w:r>
    </w:p>
    <w:p>
      <w:pPr>
        <w:spacing w:after="0" w:line="193" w:lineRule="exact"/>
        <w:rPr>
          <w:sz w:val="20"/>
          <w:szCs w:val="20"/>
          <w:color w:val="auto"/>
        </w:rPr>
      </w:pPr>
    </w:p>
    <w:p>
      <w:pPr>
        <w:ind w:left="780"/>
        <w:spacing w:after="0"/>
        <w:tabs>
          <w:tab w:leader="none" w:pos="12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Group Entity” means any of the Company and Subsidiaries of the Company.</w:t>
      </w:r>
    </w:p>
    <w:p>
      <w:pPr>
        <w:spacing w:after="0" w:line="225" w:lineRule="exact"/>
        <w:rPr>
          <w:sz w:val="20"/>
          <w:szCs w:val="20"/>
          <w:color w:val="auto"/>
        </w:rPr>
      </w:pPr>
    </w:p>
    <w:p>
      <w:pPr>
        <w:ind w:left="780"/>
        <w:spacing w:after="0"/>
        <w:tabs>
          <w:tab w:leader="none" w:pos="12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Incentive Share Option</w:t>
      </w:r>
      <w:r>
        <w:rPr>
          <w:rFonts w:ascii="Arial" w:cs="Arial" w:eastAsia="Arial" w:hAnsi="Arial"/>
          <w:sz w:val="16"/>
          <w:szCs w:val="16"/>
          <w:color w:val="auto"/>
        </w:rPr>
        <w:t>” means an Option that is intended to meet the requirements of Section 422 of the Code or any successor provision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200" w:right="20" w:firstLine="583"/>
        <w:spacing w:after="0" w:line="312" w:lineRule="auto"/>
        <w:rPr>
          <w:sz w:val="20"/>
          <w:szCs w:val="20"/>
          <w:color w:val="auto"/>
        </w:rPr>
      </w:pPr>
      <w:r>
        <w:rPr>
          <w:rFonts w:ascii="Arial" w:cs="Arial" w:eastAsia="Arial" w:hAnsi="Arial"/>
          <w:sz w:val="16"/>
          <w:szCs w:val="16"/>
          <w:color w:val="auto"/>
        </w:rPr>
        <w:t>2.18 “</w:t>
      </w:r>
      <w:r>
        <w:rPr>
          <w:rFonts w:ascii="Arial" w:cs="Arial" w:eastAsia="Arial" w:hAnsi="Arial"/>
          <w:sz w:val="16"/>
          <w:szCs w:val="16"/>
          <w:u w:val="single" w:color="auto"/>
          <w:color w:val="auto"/>
        </w:rPr>
        <w:t>Independent Director</w:t>
      </w:r>
      <w:r>
        <w:rPr>
          <w:rFonts w:ascii="Arial" w:cs="Arial" w:eastAsia="Arial" w:hAnsi="Arial"/>
          <w:sz w:val="16"/>
          <w:szCs w:val="16"/>
          <w:color w:val="auto"/>
        </w:rPr>
        <w:t>” means (i) if the Shares or other securities representing the Shares are not listed on a stock exchange, a Director of the Company who is a Non-Employee Director; and (ii) if the Shares or other securities representing the Shares are listed on one or more stock exchange, a Director of the Company who meets the independence standards under the applicable corporate governance rules of the stock exchange(s).</w:t>
      </w:r>
    </w:p>
    <w:p>
      <w:pPr>
        <w:sectPr>
          <w:pgSz w:w="11900" w:h="16838" w:orient="portrait"/>
          <w:cols w:equalWidth="0" w:num="1">
            <w:col w:w="11400"/>
          </w:cols>
          <w:pgMar w:left="260" w:top="125" w:right="239" w:bottom="0" w:gutter="0" w:footer="0" w:header="0"/>
        </w:sectPr>
      </w:pP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88900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125" w:right="239" w:bottom="0" w:gutter="0" w:footer="0" w:header="0"/>
          <w:type w:val="continuous"/>
        </w:sectPr>
      </w:pPr>
    </w:p>
    <w:bookmarkStart w:id="7" w:name="page8"/>
    <w:bookmarkEnd w:id="7"/>
    <w:p>
      <w:pPr>
        <w:ind w:left="220" w:firstLine="583"/>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qualifies as a “Non-Employee Director” as defined in Rule 16b-3(b)(3) of the Exchange Act, or any successor definition adopted by the Board.</w:t>
      </w:r>
    </w:p>
    <w:p>
      <w:pPr>
        <w:spacing w:after="0" w:line="170"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Non-Qualified Share Option</w:t>
      </w:r>
      <w:r>
        <w:rPr>
          <w:rFonts w:ascii="Arial" w:cs="Arial" w:eastAsia="Arial" w:hAnsi="Arial"/>
          <w:sz w:val="16"/>
          <w:szCs w:val="16"/>
          <w:color w:val="auto"/>
        </w:rPr>
        <w:t>” means an Option that is not intended to be an Incentive Share Option.</w:t>
      </w:r>
    </w:p>
    <w:p>
      <w:pPr>
        <w:spacing w:after="0" w:line="225" w:lineRule="exact"/>
        <w:rPr>
          <w:sz w:val="20"/>
          <w:szCs w:val="20"/>
          <w:color w:val="auto"/>
        </w:rPr>
      </w:pPr>
    </w:p>
    <w:p>
      <w:pPr>
        <w:ind w:left="220" w:right="360" w:firstLine="583"/>
        <w:spacing w:after="0" w:line="277"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Option</w:t>
      </w:r>
      <w:r>
        <w:rPr>
          <w:rFonts w:ascii="Arial" w:cs="Arial" w:eastAsia="Arial" w:hAnsi="Arial"/>
          <w:sz w:val="18"/>
          <w:szCs w:val="18"/>
          <w:color w:val="auto"/>
        </w:rPr>
        <w:t>” means a right granted to a Participant pursuant to Article 5 of the Plan to purchase a specified number of Shares at a specified price during specified time periods. An Option may be either an Incentive Share Option or a Non-Qualified Share Option.</w:t>
      </w:r>
    </w:p>
    <w:p>
      <w:pPr>
        <w:spacing w:after="0" w:line="170"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 person who, as a Director, Consultant or Employee, has been granted an Award pursuant to the Plan.</w:t>
      </w:r>
    </w:p>
    <w:p>
      <w:pPr>
        <w:spacing w:after="0" w:line="225"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means a parent corporation under Section 424(e) of the Code.</w:t>
      </w:r>
    </w:p>
    <w:p>
      <w:pPr>
        <w:spacing w:after="0" w:line="225"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Post-IPO Share Incentive Plan of iClick Interactive Asia Group Limited, as amended and/or restated from time to time.</w:t>
      </w:r>
    </w:p>
    <w:p>
      <w:pPr>
        <w:spacing w:after="0" w:line="225" w:lineRule="exact"/>
        <w:rPr>
          <w:sz w:val="20"/>
          <w:szCs w:val="20"/>
          <w:color w:val="auto"/>
        </w:rPr>
      </w:pPr>
    </w:p>
    <w:p>
      <w:pPr>
        <w:ind w:left="220" w:right="80" w:firstLine="583"/>
        <w:spacing w:after="0" w:line="259"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Related Entity</w:t>
      </w:r>
      <w:r>
        <w:rPr>
          <w:rFonts w:ascii="Arial" w:cs="Arial" w:eastAsia="Arial" w:hAnsi="Arial"/>
          <w:sz w:val="18"/>
          <w:szCs w:val="18"/>
          <w:color w:val="auto"/>
        </w:rPr>
        <w:t>” means any business, corporation, partnership, limited liability company or other entity in which the Company, a Parent or Subsidiary of the Company holds a substantial ownership interest, directly or indirectly, or controls through contractual arrangements and consolidates the financial results according to applicable accounting standards, but which is not a Subsidiary and which the Board designates as a Related Entity for purposes of the Plan.</w:t>
      </w:r>
    </w:p>
    <w:p>
      <w:pPr>
        <w:spacing w:after="0" w:line="187" w:lineRule="exact"/>
        <w:rPr>
          <w:sz w:val="20"/>
          <w:szCs w:val="20"/>
          <w:color w:val="auto"/>
        </w:rPr>
      </w:pPr>
    </w:p>
    <w:p>
      <w:pPr>
        <w:ind w:left="220" w:right="140" w:firstLine="583"/>
        <w:spacing w:after="0" w:line="277"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Restricted Share</w:t>
      </w:r>
      <w:r>
        <w:rPr>
          <w:rFonts w:ascii="Arial" w:cs="Arial" w:eastAsia="Arial" w:hAnsi="Arial"/>
          <w:sz w:val="18"/>
          <w:szCs w:val="18"/>
          <w:color w:val="auto"/>
        </w:rPr>
        <w:t>” means a Share awarded to a Participant pursuant to Article 6 that is subject to certain restrictions and may be subject to risk of forfeiture.</w:t>
      </w:r>
    </w:p>
    <w:p>
      <w:pPr>
        <w:spacing w:after="0" w:line="170"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Restricted Share Unit</w:t>
      </w:r>
      <w:r>
        <w:rPr>
          <w:rFonts w:ascii="Arial" w:cs="Arial" w:eastAsia="Arial" w:hAnsi="Arial"/>
          <w:sz w:val="16"/>
          <w:szCs w:val="16"/>
          <w:color w:val="auto"/>
        </w:rPr>
        <w:t>” means an Award granted pursuant to Article 7.</w:t>
      </w:r>
    </w:p>
    <w:p>
      <w:pPr>
        <w:spacing w:after="0" w:line="225" w:lineRule="exact"/>
        <w:rPr>
          <w:sz w:val="20"/>
          <w:szCs w:val="20"/>
          <w:color w:val="auto"/>
        </w:rPr>
      </w:pPr>
    </w:p>
    <w:p>
      <w:pPr>
        <w:ind w:left="800"/>
        <w:spacing w:after="0"/>
        <w:tabs>
          <w:tab w:leader="none" w:pos="128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of the United States, as amended.</w:t>
      </w:r>
    </w:p>
    <w:p>
      <w:pPr>
        <w:spacing w:after="0" w:line="225" w:lineRule="exact"/>
        <w:rPr>
          <w:sz w:val="20"/>
          <w:szCs w:val="20"/>
          <w:color w:val="auto"/>
        </w:rPr>
      </w:pPr>
    </w:p>
    <w:p>
      <w:pPr>
        <w:ind w:left="220" w:right="680" w:firstLine="583"/>
        <w:spacing w:after="0" w:line="277"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Service Recipient</w:t>
      </w:r>
      <w:r>
        <w:rPr>
          <w:rFonts w:ascii="Arial" w:cs="Arial" w:eastAsia="Arial" w:hAnsi="Arial"/>
          <w:sz w:val="18"/>
          <w:szCs w:val="18"/>
          <w:color w:val="auto"/>
        </w:rPr>
        <w:t>” means the Company or Subsidiary of the Company to which a Participant provides services as an Employee, a Consultant or a Director.</w:t>
      </w:r>
    </w:p>
    <w:p>
      <w:pPr>
        <w:spacing w:after="0" w:line="170" w:lineRule="exact"/>
        <w:rPr>
          <w:sz w:val="20"/>
          <w:szCs w:val="20"/>
          <w:color w:val="auto"/>
        </w:rPr>
      </w:pPr>
    </w:p>
    <w:p>
      <w:pPr>
        <w:ind w:left="220" w:right="200" w:firstLine="583"/>
        <w:spacing w:after="0" w:line="277"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Share</w:t>
      </w:r>
      <w:r>
        <w:rPr>
          <w:rFonts w:ascii="Arial" w:cs="Arial" w:eastAsia="Arial" w:hAnsi="Arial"/>
          <w:sz w:val="18"/>
          <w:szCs w:val="18"/>
          <w:color w:val="auto"/>
        </w:rPr>
        <w:t>” means the Class A ordinary shares of the Company, par value US$0.001 per share, and such other securities of the Company that may be substituted for Shares pursuant to Article 9.</w:t>
      </w:r>
    </w:p>
    <w:p>
      <w:pPr>
        <w:spacing w:after="0" w:line="170" w:lineRule="exact"/>
        <w:rPr>
          <w:sz w:val="20"/>
          <w:szCs w:val="20"/>
          <w:color w:val="auto"/>
        </w:rPr>
      </w:pPr>
    </w:p>
    <w:p>
      <w:pPr>
        <w:ind w:left="220" w:right="360" w:firstLine="583"/>
        <w:spacing w:after="0" w:line="277"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or other entity of which a majority of the outstanding voting shares or voting power is beneficially owned directly or indirectly by the Company.</w:t>
      </w:r>
    </w:p>
    <w:p>
      <w:pPr>
        <w:spacing w:after="0" w:line="170" w:lineRule="exact"/>
        <w:rPr>
          <w:sz w:val="20"/>
          <w:szCs w:val="20"/>
          <w:color w:val="auto"/>
        </w:rPr>
      </w:pPr>
    </w:p>
    <w:p>
      <w:pPr>
        <w:ind w:left="220" w:right="420" w:firstLine="583"/>
        <w:spacing w:after="0" w:line="277"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Trading Date</w:t>
      </w:r>
      <w:r>
        <w:rPr>
          <w:rFonts w:ascii="Arial" w:cs="Arial" w:eastAsia="Arial" w:hAnsi="Arial"/>
          <w:sz w:val="18"/>
          <w:szCs w:val="18"/>
          <w:color w:val="auto"/>
        </w:rPr>
        <w:t>” means the closing of the first sale to the general public of the Shares pursuant to a registration statement filed with and declared effective by the U.S. Securities and Exchange Commission under the Securities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THE PLAN</w:t>
      </w:r>
    </w:p>
    <w:p>
      <w:pPr>
        <w:spacing w:after="0" w:line="229" w:lineRule="exact"/>
        <w:rPr>
          <w:sz w:val="20"/>
          <w:szCs w:val="20"/>
          <w:color w:val="auto"/>
        </w:rPr>
      </w:pPr>
    </w:p>
    <w:p>
      <w:pPr>
        <w:ind w:left="400"/>
        <w:spacing w:after="0"/>
        <w:tabs>
          <w:tab w:leader="none" w:pos="7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Number of Shares</w:t>
      </w:r>
      <w:r>
        <w:rPr>
          <w:rFonts w:ascii="Arial" w:cs="Arial" w:eastAsia="Arial" w:hAnsi="Arial"/>
          <w:sz w:val="16"/>
          <w:szCs w:val="16"/>
          <w:color w:val="auto"/>
        </w:rPr>
        <w:t>.</w:t>
      </w:r>
    </w:p>
    <w:p>
      <w:pPr>
        <w:spacing w:after="0" w:line="225" w:lineRule="exact"/>
        <w:rPr>
          <w:sz w:val="20"/>
          <w:szCs w:val="20"/>
          <w:color w:val="auto"/>
        </w:rPr>
      </w:pPr>
    </w:p>
    <w:p>
      <w:pPr>
        <w:ind w:right="180" w:firstLine="786"/>
        <w:spacing w:after="0" w:line="273" w:lineRule="auto"/>
        <w:tabs>
          <w:tab w:leader="none" w:pos="1288"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Subject to the provisions of Article 9 and Section 3.1(b), the maximum aggregate number of Shares which may be issued pursuant to all Awards (including Incentive Share Options) (the “Award Pool”) shall initially be 2,500,000 Shares, plus an annual increase for each fiscal year of the Company during the term of this Plan commencing with the fiscal year beginning January 1, 2018, by an amount equal to the least of (i) 0.5% of the total number of Shares issued and outstanding on the last day of the immediately preceding fiscal year; (ii) 150,000 Shares or (iii) such number of Shares as may be determined by the Board, the size of the Award Pool to be equitably adjusted in the event of any share dividend, subdivision, reclassification, recapitalization, split, reverse split, combination, consolidation or similar transactions.</w:t>
      </w:r>
    </w:p>
    <w:p>
      <w:pPr>
        <w:spacing w:after="0" w:line="178" w:lineRule="exact"/>
        <w:rPr>
          <w:rFonts w:ascii="Arial" w:cs="Arial" w:eastAsia="Arial" w:hAnsi="Arial"/>
          <w:sz w:val="17"/>
          <w:szCs w:val="17"/>
          <w:color w:val="auto"/>
        </w:rPr>
      </w:pPr>
    </w:p>
    <w:p>
      <w:pPr>
        <w:jc w:val="both"/>
        <w:ind w:right="260" w:firstLine="786"/>
        <w:spacing w:after="0" w:line="288" w:lineRule="auto"/>
        <w:tabs>
          <w:tab w:leader="none" w:pos="1298"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the extent that an Award terminates, expires, or lapses for any reason, any Shares subject to the Award shall again be available for the grant of an Award pursuant to the Plan. To the extent permitted by Applicable Laws, Shares issued in assumption of, or in substitution for, any outstanding awards of any entity acquired in any form or combination by a Group Entity shall not be counted against Shares available for grant pursuant to the Plan.</w:t>
      </w:r>
    </w:p>
    <w:p>
      <w:pPr>
        <w:ind w:right="200"/>
        <w:spacing w:after="0" w:line="292" w:lineRule="auto"/>
        <w:rPr>
          <w:rFonts w:ascii="Arial" w:cs="Arial" w:eastAsia="Arial" w:hAnsi="Arial"/>
          <w:sz w:val="16"/>
          <w:szCs w:val="16"/>
          <w:color w:val="auto"/>
        </w:rPr>
      </w:pPr>
      <w:r>
        <w:rPr>
          <w:rFonts w:ascii="Arial" w:cs="Arial" w:eastAsia="Arial" w:hAnsi="Arial"/>
          <w:sz w:val="16"/>
          <w:szCs w:val="16"/>
          <w:color w:val="auto"/>
        </w:rPr>
        <w:t>Shares delivered by the Participant or withheld by the Company upon the exercise of any Award under the Plan, in payment of the exercise price thereof or tax withholding thereon, may again be optioned, granted or awarded hereunder, subject to the limitations of Section 3.1(a). If any Restricted Shares are forfeited by the Participant or repurchased by the Company, such Shares may again be optioned, granted or awarded hereunder, subject to the limitations of Section 3.1(a). Notwithstanding the provisions of this Section 3.1(b), no Shares may again be optioned, granted or awarded if such action would cause an Incentive Share Option to fail to qualify as an incentive share option under Section 422 of the Code.</w:t>
      </w:r>
    </w:p>
    <w:p>
      <w:pPr>
        <w:spacing w:after="0" w:line="163" w:lineRule="exact"/>
        <w:rPr>
          <w:sz w:val="20"/>
          <w:szCs w:val="20"/>
          <w:color w:val="auto"/>
        </w:rPr>
      </w:pPr>
    </w:p>
    <w:p>
      <w:pPr>
        <w:ind w:right="320" w:firstLine="389"/>
        <w:spacing w:after="0" w:line="30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Shares Distributed</w:t>
      </w:r>
      <w:r>
        <w:rPr>
          <w:rFonts w:ascii="Arial" w:cs="Arial" w:eastAsia="Arial" w:hAnsi="Arial"/>
          <w:sz w:val="16"/>
          <w:szCs w:val="16"/>
          <w:color w:val="auto"/>
        </w:rPr>
        <w:t>. Any Shares distributed pursuant to an Award may consist, in whole or in part, of authorized and unissued Shares, treasury Shares (subject to Applicable Laws) or Shares purchased on the open market. Additionally, at the discretion of the Committee, any Shares distributed pursuant to an Award may be represented by American Depository Shares. If the number of Shares represented by an American Depository Share is other than on a one-to-one basis, the limitations of Section 3.1 shall be adjusted to reflect the distribution of American Depository Shares in lieu of Shares.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 AND PARTICIPATION</w:t>
      </w:r>
    </w:p>
    <w:p>
      <w:pPr>
        <w:spacing w:after="0" w:line="229" w:lineRule="exact"/>
        <w:rPr>
          <w:sz w:val="20"/>
          <w:szCs w:val="20"/>
          <w:color w:val="auto"/>
        </w:rPr>
      </w:pPr>
    </w:p>
    <w:p>
      <w:pPr>
        <w:ind w:left="400"/>
        <w:spacing w:after="0"/>
        <w:tabs>
          <w:tab w:leader="none" w:pos="7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Eligibility</w:t>
      </w:r>
      <w:r>
        <w:rPr>
          <w:rFonts w:ascii="Arial" w:cs="Arial" w:eastAsia="Arial" w:hAnsi="Arial"/>
          <w:sz w:val="16"/>
          <w:szCs w:val="16"/>
          <w:color w:val="auto"/>
        </w:rPr>
        <w:t>. Persons eligible to participate in this Plan include Employees, Consultants, and Directors, as determined by the Committee.</w:t>
      </w:r>
    </w:p>
    <w:p>
      <w:pPr>
        <w:sectPr>
          <w:pgSz w:w="11900" w:h="16838" w:orient="portrait"/>
          <w:cols w:equalWidth="0" w:num="1">
            <w:col w:w="11400"/>
          </w:cols>
          <w:pgMar w:left="240" w:top="584" w:right="259" w:bottom="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389"/>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Participation</w:t>
      </w:r>
      <w:r>
        <w:rPr>
          <w:rFonts w:ascii="Arial" w:cs="Arial" w:eastAsia="Arial" w:hAnsi="Arial"/>
          <w:sz w:val="18"/>
          <w:szCs w:val="18"/>
          <w:color w:val="auto"/>
        </w:rPr>
        <w:t>. Subject to the provisions of the Plan, the Committee may, from time to time, select from among all eligible individuals, those to whom Awards shall be granted and shall determine the nature and amount of each Award. No individual shall have any right to be granted an Award pursuant to this Plan.</w:t>
      </w:r>
    </w:p>
    <w:p>
      <w:pPr>
        <w:spacing w:after="0" w:line="181" w:lineRule="exact"/>
        <w:rPr>
          <w:sz w:val="20"/>
          <w:szCs w:val="20"/>
          <w:color w:val="auto"/>
        </w:rPr>
      </w:pPr>
    </w:p>
    <w:p>
      <w:pPr>
        <w:ind w:right="60" w:firstLine="389"/>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Jurisdictions</w:t>
      </w:r>
      <w:r>
        <w:rPr>
          <w:rFonts w:ascii="Arial" w:cs="Arial" w:eastAsia="Arial" w:hAnsi="Arial"/>
          <w:sz w:val="18"/>
          <w:szCs w:val="18"/>
          <w:color w:val="auto"/>
        </w:rPr>
        <w:t xml:space="preserve">. In order to assure the viability of Awards granted to Participants employed in various jurisdictions, the Committee may provide for such special terms as it may consider necessary or appropriate to accommodate differences in local law, tax policy, or custom applicable in the jurisdiction in which the Participant resides, is employed, operates or is incorporated. Moreover, the Committee may approve such supplements to, or amendments, restatements, or alternative versions of, the Plan as it may consider necessary or appropriate for such purposes without thereby affecting the terms of the Plan as in effect for any other purpose;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supplements, amendments, restatements, or alternative versions shall increase the share limitations contained in Section 3.1 of the Plan. Notwithstanding the foregoing, the Committee may not take any actions hereunder, and no Awards shall be granted, that would violate any Applicable Laws.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ind w:left="78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 The Committee is authorized to grant Options to Participants on the following terms and conditions:</w:t>
      </w:r>
    </w:p>
    <w:p>
      <w:pPr>
        <w:spacing w:after="0" w:line="225" w:lineRule="exact"/>
        <w:rPr>
          <w:sz w:val="20"/>
          <w:szCs w:val="20"/>
          <w:color w:val="auto"/>
        </w:rPr>
      </w:pPr>
    </w:p>
    <w:p>
      <w:pPr>
        <w:ind w:right="20" w:firstLine="786"/>
        <w:spacing w:after="0" w:line="276" w:lineRule="auto"/>
        <w:tabs>
          <w:tab w:leader="none" w:pos="1288"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per Share subject to an Option shall be determined by the Committee and set forth in the Award Agreement which may be a fixed price or a variable price related to the Fair Market Value of the Shares. The exercise price per Share subject to an Option may be amended or adjusted in the absolute discretion of the Committee, the determination of which shall be final, binding and conclusive. For the avoidance of doubt, to the extent not prohibited by Applicable Laws or any exchange rule, a downward adjustment of the exercise prices of Options mentioned in the preceding sentence shall be effective without the approval of the Company’s shareholders or the approval of the affected Participants.</w:t>
      </w:r>
    </w:p>
    <w:p>
      <w:pPr>
        <w:spacing w:after="0" w:line="172" w:lineRule="exact"/>
        <w:rPr>
          <w:rFonts w:ascii="Arial" w:cs="Arial" w:eastAsia="Arial" w:hAnsi="Arial"/>
          <w:sz w:val="17"/>
          <w:szCs w:val="17"/>
          <w:color w:val="auto"/>
        </w:rPr>
      </w:pPr>
    </w:p>
    <w:p>
      <w:pPr>
        <w:ind w:right="340" w:firstLine="786"/>
        <w:spacing w:after="0" w:line="312" w:lineRule="auto"/>
        <w:tabs>
          <w:tab w:leader="none" w:pos="1298"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Time and Conditions of Exercise</w:t>
      </w:r>
      <w:r>
        <w:rPr>
          <w:rFonts w:ascii="Arial" w:cs="Arial" w:eastAsia="Arial" w:hAnsi="Arial"/>
          <w:sz w:val="16"/>
          <w:szCs w:val="16"/>
          <w:color w:val="auto"/>
        </w:rPr>
        <w:t xml:space="preserve">. The Committee shall determine the time or times at which an Option may be exercised in whole or in part, including exercise prior to vesting;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of any Option granted under the Plan shall not exceed ten years, except as provided in Section 12.1. The Committee shall also determine any conditions, if any, that must be satisfied before all or part of an Option may be exercised.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786"/>
        <w:spacing w:after="0" w:line="269" w:lineRule="auto"/>
        <w:tabs>
          <w:tab w:leader="none" w:pos="1302"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The Committee shall determine the methods by which the exercise price of an Option may be paid, the form of payment, including, without limitation (i) cash or check denominated in U.S. Dollars, (ii) to the extent permissible under the Applicable Laws, cash or check in Chinese Renminbi, (iii) cash or check denominated in any other local currency as approved by the Committee, (iv) Shares held for such period of time as may be required by the Committee in order to avoid adverse financial accounting consequences and having a Fair Market Value on the date of delivery equal to the aggregate exercise price of the Option or exercised portion thereof, (v) after the Trading Date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of such proceeds is then made to the Company upon settlement of such sale, (vi) other property acceptable to the Committee with a Fair Market Value equal to the exercise price, or (vii) any combination of the foregoing. Notwithstanding any other provision of the Plan to the contrary, no Participant who is a member of the Board or an “executive officer” of the Company within the meaning of Section 13(k) of the Exchange Act shall be permitted to pay the exercise price of an Option in any method which would violate Section 13(k) of the Exchange Act.</w:t>
      </w:r>
    </w:p>
    <w:p>
      <w:pPr>
        <w:spacing w:after="0" w:line="182" w:lineRule="exact"/>
        <w:rPr>
          <w:rFonts w:ascii="Arial" w:cs="Arial" w:eastAsia="Arial" w:hAnsi="Arial"/>
          <w:sz w:val="17"/>
          <w:szCs w:val="17"/>
          <w:color w:val="auto"/>
        </w:rPr>
      </w:pPr>
    </w:p>
    <w:p>
      <w:pPr>
        <w:ind w:right="720" w:firstLine="786"/>
        <w:spacing w:after="0" w:line="277" w:lineRule="auto"/>
        <w:tabs>
          <w:tab w:leader="none" w:pos="129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Evidence of Grant</w:t>
      </w:r>
      <w:r>
        <w:rPr>
          <w:rFonts w:ascii="Arial" w:cs="Arial" w:eastAsia="Arial" w:hAnsi="Arial"/>
          <w:sz w:val="18"/>
          <w:szCs w:val="18"/>
          <w:color w:val="auto"/>
        </w:rPr>
        <w:t>. All Options shall be evidenced by an Award Agreement between the Company and the Participant. The Award Agreement shall include such additional provisions as may be specified by the Committee.</w:t>
      </w:r>
    </w:p>
    <w:p>
      <w:pPr>
        <w:spacing w:after="0" w:line="170" w:lineRule="exact"/>
        <w:rPr>
          <w:rFonts w:ascii="Arial" w:cs="Arial" w:eastAsia="Arial" w:hAnsi="Arial"/>
          <w:sz w:val="18"/>
          <w:szCs w:val="18"/>
          <w:color w:val="auto"/>
        </w:rPr>
      </w:pPr>
    </w:p>
    <w:p>
      <w:pPr>
        <w:ind w:right="300" w:firstLine="786"/>
        <w:spacing w:after="0" w:line="277" w:lineRule="auto"/>
        <w:tabs>
          <w:tab w:leader="none" w:pos="130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Effects of Termination of Employment or Service on Options</w:t>
      </w:r>
      <w:r>
        <w:rPr>
          <w:rFonts w:ascii="Arial" w:cs="Arial" w:eastAsia="Arial" w:hAnsi="Arial"/>
          <w:sz w:val="18"/>
          <w:szCs w:val="18"/>
          <w:color w:val="auto"/>
        </w:rPr>
        <w:t>. Termination of employment or service shall have the following effects on Options granted to the Participants:</w:t>
      </w:r>
    </w:p>
    <w:p>
      <w:pPr>
        <w:spacing w:after="0" w:line="170" w:lineRule="exact"/>
        <w:rPr>
          <w:rFonts w:ascii="Arial" w:cs="Arial" w:eastAsia="Arial" w:hAnsi="Arial"/>
          <w:sz w:val="18"/>
          <w:szCs w:val="18"/>
          <w:color w:val="auto"/>
        </w:rPr>
      </w:pPr>
    </w:p>
    <w:p>
      <w:pPr>
        <w:ind w:right="60" w:firstLine="1434"/>
        <w:spacing w:after="0" w:line="264" w:lineRule="auto"/>
        <w:tabs>
          <w:tab w:leader="none" w:pos="1961"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Dismissal for Cause</w:t>
      </w:r>
      <w:r>
        <w:rPr>
          <w:rFonts w:ascii="Arial" w:cs="Arial" w:eastAsia="Arial" w:hAnsi="Arial"/>
          <w:sz w:val="18"/>
          <w:szCs w:val="18"/>
          <w:color w:val="auto"/>
        </w:rPr>
        <w:t>. Unless otherwise provided in the Award Agreement, if a Participant’s employment by or service to the Service Recipient is terminated by the Service Recipient for Cause, the Participant’s Options will terminate upon such termination, whether or not the Option is then vested and/or exercisable;</w:t>
      </w:r>
    </w:p>
    <w:p>
      <w:pPr>
        <w:spacing w:after="0" w:line="181" w:lineRule="exact"/>
        <w:rPr>
          <w:rFonts w:ascii="Arial" w:cs="Arial" w:eastAsia="Arial" w:hAnsi="Arial"/>
          <w:sz w:val="18"/>
          <w:szCs w:val="18"/>
          <w:color w:val="auto"/>
        </w:rPr>
      </w:pPr>
    </w:p>
    <w:p>
      <w:pPr>
        <w:ind w:firstLine="1434"/>
        <w:spacing w:after="0" w:line="277" w:lineRule="auto"/>
        <w:tabs>
          <w:tab w:leader="none" w:pos="197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Unless otherwise provided in the Award Agreement, if a Participant’s employment by or service to the Service Recipient terminates as a result of the Participant’s death or Disability:</w:t>
      </w:r>
    </w:p>
    <w:p>
      <w:pPr>
        <w:spacing w:after="0" w:line="170" w:lineRule="exact"/>
        <w:rPr>
          <w:sz w:val="20"/>
          <w:szCs w:val="20"/>
          <w:color w:val="auto"/>
        </w:rPr>
      </w:pPr>
    </w:p>
    <w:p>
      <w:pPr>
        <w:ind w:left="1820" w:right="60" w:hanging="386"/>
        <w:spacing w:after="0" w:line="259" w:lineRule="auto"/>
        <w:tabs>
          <w:tab w:leader="none" w:pos="181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Participant (or his or her legal representative or beneficiary, in the case of the Participant’s Disability or death, respectively), will have until the date that is 12 months after the Participant’s termination of Employment to exercise the Participant’s Options (or portion thereof) to the extent that such Options were vested and exercisable on the date of the Participant’s termination of Employment on account of death or Disability;</w:t>
      </w:r>
    </w:p>
    <w:p>
      <w:pPr>
        <w:spacing w:after="0" w:line="186" w:lineRule="exact"/>
        <w:rPr>
          <w:rFonts w:ascii="Arial" w:cs="Arial" w:eastAsia="Arial" w:hAnsi="Arial"/>
          <w:sz w:val="18"/>
          <w:szCs w:val="18"/>
          <w:color w:val="auto"/>
        </w:rPr>
      </w:pPr>
    </w:p>
    <w:p>
      <w:pPr>
        <w:ind w:left="1820" w:right="360" w:hanging="386"/>
        <w:spacing w:after="0" w:line="308" w:lineRule="auto"/>
        <w:tabs>
          <w:tab w:leader="none" w:pos="1829"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Options, to the extent not vested and exercisable on the date of the Participant’s termination of Employment or service, shall terminate upon the Participant’s termination of Employment or service on account of death or Disability; and</w:t>
      </w:r>
    </w:p>
    <w:p>
      <w:pPr>
        <w:spacing w:after="0" w:line="146" w:lineRule="exact"/>
        <w:rPr>
          <w:rFonts w:ascii="Arial" w:cs="Arial" w:eastAsia="Arial" w:hAnsi="Arial"/>
          <w:sz w:val="17"/>
          <w:szCs w:val="17"/>
          <w:color w:val="auto"/>
        </w:rPr>
      </w:pPr>
    </w:p>
    <w:p>
      <w:pPr>
        <w:ind w:left="1820" w:right="80" w:hanging="386"/>
        <w:spacing w:after="0" w:line="308" w:lineRule="auto"/>
        <w:tabs>
          <w:tab w:leader="none" w:pos="183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Options, to the extent exercisable for the 12-month period following the Participant’s termination of Employment or service and not exercised during such period, shall terminate at the close of business on the last day of the 12-month period.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32" w:gutter="0" w:footer="0" w:header="0"/>
        </w:sectPr>
      </w:pPr>
    </w:p>
    <w:bookmarkStart w:id="9" w:name="page10"/>
    <w:bookmarkEnd w:id="9"/>
    <w:p>
      <w:pPr>
        <w:spacing w:after="0" w:line="66" w:lineRule="exact"/>
        <w:rPr>
          <w:sz w:val="20"/>
          <w:szCs w:val="20"/>
          <w:color w:val="auto"/>
        </w:rPr>
      </w:pPr>
    </w:p>
    <w:p>
      <w:pPr>
        <w:ind w:right="40" w:firstLine="1434"/>
        <w:spacing w:after="0" w:line="264" w:lineRule="auto"/>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Other Terminations of Employment or Service</w:t>
      </w:r>
      <w:r>
        <w:rPr>
          <w:rFonts w:ascii="Arial" w:cs="Arial" w:eastAsia="Arial" w:hAnsi="Arial"/>
          <w:sz w:val="18"/>
          <w:szCs w:val="18"/>
          <w:color w:val="auto"/>
        </w:rPr>
        <w:t>. Unless otherwise provided in the Award Agreement, if a Participant’s employment by or service to the Service Recipient terminates for any reason other than a termination by the Service Recipient for Cause or because of the Participant’s death or Disability:</w:t>
      </w:r>
    </w:p>
    <w:p>
      <w:pPr>
        <w:spacing w:after="0" w:line="181" w:lineRule="exact"/>
        <w:rPr>
          <w:sz w:val="20"/>
          <w:szCs w:val="20"/>
          <w:color w:val="auto"/>
        </w:rPr>
      </w:pPr>
    </w:p>
    <w:p>
      <w:pPr>
        <w:ind w:left="1820" w:right="140" w:hanging="386"/>
        <w:spacing w:after="0" w:line="264" w:lineRule="auto"/>
        <w:tabs>
          <w:tab w:leader="none" w:pos="18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Participant will have until the date that is 90 days after the Participant’s termination of Employment or service to exercise his or her Options (or portion thereof) to the extent that such Options were vested and exercisable on the date of the Participant’s termination of Employment or service;</w:t>
      </w:r>
    </w:p>
    <w:p>
      <w:pPr>
        <w:spacing w:after="0" w:line="181" w:lineRule="exact"/>
        <w:rPr>
          <w:rFonts w:ascii="Arial" w:cs="Arial" w:eastAsia="Arial" w:hAnsi="Arial"/>
          <w:sz w:val="18"/>
          <w:szCs w:val="18"/>
          <w:color w:val="auto"/>
        </w:rPr>
      </w:pPr>
    </w:p>
    <w:p>
      <w:pPr>
        <w:ind w:left="1820" w:right="380" w:hanging="386"/>
        <w:spacing w:after="0" w:line="277" w:lineRule="auto"/>
        <w:tabs>
          <w:tab w:leader="none" w:pos="182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Options, to the extent not vested and exercisable on the date of the Participant’s termination of Employment or service, shall terminate upon the Participant’s termination of Employment or service; and</w:t>
      </w:r>
    </w:p>
    <w:p>
      <w:pPr>
        <w:spacing w:after="0" w:line="170" w:lineRule="exact"/>
        <w:rPr>
          <w:rFonts w:ascii="Arial" w:cs="Arial" w:eastAsia="Arial" w:hAnsi="Arial"/>
          <w:sz w:val="18"/>
          <w:szCs w:val="18"/>
          <w:color w:val="auto"/>
        </w:rPr>
      </w:pPr>
    </w:p>
    <w:p>
      <w:pPr>
        <w:ind w:left="1820" w:right="20" w:hanging="386"/>
        <w:spacing w:after="0" w:line="308" w:lineRule="auto"/>
        <w:tabs>
          <w:tab w:leader="none" w:pos="183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Options, to the extent exercisable for the 90-day period following the Participant’s termination of Employment or service and not exercised during such period, shall terminate at the close of business on the last day of the 90-day period.</w:t>
      </w:r>
    </w:p>
    <w:p>
      <w:pPr>
        <w:spacing w:after="0" w:line="147" w:lineRule="exact"/>
        <w:rPr>
          <w:sz w:val="20"/>
          <w:szCs w:val="20"/>
          <w:color w:val="auto"/>
        </w:rPr>
      </w:pPr>
    </w:p>
    <w:p>
      <w:pPr>
        <w:ind w:left="600" w:right="100" w:firstLine="389"/>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Incentive Share Options</w:t>
      </w:r>
      <w:r>
        <w:rPr>
          <w:rFonts w:ascii="Arial" w:cs="Arial" w:eastAsia="Arial" w:hAnsi="Arial"/>
          <w:sz w:val="18"/>
          <w:szCs w:val="18"/>
          <w:color w:val="auto"/>
        </w:rPr>
        <w:t>. Incentive Share Options may be granted to Employees of the Company or a Subsidiary of the Company. Incentive Share Options may not be granted to employees of a Related Entity or to Independent Directors or Consultants. The terms of any Incentive Share Options granted pursuant to the Plan, in addition to the requirements of Section 5.1, must comply with the following additional provisions of this Section 5.2:</w:t>
      </w:r>
    </w:p>
    <w:p>
      <w:pPr>
        <w:spacing w:after="0" w:line="187" w:lineRule="exact"/>
        <w:rPr>
          <w:sz w:val="20"/>
          <w:szCs w:val="20"/>
          <w:color w:val="auto"/>
        </w:rPr>
      </w:pPr>
    </w:p>
    <w:p>
      <w:pPr>
        <w:ind w:firstLine="786"/>
        <w:spacing w:after="0" w:line="259" w:lineRule="auto"/>
        <w:tabs>
          <w:tab w:leader="none" w:pos="128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Individual Dollar Limitation</w:t>
      </w:r>
      <w:r>
        <w:rPr>
          <w:rFonts w:ascii="Arial" w:cs="Arial" w:eastAsia="Arial" w:hAnsi="Arial"/>
          <w:sz w:val="18"/>
          <w:szCs w:val="18"/>
          <w:color w:val="auto"/>
        </w:rPr>
        <w:t>. The aggregate Fair Market Value (determined as of the time the Option is granted) of all Shares with respect to which Incentive Share Options are first exercisable by a Participant in any calendar year may not exceed $100,000 or such other limitation as imposed by Section 422(d) of the Code, or any successor provision. To the extent that Incentive Share Options are first exercisable by a Participant in excess of such limitation, the excess shall be considered Non-Qualified Share Options.</w:t>
      </w:r>
    </w:p>
    <w:p>
      <w:pPr>
        <w:spacing w:after="0" w:line="186" w:lineRule="exact"/>
        <w:rPr>
          <w:rFonts w:ascii="Arial" w:cs="Arial" w:eastAsia="Arial" w:hAnsi="Arial"/>
          <w:sz w:val="18"/>
          <w:szCs w:val="18"/>
          <w:color w:val="auto"/>
        </w:rPr>
      </w:pPr>
    </w:p>
    <w:p>
      <w:pPr>
        <w:ind w:right="100" w:firstLine="786"/>
        <w:spacing w:after="0" w:line="279" w:lineRule="auto"/>
        <w:tabs>
          <w:tab w:leader="none" w:pos="1298"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of an Incentive Share Option shall be equal to the Fair Market Value on the date of grant. However, the exercise price of any Incentive Share Option granted to any individual who, at the date of grant, owns Shares possessing more than ten percent of the total combined voting power of all classes of shares of the Company or any Parent or Subsidiary of the Company may not be less than 110% of Fair Market Value on the date of grant and such Option may not be exercisable for more than five years from the date of grant.</w:t>
      </w:r>
    </w:p>
    <w:p>
      <w:pPr>
        <w:spacing w:after="0" w:line="171" w:lineRule="exact"/>
        <w:rPr>
          <w:rFonts w:ascii="Arial" w:cs="Arial" w:eastAsia="Arial" w:hAnsi="Arial"/>
          <w:sz w:val="17"/>
          <w:szCs w:val="17"/>
          <w:color w:val="auto"/>
        </w:rPr>
      </w:pPr>
    </w:p>
    <w:p>
      <w:pPr>
        <w:ind w:right="480" w:firstLine="786"/>
        <w:spacing w:after="0" w:line="264" w:lineRule="auto"/>
        <w:tabs>
          <w:tab w:leader="none" w:pos="130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Transfer Restriction</w:t>
      </w:r>
      <w:r>
        <w:rPr>
          <w:rFonts w:ascii="Arial" w:cs="Arial" w:eastAsia="Arial" w:hAnsi="Arial"/>
          <w:sz w:val="18"/>
          <w:szCs w:val="18"/>
          <w:color w:val="auto"/>
        </w:rPr>
        <w:t>. The Participant shall give the Company prompt notice of any disposition of Shares acquired by exercise of an Incentive Share Option within (i) two years from the date of grant of such Incentive Share Option or (ii) one year after the transfer of such Shares to the Participant.</w:t>
      </w:r>
    </w:p>
    <w:p>
      <w:pPr>
        <w:spacing w:after="0" w:line="181" w:lineRule="exact"/>
        <w:rPr>
          <w:rFonts w:ascii="Arial" w:cs="Arial" w:eastAsia="Arial" w:hAnsi="Arial"/>
          <w:sz w:val="18"/>
          <w:szCs w:val="18"/>
          <w:color w:val="auto"/>
        </w:rPr>
      </w:pPr>
    </w:p>
    <w:p>
      <w:pPr>
        <w:ind w:right="860" w:firstLine="786"/>
        <w:spacing w:after="0" w:line="277" w:lineRule="auto"/>
        <w:tabs>
          <w:tab w:leader="none" w:pos="129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Expiration of Incentive Share Options</w:t>
      </w:r>
      <w:r>
        <w:rPr>
          <w:rFonts w:ascii="Arial" w:cs="Arial" w:eastAsia="Arial" w:hAnsi="Arial"/>
          <w:sz w:val="18"/>
          <w:szCs w:val="18"/>
          <w:color w:val="auto"/>
        </w:rPr>
        <w:t>. No Award of an Incentive Share Option may be made pursuant to this Plan after the tenth anniversary of the Effective Date.</w:t>
      </w:r>
    </w:p>
    <w:p>
      <w:pPr>
        <w:spacing w:after="0" w:line="170" w:lineRule="exact"/>
        <w:rPr>
          <w:rFonts w:ascii="Arial" w:cs="Arial" w:eastAsia="Arial" w:hAnsi="Arial"/>
          <w:sz w:val="18"/>
          <w:szCs w:val="18"/>
          <w:color w:val="auto"/>
        </w:rPr>
      </w:pPr>
    </w:p>
    <w:p>
      <w:pPr>
        <w:ind w:left="1300" w:hanging="51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During a Participant’s lifetime, an Incentive Share Option may be exercised only by the Participant.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SHARES</w:t>
      </w:r>
    </w:p>
    <w:p>
      <w:pPr>
        <w:spacing w:after="0" w:line="229" w:lineRule="exact"/>
        <w:rPr>
          <w:sz w:val="20"/>
          <w:szCs w:val="20"/>
          <w:color w:val="auto"/>
        </w:rPr>
      </w:pPr>
    </w:p>
    <w:p>
      <w:pPr>
        <w:ind w:right="20" w:firstLine="389"/>
        <w:spacing w:after="0" w:line="34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Grant of Restricted Shares</w:t>
      </w:r>
      <w:r>
        <w:rPr>
          <w:rFonts w:ascii="Arial" w:cs="Arial" w:eastAsia="Arial" w:hAnsi="Arial"/>
          <w:sz w:val="16"/>
          <w:szCs w:val="16"/>
          <w:color w:val="auto"/>
        </w:rPr>
        <w:t>. The Committee, at any time and from time to time, may grant Restricted Shares to Participants as the Committee, in its sole discretion, shall determine. The Committee, in its sole discretion, shall determine the number of Restricted Shares to be granted to each Participant.</w:t>
      </w:r>
    </w:p>
    <w:p>
      <w:pPr>
        <w:spacing w:after="0" w:line="124" w:lineRule="exact"/>
        <w:rPr>
          <w:sz w:val="20"/>
          <w:szCs w:val="20"/>
          <w:color w:val="auto"/>
        </w:rPr>
      </w:pPr>
    </w:p>
    <w:p>
      <w:pPr>
        <w:ind w:right="100" w:firstLine="389"/>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Restricted Shares Award Agreement</w:t>
      </w:r>
      <w:r>
        <w:rPr>
          <w:rFonts w:ascii="Arial" w:cs="Arial" w:eastAsia="Arial" w:hAnsi="Arial"/>
          <w:sz w:val="18"/>
          <w:szCs w:val="18"/>
          <w:color w:val="auto"/>
        </w:rPr>
        <w:t>. Each Award of Restricted Shares shall be evidenced by an Award Agreement that shall specify the period of restriction, the number of Restricted Shares granted, and such other terms and conditions as the Committee, in its sole discretion, shall determine. Unless the Committee determines otherwise, Restricted Shares shall be held by the Company as escrow agent until the restrictions on such Restricted Shares have lapsed.</w:t>
      </w:r>
    </w:p>
    <w:p>
      <w:pPr>
        <w:spacing w:after="0" w:line="187" w:lineRule="exact"/>
        <w:rPr>
          <w:sz w:val="20"/>
          <w:szCs w:val="20"/>
          <w:color w:val="auto"/>
        </w:rPr>
      </w:pPr>
    </w:p>
    <w:p>
      <w:pPr>
        <w:ind w:right="340" w:firstLine="389"/>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Issuance and Restrictions</w:t>
      </w:r>
      <w:r>
        <w:rPr>
          <w:rFonts w:ascii="Arial" w:cs="Arial" w:eastAsia="Arial" w:hAnsi="Arial"/>
          <w:sz w:val="18"/>
          <w:szCs w:val="18"/>
          <w:color w:val="auto"/>
        </w:rPr>
        <w:t>. Restricted Shares shall be subject to such restrictions on transferability and other restrictions as the Committee may impose (including, without limitation, limitations on the right to vote Restricted Shares or the right to receive dividends on the Restricted Shares). These restrictions may lapse separately or in combination at such times, pursuant to such circumstances, in such installments, or otherwise, as the Committee determines at the time of the grant of the Award or thereafter.</w:t>
      </w:r>
    </w:p>
    <w:p>
      <w:pPr>
        <w:spacing w:after="0" w:line="187" w:lineRule="exact"/>
        <w:rPr>
          <w:sz w:val="20"/>
          <w:szCs w:val="20"/>
          <w:color w:val="auto"/>
        </w:rPr>
      </w:pPr>
    </w:p>
    <w:p>
      <w:pPr>
        <w:ind w:right="160" w:firstLine="389"/>
        <w:spacing w:after="0" w:line="297"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Forfeiture/Repurchase</w:t>
      </w:r>
      <w:r>
        <w:rPr>
          <w:rFonts w:ascii="Arial" w:cs="Arial" w:eastAsia="Arial" w:hAnsi="Arial"/>
          <w:sz w:val="16"/>
          <w:szCs w:val="16"/>
          <w:color w:val="auto"/>
        </w:rPr>
        <w:t xml:space="preserve">. Except as otherwise determined by the Committee at the time of the grant of the Award or thereafter, upon termination of employment or service during the applicable restriction period, Restricted Shares that are at that time subject to restrictions shall be forfeited or repurchased in accordance with the Award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the Committee may (a) provide in any Restricted Share Award Agreement that restrictions or forfeiture and repurchase conditions relating to Restricted Shares will be waived in whole or in part in the event of terminations resulting from specified causes, and (b) in other cases waive in whole or in part restrictions or forfeiture and repurchase conditions relating to Restricted Shares.</w:t>
      </w:r>
    </w:p>
    <w:p>
      <w:pPr>
        <w:spacing w:after="0" w:line="158" w:lineRule="exact"/>
        <w:rPr>
          <w:sz w:val="20"/>
          <w:szCs w:val="20"/>
          <w:color w:val="auto"/>
        </w:rPr>
      </w:pPr>
    </w:p>
    <w:p>
      <w:pPr>
        <w:ind w:right="140" w:firstLine="389"/>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Certificates for Restricted Shares</w:t>
      </w:r>
      <w:r>
        <w:rPr>
          <w:rFonts w:ascii="Arial" w:cs="Arial" w:eastAsia="Arial" w:hAnsi="Arial"/>
          <w:sz w:val="18"/>
          <w:szCs w:val="18"/>
          <w:color w:val="auto"/>
        </w:rPr>
        <w:t>. Restricted Shares granted pursuant to the Plan may be evidenced in such manner as the Committee shall determine. If certificates representing Restricted Shares are registered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w:t>
      </w:r>
    </w:p>
    <w:p>
      <w:pPr>
        <w:spacing w:after="0" w:line="187" w:lineRule="exact"/>
        <w:rPr>
          <w:sz w:val="20"/>
          <w:szCs w:val="20"/>
          <w:color w:val="auto"/>
        </w:rPr>
      </w:pPr>
    </w:p>
    <w:p>
      <w:pPr>
        <w:ind w:right="60" w:firstLine="389"/>
        <w:spacing w:after="0" w:line="30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Removal of Restrictions</w:t>
      </w:r>
      <w:r>
        <w:rPr>
          <w:rFonts w:ascii="Arial" w:cs="Arial" w:eastAsia="Arial" w:hAnsi="Arial"/>
          <w:sz w:val="16"/>
          <w:szCs w:val="16"/>
          <w:color w:val="auto"/>
        </w:rPr>
        <w:t>. Except as otherwise provided in this Article 6, Restricted Shares granted under the Plan shall be released from escrow as soon as practicable after the last day of the period of restriction. The Committee, in its discretion, may accelerate the time at which any restrictions shall lapse or be removed. After the restrictions have lapsed, the Participant shall be entitled to have any legend or legends under Section 6.5 removed from his or her Share certificate, and the Shares shall be freely transferable by the Participant, subject to applicable legal restrictions. The Committee (in its discretion) may</w:t>
      </w:r>
    </w:p>
    <w:p>
      <w:pPr>
        <w:sectPr>
          <w:pgSz w:w="11900" w:h="16904" w:orient="portrait"/>
          <w:cols w:equalWidth="0" w:num="1">
            <w:col w:w="11420"/>
          </w:cols>
          <w:pgMar w:left="240" w:top="584" w:right="239" w:bottom="0" w:gutter="0" w:footer="0" w:header="0"/>
        </w:sectPr>
      </w:pPr>
    </w:p>
    <w:bookmarkStart w:id="10" w:name="page11"/>
    <w:bookmarkEnd w:id="10"/>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establish procedures regarding the release of Shares from escrow and the removal of legends, as necessary or appropriate to minimize administrative burdens on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UNITS</w:t>
      </w:r>
    </w:p>
    <w:p>
      <w:pPr>
        <w:spacing w:after="0" w:line="229" w:lineRule="exact"/>
        <w:rPr>
          <w:sz w:val="20"/>
          <w:szCs w:val="20"/>
          <w:color w:val="auto"/>
        </w:rPr>
      </w:pPr>
    </w:p>
    <w:p>
      <w:pPr>
        <w:ind w:right="40" w:firstLine="389"/>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Grant of Restricted Share Units</w:t>
      </w:r>
      <w:r>
        <w:rPr>
          <w:rFonts w:ascii="Arial" w:cs="Arial" w:eastAsia="Arial" w:hAnsi="Arial"/>
          <w:sz w:val="18"/>
          <w:szCs w:val="18"/>
          <w:color w:val="auto"/>
        </w:rPr>
        <w:t>. The Committee, at any time and from time to time, may grant Restricted Share Units to Participants as the Committee, in its sole discretion, shall determine. The Committee, in its sole discretion, shall determine the number of Restricted Share Units to be granted to each Participant.</w:t>
      </w:r>
    </w:p>
    <w:p>
      <w:pPr>
        <w:spacing w:after="0" w:line="181" w:lineRule="exact"/>
        <w:rPr>
          <w:sz w:val="20"/>
          <w:szCs w:val="20"/>
          <w:color w:val="auto"/>
        </w:rPr>
      </w:pPr>
    </w:p>
    <w:p>
      <w:pPr>
        <w:ind w:right="200" w:firstLine="389"/>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Restricted Share Units Award Agreement</w:t>
      </w:r>
      <w:r>
        <w:rPr>
          <w:rFonts w:ascii="Arial" w:cs="Arial" w:eastAsia="Arial" w:hAnsi="Arial"/>
          <w:sz w:val="18"/>
          <w:szCs w:val="18"/>
          <w:color w:val="auto"/>
        </w:rPr>
        <w:t>. Each Award of Restricted Share Units shall be evidenced by an Award Agreement that shall specify any vesting conditions, the number of Restricted Share Units granted, and such other terms and conditions as the Committee, in its sole discretion, shall determine.</w:t>
      </w:r>
    </w:p>
    <w:p>
      <w:pPr>
        <w:spacing w:after="0" w:line="181" w:lineRule="exact"/>
        <w:rPr>
          <w:sz w:val="20"/>
          <w:szCs w:val="20"/>
          <w:color w:val="auto"/>
        </w:rPr>
      </w:pPr>
    </w:p>
    <w:p>
      <w:pPr>
        <w:ind w:right="240" w:firstLine="389"/>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Form and Timing of Payment of Restricted Share Units</w:t>
      </w:r>
      <w:r>
        <w:rPr>
          <w:rFonts w:ascii="Arial" w:cs="Arial" w:eastAsia="Arial" w:hAnsi="Arial"/>
          <w:sz w:val="18"/>
          <w:szCs w:val="18"/>
          <w:color w:val="auto"/>
        </w:rPr>
        <w:t>. At the time of grant, the Committee shall specify the date or dates on which the Restricted Share Units shall become fully vested and nonforfeitable. Upon vesting, the Committee, in its sole discretion, may pay Restricted Share Units in the form of cash, Shares or a combination thereof.</w:t>
      </w:r>
    </w:p>
    <w:p>
      <w:pPr>
        <w:spacing w:after="0" w:line="181" w:lineRule="exact"/>
        <w:rPr>
          <w:sz w:val="20"/>
          <w:szCs w:val="20"/>
          <w:color w:val="auto"/>
        </w:rPr>
      </w:pPr>
    </w:p>
    <w:p>
      <w:pPr>
        <w:ind w:right="20" w:firstLine="389"/>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Forfeiture/Repurchase</w:t>
      </w:r>
      <w:r>
        <w:rPr>
          <w:rFonts w:ascii="Arial" w:cs="Arial" w:eastAsia="Arial" w:hAnsi="Arial"/>
          <w:sz w:val="18"/>
          <w:szCs w:val="18"/>
          <w:color w:val="auto"/>
        </w:rPr>
        <w:t xml:space="preserve">. Except as otherwise determined by the Committee at the time of the grant of the Award or thereafter, upon termination of employment or service during the applicable restriction period, Restricted Share Units that are at that time unvested shall be forfeited or repurchased in accordance with the Award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the Committee may</w:t>
      </w:r>
    </w:p>
    <w:p>
      <w:pPr>
        <w:spacing w:after="0" w:line="181" w:lineRule="exact"/>
        <w:rPr>
          <w:sz w:val="20"/>
          <w:szCs w:val="20"/>
          <w:color w:val="auto"/>
        </w:rPr>
      </w:pPr>
    </w:p>
    <w:p>
      <w:pPr>
        <w:ind w:right="140" w:firstLine="8"/>
        <w:spacing w:after="0" w:line="264" w:lineRule="auto"/>
        <w:tabs>
          <w:tab w:leader="none" w:pos="2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in any Restricted Share Unit Award Agreement that restrictions or forfeiture and repurchase conditions relating to Restricted Share Units will be waived in whole or in part in the event of terminations resulting from specified causes, and (b) in other cases waive in whole or in part restrictions or forfeiture and repurchase conditions relating to Restricted Share Units.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AWARDS</w:t>
      </w:r>
    </w:p>
    <w:p>
      <w:pPr>
        <w:spacing w:after="0" w:line="229" w:lineRule="exact"/>
        <w:rPr>
          <w:sz w:val="20"/>
          <w:szCs w:val="20"/>
          <w:color w:val="auto"/>
        </w:rPr>
      </w:pPr>
    </w:p>
    <w:p>
      <w:pPr>
        <w:ind w:firstLine="389"/>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Award Agreement</w:t>
      </w:r>
      <w:r>
        <w:rPr>
          <w:rFonts w:ascii="Arial" w:cs="Arial" w:eastAsia="Arial" w:hAnsi="Arial"/>
          <w:sz w:val="18"/>
          <w:szCs w:val="18"/>
          <w:color w:val="auto"/>
        </w:rPr>
        <w:t>.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181" w:lineRule="exact"/>
        <w:rPr>
          <w:sz w:val="20"/>
          <w:szCs w:val="20"/>
          <w:color w:val="auto"/>
        </w:rPr>
      </w:pPr>
    </w:p>
    <w:p>
      <w:pPr>
        <w:ind w:left="400"/>
        <w:spacing w:after="0"/>
        <w:tabs>
          <w:tab w:leader="none" w:pos="9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No Transferability; Limited Exception to Transfer Restrictions.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80" w:firstLine="778"/>
        <w:spacing w:after="0" w:line="277" w:lineRule="auto"/>
        <w:rPr>
          <w:sz w:val="20"/>
          <w:szCs w:val="20"/>
          <w:color w:val="auto"/>
        </w:rPr>
      </w:pPr>
      <w:r>
        <w:rPr>
          <w:rFonts w:ascii="Arial" w:cs="Arial" w:eastAsia="Arial" w:hAnsi="Arial"/>
          <w:sz w:val="18"/>
          <w:szCs w:val="18"/>
          <w:color w:val="auto"/>
        </w:rPr>
        <w:t>8.2.1 Limits on Transfer. Unless otherwise expressly provided in (or pursuant to) this Section 8.2, by applicable law and by the Award Agreement, as the same may be amended:</w:t>
      </w:r>
    </w:p>
    <w:p>
      <w:pPr>
        <w:spacing w:after="0" w:line="170" w:lineRule="exact"/>
        <w:rPr>
          <w:sz w:val="20"/>
          <w:szCs w:val="20"/>
          <w:color w:val="auto"/>
        </w:rPr>
      </w:pPr>
    </w:p>
    <w:p>
      <w:pPr>
        <w:ind w:left="1660" w:right="360" w:hanging="382"/>
        <w:spacing w:after="0" w:line="277" w:lineRule="auto"/>
        <w:tabs>
          <w:tab w:leader="none" w:pos="16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Awards are non-transferable and will not be subject in any manner to sale, transfer, anticipation, alienation, assignment, pledge, encumbrance or charge;</w:t>
      </w:r>
    </w:p>
    <w:p>
      <w:pPr>
        <w:spacing w:after="0" w:line="170" w:lineRule="exact"/>
        <w:rPr>
          <w:rFonts w:ascii="Arial" w:cs="Arial" w:eastAsia="Arial" w:hAnsi="Arial"/>
          <w:sz w:val="18"/>
          <w:szCs w:val="18"/>
          <w:color w:val="auto"/>
        </w:rPr>
      </w:pPr>
    </w:p>
    <w:p>
      <w:pPr>
        <w:ind w:left="1660" w:hanging="382"/>
        <w:spacing w:after="0"/>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Awards will be exercised only by the Participant; and</w:t>
      </w:r>
    </w:p>
    <w:p>
      <w:pPr>
        <w:spacing w:after="0" w:line="225" w:lineRule="exact"/>
        <w:rPr>
          <w:rFonts w:ascii="Arial" w:cs="Arial" w:eastAsia="Arial" w:hAnsi="Arial"/>
          <w:sz w:val="18"/>
          <w:szCs w:val="18"/>
          <w:color w:val="auto"/>
        </w:rPr>
      </w:pPr>
    </w:p>
    <w:p>
      <w:pPr>
        <w:ind w:left="1660" w:right="240" w:hanging="382"/>
        <w:spacing w:after="0" w:line="277" w:lineRule="auto"/>
        <w:tabs>
          <w:tab w:leader="none" w:pos="16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payable or shares issuable pursuant to an Award will be delivered only to (or for the account of), and, in the case of Shares, registered in the name of, the Participant.</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 addition, the shares shall be subject to the restrictions set forth in the applicable Award Agreement.</w:t>
      </w:r>
    </w:p>
    <w:p>
      <w:pPr>
        <w:spacing w:after="0" w:line="225" w:lineRule="exact"/>
        <w:rPr>
          <w:sz w:val="20"/>
          <w:szCs w:val="20"/>
          <w:color w:val="auto"/>
        </w:rPr>
      </w:pPr>
    </w:p>
    <w:p>
      <w:pPr>
        <w:ind w:left="780"/>
        <w:spacing w:after="0"/>
        <w:tabs>
          <w:tab w:leader="none" w:pos="128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6"/>
          <w:szCs w:val="16"/>
          <w:u w:val="single" w:color="auto"/>
          <w:color w:val="auto"/>
        </w:rPr>
        <w:t>Further Exceptions to Limits on Transfer</w:t>
      </w:r>
      <w:r>
        <w:rPr>
          <w:rFonts w:ascii="Arial" w:cs="Arial" w:eastAsia="Arial" w:hAnsi="Arial"/>
          <w:sz w:val="16"/>
          <w:szCs w:val="16"/>
          <w:color w:val="auto"/>
        </w:rPr>
        <w:t>. The exercise and transfer restrictions in Section 8.2.1 will not apply to:</w:t>
      </w:r>
    </w:p>
    <w:p>
      <w:pPr>
        <w:spacing w:after="0" w:line="225" w:lineRule="exact"/>
        <w:rPr>
          <w:sz w:val="20"/>
          <w:szCs w:val="20"/>
          <w:color w:val="auto"/>
        </w:rPr>
      </w:pPr>
    </w:p>
    <w:p>
      <w:pPr>
        <w:ind w:left="1660" w:hanging="382"/>
        <w:spacing w:after="0"/>
        <w:tabs>
          <w:tab w:leader="none" w:pos="1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transfers to the Company or a Subsidiary;</w:t>
      </w:r>
    </w:p>
    <w:p>
      <w:pPr>
        <w:spacing w:after="0" w:line="225" w:lineRule="exact"/>
        <w:rPr>
          <w:rFonts w:ascii="Arial" w:cs="Arial" w:eastAsia="Arial" w:hAnsi="Arial"/>
          <w:sz w:val="18"/>
          <w:szCs w:val="18"/>
          <w:color w:val="auto"/>
        </w:rPr>
      </w:pPr>
    </w:p>
    <w:p>
      <w:pPr>
        <w:ind w:left="1660" w:hanging="382"/>
        <w:spacing w:after="0"/>
        <w:tabs>
          <w:tab w:leader="none" w:pos="1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transfers by gift to “immediate family” as that term is defined in SEC Rule 16a-1(e) promulgated under the Exchange Act;</w:t>
      </w:r>
    </w:p>
    <w:p>
      <w:pPr>
        <w:spacing w:after="0" w:line="225" w:lineRule="exact"/>
        <w:rPr>
          <w:rFonts w:ascii="Arial" w:cs="Arial" w:eastAsia="Arial" w:hAnsi="Arial"/>
          <w:sz w:val="18"/>
          <w:szCs w:val="18"/>
          <w:color w:val="auto"/>
        </w:rPr>
      </w:pPr>
    </w:p>
    <w:p>
      <w:pPr>
        <w:ind w:left="1660" w:right="60" w:hanging="382"/>
        <w:spacing w:after="0" w:line="264" w:lineRule="auto"/>
        <w:tabs>
          <w:tab w:leader="none" w:pos="16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designation of a beneficiary to receive benefits if the Participant dies or, if the Participant has died, transfers to or exercises by the Participant’s beneficiary, or, in the absence of a validly designated beneficiary, transfers by will or the laws of descent and distribution; or</w:t>
      </w:r>
    </w:p>
    <w:p>
      <w:pPr>
        <w:spacing w:after="0" w:line="181" w:lineRule="exact"/>
        <w:rPr>
          <w:rFonts w:ascii="Arial" w:cs="Arial" w:eastAsia="Arial" w:hAnsi="Arial"/>
          <w:sz w:val="18"/>
          <w:szCs w:val="18"/>
          <w:color w:val="auto"/>
        </w:rPr>
      </w:pPr>
    </w:p>
    <w:p>
      <w:pPr>
        <w:ind w:left="1660" w:right="660" w:hanging="382"/>
        <w:spacing w:after="0" w:line="277" w:lineRule="auto"/>
        <w:tabs>
          <w:tab w:leader="none" w:pos="16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Participant has suffered a disability, permitted transfers or exercises on behalf of the Participant by the Participant’s duly authorized legal representative; or</w:t>
      </w:r>
    </w:p>
    <w:p>
      <w:pPr>
        <w:spacing w:after="0" w:line="170" w:lineRule="exact"/>
        <w:rPr>
          <w:rFonts w:ascii="Arial" w:cs="Arial" w:eastAsia="Arial" w:hAnsi="Arial"/>
          <w:sz w:val="18"/>
          <w:szCs w:val="18"/>
          <w:color w:val="auto"/>
        </w:rPr>
      </w:pPr>
    </w:p>
    <w:p>
      <w:pPr>
        <w:ind w:left="1660" w:right="160" w:hanging="382"/>
        <w:spacing w:after="0" w:line="297" w:lineRule="auto"/>
        <w:tabs>
          <w:tab w:leader="none" w:pos="1672"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subject to the prior approval of the Committee or an executive officer or director of the Company authorized by the Committee, transfer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Committee, pursuant to such conditions and procedures as the Committee or may establish. Any permitted transfer shall be subject to</w:t>
      </w:r>
    </w:p>
    <w:p>
      <w:pPr>
        <w:sectPr>
          <w:pgSz w:w="11900" w:h="16941" w:orient="portrait"/>
          <w:cols w:equalWidth="0" w:num="1">
            <w:col w:w="11420"/>
          </w:cols>
          <w:pgMar w:left="240" w:top="125" w:right="239" w:bottom="0" w:gutter="0" w:footer="0" w:header="0"/>
        </w:sectPr>
      </w:pPr>
    </w:p>
    <w:bookmarkStart w:id="11" w:name="page12"/>
    <w:bookmarkEnd w:id="11"/>
    <w:p>
      <w:pPr>
        <w:spacing w:after="0" w:line="94" w:lineRule="exact"/>
        <w:rPr>
          <w:sz w:val="20"/>
          <w:szCs w:val="20"/>
          <w:color w:val="auto"/>
        </w:rPr>
      </w:pPr>
    </w:p>
    <w:p>
      <w:pPr>
        <w:ind w:left="1660" w:right="500"/>
        <w:spacing w:after="0" w:line="277" w:lineRule="auto"/>
        <w:rPr>
          <w:sz w:val="20"/>
          <w:szCs w:val="20"/>
          <w:color w:val="auto"/>
        </w:rPr>
      </w:pPr>
      <w:r>
        <w:rPr>
          <w:rFonts w:ascii="Arial" w:cs="Arial" w:eastAsia="Arial" w:hAnsi="Arial"/>
          <w:sz w:val="18"/>
          <w:szCs w:val="18"/>
          <w:color w:val="auto"/>
        </w:rPr>
        <w:t>the condition that the Committee receives evidence satisfactory to it that the transfer is being made for estate and/or tax planning purposes and on a basis consistent with the Company’s lawful issue of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60"/>
        <w:spacing w:after="0" w:line="276" w:lineRule="auto"/>
        <w:rPr>
          <w:sz w:val="20"/>
          <w:szCs w:val="20"/>
          <w:color w:val="auto"/>
        </w:rPr>
      </w:pPr>
      <w:r>
        <w:rPr>
          <w:rFonts w:ascii="Arial" w:cs="Arial" w:eastAsia="Arial" w:hAnsi="Arial"/>
          <w:sz w:val="17"/>
          <w:szCs w:val="17"/>
          <w:color w:val="auto"/>
        </w:rPr>
        <w:t>Notwithstanding anything else in this Section 8.2.2 to the contrary, but subject to compliance with all Applicable Laws, Incentive Share Options, Restricted Shares and Restricted Share Units will be subject to any and all transfer restrictions under the Code applicable to such Awards or necessary to maintain the intended tax consequences of such Awards. Notwithstanding clause (b) above but subject to compliance with all Applicable Laws, any contemplated transfer by gift to “immediate family” as referenced in clause (b) above is subject to the condition precedent that the transfer be approved by the Administrator in order for it to be effective.</w:t>
      </w:r>
    </w:p>
    <w:p>
      <w:pPr>
        <w:spacing w:after="0" w:line="173" w:lineRule="exact"/>
        <w:rPr>
          <w:sz w:val="20"/>
          <w:szCs w:val="20"/>
          <w:color w:val="auto"/>
        </w:rPr>
      </w:pPr>
    </w:p>
    <w:p>
      <w:pPr>
        <w:ind w:firstLine="778"/>
        <w:spacing w:after="0" w:line="270"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Beneficiaries</w:t>
      </w:r>
      <w:r>
        <w:rPr>
          <w:rFonts w:ascii="Arial" w:cs="Arial" w:eastAsia="Arial" w:hAnsi="Arial"/>
          <w:sz w:val="17"/>
          <w:szCs w:val="17"/>
          <w:color w:val="auto"/>
        </w:rPr>
        <w:t>. Notwithstanding Section 8.2,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182" w:lineRule="exact"/>
        <w:rPr>
          <w:sz w:val="20"/>
          <w:szCs w:val="20"/>
          <w:color w:val="auto"/>
        </w:rPr>
      </w:pPr>
    </w:p>
    <w:p>
      <w:pPr>
        <w:ind w:right="60" w:firstLine="778"/>
        <w:spacing w:after="0" w:line="342"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Performance Objectives and Other Terms</w:t>
      </w:r>
      <w:r>
        <w:rPr>
          <w:rFonts w:ascii="Arial" w:cs="Arial" w:eastAsia="Arial" w:hAnsi="Arial"/>
          <w:sz w:val="16"/>
          <w:szCs w:val="16"/>
          <w:color w:val="auto"/>
        </w:rPr>
        <w:t>. The Committee, in its discretion, shall set performance objectives or other vesting criteria which, depending on the extent to which they are met, will determine the number or value of the Awards that will be granted or paid out to the Participants.</w:t>
      </w:r>
    </w:p>
    <w:p>
      <w:pPr>
        <w:spacing w:after="0" w:line="124" w:lineRule="exact"/>
        <w:rPr>
          <w:sz w:val="20"/>
          <w:szCs w:val="20"/>
          <w:color w:val="auto"/>
        </w:rPr>
      </w:pPr>
    </w:p>
    <w:p>
      <w:pPr>
        <w:ind w:left="780"/>
        <w:spacing w:after="0"/>
        <w:tabs>
          <w:tab w:leader="none" w:pos="12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u w:val="single" w:color="auto"/>
          <w:color w:val="auto"/>
        </w:rPr>
        <w:t>Share Certificates</w:t>
      </w:r>
      <w:r>
        <w:rPr>
          <w:rFonts w:ascii="Arial" w:cs="Arial" w:eastAsia="Arial" w:hAnsi="Arial"/>
          <w:sz w:val="16"/>
          <w:szCs w:val="16"/>
          <w:color w:val="auto"/>
        </w:rPr>
        <w:t>.</w:t>
      </w:r>
    </w:p>
    <w:p>
      <w:pPr>
        <w:spacing w:after="0" w:line="225" w:lineRule="exact"/>
        <w:rPr>
          <w:sz w:val="20"/>
          <w:szCs w:val="20"/>
          <w:color w:val="auto"/>
        </w:rPr>
      </w:pPr>
    </w:p>
    <w:p>
      <w:pPr>
        <w:ind w:firstLine="786"/>
        <w:spacing w:after="0" w:line="270" w:lineRule="auto"/>
        <w:tabs>
          <w:tab w:leader="none" w:pos="1288"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Company shall not be required to issue or deliver any certificates evidencing the Shares pursuant to the exercise of any Award, unless and until the Committee has determined, with advice of counsel, that the issuance and delivery of such certificates is in compliance with all Applicable Laws, regulations of governmental authorities and, if applicable, the requirements of any exchange on which the Shares are listed or traded. All Share certificates delivered pursuant to the Plan are subject to any stop-transfer orders and other restrictions as the Committee deems necessary or advisable to comply with all Applicable Laws, and the rules of any national securities exchange or automated quotation system on which the Shares are listed, quoted, or traded. The Committee may place legends on any Share certificate to reference restrictions applicable to the Shares. In addition to the terms and conditions provided herein, the Committee may require that a Participant make such reasonable covenants, agreements, and representations as the Committee,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window-period limitation, as may be imposed in the discretion of the Committee.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786"/>
        <w:spacing w:after="0" w:line="264" w:lineRule="auto"/>
        <w:tabs>
          <w:tab w:leader="none" w:pos="12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Notwithstanding anything herein to the contrary, unless otherwise determined by the Committee or required by Applicable Laws, the Company shall not deliver to any Participant certificates evidencing Shares issued in connection with any Award and instead such Shares shall be recorded on the books of the Company or, as applicable, its transfer agent or share plan administrator.</w:t>
      </w:r>
    </w:p>
    <w:p>
      <w:pPr>
        <w:spacing w:after="0" w:line="181" w:lineRule="exact"/>
        <w:rPr>
          <w:sz w:val="20"/>
          <w:szCs w:val="20"/>
          <w:color w:val="auto"/>
        </w:rPr>
      </w:pPr>
    </w:p>
    <w:p>
      <w:pPr>
        <w:ind w:right="100" w:firstLine="778"/>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Paperless Administration</w:t>
      </w:r>
      <w:r>
        <w:rPr>
          <w:rFonts w:ascii="Arial" w:cs="Arial" w:eastAsia="Arial" w:hAnsi="Arial"/>
          <w:sz w:val="18"/>
          <w:szCs w:val="18"/>
          <w:color w:val="auto"/>
        </w:rPr>
        <w:t>. Subject to Applicable Laws, the Committee may make Awards and provide applicable disclosure and procedures for exercise of Awards by an internet website or interactive voice response system for the paperless administration of Awards.</w:t>
      </w:r>
    </w:p>
    <w:p>
      <w:pPr>
        <w:spacing w:after="0" w:line="170" w:lineRule="exact"/>
        <w:rPr>
          <w:sz w:val="20"/>
          <w:szCs w:val="20"/>
          <w:color w:val="auto"/>
        </w:rPr>
      </w:pPr>
    </w:p>
    <w:p>
      <w:pPr>
        <w:ind w:right="180" w:firstLine="778"/>
        <w:spacing w:after="0" w:line="297"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Foreign Currency</w:t>
      </w:r>
      <w:r>
        <w:rPr>
          <w:rFonts w:ascii="Arial" w:cs="Arial" w:eastAsia="Arial" w:hAnsi="Arial"/>
          <w:sz w:val="16"/>
          <w:szCs w:val="16"/>
          <w:color w:val="auto"/>
        </w:rPr>
        <w:t>. A Participant may be required to provide evidence that any currency used to pay the exercise price of any Award was acquired and taken out of the jurisdiction in which the Participant resides in accordance with Applicable Laws, including foreign exchange control laws and regulations. In the event the exercise price for an Award is paid in Chinese Renminbi or other foreign currency, as permitted by the Committee, the amount payable will be determined by conversion from U.S. dollars at the official rate promulgated by the People’s Bank of China for Chinese Renminbi, or for jurisdictions other than the People’s Republic of China, the exchange rate as selected by the Committee on the date of exercise.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CAPITAL STRUCTURE</w:t>
      </w:r>
    </w:p>
    <w:p>
      <w:pPr>
        <w:spacing w:after="0" w:line="229" w:lineRule="exact"/>
        <w:rPr>
          <w:sz w:val="20"/>
          <w:szCs w:val="20"/>
          <w:color w:val="auto"/>
        </w:rPr>
      </w:pPr>
    </w:p>
    <w:p>
      <w:pPr>
        <w:ind w:right="120" w:firstLine="778"/>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of any dividend, share split, combination or exchange of Shares, amalgamation, arrangement or consolidation, spin-off, recapitalization or other distribution (other than normal cash dividends) of Company assets to its shareholders, or any other change affecting the shares of Shares or the share price of a Share, the Committee shall make such proportionate adjustments, if any, as the Committee in its discretion may deem appropriate to reflect such change with respect to</w:t>
      </w:r>
    </w:p>
    <w:p>
      <w:pPr>
        <w:spacing w:after="0" w:line="187"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aggregate number and type of shares that may be issued under the Plan (including, but not limited to, adjustments of the limitations in Section 3.1);</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terms and conditions of any outstanding Awards (including, without limitation, any applicable performance targets or criteria with respect thereto);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grant or exercise price per share for any outstanding Awards under the Plan.</w:t>
      </w:r>
    </w:p>
    <w:p>
      <w:pPr>
        <w:spacing w:after="0" w:line="211" w:lineRule="exact"/>
        <w:rPr>
          <w:sz w:val="20"/>
          <w:szCs w:val="20"/>
          <w:color w:val="auto"/>
        </w:rPr>
      </w:pPr>
    </w:p>
    <w:p>
      <w:pPr>
        <w:ind w:right="20" w:firstLine="778"/>
        <w:spacing w:after="0" w:line="291"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Corporate Transactions</w:t>
      </w:r>
      <w:r>
        <w:rPr>
          <w:rFonts w:ascii="Arial" w:cs="Arial" w:eastAsia="Arial" w:hAnsi="Arial"/>
          <w:sz w:val="16"/>
          <w:szCs w:val="16"/>
          <w:color w:val="auto"/>
        </w:rPr>
        <w:t>. Except as may otherwise be provided in any Award Agreement or any other written agreement entered into by and between the Company and a Participant, if the Committee anticipates the occurrence, or upon the occurrence, of a Corporate Transaction, the Committee may, in its sole discretion, provide for (i) any and all Awards outstanding hereunder to terminate at a specific time in the future and shall give each Participant the right to exercise the vested portion of such Awards during a period of time as the Committee shall determine, or (ii) the purchase of any Award for an amount of cash equal to the amount that could have been attained upon the exercise of such Award (and, for the avoidance of doubt, if as of such date the Committee determines in good faith that no amount would have been attained upon the exercise of such Award, then such Award may be terminated by the Company without payment), or (iii) the replacement of such Award with other rights or property selected by the Committee in its sole discretion or the assumption of or</w:t>
      </w:r>
    </w:p>
    <w:p>
      <w:pPr>
        <w:sectPr>
          <w:pgSz w:w="11900" w:h="16932" w:orient="portrait"/>
          <w:cols w:equalWidth="0" w:num="1">
            <w:col w:w="11420"/>
          </w:cols>
          <w:pgMar w:left="240" w:top="125" w:right="239" w:bottom="0" w:gutter="0" w:footer="0" w:header="0"/>
        </w:sectPr>
      </w:pPr>
    </w:p>
    <w:bookmarkStart w:id="12" w:name="page13"/>
    <w:bookmarkEnd w:id="12"/>
    <w:p>
      <w:pPr>
        <w:ind w:right="20"/>
        <w:spacing w:after="0" w:line="259" w:lineRule="auto"/>
        <w:rPr>
          <w:sz w:val="20"/>
          <w:szCs w:val="20"/>
          <w:color w:val="auto"/>
        </w:rPr>
      </w:pPr>
      <w:r>
        <w:rPr>
          <w:rFonts w:ascii="Arial" w:cs="Arial" w:eastAsia="Arial" w:hAnsi="Arial"/>
          <w:sz w:val="18"/>
          <w:szCs w:val="18"/>
          <w:color w:val="auto"/>
        </w:rPr>
        <w:t>substitution of such Award by the successor or surviving corporation, or a Parent or Subsidiary thereof, with appropriate adjustments as to the number and kind of Shares and prices, or (iv) payment of such Award in cash based on the value of Shares on the date of the Corporate Transaction plus reasonable interest on the Award through the date as determined by the Committee when such Award would otherwise be vested or have been paid in accordance with its original terms, if necessary to comply with Section 409A of the Code.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389"/>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Outstanding Awards — Other Changes</w:t>
      </w:r>
      <w:r>
        <w:rPr>
          <w:rFonts w:ascii="Arial" w:cs="Arial" w:eastAsia="Arial" w:hAnsi="Arial"/>
          <w:sz w:val="18"/>
          <w:szCs w:val="18"/>
          <w:color w:val="auto"/>
        </w:rPr>
        <w:t>. In the event of any other change in the capitalization of the Company or corporate change other than those specifically referred to in this Article 9, the Committee may, in its absolute discretion, make such adjustments in the number and class of shares subject to Awards outstanding on the date on which such change occurs and in the per share grant or exercise price of each Award as the Committee may consider appropriate to prevent dilution or enlargement of rights.</w:t>
      </w:r>
    </w:p>
    <w:p>
      <w:pPr>
        <w:spacing w:after="0" w:line="187" w:lineRule="exact"/>
        <w:rPr>
          <w:sz w:val="20"/>
          <w:szCs w:val="20"/>
          <w:color w:val="auto"/>
        </w:rPr>
      </w:pPr>
    </w:p>
    <w:p>
      <w:pPr>
        <w:ind w:right="20" w:firstLine="389"/>
        <w:spacing w:after="0" w:line="276"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No Other Rights</w:t>
      </w:r>
      <w:r>
        <w:rPr>
          <w:rFonts w:ascii="Arial" w:cs="Arial" w:eastAsia="Arial" w:hAnsi="Arial"/>
          <w:sz w:val="17"/>
          <w:szCs w:val="17"/>
          <w:color w:val="auto"/>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and no issuance by the Company of shares of any class, or securities convertible into shares of any class, shall affect, and no adjustment by reason thereof shall be made with respect to, the number of Shares subject to an Award or the grant or exercise price of any Award.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firstLine="389"/>
        <w:spacing w:after="0" w:line="25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Committee</w:t>
      </w:r>
      <w:r>
        <w:rPr>
          <w:rFonts w:ascii="Arial" w:cs="Arial" w:eastAsia="Arial" w:hAnsi="Arial"/>
          <w:sz w:val="18"/>
          <w:szCs w:val="18"/>
          <w:color w:val="auto"/>
        </w:rPr>
        <w:t>. The Plan shall be administered by the Board or a committee of one or more members of the Board (the “Committee”) to whom the Board shall delegate the authority to grant or amend Awards to Participants other than any of the Committee members, Independent Directors and executive officers of the Company. Reference to the Committee shall refer to the Board in absence of the Committee. Notwithstanding the foregoing, the full Board, acting by majority of its members in office, shall conduct the general administration of the Plan if required by Applicable Laws, and with respect to Awards granted to the Committee members, Independent Directors and executive officers of the Company and for purposes of such Awards, the term “Committee” as used in the Plan shall be deemed to refer to the Board.</w:t>
      </w:r>
    </w:p>
    <w:p>
      <w:pPr>
        <w:spacing w:after="0" w:line="193" w:lineRule="exact"/>
        <w:rPr>
          <w:sz w:val="20"/>
          <w:szCs w:val="20"/>
          <w:color w:val="auto"/>
        </w:rPr>
      </w:pPr>
    </w:p>
    <w:p>
      <w:pPr>
        <w:ind w:right="100" w:firstLine="389"/>
        <w:spacing w:after="0" w:line="276"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Action by the Committee</w:t>
      </w:r>
      <w:r>
        <w:rPr>
          <w:rFonts w:ascii="Arial" w:cs="Arial" w:eastAsia="Arial" w:hAnsi="Arial"/>
          <w:sz w:val="17"/>
          <w:szCs w:val="17"/>
          <w:color w:val="auto"/>
        </w:rPr>
        <w:t>. A majority of the Committee shall constitute a quorum. The acts of a majority of the members present at any meeting at which a quorum is present, and acts approved unanimously in writing by all members of the Committee in lieu of a meeting, shall be deemed the acts of the Committee. Each member of the Committee is entitled to, in good faith, rely or act upon any report or other information furnished to that member by any officer or other employee of a Group Entity, the Company’s independent certified public accountants, or any executive compensation consultant or other professional retained by the Company to assist in the administration of the Plan.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spacing w:after="0"/>
        <w:tabs>
          <w:tab w:leader="none" w:pos="10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Authority of the Committee</w:t>
      </w:r>
      <w:r>
        <w:rPr>
          <w:rFonts w:ascii="Arial" w:cs="Arial" w:eastAsia="Arial" w:hAnsi="Arial"/>
          <w:sz w:val="16"/>
          <w:szCs w:val="16"/>
          <w:color w:val="auto"/>
        </w:rPr>
        <w:t>. Subject to any specific designation in the Plan, the Committee has the exclusive power, authority and discretion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1300" w:hanging="5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designate Participants to receive Awards;</w:t>
      </w:r>
    </w:p>
    <w:p>
      <w:pPr>
        <w:spacing w:after="0" w:line="225" w:lineRule="exact"/>
        <w:rPr>
          <w:rFonts w:ascii="Arial" w:cs="Arial" w:eastAsia="Arial" w:hAnsi="Arial"/>
          <w:sz w:val="18"/>
          <w:szCs w:val="18"/>
          <w:color w:val="auto"/>
        </w:rPr>
      </w:pPr>
    </w:p>
    <w:p>
      <w:pPr>
        <w:ind w:left="1300" w:hanging="5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300" w:hanging="5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225" w:lineRule="exact"/>
        <w:rPr>
          <w:rFonts w:ascii="Arial" w:cs="Arial" w:eastAsia="Arial" w:hAnsi="Arial"/>
          <w:sz w:val="18"/>
          <w:szCs w:val="18"/>
          <w:color w:val="auto"/>
        </w:rPr>
      </w:pPr>
    </w:p>
    <w:p>
      <w:pPr>
        <w:ind w:right="120" w:firstLine="786"/>
        <w:spacing w:after="0" w:line="259" w:lineRule="auto"/>
        <w:tabs>
          <w:tab w:leader="none" w:pos="1298"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but not limited to, the exercise price, grant price, or purchase price, any restrictions or limitations on the Award, any schedule for lapse of forfeiture restrictions or restrictions on the exercisability of an Award, and accelerations or waivers thereof, and any provisions related to non-competition and recapture of gain on an Award, based in each case on such considerations as the Committee in its sole discretion determines;</w:t>
      </w:r>
    </w:p>
    <w:p>
      <w:pPr>
        <w:spacing w:after="0" w:line="186" w:lineRule="exact"/>
        <w:rPr>
          <w:rFonts w:ascii="Arial" w:cs="Arial" w:eastAsia="Arial" w:hAnsi="Arial"/>
          <w:sz w:val="18"/>
          <w:szCs w:val="18"/>
          <w:color w:val="auto"/>
        </w:rPr>
      </w:pPr>
    </w:p>
    <w:p>
      <w:pPr>
        <w:ind w:right="160" w:firstLine="786"/>
        <w:spacing w:after="0" w:line="277" w:lineRule="auto"/>
        <w:tabs>
          <w:tab w:leader="none" w:pos="13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70" w:lineRule="exact"/>
        <w:rPr>
          <w:rFonts w:ascii="Arial" w:cs="Arial" w:eastAsia="Arial" w:hAnsi="Arial"/>
          <w:sz w:val="18"/>
          <w:szCs w:val="18"/>
          <w:color w:val="auto"/>
        </w:rPr>
      </w:pPr>
    </w:p>
    <w:p>
      <w:pPr>
        <w:ind w:left="1300" w:hanging="5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Participant;</w:t>
      </w:r>
    </w:p>
    <w:p>
      <w:pPr>
        <w:spacing w:after="0" w:line="225" w:lineRule="exact"/>
        <w:rPr>
          <w:rFonts w:ascii="Arial" w:cs="Arial" w:eastAsia="Arial" w:hAnsi="Arial"/>
          <w:sz w:val="18"/>
          <w:szCs w:val="18"/>
          <w:color w:val="auto"/>
        </w:rPr>
      </w:pPr>
    </w:p>
    <w:p>
      <w:pPr>
        <w:ind w:left="1320" w:hanging="5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ind w:left="1300" w:hanging="5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as it may deem necessary or advisable to administer the Plan;</w:t>
      </w:r>
    </w:p>
    <w:p>
      <w:pPr>
        <w:spacing w:after="0" w:line="225" w:lineRule="exact"/>
        <w:rPr>
          <w:rFonts w:ascii="Arial" w:cs="Arial" w:eastAsia="Arial" w:hAnsi="Arial"/>
          <w:sz w:val="18"/>
          <w:szCs w:val="18"/>
          <w:color w:val="auto"/>
        </w:rPr>
      </w:pPr>
    </w:p>
    <w:p>
      <w:pPr>
        <w:ind w:left="1320" w:hanging="5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or any Award Agreement;</w:t>
      </w:r>
    </w:p>
    <w:p>
      <w:pPr>
        <w:spacing w:after="0" w:line="225" w:lineRule="exact"/>
        <w:rPr>
          <w:rFonts w:ascii="Arial" w:cs="Arial" w:eastAsia="Arial" w:hAnsi="Arial"/>
          <w:sz w:val="18"/>
          <w:szCs w:val="18"/>
          <w:color w:val="auto"/>
        </w:rPr>
      </w:pPr>
    </w:p>
    <w:p>
      <w:pPr>
        <w:ind w:left="1300" w:hanging="5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amend terms and conditions of Award Agreements; and</w:t>
      </w:r>
    </w:p>
    <w:p>
      <w:pPr>
        <w:spacing w:after="0" w:line="225" w:lineRule="exact"/>
        <w:rPr>
          <w:rFonts w:ascii="Arial" w:cs="Arial" w:eastAsia="Arial" w:hAnsi="Arial"/>
          <w:sz w:val="18"/>
          <w:szCs w:val="18"/>
          <w:color w:val="auto"/>
        </w:rPr>
      </w:pPr>
    </w:p>
    <w:p>
      <w:pPr>
        <w:ind w:right="60" w:firstLine="786"/>
        <w:spacing w:after="0" w:line="308" w:lineRule="auto"/>
        <w:tabs>
          <w:tab w:leader="none" w:pos="1298"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make all other decisions and determinations that may be required pursuant to the Plan or as the Committee deems necessary or advisable to administer the Plan, including design and adopt from time to time new types of Awards that are in compliance with Applicable Laws.</w:t>
      </w:r>
    </w:p>
    <w:p>
      <w:pPr>
        <w:spacing w:after="0" w:line="147" w:lineRule="exact"/>
        <w:rPr>
          <w:sz w:val="20"/>
          <w:szCs w:val="20"/>
          <w:color w:val="auto"/>
        </w:rPr>
      </w:pPr>
    </w:p>
    <w:p>
      <w:pPr>
        <w:ind w:right="360" w:firstLine="778"/>
        <w:spacing w:after="0" w:line="27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Decisions Binding</w:t>
      </w:r>
      <w:r>
        <w:rPr>
          <w:rFonts w:ascii="Arial" w:cs="Arial" w:eastAsia="Arial" w:hAnsi="Arial"/>
          <w:sz w:val="18"/>
          <w:szCs w:val="18"/>
          <w:color w:val="auto"/>
        </w:rPr>
        <w:t>. The Committee’s interpretation of the Plan, any Awards granted pursuant to the Plan, any Award Agreement and all decisions and determinations by the Committee with respect to the Plan are final, binding, and conclusive on all parties.</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EFFECTIVE AND EXPIRATION DATE</w:t>
      </w:r>
    </w:p>
    <w:p>
      <w:pPr>
        <w:spacing w:after="0" w:line="229" w:lineRule="exact"/>
        <w:rPr>
          <w:sz w:val="20"/>
          <w:szCs w:val="20"/>
          <w:color w:val="auto"/>
        </w:rPr>
      </w:pPr>
    </w:p>
    <w:p>
      <w:pPr>
        <w:ind w:right="180" w:firstLine="389"/>
        <w:spacing w:after="0" w:line="26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shall become effective as of the date on which the Board adopts the Plan (the “Effective Date”). The Plan shall be ratified by the shareholders of the Company by written resolutions or at a meeting duly held in accordance with the applicable provisions of the Company’s Memorandum of Association and Articles of Association within 12 months of the Effective Date.</w:t>
      </w:r>
    </w:p>
    <w:p>
      <w:pPr>
        <w:spacing w:after="0" w:line="181" w:lineRule="exact"/>
        <w:rPr>
          <w:sz w:val="20"/>
          <w:szCs w:val="20"/>
          <w:color w:val="auto"/>
        </w:rPr>
      </w:pPr>
    </w:p>
    <w:p>
      <w:pPr>
        <w:ind w:right="200" w:firstLine="389"/>
        <w:spacing w:after="0" w:line="26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Expiration Date</w:t>
      </w:r>
      <w:r>
        <w:rPr>
          <w:rFonts w:ascii="Arial" w:cs="Arial" w:eastAsia="Arial" w:hAnsi="Arial"/>
          <w:sz w:val="18"/>
          <w:szCs w:val="18"/>
          <w:color w:val="auto"/>
        </w:rPr>
        <w:t>. The Plan will expire on, and no Award may be granted pursuant to the Plan after, the tenth anniversary of the Effective Date. Any Awards that are outstanding on the tenth anniversary of the Effective Date shall remain in force according to the terms of the Plan and the applicable Award Agreement.</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29" w:lineRule="exact"/>
        <w:rPr>
          <w:sz w:val="20"/>
          <w:szCs w:val="20"/>
          <w:color w:val="auto"/>
        </w:rPr>
      </w:pPr>
    </w:p>
    <w:p>
      <w:pPr>
        <w:ind w:right="60" w:firstLine="389"/>
        <w:spacing w:after="0" w:line="288"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Amendment, Modification, and Termination</w:t>
      </w:r>
      <w:r>
        <w:rPr>
          <w:rFonts w:ascii="Arial" w:cs="Arial" w:eastAsia="Arial" w:hAnsi="Arial"/>
          <w:sz w:val="16"/>
          <w:szCs w:val="16"/>
          <w:color w:val="auto"/>
        </w:rPr>
        <w:t xml:space="preserve">. At any time and from time to time, the Board may terminate, amend or modify the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to the extent necessary and desirable to comply with Applicable Laws or stock exchange rules, the Company shall obtain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any Plan amendment in such a manner and to such a degree as required, unless the Company decides to follow home country practice, and</w:t>
      </w:r>
    </w:p>
    <w:p>
      <w:pPr>
        <w:ind w:right="140" w:firstLine="8"/>
        <w:spacing w:after="0" w:line="255"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unless the Company decides to follow home country practice, shareholder approval is required for any amendment to the Plan that (i) increases the number of Shares available under the Plan (other than any adjustment as provided by Article 9), or (ii) permits the Committee to extend the term of the Plan or the exercise period for an Option beyond ten years from the date of grant.</w:t>
      </w:r>
    </w:p>
    <w:p>
      <w:pPr>
        <w:spacing w:after="0" w:line="190" w:lineRule="exact"/>
        <w:rPr>
          <w:sz w:val="20"/>
          <w:szCs w:val="20"/>
          <w:color w:val="auto"/>
        </w:rPr>
      </w:pPr>
    </w:p>
    <w:p>
      <w:pPr>
        <w:ind w:right="80" w:firstLine="389"/>
        <w:spacing w:after="0" w:line="342"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Awards Previously Granted</w:t>
      </w:r>
      <w:r>
        <w:rPr>
          <w:rFonts w:ascii="Arial" w:cs="Arial" w:eastAsia="Arial" w:hAnsi="Arial"/>
          <w:sz w:val="16"/>
          <w:szCs w:val="16"/>
          <w:color w:val="auto"/>
        </w:rPr>
        <w:t>. Except with respect to amendments made pursuant to Section 12.1, no termination, amendment, or modification of the Plan shall adversely affect in any material way any Award previously granted pursuant to the Plan without the prior written consent of the Participant.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right="100" w:firstLine="389"/>
        <w:spacing w:after="0" w:line="277"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No Rights to Awards</w:t>
      </w:r>
      <w:r>
        <w:rPr>
          <w:rFonts w:ascii="Arial" w:cs="Arial" w:eastAsia="Arial" w:hAnsi="Arial"/>
          <w:sz w:val="18"/>
          <w:szCs w:val="18"/>
          <w:color w:val="auto"/>
        </w:rPr>
        <w:t>. No Participant, employee, or other person shall have any claim to be granted any Award pursuant to the Plan, and neither the Company nor the Committee is obligated to treat Participants, employees, and other persons uniformly.</w:t>
      </w:r>
    </w:p>
    <w:p>
      <w:pPr>
        <w:spacing w:after="0" w:line="170" w:lineRule="exact"/>
        <w:rPr>
          <w:sz w:val="20"/>
          <w:szCs w:val="20"/>
          <w:color w:val="auto"/>
        </w:rPr>
      </w:pPr>
    </w:p>
    <w:p>
      <w:pPr>
        <w:ind w:right="260" w:firstLine="389"/>
        <w:spacing w:after="0" w:line="27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No Shareholders Rights</w:t>
      </w:r>
      <w:r>
        <w:rPr>
          <w:rFonts w:ascii="Arial" w:cs="Arial" w:eastAsia="Arial" w:hAnsi="Arial"/>
          <w:sz w:val="18"/>
          <w:szCs w:val="18"/>
          <w:color w:val="auto"/>
        </w:rPr>
        <w:t>. No Award gives the Participant any of the rights of a shareholder of the Company unless and until Shares are in fact issued to such person in connection with such Award.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389"/>
        <w:spacing w:after="0" w:line="269"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Taxes</w:t>
      </w:r>
      <w:r>
        <w:rPr>
          <w:rFonts w:ascii="Arial" w:cs="Arial" w:eastAsia="Arial" w:hAnsi="Arial"/>
          <w:sz w:val="17"/>
          <w:szCs w:val="17"/>
          <w:color w:val="auto"/>
        </w:rPr>
        <w:t>. No Shares shall be delivered under the Plan to any Participant until such Participant has made arrangements acceptable to the Committee for the satisfaction of any income and employment tax withholding obligations under Applicable Laws. The Company or any Subsidiary shall have the authority and the right to deduct or withhold, or require a Participant to remit to the Company, an amount sufficient to satisfy all applicable taxes (including the Participant’s payroll tax obligations) required or permitted by Applicable Laws to be withheld with respect to any taxable event concerning a Participant arising as a result of this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any income and payroll tax liabilities applicable to the Participant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withholding rates for the applicable income and payroll tax purposes that are applicable to such supplemental taxable income.</w:t>
      </w:r>
    </w:p>
    <w:p>
      <w:pPr>
        <w:spacing w:after="0" w:line="180" w:lineRule="exact"/>
        <w:rPr>
          <w:sz w:val="20"/>
          <w:szCs w:val="20"/>
          <w:color w:val="auto"/>
        </w:rPr>
      </w:pPr>
    </w:p>
    <w:p>
      <w:pPr>
        <w:ind w:right="20" w:firstLine="389"/>
        <w:spacing w:after="0" w:line="264"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No Right to Employment or Services</w:t>
      </w:r>
      <w:r>
        <w:rPr>
          <w:rFonts w:ascii="Arial" w:cs="Arial" w:eastAsia="Arial" w:hAnsi="Arial"/>
          <w:sz w:val="18"/>
          <w:szCs w:val="18"/>
          <w:color w:val="auto"/>
        </w:rPr>
        <w:t>. Nothing in the Plan or any Award Agreement shall interfere with or limit in any way the right of the Service Recipient to terminate any Participant’s employment or services at any time, nor confer upon any Participant any right to continue in the employment or services of any Service Recipient.</w:t>
      </w:r>
    </w:p>
    <w:p>
      <w:pPr>
        <w:spacing w:after="0" w:line="181" w:lineRule="exact"/>
        <w:rPr>
          <w:sz w:val="20"/>
          <w:szCs w:val="20"/>
          <w:color w:val="auto"/>
        </w:rPr>
      </w:pPr>
    </w:p>
    <w:p>
      <w:pPr>
        <w:ind w:right="140" w:firstLine="389"/>
        <w:spacing w:after="0" w:line="264"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relevant Group Entity.</w:t>
      </w:r>
    </w:p>
    <w:p>
      <w:pPr>
        <w:spacing w:after="0" w:line="181" w:lineRule="exact"/>
        <w:rPr>
          <w:sz w:val="20"/>
          <w:szCs w:val="20"/>
          <w:color w:val="auto"/>
        </w:rPr>
      </w:pPr>
    </w:p>
    <w:p>
      <w:pPr>
        <w:ind w:firstLine="389"/>
        <w:spacing w:after="0" w:line="271" w:lineRule="auto"/>
        <w:rPr>
          <w:sz w:val="20"/>
          <w:szCs w:val="20"/>
          <w:color w:val="auto"/>
        </w:rPr>
      </w:pPr>
      <w:r>
        <w:rPr>
          <w:rFonts w:ascii="Arial" w:cs="Arial" w:eastAsia="Arial" w:hAnsi="Arial"/>
          <w:sz w:val="17"/>
          <w:szCs w:val="17"/>
          <w:color w:val="auto"/>
        </w:rPr>
        <w:t xml:space="preserve">13.6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extent allowable pursuant to Applicable Laws,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80" w:right="279" w:bottom="289" w:gutter="0" w:footer="0" w:header="0"/>
        </w:sectPr>
      </w:pPr>
    </w:p>
    <w:bookmarkStart w:id="14" w:name="page15"/>
    <w:bookmarkEnd w:id="14"/>
    <w:p>
      <w:pPr>
        <w:jc w:val="both"/>
        <w:ind w:right="20" w:firstLine="389"/>
        <w:spacing w:after="0" w:line="264"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pursuant to any pension, retirement, savings, profit sharing, group insurance, welfare or other benefit plan of the any Group Entity except to the extent otherwise expressly provided in writing in such other plan or an agreement thereunder.</w:t>
      </w:r>
    </w:p>
    <w:p>
      <w:pPr>
        <w:spacing w:after="0" w:line="181" w:lineRule="exact"/>
        <w:rPr>
          <w:sz w:val="20"/>
          <w:szCs w:val="20"/>
          <w:color w:val="auto"/>
        </w:rPr>
      </w:pPr>
    </w:p>
    <w:p>
      <w:pPr>
        <w:ind w:left="400"/>
        <w:spacing w:after="0"/>
        <w:tabs>
          <w:tab w:leader="none" w:pos="9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The expenses of administering the Plan shall be borne by the Group Entities.</w:t>
      </w:r>
    </w:p>
    <w:p>
      <w:pPr>
        <w:spacing w:after="0" w:line="225" w:lineRule="exact"/>
        <w:rPr>
          <w:sz w:val="20"/>
          <w:szCs w:val="20"/>
          <w:color w:val="auto"/>
        </w:rPr>
      </w:pPr>
    </w:p>
    <w:p>
      <w:pPr>
        <w:ind w:right="220" w:firstLine="389"/>
        <w:spacing w:after="0" w:line="277"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70" w:lineRule="exact"/>
        <w:rPr>
          <w:sz w:val="20"/>
          <w:szCs w:val="20"/>
          <w:color w:val="auto"/>
        </w:rPr>
      </w:pPr>
    </w:p>
    <w:p>
      <w:pPr>
        <w:ind w:right="200" w:firstLine="389"/>
        <w:spacing w:after="0" w:line="277"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issued and the Committee shall determine, in its discretion, whether cash shall be given in lieu of fractional Shares or whether such fractional Shares shall be eliminated by rounding up or down as appropriate.</w:t>
      </w:r>
    </w:p>
    <w:p>
      <w:pPr>
        <w:spacing w:after="0" w:line="170" w:lineRule="exact"/>
        <w:rPr>
          <w:sz w:val="20"/>
          <w:szCs w:val="20"/>
          <w:color w:val="auto"/>
        </w:rPr>
      </w:pPr>
    </w:p>
    <w:p>
      <w:pPr>
        <w:ind w:right="180" w:firstLine="389"/>
        <w:spacing w:after="0" w:line="257"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anything herein to the contrary,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the Applicable Laws, the Plan and Awards granted or awarded hereunder shall be deemed amended to the extent necessary to conform to such applicable exemptive rule.</w:t>
      </w:r>
    </w:p>
    <w:p>
      <w:pPr>
        <w:spacing w:after="0" w:line="188" w:lineRule="exact"/>
        <w:rPr>
          <w:sz w:val="20"/>
          <w:szCs w:val="20"/>
          <w:color w:val="auto"/>
        </w:rPr>
      </w:pPr>
    </w:p>
    <w:p>
      <w:pPr>
        <w:ind w:right="20" w:firstLine="389"/>
        <w:spacing w:after="0" w:line="276" w:lineRule="auto"/>
        <w:rPr>
          <w:sz w:val="20"/>
          <w:szCs w:val="20"/>
          <w:color w:val="auto"/>
        </w:rPr>
      </w:pPr>
      <w:r>
        <w:rPr>
          <w:rFonts w:ascii="Arial" w:cs="Arial" w:eastAsia="Arial" w:hAnsi="Arial"/>
          <w:sz w:val="17"/>
          <w:szCs w:val="17"/>
          <w:color w:val="auto"/>
        </w:rPr>
        <w:t xml:space="preserve">13.12 </w:t>
      </w:r>
      <w:r>
        <w:rPr>
          <w:rFonts w:ascii="Arial" w:cs="Arial" w:eastAsia="Arial" w:hAnsi="Arial"/>
          <w:sz w:val="17"/>
          <w:szCs w:val="17"/>
          <w:u w:val="single" w:color="auto"/>
          <w:color w:val="auto"/>
        </w:rPr>
        <w:t>Government and Other Regulations</w:t>
      </w:r>
      <w:r>
        <w:rPr>
          <w:rFonts w:ascii="Arial" w:cs="Arial" w:eastAsia="Arial" w:hAnsi="Arial"/>
          <w:sz w:val="17"/>
          <w:szCs w:val="17"/>
          <w:color w:val="auto"/>
        </w:rPr>
        <w:t>. The obligation of the Company to make payment of awards in Shares or otherwise shall be subject to all Applicable Laws,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spacing w:after="0" w:line="173" w:lineRule="exact"/>
        <w:rPr>
          <w:sz w:val="20"/>
          <w:szCs w:val="20"/>
          <w:color w:val="auto"/>
        </w:rPr>
      </w:pPr>
    </w:p>
    <w:p>
      <w:pPr>
        <w:jc w:val="center"/>
        <w:ind w:right="-119"/>
        <w:spacing w:after="0"/>
        <w:tabs>
          <w:tab w:leader="none" w:pos="14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The Plan and all Award Agreements shall be construed in accordance with and governed by the laws of the Cayman Islands.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389"/>
        <w:spacing w:after="0" w:line="288" w:lineRule="auto"/>
        <w:rPr>
          <w:sz w:val="20"/>
          <w:szCs w:val="20"/>
          <w:color w:val="auto"/>
        </w:rPr>
      </w:pPr>
      <w:r>
        <w:rPr>
          <w:rFonts w:ascii="Arial" w:cs="Arial" w:eastAsia="Arial" w:hAnsi="Arial"/>
          <w:sz w:val="16"/>
          <w:szCs w:val="16"/>
          <w:color w:val="auto"/>
        </w:rPr>
        <w:t xml:space="preserve">13.14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Committee determines that any Award granted under the Plan is or may become subject to Section 409A of the Code, the Award Agreement evidencing such Award shall incorporate the terms and conditions required by Section 409A of the Code. To the extent applicable, the Plan and the Award Agreements shall be interpreted in accordance with Section 409A of the Code and the U.S. Department of Treasury regulations and other interpretative guidance issued thereunder, including without limitation any such regulation or other guidance that may be issued after the Effective Date. Notwithstanding any provision of the Plan to the contrary, in the event that following the Effective Date the Committee determines that any Award may be subject to Section 409A of the Code and related Department of Treasury guidance (including such Department of Treasury guidance as may be issued after the Effective Date), the Committee may adopt such amendments to the Plan and the applicable Award agreement or adopt other policies and procedures (including amendments, policies and procedures with retroactive effect), or take any other actions, that the Committee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w:t>
      </w:r>
    </w:p>
    <w:p>
      <w:pPr>
        <w:spacing w:after="0" w:line="169" w:lineRule="exact"/>
        <w:rPr>
          <w:sz w:val="20"/>
          <w:szCs w:val="20"/>
          <w:color w:val="auto"/>
        </w:rPr>
      </w:pPr>
    </w:p>
    <w:p>
      <w:pPr>
        <w:ind w:right="100" w:firstLine="389"/>
        <w:spacing w:after="0" w:line="259"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Appendices</w:t>
      </w:r>
      <w:r>
        <w:rPr>
          <w:rFonts w:ascii="Arial" w:cs="Arial" w:eastAsia="Arial" w:hAnsi="Arial"/>
          <w:sz w:val="18"/>
          <w:szCs w:val="18"/>
          <w:color w:val="auto"/>
        </w:rPr>
        <w:t>. Subject to Section 12.1, the Committee may approve such supplements, amendments or appendices to the Plan as it may consider necessary or appropriate for purposes of compliance with Applicable Laws or otherwise and such supplements, amendments or appendices shall be considered a part of the Plan; provided, however, that no such supplements shall increase the share limitation contained in Section 3.1 of the Plan without the approval of the Board.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iClick Interactive Asia Group Limited of our report dated April 20, 2018 relating to the consolidated financial statements, which appears in iClick Interactive Asia Group Limited’s Annual Report on Form 20-F for the year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lowerLetter"/>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3"/>
    </w:lvl>
    <w:lvl w:ilvl="1">
      <w:lvlJc w:val="left"/>
      <w:lvlText w:val="(%2)"/>
      <w:numFmt w:val="lowerRoman"/>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Roman"/>
      <w:start w:val="3"/>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2"/>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jpeg"/><Relationship Id="rId38" Type="http://schemas.openxmlformats.org/officeDocument/2006/relationships/image" Target="media/image25.png"/><Relationship Id="rId39" Type="http://schemas.openxmlformats.org/officeDocument/2006/relationships/image" Target="media/image26.jpe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20" Type="http://schemas.openxmlformats.org/officeDocument/2006/relationships/hyperlink" Target="http://www.sec.gov/Archives/edgar/data/1697818/000119312517315220/d347875dex32.htm" TargetMode="External"/><Relationship Id="rId21" Type="http://schemas.openxmlformats.org/officeDocument/2006/relationships/hyperlink" Target="http://www.sec.gov/Archives/edgar/data/1697818/000119312517315220/d347875dex42.htm" TargetMode="External"/><Relationship Id="rId22" Type="http://schemas.openxmlformats.org/officeDocument/2006/relationships/hyperlink" Target="http://www.sec.gov/Archives/edgar/data/1697818/000119312517350288/d347875dex43.htm" TargetMode="External"/><Relationship Id="rId23" Type="http://schemas.openxmlformats.org/officeDocument/2006/relationships/hyperlink" Target="file:///data/convert/a18-36354_1ex5d1.htm#Exhibit5_1_053526" TargetMode="External"/><Relationship Id="rId24" Type="http://schemas.openxmlformats.org/officeDocument/2006/relationships/hyperlink" Target="file:///data/convert/a18-36354_1ex10d1.htm#Exhibit10_1_053939" TargetMode="External"/><Relationship Id="rId25" Type="http://schemas.openxmlformats.org/officeDocument/2006/relationships/hyperlink" Target="file:///data/convert/a18-36354_1ex23d1.htm#Exhibit23_1_060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2019-12-08T15:10:32Z</dcterms:created>
  <dcterms:modified xsi:type="dcterms:W3CDTF">2019-12-08T15:10:32Z</dcterms:modified>
</cp:coreProperties>
</file>