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92"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0" w:lineRule="exact"/>
        <w:rPr>
          <w:sz w:val="24"/>
          <w:szCs w:val="24"/>
          <w:color w:val="auto"/>
        </w:rPr>
      </w:pPr>
    </w:p>
    <w:p>
      <w:pPr>
        <w:spacing w:after="0" w:line="244"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For the month of September 2020</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0" w:lineRule="exact"/>
        <w:rPr>
          <w:sz w:val="24"/>
          <w:szCs w:val="24"/>
          <w:color w:val="auto"/>
        </w:rPr>
      </w:pPr>
    </w:p>
    <w:p>
      <w:pPr>
        <w:spacing w:after="0" w:line="216"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iClick Interactive Asia Group Limited</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17"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15/F</w:t>
      </w:r>
    </w:p>
    <w:p>
      <w:pPr>
        <w:spacing w:after="0" w:line="3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Prosperity Millennia Plaza</w:t>
      </w:r>
    </w:p>
    <w:p>
      <w:pPr>
        <w:spacing w:after="0" w:line="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663 King’s Road, Quarry Bay</w:t>
      </w:r>
    </w:p>
    <w:p>
      <w:pPr>
        <w:spacing w:after="0" w:line="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Hong Kong S.A.R., People’s Republic of China</w:t>
      </w:r>
    </w:p>
    <w:p>
      <w:pPr>
        <w:spacing w:after="0" w:line="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Tel: +852 3700 9000</w:t>
      </w:r>
    </w:p>
    <w:p>
      <w:pPr>
        <w:spacing w:after="0" w:line="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39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 (1):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 (7):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593090</wp:posOffset>
            </wp:positionV>
            <wp:extent cx="71494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680"/>
          </w:cols>
          <w:pgMar w:left="320" w:top="538" w:right="8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980" w:type="dxa"/>
            <w:vAlign w:val="bottom"/>
          </w:tcPr>
          <w:p>
            <w:pPr>
              <w:ind w:left="26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64"/>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24"/>
                <w:szCs w:val="24"/>
                <w:color w:val="auto"/>
              </w:rPr>
            </w:pPr>
          </w:p>
        </w:tc>
        <w:tc>
          <w:tcPr>
            <w:tcW w:w="8980" w:type="dxa"/>
            <w:vAlign w:val="bottom"/>
            <w:tcBorders>
              <w:bottom w:val="single" w:sz="8" w:color="auto"/>
            </w:tcBorders>
          </w:tcPr>
          <w:p>
            <w:pPr>
              <w:ind w:left="37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42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200" w:type="dxa"/>
            <w:vAlign w:val="bottom"/>
            <w:gridSpan w:val="2"/>
          </w:tcPr>
          <w:p>
            <w:pPr>
              <w:ind w:left="22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Press release</w:t>
              </w:r>
            </w:hyperlink>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494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4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tc>
      </w:tr>
      <w:tr>
        <w:trPr>
          <w:trHeight w:val="432"/>
        </w:trPr>
        <w:tc>
          <w:tcPr>
            <w:tcW w:w="634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Terence Li</w:t>
            </w:r>
          </w:p>
        </w:tc>
      </w:tr>
      <w:tr>
        <w:trPr>
          <w:trHeight w:val="191"/>
        </w:trPr>
        <w:tc>
          <w:tcPr>
            <w:tcW w:w="634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Terence Li</w:t>
            </w:r>
          </w:p>
        </w:tc>
      </w:tr>
      <w:tr>
        <w:trPr>
          <w:trHeight w:val="234"/>
        </w:trPr>
        <w:tc>
          <w:tcPr>
            <w:tcW w:w="634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8, 2020</w:t>
            </w:r>
          </w:p>
        </w:tc>
        <w:tc>
          <w:tcPr>
            <w:tcW w:w="4900" w:type="dxa"/>
            <w:vAlign w:val="bottom"/>
          </w:tcPr>
          <w:p>
            <w:pPr>
              <w:spacing w:after="0"/>
              <w:rPr>
                <w:sz w:val="24"/>
                <w:szCs w:val="24"/>
                <w:color w:val="auto"/>
              </w:rPr>
            </w:pPr>
          </w:p>
        </w:tc>
      </w:tr>
      <w:tr>
        <w:trPr>
          <w:trHeight w:val="432"/>
        </w:trPr>
        <w:tc>
          <w:tcPr>
            <w:tcW w:w="63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3</w:t>
            </w:r>
          </w:p>
        </w:tc>
        <w:tc>
          <w:tcPr>
            <w:tcW w:w="4900" w:type="dxa"/>
            <w:vAlign w:val="bottom"/>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161925</wp:posOffset>
            </wp:positionV>
            <wp:extent cx="1036955" cy="436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695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340" w:right="60"/>
        <w:spacing w:after="0" w:line="287" w:lineRule="auto"/>
        <w:rPr>
          <w:sz w:val="20"/>
          <w:szCs w:val="20"/>
          <w:color w:val="auto"/>
        </w:rPr>
      </w:pPr>
      <w:r>
        <w:rPr>
          <w:rFonts w:ascii="Times New Roman" w:cs="Times New Roman" w:eastAsia="Times New Roman" w:hAnsi="Times New Roman"/>
          <w:sz w:val="25"/>
          <w:szCs w:val="25"/>
          <w:b w:val="1"/>
          <w:bCs w:val="1"/>
          <w:color w:val="auto"/>
        </w:rPr>
        <w:t>iClick Interactive Asia Group Limited Announces Closing of Follow-on Offering of 8,500,001 American Depositary Shares</w:t>
      </w:r>
    </w:p>
    <w:p>
      <w:pPr>
        <w:spacing w:after="0" w:line="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New York, September 8, 2020 </w:t>
      </w:r>
      <w:r>
        <w:rPr>
          <w:rFonts w:ascii="Times New Roman" w:cs="Times New Roman" w:eastAsia="Times New Roman" w:hAnsi="Times New Roman"/>
          <w:sz w:val="20"/>
          <w:szCs w:val="20"/>
          <w:color w:val="auto"/>
        </w:rPr>
        <w:t>- iClick Interactive Asia Group Limited (“iClick” or the “Company”) (NASDAQ: ICLK), an independent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online marketing and enterprise data solutions provider in China, today announced that it closed the follow-on offering of 8,500,001 American depositary shares (the “ADSs”), with two ADSs representing one Class A ordinary share of the Company, par value US$0.001 per share (the “Offering”).</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Of the ADSs sold in the Offering, 6,877,214 ADSs were sold by iClick, and 1,622,787 ADSs were sold by Sumitomo Corporation Equity Asia Limited, a selling shareholder. iClick will not receive any proceeds from the sale of ADSs by such selling shareholder. In connection with the Offering, iClick has granted the underwriters a 30-day option to purchase up to an additional 15% of the total ADSs sold in the Offering.</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Mr. Wing Hong Sammy Hsieh and Mr. Jian Tang, two of the Company’s principal shareholders and co-founders, and Mr. Terence Li, chief financial officer of the Company, have purchased an aggregate of 117,646 ADSs in the Offering at the public offering price, with respect to which the underwriters did not receive any underwriting discounts or commissions.</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iClick’s ADSs are listed on the NASDAQ Global Market under the symbol “ICLK.” BofA Securities, Inc. acted as the lead left book-running manager for the Offering, while China Renaissance Securities (Hong Kong) Limited, ICBC International Securities Limited</w:t>
      </w:r>
      <w:r>
        <w:rPr>
          <w:rFonts w:ascii="Times New Roman" w:cs="Times New Roman" w:eastAsia="Times New Roman" w:hAnsi="Times New Roman"/>
          <w:sz w:val="16"/>
          <w:szCs w:val="16"/>
          <w:color w:val="auto"/>
        </w:rPr>
        <w:t>1</w:t>
      </w:r>
      <w:r>
        <w:rPr>
          <w:rFonts w:ascii="Times New Roman" w:cs="Times New Roman" w:eastAsia="Times New Roman" w:hAnsi="Times New Roman"/>
          <w:sz w:val="20"/>
          <w:szCs w:val="20"/>
          <w:color w:val="auto"/>
        </w:rPr>
        <w:t xml:space="preserve"> and A.G.P./Alliance Global Partners acted as joint book-running managers for the Offering. The Benchmark Company, LLC acted as co-manager for the Offering. Roth Capital Partners, LLC acted as financial advisor to the Company in connection with the Offering.</w:t>
      </w:r>
    </w:p>
    <w:p>
      <w:pPr>
        <w:spacing w:after="0" w:line="19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 registration statement on Form F-3 was previously filed with the U.S. Securities and Exchange Commission (“SEC”) on June 28, 2019, and has been declared effective on July 15, 2019. An additional registration statement on Form F-3 was filed pursuant to Rule 462(b) and became automatically effective on September 2, 2020. A prospectus supplement and the accompanying base prospectus describing the terms of the Offering have been filed with the SEC. The Offering was made only by means of the prospectus supplement and the accompanying base prospectus. You may obtain these documents free of charge by visiting EDGAR on the SEC website at www.sec.gov. Alternatively, a copy of the prospectus supplement and the accompanying base prospectus may be obtained from BofA Securities, Inc., NC1-004-03-43, 200 North College Street, 3rd floor, Charlotte NC 28255-0001, Attention: Prospectus Department or by emailing dg.prospectus_requests@bofa.com.</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press release does not constitute an offer to sell or a solicitation of an offer to buy any securities, nor will there be any sale of these securities in any state or jurisdiction in which such an offer, solicitation or sale would be unlawful prior to registration or qualification under the securities laws of any such state or other jurisdiction.</w:t>
      </w:r>
    </w:p>
    <w:p>
      <w:pPr>
        <w:spacing w:after="0" w:line="125" w:lineRule="exact"/>
        <w:rPr>
          <w:sz w:val="20"/>
          <w:szCs w:val="20"/>
          <w:color w:val="auto"/>
        </w:rPr>
      </w:pPr>
    </w:p>
    <w:p>
      <w:pPr>
        <w:ind w:left="140" w:right="100" w:hanging="132"/>
        <w:spacing w:after="0" w:line="282" w:lineRule="auto"/>
        <w:tabs>
          <w:tab w:leader="none" w:pos="1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ICBC International Securities Limited is not a broker-dealer registered with the United States Securities Exchange Commission, and has not and will not offer or sell any of the Company's ADSs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328295</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About iClick Interactive Asia Group Limited</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iClick Interactive Asia Group Limited (NASDAQ: ICLK) is an independent online marketing and enterprise data solutions provider that connects worldwide marketers with audiences in China. Built on cutting-edge technologies, our proprietary platform possesses omni-channel marketing capabilities and fulfils various marketing objectives in a data-driven and automated manner, helping both international and domestic marketers reach their target audiences in China. Headquartered in Hong Kong, iClick was established in 2009 and is currently operating in ten locations worldwide including Asia and Europe.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This announcement contains forward-looking statements, including those related to the Company’s business strategies, operations and financial performance.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and new retail strategies, including extending its solutions beyond its core online marketing business;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favorable contractual terms; market competition, including from independent online marketing technology platforms as well as large and well-established internet companies; market acceptance of online marketing technology solutions and enterprise solutions; effectiveness of its algorithms and data engines; its ability to collect and use data from various sources; ability to integrate and realize synergies from acquisitions, investments or strategic partnership; the duration of the COVID-19 outbreak and its potential impact on the Company’s business and financial performance; fluctuations in foreign exchange rates; and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in the prospectus supplement related to the Offering and other filings with the SEC. All information provided in this press release is as of the date of this press release, and none of the Company nor the underwriters undertakes any obligation to update any forward-looking statement.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8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For investor inquiries, please contact:</w:t>
            </w:r>
          </w:p>
        </w:tc>
        <w:tc>
          <w:tcPr>
            <w:tcW w:w="3780" w:type="dxa"/>
            <w:vAlign w:val="bottom"/>
          </w:tcPr>
          <w:p>
            <w:pPr>
              <w:spacing w:after="0"/>
              <w:rPr>
                <w:sz w:val="22"/>
                <w:szCs w:val="22"/>
                <w:color w:val="auto"/>
              </w:rPr>
            </w:pPr>
          </w:p>
        </w:tc>
      </w:tr>
      <w:tr>
        <w:trPr>
          <w:trHeight w:val="426"/>
        </w:trPr>
        <w:tc>
          <w:tcPr>
            <w:tcW w:w="48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In China:</w:t>
            </w:r>
          </w:p>
        </w:tc>
        <w:tc>
          <w:tcPr>
            <w:tcW w:w="3780" w:type="dxa"/>
            <w:vAlign w:val="bottom"/>
          </w:tcPr>
          <w:p>
            <w:pPr>
              <w:ind w:left="1600"/>
              <w:spacing w:after="0"/>
              <w:rPr>
                <w:sz w:val="20"/>
                <w:szCs w:val="20"/>
                <w:color w:val="auto"/>
              </w:rPr>
            </w:pPr>
            <w:r>
              <w:rPr>
                <w:rFonts w:ascii="Times New Roman" w:cs="Times New Roman" w:eastAsia="Times New Roman" w:hAnsi="Times New Roman"/>
                <w:sz w:val="20"/>
                <w:szCs w:val="20"/>
                <w:b w:val="1"/>
                <w:bCs w:val="1"/>
                <w:color w:val="auto"/>
              </w:rPr>
              <w:t>In the United States:</w:t>
            </w:r>
          </w:p>
        </w:tc>
      </w:tr>
      <w:tr>
        <w:trPr>
          <w:trHeight w:val="233"/>
        </w:trPr>
        <w:tc>
          <w:tcPr>
            <w:tcW w:w="48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iClick Interactive Asia Group Limited</w:t>
            </w:r>
          </w:p>
        </w:tc>
        <w:tc>
          <w:tcPr>
            <w:tcW w:w="3780" w:type="dxa"/>
            <w:vAlign w:val="bottom"/>
          </w:tcPr>
          <w:p>
            <w:pPr>
              <w:ind w:left="1600"/>
              <w:spacing w:after="0"/>
              <w:rPr>
                <w:sz w:val="20"/>
                <w:szCs w:val="20"/>
                <w:color w:val="auto"/>
              </w:rPr>
            </w:pPr>
            <w:r>
              <w:rPr>
                <w:rFonts w:ascii="Times New Roman" w:cs="Times New Roman" w:eastAsia="Times New Roman" w:hAnsi="Times New Roman"/>
                <w:sz w:val="20"/>
                <w:szCs w:val="20"/>
                <w:b w:val="1"/>
                <w:bCs w:val="1"/>
                <w:color w:val="auto"/>
              </w:rPr>
              <w:t>Core IR</w:t>
            </w:r>
          </w:p>
        </w:tc>
      </w:tr>
      <w:tr>
        <w:trPr>
          <w:trHeight w:val="229"/>
        </w:trPr>
        <w:tc>
          <w:tcPr>
            <w:tcW w:w="48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Lisa Li</w:t>
            </w:r>
          </w:p>
        </w:tc>
        <w:tc>
          <w:tcPr>
            <w:tcW w:w="3780" w:type="dxa"/>
            <w:vAlign w:val="bottom"/>
          </w:tcPr>
          <w:p>
            <w:pPr>
              <w:ind w:left="1600"/>
              <w:spacing w:after="0"/>
              <w:rPr>
                <w:sz w:val="20"/>
                <w:szCs w:val="20"/>
                <w:color w:val="auto"/>
              </w:rPr>
            </w:pPr>
            <w:r>
              <w:rPr>
                <w:rFonts w:ascii="Times New Roman" w:cs="Times New Roman" w:eastAsia="Times New Roman" w:hAnsi="Times New Roman"/>
                <w:sz w:val="20"/>
                <w:szCs w:val="20"/>
                <w:color w:val="auto"/>
              </w:rPr>
              <w:t>John Marco</w:t>
            </w:r>
          </w:p>
        </w:tc>
      </w:tr>
      <w:tr>
        <w:trPr>
          <w:trHeight w:val="230"/>
        </w:trPr>
        <w:tc>
          <w:tcPr>
            <w:tcW w:w="48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Phone: +86-21-3230-3931 #892</w:t>
            </w:r>
          </w:p>
        </w:tc>
        <w:tc>
          <w:tcPr>
            <w:tcW w:w="3780" w:type="dxa"/>
            <w:vAlign w:val="bottom"/>
          </w:tcPr>
          <w:p>
            <w:pPr>
              <w:ind w:left="1600"/>
              <w:spacing w:after="0"/>
              <w:rPr>
                <w:sz w:val="20"/>
                <w:szCs w:val="20"/>
                <w:color w:val="auto"/>
              </w:rPr>
            </w:pPr>
            <w:r>
              <w:rPr>
                <w:rFonts w:ascii="Times New Roman" w:cs="Times New Roman" w:eastAsia="Times New Roman" w:hAnsi="Times New Roman"/>
                <w:sz w:val="20"/>
                <w:szCs w:val="20"/>
                <w:color w:val="auto"/>
              </w:rPr>
              <w:t>Tel: +1-516-222-2560</w:t>
            </w:r>
          </w:p>
        </w:tc>
      </w:tr>
      <w:tr>
        <w:trPr>
          <w:trHeight w:val="212"/>
        </w:trPr>
        <w:tc>
          <w:tcPr>
            <w:tcW w:w="4820" w:type="dxa"/>
            <w:vAlign w:val="bottom"/>
            <w:gridSpan w:val="3"/>
          </w:tcPr>
          <w:p>
            <w:pPr>
              <w:spacing w:after="0" w:line="212" w:lineRule="exact"/>
              <w:rPr>
                <w:sz w:val="20"/>
                <w:szCs w:val="20"/>
                <w:color w:val="auto"/>
              </w:rPr>
            </w:pPr>
            <w:r>
              <w:rPr>
                <w:rFonts w:ascii="Times New Roman" w:cs="Times New Roman" w:eastAsia="Times New Roman" w:hAnsi="Times New Roman"/>
                <w:sz w:val="20"/>
                <w:szCs w:val="20"/>
                <w:color w:val="auto"/>
              </w:rPr>
              <w:t>E-mail: ir@i-click.com</w:t>
            </w:r>
          </w:p>
        </w:tc>
        <w:tc>
          <w:tcPr>
            <w:tcW w:w="3780" w:type="dxa"/>
            <w:vAlign w:val="bottom"/>
          </w:tcPr>
          <w:p>
            <w:pPr>
              <w:ind w:left="1600"/>
              <w:spacing w:after="0" w:line="212" w:lineRule="exact"/>
              <w:rPr>
                <w:sz w:val="20"/>
                <w:szCs w:val="20"/>
                <w:color w:val="auto"/>
              </w:rPr>
            </w:pPr>
            <w:r>
              <w:rPr>
                <w:rFonts w:ascii="Times New Roman" w:cs="Times New Roman" w:eastAsia="Times New Roman" w:hAnsi="Times New Roman"/>
                <w:sz w:val="20"/>
                <w:szCs w:val="20"/>
                <w:color w:val="auto"/>
                <w:w w:val="97"/>
              </w:rPr>
              <w:t>E-mail: johnm@coreir.com</w:t>
            </w:r>
          </w:p>
        </w:tc>
      </w:tr>
      <w:tr>
        <w:trPr>
          <w:trHeight w:val="20"/>
        </w:trPr>
        <w:tc>
          <w:tcPr>
            <w:tcW w:w="6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31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2020-09-08T16:17:05Z</dcterms:created>
  <dcterms:modified xsi:type="dcterms:W3CDTF">2020-09-08T16:17:05Z</dcterms:modified>
</cp:coreProperties>
</file>