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ind w:left="9340"/>
        <w:spacing w:after="0"/>
        <w:rPr>
          <w:sz w:val="20"/>
          <w:szCs w:val="20"/>
          <w:color w:val="auto"/>
        </w:rPr>
      </w:pPr>
      <w:r>
        <w:rPr>
          <w:rFonts w:ascii="Arial" w:cs="Arial" w:eastAsia="Arial" w:hAnsi="Arial"/>
          <w:sz w:val="18"/>
          <w:szCs w:val="18"/>
          <w:color w:val="auto"/>
        </w:rPr>
        <w:t>December 19, 2017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 Office of Information Technologies and Services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Edwin Kim,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Mengyao Lu,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iClick Interactive Asia Group Limited (CIK No. 0001697818)</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F-1 (Registration No. 333-221034)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Registration Statement on Form 8-A (Registration No. 001-38313)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4"/>
          <w:szCs w:val="24"/>
          <w:color w:val="auto"/>
        </w:rPr>
      </w:pPr>
    </w:p>
    <w:p>
      <w:pPr>
        <w:ind w:right="280" w:firstLine="449"/>
        <w:spacing w:after="0" w:line="259" w:lineRule="auto"/>
        <w:rPr>
          <w:sz w:val="20"/>
          <w:szCs w:val="20"/>
          <w:color w:val="auto"/>
        </w:rPr>
      </w:pPr>
      <w:r>
        <w:rPr>
          <w:rFonts w:ascii="Arial" w:cs="Arial" w:eastAsia="Arial" w:hAnsi="Arial"/>
          <w:sz w:val="18"/>
          <w:szCs w:val="18"/>
          <w:color w:val="auto"/>
        </w:rPr>
        <w:t>Pursuant to Rule 461 of Regulation C (“Rule 461”) promulgated under the Securities Act of 1933, as amended, iClick Interactive Asia Group Limited (the “Company”) hereby requests that the effectiveness of the above-referenced Registration Statement on Form F-1 (the “F-1 Registration Statement”) be accelerated to, and that the Registration Statement become effective at, 6 p.m., Eastern Daylight Time on December 21, 2017, or as soon thereafter as practicable.</w:t>
      </w:r>
    </w:p>
    <w:p>
      <w:pPr>
        <w:spacing w:after="0" w:line="187" w:lineRule="exact"/>
        <w:rPr>
          <w:sz w:val="24"/>
          <w:szCs w:val="24"/>
          <w:color w:val="auto"/>
        </w:rPr>
      </w:pPr>
    </w:p>
    <w:p>
      <w:pPr>
        <w:ind w:right="20" w:firstLine="449"/>
        <w:spacing w:after="0" w:line="263" w:lineRule="auto"/>
        <w:rPr>
          <w:sz w:val="20"/>
          <w:szCs w:val="20"/>
          <w:color w:val="auto"/>
        </w:rPr>
      </w:pPr>
      <w:r>
        <w:rPr>
          <w:rFonts w:ascii="Arial" w:cs="Arial" w:eastAsia="Arial" w:hAnsi="Arial"/>
          <w:sz w:val="18"/>
          <w:szCs w:val="18"/>
          <w:color w:val="auto"/>
        </w:rPr>
        <w:t>The Company also requests that the Registration Statement on Form 8-A under the Securities Exchange Act of 1934, covering the American depositary shares representing ordinary shares of the Company, be declared effective concurrently with the F-1 Registration Statement (the F-1 Registration Statement, together with the Registration Statement on Form 8-A, the “Registration Statements”).</w:t>
      </w:r>
    </w:p>
    <w:p>
      <w:pPr>
        <w:spacing w:after="0" w:line="184" w:lineRule="exact"/>
        <w:rPr>
          <w:sz w:val="24"/>
          <w:szCs w:val="24"/>
          <w:color w:val="auto"/>
        </w:rPr>
      </w:pPr>
    </w:p>
    <w:p>
      <w:pPr>
        <w:ind w:right="220" w:firstLine="449"/>
        <w:spacing w:after="0" w:line="259" w:lineRule="auto"/>
        <w:rPr>
          <w:sz w:val="20"/>
          <w:szCs w:val="20"/>
          <w:color w:val="auto"/>
        </w:rPr>
      </w:pPr>
      <w:r>
        <w:rPr>
          <w:rFonts w:ascii="Arial" w:cs="Arial" w:eastAsia="Arial" w:hAnsi="Arial"/>
          <w:sz w:val="18"/>
          <w:szCs w:val="18"/>
          <w:color w:val="auto"/>
        </w:rPr>
        <w:t>If there is any change in the acceleration request set forth above, the Company will promptly notify you of the change, in which case the Company may be making an oral request of acceleration of the effectiveness of the Registration Statements in accordance with Rule 461 of Regulation C. Such request may be made by an executive officer of the Company or by any attorney from the Company’s U.S. counsel, Cleary, Gottlieb, Steen &amp; Hamilton LLP.</w:t>
      </w:r>
    </w:p>
    <w:p>
      <w:pPr>
        <w:spacing w:after="0" w:line="187" w:lineRule="exact"/>
        <w:rPr>
          <w:sz w:val="24"/>
          <w:szCs w:val="24"/>
          <w:color w:val="auto"/>
        </w:rPr>
      </w:pPr>
    </w:p>
    <w:p>
      <w:pPr>
        <w:ind w:right="260" w:firstLine="449"/>
        <w:spacing w:after="0" w:line="277" w:lineRule="auto"/>
        <w:rPr>
          <w:sz w:val="20"/>
          <w:szCs w:val="20"/>
          <w:color w:val="auto"/>
        </w:rPr>
      </w:pPr>
      <w:r>
        <w:rPr>
          <w:rFonts w:ascii="Arial" w:cs="Arial" w:eastAsia="Arial" w:hAnsi="Arial"/>
          <w:sz w:val="18"/>
          <w:szCs w:val="18"/>
          <w:color w:val="auto"/>
        </w:rPr>
        <w:t>The Company understands that the representative of the underwriters, on behalf of the prospective underwriters of the offering, have joined in this request in a separate letter filed with the Securities and Exchange Commission today.</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229" w:right="339" w:bottom="1440" w:gutter="0" w:footer="0" w:header="0"/>
        </w:sectPr>
      </w:pPr>
    </w:p>
    <w:bookmarkStart w:id="1" w:name="page2"/>
    <w:bookmarkEnd w:id="1"/>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Wing Hong Sammy Hsieh</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[Signature Page to Issuer Acceleration Request]</w:t>
      </w:r>
    </w:p>
    <w:sectPr>
      <w:pgSz w:w="11900" w:h="16838" w:orient="portrait"/>
      <w:cols w:equalWidth="0" w:num="1">
        <w:col w:w="10120"/>
      </w:cols>
      <w:pgMar w:left="14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2020-10-07T22:35:32Z</dcterms:created>
  <dcterms:modified xsi:type="dcterms:W3CDTF">2020-10-07T22:35:32Z</dcterms:modified>
</cp:coreProperties>
</file>