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For the month of January 2023</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32"/>
          <w:szCs w:val="32"/>
          <w:b w:val="1"/>
          <w:bCs w:val="1"/>
          <w:color w:val="auto"/>
        </w:rPr>
        <w:t>iClick Interactive Asia Group Limited</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15/F</w:t>
      </w:r>
    </w:p>
    <w:p>
      <w:pPr>
        <w:spacing w:after="0" w:line="31"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Prosperity Millennia Plaza</w:t>
      </w:r>
    </w:p>
    <w:p>
      <w:pPr>
        <w:spacing w:after="0" w:line="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663 King’s Road, Quarry Bay</w:t>
      </w:r>
    </w:p>
    <w:p>
      <w:pPr>
        <w:spacing w:after="0" w:line="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Hong Kong S.A.R., People’s Republic of China</w:t>
      </w:r>
    </w:p>
    <w:p>
      <w:pPr>
        <w:spacing w:after="0" w:line="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Tel: +852 3700 9000</w:t>
      </w:r>
    </w:p>
    <w:p>
      <w:pPr>
        <w:spacing w:after="0" w:line="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Wingdings" w:cs="Wingdings" w:eastAsia="Wingdings" w:hAnsi="Wingdings"/>
          <w:sz w:val="18"/>
          <w:szCs w:val="18"/>
          <w:b w:val="1"/>
          <w:bCs w:val="1"/>
          <w:color w:val="auto"/>
        </w:rPr>
        <w:t>o</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 (1): </w:t>
      </w:r>
      <w:r>
        <w:rPr>
          <w:rFonts w:ascii="Wingdings" w:cs="Wingdings" w:eastAsia="Wingdings" w:hAnsi="Wingdings"/>
          <w:sz w:val="18"/>
          <w:szCs w:val="18"/>
          <w:b w:val="1"/>
          <w:bCs w:val="1"/>
          <w:color w:val="auto"/>
        </w:rPr>
        <w:t>o</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 (7):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40"/>
          </w:cols>
          <w:pgMar w:left="320" w:top="700" w:right="9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0" w:type="dxa"/>
            <w:vAlign w:val="bottom"/>
          </w:tcPr>
          <w:p>
            <w:pPr>
              <w:jc w:val="center"/>
              <w:ind w:right="275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20" w:type="dxa"/>
            <w:vAlign w:val="bottom"/>
          </w:tcPr>
          <w:p>
            <w:pPr>
              <w:spacing w:after="0"/>
              <w:rPr>
                <w:sz w:val="24"/>
                <w:szCs w:val="24"/>
                <w:color w:val="auto"/>
              </w:rPr>
            </w:pPr>
          </w:p>
        </w:tc>
        <w:tc>
          <w:tcPr>
            <w:tcW w:w="8400" w:type="dxa"/>
            <w:vAlign w:val="bottom"/>
          </w:tcPr>
          <w:p>
            <w:pPr>
              <w:ind w:left="278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385"/>
        </w:trPr>
        <w:tc>
          <w:tcPr>
            <w:tcW w:w="17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9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669"/>
        </w:trPr>
        <w:tc>
          <w:tcPr>
            <w:tcW w:w="320" w:type="dxa"/>
            <w:vAlign w:val="bottom"/>
            <w:tcBorders>
              <w:top w:val="single" w:sz="8" w:color="0000EE"/>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top w:val="single" w:sz="8" w:color="0000EE"/>
              <w:bottom w:val="single" w:sz="8" w:color="auto"/>
            </w:tcBorders>
          </w:tcPr>
          <w:p>
            <w:pPr>
              <w:spacing w:after="0"/>
              <w:rPr>
                <w:sz w:val="24"/>
                <w:szCs w:val="24"/>
                <w:color w:val="auto"/>
              </w:rPr>
            </w:pPr>
          </w:p>
        </w:tc>
        <w:tc>
          <w:tcPr>
            <w:tcW w:w="8400" w:type="dxa"/>
            <w:vAlign w:val="bottom"/>
            <w:tcBorders>
              <w:bottom w:val="single" w:sz="8" w:color="auto"/>
            </w:tcBorders>
          </w:tcPr>
          <w:p>
            <w:pPr>
              <w:jc w:val="right"/>
              <w:ind w:right="547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David Zhang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20, 2023</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80"/>
          </w:cols>
          <w:pgMar w:left="320" w:top="900"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156845</wp:posOffset>
            </wp:positionV>
            <wp:extent cx="1191260" cy="4800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9126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 Announces Engagement of Financial Advisor and Legal Counsel to Evaluate the Proposal</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HONG KONG </w:t>
      </w:r>
      <w:r>
        <w:rPr>
          <w:rFonts w:ascii="Times New Roman" w:cs="Times New Roman" w:eastAsia="Times New Roman" w:hAnsi="Times New Roman"/>
          <w:sz w:val="18"/>
          <w:szCs w:val="18"/>
          <w:color w:val="auto"/>
        </w:rPr>
        <w:t>— Jan 20, 2023 — iClick Interactive Asia Group Limited (“iClick” or the “Company”) (NASDAQ: ICLK), a leading enterprise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marketing cloud platform in China that empowers worldwide brands with full-stack consumer lifecycle solutions, announced today that the special committee of the Company’s board of directors (the “Special Committee”) has engaged Houlihan Lokey (China) Limited (“Houlihan Lokey”) as its financial advisor and Cleary Gottlieb Steen &amp; Hamilton LLP as its U.S. legal counsel to assist in its evaluation of the previously-announced preliminary non-binding proposal dated December 20, 2022 (the “Proposal”) from Igomax Inc., Bubinga Holdings Limited and Rise Chain Investment Limited.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Special Committee cautions the Company's shareholders and others considering trading the Company's securities that the Special Committee is still at the preliminary stage of reviewing and evaluating the Proposal and has not made any decision with respect to the Company's response to the Proposal. There can be no assurance that any definitive offer will be made, that any definitive agreement will be executed relating to the Proposal or that the Proposal or any other transaction will be approved or consummated. The Company does not undertake any obligation to provide any updates with respect to the Proposal or any other transaction, except as required under applicable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iClick Interactive Asia Group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Founded in 2009, iClick Interactive Asia Group Limited (NASDAQ: ICLK) is a leading enterprise and marketing cloud platform in China. iClick’s mission is to empower worldwide brands to unlock the enormous market potential of smart retail. With its leading proprietary technologies, iClick’s full suite of data-driven solutions helps brands drive significant business growth and profitability throughout the full consumer lifecycle. Headquartered in Hong Kong, iClick currently operates in eleven locations across Asia and Europe. For more information, please visit </w:t>
      </w:r>
      <w:r>
        <w:rPr>
          <w:rFonts w:ascii="Times New Roman" w:cs="Times New Roman" w:eastAsia="Times New Roman" w:hAnsi="Times New Roman"/>
          <w:sz w:val="18"/>
          <w:szCs w:val="18"/>
          <w:u w:val="single" w:color="auto"/>
          <w:color w:val="auto"/>
        </w:rPr>
        <w:t>https://ir.i-click.com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including those related to the Company’s business strategies, operations and financial performance.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its strategic shift away from Marketing Solutions to focus on Enterprise Solutions; its success in implementing its SaaS + X business model;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favourable contractual terms; market competition; market acceptance of online marketing technology solutions and enterprise solutions; effectiveness of its algorithms and data engines; its ability to collect and use data from various sources; ability to integrate and realize synergies from acquisitions, investments or strategic partnership; the duration of the COVID-19 outbreak and its potential impact on the Company's business and financial performance; fluctuations in foreign exchange rates; general economic conditions in China and other jurisdictions where the Company operates; and the regulatory landscape in China and other jurisdictions where the Company operates. Further information regarding these and other risks is included in the Company’s annual report on Form 20-F and other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tc>
        <w:tc>
          <w:tcPr>
            <w:tcW w:w="1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740" w:type="dxa"/>
            <w:vAlign w:val="bottom"/>
          </w:tcPr>
          <w:p>
            <w:pPr>
              <w:spacing w:after="0"/>
              <w:rPr>
                <w:sz w:val="20"/>
                <w:szCs w:val="20"/>
                <w:color w:val="auto"/>
              </w:rPr>
            </w:pPr>
          </w:p>
        </w:tc>
      </w:tr>
      <w:tr>
        <w:trPr>
          <w:trHeight w:val="410"/>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China:</w:t>
            </w:r>
          </w:p>
        </w:tc>
        <w:tc>
          <w:tcPr>
            <w:tcW w:w="6560" w:type="dxa"/>
            <w:vAlign w:val="bottom"/>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In the United States:</w:t>
            </w:r>
          </w:p>
        </w:tc>
      </w:tr>
      <w:tr>
        <w:trPr>
          <w:trHeight w:val="220"/>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tc>
        <w:tc>
          <w:tcPr>
            <w:tcW w:w="6560" w:type="dxa"/>
            <w:vAlign w:val="bottom"/>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Core IR</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Lisa Li</w:t>
            </w:r>
          </w:p>
        </w:tc>
        <w:tc>
          <w:tcPr>
            <w:tcW w:w="656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Tom Caden</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Phone: +86-21-3230-3931 #866</w:t>
            </w:r>
          </w:p>
        </w:tc>
        <w:tc>
          <w:tcPr>
            <w:tcW w:w="656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Tel: +1-516-222-2560</w:t>
            </w:r>
          </w:p>
        </w:tc>
      </w:tr>
      <w:tr>
        <w:trPr>
          <w:trHeight w:val="194"/>
        </w:trPr>
        <w:tc>
          <w:tcPr>
            <w:tcW w:w="46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E-mail: ir@i-click.com</w:t>
            </w:r>
          </w:p>
        </w:tc>
        <w:tc>
          <w:tcPr>
            <w:tcW w:w="6560" w:type="dxa"/>
            <w:vAlign w:val="bottom"/>
            <w:gridSpan w:val="3"/>
          </w:tcPr>
          <w:p>
            <w:pPr>
              <w:ind w:left="940"/>
              <w:spacing w:after="0" w:line="194" w:lineRule="exact"/>
              <w:rPr>
                <w:sz w:val="20"/>
                <w:szCs w:val="20"/>
                <w:color w:val="auto"/>
              </w:rPr>
            </w:pPr>
            <w:r>
              <w:rPr>
                <w:rFonts w:ascii="Times New Roman" w:cs="Times New Roman" w:eastAsia="Times New Roman" w:hAnsi="Times New Roman"/>
                <w:sz w:val="18"/>
                <w:szCs w:val="18"/>
                <w:color w:val="auto"/>
              </w:rPr>
              <w:t>E-mail: tomc@coreir.com</w:t>
            </w:r>
          </w:p>
        </w:tc>
      </w:tr>
      <w:tr>
        <w:trPr>
          <w:trHeight w:val="668"/>
        </w:trPr>
        <w:tc>
          <w:tcPr>
            <w:tcW w:w="46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2023-01-20T15:30:22Z</dcterms:created>
  <dcterms:modified xsi:type="dcterms:W3CDTF">2023-01-20T15:30:22Z</dcterms:modified>
</cp:coreProperties>
</file>