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0"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5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9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For the month of October 2021</w:t>
      </w:r>
    </w:p>
    <w:p>
      <w:pPr>
        <w:spacing w:after="0" w:line="131"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6" w:lineRule="exact"/>
        <w:rPr>
          <w:sz w:val="24"/>
          <w:szCs w:val="24"/>
          <w:color w:val="auto"/>
        </w:rPr>
      </w:pPr>
    </w:p>
    <w:p>
      <w:pPr>
        <w:jc w:val="center"/>
        <w:ind w:right="-559"/>
        <w:spacing w:after="0"/>
        <w:rPr>
          <w:sz w:val="20"/>
          <w:szCs w:val="20"/>
          <w:color w:val="auto"/>
        </w:rPr>
      </w:pPr>
      <w:r>
        <w:rPr>
          <w:rFonts w:ascii="Arial" w:cs="Arial" w:eastAsia="Arial" w:hAnsi="Arial"/>
          <w:sz w:val="32"/>
          <w:szCs w:val="32"/>
          <w:b w:val="1"/>
          <w:bCs w:val="1"/>
          <w:color w:val="auto"/>
        </w:rPr>
        <w:t>iClick Interactive Asia Group Limited</w:t>
      </w:r>
    </w:p>
    <w:p>
      <w:pPr>
        <w:spacing w:after="0" w:line="39" w:lineRule="exact"/>
        <w:rPr>
          <w:sz w:val="24"/>
          <w:szCs w:val="24"/>
          <w:color w:val="auto"/>
        </w:rPr>
      </w:pPr>
    </w:p>
    <w:p>
      <w:pPr>
        <w:ind w:left="3960"/>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Tel: +852 3700 9000</w:t>
      </w:r>
    </w:p>
    <w:p>
      <w:pPr>
        <w:spacing w:after="0" w:line="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91440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1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files or will file annual reports under cover of Form 20-F or Form 40-F. 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6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(1): </w:t>
      </w:r>
      <w:r>
        <w:rPr>
          <w:rFonts w:ascii="MS PGothic" w:cs="MS PGothic" w:eastAsia="MS PGothic" w:hAnsi="MS PGothic"/>
          <w:sz w:val="18"/>
          <w:szCs w:val="18"/>
          <w:color w:val="auto"/>
        </w:rPr>
        <w:t>☐</w:t>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 (7):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473075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680"/>
          </w:cols>
          <w:pgMar w:left="320" w:top="490" w:right="8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00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 of Document</w:t>
            </w:r>
          </w:p>
        </w:tc>
      </w:tr>
      <w:tr>
        <w:trPr>
          <w:trHeight w:val="169"/>
        </w:trPr>
        <w:tc>
          <w:tcPr>
            <w:tcW w:w="114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4"/>
                <w:szCs w:val="14"/>
                <w:color w:val="auto"/>
              </w:rPr>
            </w:pPr>
          </w:p>
        </w:tc>
        <w:tc>
          <w:tcPr>
            <w:tcW w:w="940" w:type="dxa"/>
            <w:vAlign w:val="bottom"/>
            <w:tcBorders>
              <w:top w:val="single" w:sz="8" w:color="auto"/>
              <w:bottom w:val="single" w:sz="8" w:color="0000EE"/>
            </w:tcBorders>
          </w:tcPr>
          <w:p>
            <w:pPr>
              <w:ind w:left="20"/>
              <w:spacing w:after="0" w:line="169" w:lineRule="exact"/>
              <w:rPr>
                <w:rFonts w:ascii="Arial" w:cs="Arial" w:eastAsia="Arial" w:hAnsi="Arial"/>
                <w:sz w:val="18"/>
                <w:szCs w:val="18"/>
                <w:color w:val="0000EE"/>
                <w:w w:val="81"/>
              </w:rPr>
            </w:pPr>
            <w:hyperlink w:anchor="page4">
              <w:r>
                <w:rPr>
                  <w:rFonts w:ascii="Arial" w:cs="Arial" w:eastAsia="Arial" w:hAnsi="Arial"/>
                  <w:sz w:val="18"/>
                  <w:szCs w:val="18"/>
                  <w:color w:val="0000EE"/>
                  <w:w w:val="81"/>
                </w:rPr>
                <w:t>Press release</w:t>
              </w:r>
            </w:hyperlink>
          </w:p>
        </w:tc>
        <w:tc>
          <w:tcPr>
            <w:tcW w:w="9060" w:type="dxa"/>
            <w:vAlign w:val="bottom"/>
            <w:tcBorders>
              <w:top w:val="single" w:sz="8" w:color="auto"/>
            </w:tcBorders>
          </w:tcPr>
          <w:p>
            <w:pPr>
              <w:spacing w:after="0"/>
              <w:rPr>
                <w:sz w:val="14"/>
                <w:szCs w:val="1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564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Terence Li</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33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159385</wp:posOffset>
            </wp:positionV>
            <wp:extent cx="103695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3695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left="340" w:right="380"/>
        <w:spacing w:after="0" w:line="267" w:lineRule="auto"/>
        <w:rPr>
          <w:sz w:val="20"/>
          <w:szCs w:val="20"/>
          <w:color w:val="auto"/>
        </w:rPr>
      </w:pPr>
      <w:r>
        <w:rPr>
          <w:rFonts w:ascii="Arial" w:cs="Arial" w:eastAsia="Arial" w:hAnsi="Arial"/>
          <w:sz w:val="20"/>
          <w:szCs w:val="20"/>
          <w:b w:val="1"/>
          <w:bCs w:val="1"/>
          <w:color w:val="auto"/>
        </w:rPr>
        <w:t>iClick Interactive Asia Group Limited Announces Formation of Special Committee and Engagement of Financial Adviser to Evaluate and Consider Prior Proposals or Any Alternative Strategic Option</w:t>
      </w:r>
    </w:p>
    <w:p>
      <w:pPr>
        <w:spacing w:after="0" w:line="177"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color w:val="auto"/>
        </w:rPr>
        <w:t xml:space="preserve">HONG KONG, October 21, 2021 </w:t>
      </w:r>
      <w:r>
        <w:rPr>
          <w:rFonts w:ascii="Arial" w:cs="Arial" w:eastAsia="Arial" w:hAnsi="Arial"/>
          <w:sz w:val="18"/>
          <w:szCs w:val="18"/>
          <w:color w:val="auto"/>
        </w:rPr>
        <w:t>– iClick Interactive Asia Group Limited (“iClick” or the “Company”) (NASDAQ: ICLK), a leading</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and marketing cloud platform in China that empowers worldwide brands with full-stack consumer lifecycle solutions, announced today that its Board of Directors (the “Board”) has formed a special committee (the “Special Committee”) consisting of four independent directors, Mr. Dylan Huang, Mr. Lub Bun Chong, Mr. Matthew Chu Pong Fong and Mr. Philip Kan to evaluate and consider the previously announced unsolicited preliminary non-binding indicative offer dated October 13, 2021 from Infinity Equity Management Co. Ltd. and the previously announced unsolicited preliminary non-binding indicative offer dated September 23, 2021 from PAG Pegasus Fund LP and Oasis Management Company (the “Prior Proposals”) as well as other potential strategic alternatives that the Company may pursue. The Special Committee has engaged Nomura International (Hong Kong) Limited as its financial advisor to assist in its evaluation.</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9"/>
          <w:szCs w:val="19"/>
          <w:color w:val="auto"/>
        </w:rPr>
        <w:t>The Board cautions the Company’s shareholders and others considering trading the Company’s securities that the Special Committee has just been formed, and the Special Committee is still at the preliminary stage of reviewing and evaluating the Prior Proposals and has not made any decision with respect to the Company’s response to the Prior Proposals. There can be no assurance that any definitive offer will be made, that any definitive agreement will be executed relating to the Prior Proposals or that the Prior Proposals or any other transaction will be approved or consummated. The Company does not undertake any obligation to provide any updates with respect to the Prior Proposals or any other transaction, except as required under applicable law.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iClick Interactive Asia Group Limited</w:t>
      </w:r>
    </w:p>
    <w:p>
      <w:pPr>
        <w:spacing w:after="0" w:line="222" w:lineRule="exact"/>
        <w:rPr>
          <w:sz w:val="20"/>
          <w:szCs w:val="20"/>
          <w:color w:val="auto"/>
        </w:rPr>
      </w:pPr>
    </w:p>
    <w:p>
      <w:pPr>
        <w:ind w:right="240"/>
        <w:spacing w:after="0" w:line="244" w:lineRule="auto"/>
        <w:rPr>
          <w:sz w:val="20"/>
          <w:szCs w:val="20"/>
          <w:color w:val="auto"/>
        </w:rPr>
      </w:pPr>
      <w:r>
        <w:rPr>
          <w:rFonts w:ascii="Arial" w:cs="Arial" w:eastAsia="Arial" w:hAnsi="Arial"/>
          <w:sz w:val="20"/>
          <w:szCs w:val="20"/>
          <w:color w:val="auto"/>
        </w:rPr>
        <w:t>Founded in 2009, iClick Interactive Asia Group Limited (NASDAQ: ICLK) is a leading enterprise and marketing cloud platform in China. iClick’s mission is to empower worldwide brands to unlock the enormous market potential of smart retail. With its leading proprietary technologies, iClick's full suite of data-driven solutions helps brands drive significant business growth and profitability throughout the full consumer lifecycle. Headquartered in Hong Kong, iClick currently operates in eleven locations across Asia and Europe. For more information, please visit ir.i-click.com.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Safe Harbor Statement</w:t>
      </w:r>
    </w:p>
    <w:p>
      <w:pPr>
        <w:spacing w:after="0" w:line="2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and new retail strategies, including extending its solutions beyond its core online marketing business; its success in structuring a CRM &amp; Marketing Cloud platform; relative percentage of its gross billing recognized as revenue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and enterprise solutions; litigation and negative publicity surroundings China -based companies listed in the U.S.; effectiveness of its algorithms and data engines; its ability to collect and use data from various sources; its ability to comply with existing or future laws and regulations related to data protection or data security; ability to integrate and realize synergies from acquisitions, investments or strategic partnership; the duration of the COVID-19 outbreak, including the emergence of COVID variants, and its potential impact on the Company’s business and financial performance; fluctuations in foreign exchange rates; general economic conditions in China and other jurisdictions where the Company operates; and the regulatory landscape in China and other jurisdictions where the Company operates. Further information regarding these and other risks is included in the Company's annual report on Form 20-F and other filings with the SEC. All information provided in this press release and in the attachment is as of the date of this press release, and the Company undertakes no obligation to update any forward-looking statement, except as required under applicable law.</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 investor and media inquiries, please contact:</w:t>
      </w:r>
    </w:p>
    <w:p>
      <w:pPr>
        <w:sectPr>
          <w:pgSz w:w="11900" w:h="16838" w:orient="portrait"/>
          <w:cols w:equalWidth="0" w:num="1">
            <w:col w:w="11160"/>
          </w:cols>
          <w:pgMar w:left="320" w:top="346" w:right="41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 China:</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Core IR</w:t>
      </w:r>
    </w:p>
    <w:p>
      <w:pPr>
        <w:spacing w:after="0" w:line="154" w:lineRule="exact"/>
        <w:rPr>
          <w:sz w:val="20"/>
          <w:szCs w:val="20"/>
          <w:color w:val="auto"/>
        </w:rPr>
      </w:pPr>
    </w:p>
    <w:p>
      <w:pPr>
        <w:sectPr>
          <w:pgSz w:w="11900" w:h="16838" w:orient="portrait"/>
          <w:cols w:equalWidth="0" w:num="2">
            <w:col w:w="5000" w:space="720"/>
            <w:col w:w="5440"/>
          </w:cols>
          <w:pgMar w:left="320" w:top="346" w:right="419" w:bottom="1440" w:gutter="0" w:footer="0" w:header="0"/>
          <w:type w:val="continuous"/>
        </w:sectPr>
      </w:pPr>
    </w:p>
    <w:p>
      <w:pPr>
        <w:spacing w:after="0"/>
        <w:rPr>
          <w:sz w:val="20"/>
          <w:szCs w:val="20"/>
          <w:color w:val="auto"/>
        </w:rPr>
      </w:pPr>
      <w:r>
        <w:rPr>
          <w:rFonts w:ascii="Arial" w:cs="Arial" w:eastAsia="Arial" w:hAnsi="Arial"/>
          <w:sz w:val="20"/>
          <w:szCs w:val="20"/>
          <w:color w:val="auto"/>
        </w:rPr>
        <w:t>Lisa Li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Tom Caden</w:t>
      </w:r>
    </w:p>
    <w:p>
      <w:pPr>
        <w:spacing w:after="0" w:line="193" w:lineRule="exact"/>
        <w:rPr>
          <w:sz w:val="20"/>
          <w:szCs w:val="20"/>
          <w:color w:val="auto"/>
        </w:rPr>
      </w:pPr>
    </w:p>
    <w:p>
      <w:pPr>
        <w:sectPr>
          <w:pgSz w:w="11900" w:h="16838" w:orient="portrait"/>
          <w:cols w:equalWidth="0" w:num="2">
            <w:col w:w="5000" w:space="720"/>
            <w:col w:w="5440"/>
          </w:cols>
          <w:pgMar w:left="320" w:top="346" w:right="419" w:bottom="1440" w:gutter="0" w:footer="0" w:header="0"/>
          <w:type w:val="continuous"/>
        </w:sectPr>
      </w:pPr>
    </w:p>
    <w:p>
      <w:pPr>
        <w:spacing w:after="0"/>
        <w:rPr>
          <w:sz w:val="20"/>
          <w:szCs w:val="20"/>
          <w:color w:val="auto"/>
        </w:rPr>
      </w:pPr>
      <w:r>
        <w:rPr>
          <w:rFonts w:ascii="Arial" w:cs="Arial" w:eastAsia="Arial" w:hAnsi="Arial"/>
          <w:sz w:val="16"/>
          <w:szCs w:val="16"/>
          <w:color w:val="auto"/>
        </w:rPr>
        <w:t>Phone: +86-21-3230-3931 #866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Tel: +1-516-222-2560</w:t>
      </w:r>
    </w:p>
    <w:p>
      <w:pPr>
        <w:spacing w:after="0" w:line="171" w:lineRule="exact"/>
        <w:rPr>
          <w:sz w:val="20"/>
          <w:szCs w:val="20"/>
          <w:color w:val="auto"/>
        </w:rPr>
      </w:pPr>
    </w:p>
    <w:p>
      <w:pPr>
        <w:sectPr>
          <w:pgSz w:w="11900" w:h="16838" w:orient="portrait"/>
          <w:cols w:equalWidth="0" w:num="2">
            <w:col w:w="5000" w:space="720"/>
            <w:col w:w="5440"/>
          </w:cols>
          <w:pgMar w:left="320" w:top="346" w:right="419" w:bottom="1440" w:gutter="0" w:footer="0" w:header="0"/>
          <w:type w:val="continuous"/>
        </w:sectPr>
      </w:pPr>
    </w:p>
    <w:p>
      <w:pPr>
        <w:spacing w:after="0"/>
        <w:rPr>
          <w:sz w:val="20"/>
          <w:szCs w:val="20"/>
          <w:color w:val="auto"/>
        </w:rPr>
      </w:pPr>
      <w:r>
        <w:rPr>
          <w:rFonts w:ascii="Arial" w:cs="Arial" w:eastAsia="Arial" w:hAnsi="Arial"/>
          <w:sz w:val="19"/>
          <w:szCs w:val="19"/>
          <w:color w:val="auto"/>
        </w:rPr>
        <w:t>E-mail: ir@i-click.com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E-mail: tomc@coreir.com</w:t>
      </w:r>
    </w:p>
    <w:sectPr>
      <w:pgSz w:w="11900" w:h="16838" w:orient="portrait"/>
      <w:cols w:equalWidth="0" w:num="2">
        <w:col w:w="5000" w:space="720"/>
        <w:col w:w="5440"/>
      </w:cols>
      <w:pgMar w:left="320" w:top="346" w:right="4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2021-10-21T15:09:48Z</dcterms:created>
  <dcterms:modified xsi:type="dcterms:W3CDTF">2021-10-21T15:09:48Z</dcterms:modified>
</cp:coreProperties>
</file>