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13D/A</w:t>
      </w:r>
    </w:p>
    <w:p>
      <w:pPr>
        <w:spacing w:after="0" w:line="2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Class A Ordinary Shares, par value of $0.001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45113Y203</w:t>
      </w:r>
    </w:p>
    <w:p>
      <w:pPr>
        <w:spacing w:after="0" w:line="3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7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Jian Tang</w:t>
            </w:r>
          </w:p>
        </w:tc>
        <w:tc>
          <w:tcPr>
            <w:tcW w:w="3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Igomax Inc.</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Wing Hong Sammy</w:t>
            </w:r>
          </w:p>
        </w:tc>
        <w:tc>
          <w:tcPr>
            <w:tcW w:w="2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Bubinga Holdings Limited</w:t>
            </w:r>
          </w:p>
        </w:tc>
      </w:tr>
      <w:tr>
        <w:trPr>
          <w:trHeight w:val="216"/>
        </w:trPr>
        <w:tc>
          <w:tcPr>
            <w:tcW w:w="27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15/F, Prosperity Millennia Plaza</w:t>
            </w:r>
          </w:p>
        </w:tc>
        <w:tc>
          <w:tcPr>
            <w:tcW w:w="3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15/F, Prosperity Millennia Plaza</w:t>
            </w:r>
          </w:p>
        </w:tc>
        <w:tc>
          <w:tcPr>
            <w:tcW w:w="2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Hsieh</w:t>
            </w:r>
          </w:p>
        </w:tc>
        <w:tc>
          <w:tcPr>
            <w:tcW w:w="2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15/F, Prosperity Millennia Plaza</w:t>
            </w:r>
          </w:p>
        </w:tc>
      </w:tr>
      <w:tr>
        <w:trPr>
          <w:trHeight w:val="216"/>
        </w:trPr>
        <w:tc>
          <w:tcPr>
            <w:tcW w:w="27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663 King’s Road, Quarry</w:t>
            </w:r>
          </w:p>
        </w:tc>
        <w:tc>
          <w:tcPr>
            <w:tcW w:w="3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663 King’s Road, Quarry</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15/F, Prosperity</w:t>
            </w:r>
          </w:p>
        </w:tc>
        <w:tc>
          <w:tcPr>
            <w:tcW w:w="29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663 King’s Road, Quarry</w:t>
            </w:r>
          </w:p>
        </w:tc>
      </w:tr>
      <w:tr>
        <w:trPr>
          <w:trHeight w:val="216"/>
        </w:trPr>
        <w:tc>
          <w:tcPr>
            <w:tcW w:w="27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Bay, Hong Kong S.A.R.</w:t>
            </w:r>
          </w:p>
        </w:tc>
        <w:tc>
          <w:tcPr>
            <w:tcW w:w="3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Bay, Hong Kong S.A.R.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Millennia Plaza</w:t>
            </w:r>
          </w:p>
        </w:tc>
        <w:tc>
          <w:tcPr>
            <w:tcW w:w="2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Bay, Hong Kong S.A.R.</w:t>
            </w:r>
          </w:p>
        </w:tc>
      </w:tr>
      <w:tr>
        <w:trPr>
          <w:trHeight w:val="216"/>
        </w:trPr>
        <w:tc>
          <w:tcPr>
            <w:tcW w:w="27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+86-10-8540-2700</w:t>
            </w:r>
          </w:p>
        </w:tc>
        <w:tc>
          <w:tcPr>
            <w:tcW w:w="3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+86-10-8540-2700</w:t>
            </w:r>
          </w:p>
        </w:tc>
        <w:tc>
          <w:tcPr>
            <w:tcW w:w="2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663 King’s Road,</w:t>
            </w:r>
          </w:p>
        </w:tc>
        <w:tc>
          <w:tcPr>
            <w:tcW w:w="2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+852-3700-9618</w:t>
            </w:r>
          </w:p>
        </w:tc>
      </w:tr>
      <w:tr>
        <w:trPr>
          <w:trHeight w:val="216"/>
        </w:trPr>
        <w:tc>
          <w:tcPr>
            <w:tcW w:w="2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Quarry Bay, Hong</w:t>
            </w:r>
          </w:p>
        </w:tc>
        <w:tc>
          <w:tcPr>
            <w:tcW w:w="29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Kong S.A.R.</w:t>
            </w:r>
          </w:p>
        </w:tc>
        <w:tc>
          <w:tcPr>
            <w:tcW w:w="2960" w:type="dxa"/>
            <w:vAlign w:val="bottom"/>
          </w:tcPr>
          <w:p>
            <w:pPr>
              <w:spacing w:after="0"/>
              <w:rPr>
                <w:sz w:val="18"/>
                <w:szCs w:val="18"/>
                <w:color w:val="auto"/>
              </w:rPr>
            </w:pPr>
          </w:p>
        </w:tc>
      </w:tr>
      <w:tr>
        <w:trPr>
          <w:trHeight w:val="238"/>
        </w:trPr>
        <w:tc>
          <w:tcPr>
            <w:tcW w:w="27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+852-3700-9618</w:t>
            </w:r>
          </w:p>
        </w:tc>
        <w:tc>
          <w:tcPr>
            <w:tcW w:w="2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11,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45113Y203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7149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149465"/>
                    </a:xfrm>
                    <a:prstGeom prst="rect">
                      <a:avLst/>
                    </a:prstGeom>
                    <a:noFill/>
                  </pic:spPr>
                </pic:pic>
              </a:graphicData>
            </a:graphic>
          </wp:anchor>
        </w:drawing>
      </w:r>
    </w:p>
    <w:p>
      <w:pPr>
        <w:spacing w:after="0" w:line="300" w:lineRule="exact"/>
        <w:rPr>
          <w:sz w:val="20"/>
          <w:szCs w:val="20"/>
          <w:color w:val="auto"/>
        </w:rPr>
      </w:pPr>
    </w:p>
    <w:p>
      <w:pPr>
        <w:ind w:left="660" w:hanging="549"/>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660" w:right="50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Jian Tang</w:t>
      </w:r>
    </w:p>
    <w:p>
      <w:pPr>
        <w:spacing w:after="0" w:line="121" w:lineRule="exact"/>
        <w:rPr>
          <w:rFonts w:ascii="Times New Roman" w:cs="Times New Roman" w:eastAsia="Times New Roman" w:hAnsi="Times New Roman"/>
          <w:sz w:val="18"/>
          <w:szCs w:val="18"/>
          <w:color w:val="auto"/>
        </w:rPr>
      </w:pPr>
    </w:p>
    <w:p>
      <w:pPr>
        <w:ind w:left="660" w:hanging="549"/>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00" w:hanging="235"/>
        <w:spacing w:after="0" w:line="207" w:lineRule="exact"/>
        <w:tabs>
          <w:tab w:leader="none" w:pos="900" w:val="left"/>
        </w:tabs>
        <w:numPr>
          <w:ilvl w:val="1"/>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66" w:lineRule="exact"/>
        <w:rPr>
          <w:rFonts w:ascii="Times New Roman" w:cs="Times New Roman" w:eastAsia="Times New Roman" w:hAnsi="Times New Roman"/>
          <w:sz w:val="18"/>
          <w:szCs w:val="18"/>
          <w:color w:val="auto"/>
        </w:rPr>
      </w:pPr>
    </w:p>
    <w:p>
      <w:pPr>
        <w:ind w:left="660" w:hanging="549"/>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19" w:lineRule="exact"/>
        <w:rPr>
          <w:rFonts w:ascii="Times New Roman" w:cs="Times New Roman" w:eastAsia="Times New Roman" w:hAnsi="Times New Roman"/>
          <w:sz w:val="18"/>
          <w:szCs w:val="18"/>
          <w:color w:val="auto"/>
        </w:rPr>
      </w:pPr>
    </w:p>
    <w:p>
      <w:pPr>
        <w:ind w:left="660" w:hanging="549"/>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4" w:lineRule="exact"/>
        <w:rPr>
          <w:rFonts w:ascii="Times New Roman" w:cs="Times New Roman" w:eastAsia="Times New Roman" w:hAnsi="Times New Roman"/>
          <w:sz w:val="18"/>
          <w:szCs w:val="18"/>
          <w:color w:val="auto"/>
        </w:rPr>
      </w:pPr>
    </w:p>
    <w:p>
      <w:pPr>
        <w:ind w:left="660" w:hanging="549"/>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184"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7" w:lineRule="exact"/>
        <w:rPr>
          <w:rFonts w:ascii="Times New Roman" w:cs="Times New Roman" w:eastAsia="Times New Roman" w:hAnsi="Times New Roman"/>
          <w:sz w:val="18"/>
          <w:szCs w:val="18"/>
          <w:color w:val="auto"/>
        </w:rPr>
      </w:pPr>
    </w:p>
    <w:p>
      <w:pPr>
        <w:ind w:left="660" w:right="6900" w:hanging="549"/>
        <w:spacing w:after="0" w:line="477"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People’s Republic of China</w:t>
      </w:r>
    </w:p>
    <w:p>
      <w:pPr>
        <w:ind w:left="2340" w:hanging="555"/>
        <w:spacing w:after="0"/>
        <w:tabs>
          <w:tab w:leader="none" w:pos="234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352"/>
        </w:trPr>
        <w:tc>
          <w:tcPr>
            <w:tcW w:w="14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27,905</w:t>
            </w:r>
            <w:r>
              <w:rPr>
                <w:rFonts w:ascii="Times New Roman" w:cs="Times New Roman" w:eastAsia="Times New Roman" w:hAnsi="Times New Roman"/>
                <w:sz w:val="29"/>
                <w:szCs w:val="29"/>
                <w:color w:val="auto"/>
                <w:vertAlign w:val="superscript"/>
              </w:rPr>
              <w:t>(1)</w:t>
            </w:r>
          </w:p>
        </w:tc>
      </w:tr>
      <w:tr>
        <w:trPr>
          <w:trHeight w:val="237"/>
        </w:trPr>
        <w:tc>
          <w:tcPr>
            <w:tcW w:w="14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r>
      <w:tr>
        <w:trPr>
          <w:trHeight w:val="198"/>
        </w:trPr>
        <w:tc>
          <w:tcPr>
            <w:tcW w:w="1480" w:type="dxa"/>
            <w:vAlign w:val="bottom"/>
          </w:tcPr>
          <w:p>
            <w:pPr>
              <w:jc w:val="center"/>
              <w:ind w:right="132"/>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17"/>
                <w:szCs w:val="17"/>
                <w:color w:val="auto"/>
              </w:rPr>
            </w:pPr>
          </w:p>
        </w:tc>
        <w:tc>
          <w:tcPr>
            <w:tcW w:w="9120" w:type="dxa"/>
            <w:vAlign w:val="bottom"/>
          </w:tcPr>
          <w:p>
            <w:pPr>
              <w:spacing w:after="0"/>
              <w:rPr>
                <w:sz w:val="17"/>
                <w:szCs w:val="17"/>
                <w:color w:val="auto"/>
              </w:rPr>
            </w:pPr>
          </w:p>
        </w:tc>
      </w:tr>
      <w:tr>
        <w:trPr>
          <w:trHeight w:val="275"/>
        </w:trPr>
        <w:tc>
          <w:tcPr>
            <w:tcW w:w="14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BENEFICIALLY</w:t>
            </w:r>
          </w:p>
        </w:tc>
        <w:tc>
          <w:tcPr>
            <w:tcW w:w="440" w:type="dxa"/>
            <w:vAlign w:val="bottom"/>
          </w:tcPr>
          <w:p>
            <w:pPr>
              <w:spacing w:after="0"/>
              <w:rPr>
                <w:sz w:val="23"/>
                <w:szCs w:val="23"/>
                <w:color w:val="auto"/>
              </w:rPr>
            </w:pPr>
          </w:p>
        </w:tc>
        <w:tc>
          <w:tcPr>
            <w:tcW w:w="9120" w:type="dxa"/>
            <w:vAlign w:val="bottom"/>
          </w:tcPr>
          <w:p>
            <w:pPr>
              <w:ind w:left="220"/>
              <w:spacing w:after="0" w:line="274" w:lineRule="exact"/>
              <w:rPr>
                <w:sz w:val="20"/>
                <w:szCs w:val="20"/>
                <w:color w:val="auto"/>
              </w:rPr>
            </w:pPr>
            <w:r>
              <w:rPr>
                <w:rFonts w:ascii="Times New Roman" w:cs="Times New Roman" w:eastAsia="Times New Roman" w:hAnsi="Times New Roman"/>
                <w:sz w:val="18"/>
                <w:szCs w:val="18"/>
                <w:color w:val="auto"/>
              </w:rPr>
              <w:t>2,498,558</w:t>
            </w:r>
            <w:r>
              <w:rPr>
                <w:rFonts w:ascii="Times New Roman" w:cs="Times New Roman" w:eastAsia="Times New Roman" w:hAnsi="Times New Roman"/>
                <w:sz w:val="29"/>
                <w:szCs w:val="29"/>
                <w:color w:val="auto"/>
                <w:vertAlign w:val="superscript"/>
              </w:rPr>
              <w:t>(2)</w:t>
            </w:r>
          </w:p>
        </w:tc>
      </w:tr>
      <w:tr>
        <w:trPr>
          <w:trHeight w:val="135"/>
        </w:trPr>
        <w:tc>
          <w:tcPr>
            <w:tcW w:w="148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5"/>
                <w:szCs w:val="15"/>
                <w:color w:val="auto"/>
              </w:rPr>
              <w:t>OWNED BY</w:t>
            </w:r>
          </w:p>
        </w:tc>
        <w:tc>
          <w:tcPr>
            <w:tcW w:w="440" w:type="dxa"/>
            <w:vAlign w:val="bottom"/>
            <w:tcBorders>
              <w:bottom w:val="single" w:sz="8" w:color="auto"/>
            </w:tcBorders>
          </w:tcPr>
          <w:p>
            <w:pPr>
              <w:spacing w:after="0"/>
              <w:rPr>
                <w:sz w:val="11"/>
                <w:szCs w:val="11"/>
                <w:color w:val="auto"/>
              </w:rPr>
            </w:pPr>
          </w:p>
        </w:tc>
        <w:tc>
          <w:tcPr>
            <w:tcW w:w="9120" w:type="dxa"/>
            <w:vAlign w:val="bottom"/>
            <w:tcBorders>
              <w:bottom w:val="single" w:sz="8" w:color="auto"/>
            </w:tcBorders>
          </w:tcPr>
          <w:p>
            <w:pPr>
              <w:spacing w:after="0"/>
              <w:rPr>
                <w:sz w:val="11"/>
                <w:szCs w:val="11"/>
                <w:color w:val="auto"/>
              </w:rPr>
            </w:pPr>
          </w:p>
        </w:tc>
      </w:tr>
      <w:tr>
        <w:trPr>
          <w:trHeight w:val="237"/>
        </w:trPr>
        <w:tc>
          <w:tcPr>
            <w:tcW w:w="1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EACH</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r>
      <w:tr>
        <w:trPr>
          <w:trHeight w:val="198"/>
        </w:trPr>
        <w:tc>
          <w:tcPr>
            <w:tcW w:w="1480" w:type="dxa"/>
            <w:vAlign w:val="bottom"/>
          </w:tcPr>
          <w:p>
            <w:pPr>
              <w:jc w:val="center"/>
              <w:ind w:right="152"/>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440" w:type="dxa"/>
            <w:vAlign w:val="bottom"/>
          </w:tcPr>
          <w:p>
            <w:pPr>
              <w:spacing w:after="0"/>
              <w:rPr>
                <w:sz w:val="17"/>
                <w:szCs w:val="17"/>
                <w:color w:val="auto"/>
              </w:rPr>
            </w:pPr>
          </w:p>
        </w:tc>
        <w:tc>
          <w:tcPr>
            <w:tcW w:w="9120" w:type="dxa"/>
            <w:vAlign w:val="bottom"/>
          </w:tcPr>
          <w:p>
            <w:pPr>
              <w:spacing w:after="0"/>
              <w:rPr>
                <w:sz w:val="17"/>
                <w:szCs w:val="17"/>
                <w:color w:val="auto"/>
              </w:rPr>
            </w:pPr>
          </w:p>
        </w:tc>
      </w:tr>
      <w:tr>
        <w:trPr>
          <w:trHeight w:val="275"/>
        </w:trPr>
        <w:tc>
          <w:tcPr>
            <w:tcW w:w="1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Pr>
          <w:p>
            <w:pPr>
              <w:spacing w:after="0"/>
              <w:rPr>
                <w:sz w:val="23"/>
                <w:szCs w:val="23"/>
                <w:color w:val="auto"/>
              </w:rPr>
            </w:pPr>
          </w:p>
        </w:tc>
        <w:tc>
          <w:tcPr>
            <w:tcW w:w="9120" w:type="dxa"/>
            <w:vAlign w:val="bottom"/>
          </w:tcPr>
          <w:p>
            <w:pPr>
              <w:ind w:left="220"/>
              <w:spacing w:after="0" w:line="274" w:lineRule="exact"/>
              <w:rPr>
                <w:sz w:val="20"/>
                <w:szCs w:val="20"/>
                <w:color w:val="auto"/>
              </w:rPr>
            </w:pPr>
            <w:r>
              <w:rPr>
                <w:rFonts w:ascii="Times New Roman" w:cs="Times New Roman" w:eastAsia="Times New Roman" w:hAnsi="Times New Roman"/>
                <w:sz w:val="18"/>
                <w:szCs w:val="18"/>
                <w:color w:val="auto"/>
              </w:rPr>
              <w:t>27,905</w:t>
            </w:r>
            <w:r>
              <w:rPr>
                <w:rFonts w:ascii="Times New Roman" w:cs="Times New Roman" w:eastAsia="Times New Roman" w:hAnsi="Times New Roman"/>
                <w:sz w:val="29"/>
                <w:szCs w:val="29"/>
                <w:color w:val="auto"/>
                <w:vertAlign w:val="superscript"/>
              </w:rPr>
              <w:t>(1)</w:t>
            </w:r>
          </w:p>
        </w:tc>
      </w:tr>
      <w:tr>
        <w:trPr>
          <w:trHeight w:val="231"/>
        </w:trPr>
        <w:tc>
          <w:tcPr>
            <w:tcW w:w="1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WITH</w:t>
            </w:r>
          </w:p>
        </w:tc>
        <w:tc>
          <w:tcPr>
            <w:tcW w:w="440" w:type="dxa"/>
            <w:vAlign w:val="bottom"/>
          </w:tcPr>
          <w:p>
            <w:pPr>
              <w:spacing w:after="0"/>
              <w:rPr>
                <w:sz w:val="20"/>
                <w:szCs w:val="20"/>
                <w:color w:val="auto"/>
              </w:rPr>
            </w:pPr>
          </w:p>
        </w:tc>
        <w:tc>
          <w:tcPr>
            <w:tcW w:w="9120" w:type="dxa"/>
            <w:vAlign w:val="bottom"/>
          </w:tcPr>
          <w:p>
            <w:pPr>
              <w:spacing w:after="0"/>
              <w:rPr>
                <w:sz w:val="20"/>
                <w:szCs w:val="20"/>
                <w:color w:val="auto"/>
              </w:rPr>
            </w:pPr>
          </w:p>
        </w:tc>
      </w:tr>
    </w:tbl>
    <w:p>
      <w:pPr>
        <w:ind w:left="2340" w:right="6380" w:hanging="555"/>
        <w:spacing w:after="0" w:line="374" w:lineRule="auto"/>
        <w:tabs>
          <w:tab w:leader="none" w:pos="23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2,498,558</w:t>
      </w:r>
      <w:r>
        <w:rPr>
          <w:rFonts w:ascii="Times New Roman" w:cs="Times New Roman" w:eastAsia="Times New Roman" w:hAnsi="Times New Roman"/>
          <w:sz w:val="29"/>
          <w:szCs w:val="29"/>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660" w:right="4020" w:hanging="549"/>
        <w:spacing w:after="0" w:line="477"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2,526,463</w:t>
      </w:r>
    </w:p>
    <w:p>
      <w:pPr>
        <w:ind w:left="660" w:hanging="549"/>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184"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7" w:lineRule="exact"/>
        <w:rPr>
          <w:rFonts w:ascii="Times New Roman" w:cs="Times New Roman" w:eastAsia="Times New Roman" w:hAnsi="Times New Roman"/>
          <w:sz w:val="18"/>
          <w:szCs w:val="18"/>
          <w:color w:val="auto"/>
        </w:rPr>
      </w:pPr>
    </w:p>
    <w:p>
      <w:pPr>
        <w:ind w:left="660" w:hanging="549"/>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w:t>
      </w:r>
      <w:r>
        <w:rPr>
          <w:rFonts w:ascii="Times New Roman" w:cs="Times New Roman" w:eastAsia="Times New Roman" w:hAnsi="Times New Roman"/>
          <w:sz w:val="29"/>
          <w:szCs w:val="29"/>
          <w:color w:val="auto"/>
          <w:vertAlign w:val="superscript"/>
        </w:rPr>
        <w:t>(3)</w:t>
      </w:r>
    </w:p>
    <w:p>
      <w:pPr>
        <w:spacing w:after="0" w:line="94" w:lineRule="exact"/>
        <w:rPr>
          <w:rFonts w:ascii="Times New Roman" w:cs="Times New Roman" w:eastAsia="Times New Roman" w:hAnsi="Times New Roman"/>
          <w:sz w:val="18"/>
          <w:szCs w:val="18"/>
          <w:color w:val="auto"/>
        </w:rPr>
      </w:pPr>
    </w:p>
    <w:p>
      <w:pPr>
        <w:ind w:left="660" w:hanging="549"/>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31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27,905 Class A Ordinary Shares that are issuable upon exercise of options held in trust by Mr. Jian Tang.</w:t>
      </w:r>
    </w:p>
    <w:p>
      <w:pPr>
        <w:spacing w:after="0" w:line="27" w:lineRule="exact"/>
        <w:rPr>
          <w:rFonts w:ascii="Times New Roman" w:cs="Times New Roman" w:eastAsia="Times New Roman" w:hAnsi="Times New Roman"/>
          <w:sz w:val="18"/>
          <w:szCs w:val="18"/>
          <w:color w:val="auto"/>
        </w:rPr>
      </w:pPr>
    </w:p>
    <w:p>
      <w:pPr>
        <w:ind w:left="380" w:right="320" w:hanging="372"/>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396,295 Class A Ordinary Shares held by Igomax Inc., and (ii) 2,102,263 Class B Ordinary Shares held by Igomax Inc.. Mr. Jian Tang is the sole director and shareholder of Igomax Inc..</w:t>
      </w:r>
    </w:p>
    <w:p>
      <w:pPr>
        <w:ind w:left="380" w:right="40" w:hanging="372"/>
        <w:spacing w:after="0" w:line="255"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43,814,778 Ordinary Shares outstanding, which includes (1) 43,786,873, which is the total number of Ordinary Shares outstanding as of June 30, 2024; and (2) 27,905, the number of Ordinary Shares that such person or group has the right to acquire within 60 days of December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12"/>
        <w:spacing w:after="0"/>
        <w:rPr>
          <w:sz w:val="20"/>
          <w:szCs w:val="20"/>
          <w:color w:val="auto"/>
        </w:rPr>
      </w:pPr>
      <w:r>
        <w:rPr>
          <w:rFonts w:ascii="Times New Roman" w:cs="Times New Roman" w:eastAsia="Times New Roman" w:hAnsi="Times New Roman"/>
          <w:sz w:val="18"/>
          <w:szCs w:val="18"/>
          <w:color w:val="auto"/>
        </w:rPr>
        <w:t>CUSIP No. 45113Y203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7123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7123430"/>
                    </a:xfrm>
                    <a:prstGeom prst="rect">
                      <a:avLst/>
                    </a:prstGeom>
                    <a:noFill/>
                  </pic:spPr>
                </pic:pic>
              </a:graphicData>
            </a:graphic>
          </wp:anchor>
        </w:drawing>
      </w:r>
    </w:p>
    <w:p>
      <w:pPr>
        <w:spacing w:after="0" w:line="300" w:lineRule="exact"/>
        <w:rPr>
          <w:sz w:val="20"/>
          <w:szCs w:val="20"/>
          <w:color w:val="auto"/>
        </w:rPr>
      </w:pPr>
    </w:p>
    <w:p>
      <w:pPr>
        <w:ind w:left="652" w:hanging="549"/>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652" w:right="50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Igomax Inc.</w:t>
      </w:r>
    </w:p>
    <w:p>
      <w:pPr>
        <w:spacing w:after="0" w:line="121"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892" w:hanging="235"/>
        <w:spacing w:after="0" w:line="207" w:lineRule="exact"/>
        <w:tabs>
          <w:tab w:leader="none" w:pos="892"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66"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19"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4"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184" w:lineRule="exact"/>
        <w:rPr>
          <w:rFonts w:ascii="Times New Roman" w:cs="Times New Roman" w:eastAsia="Times New Roman" w:hAnsi="Times New Roman"/>
          <w:sz w:val="18"/>
          <w:szCs w:val="18"/>
          <w:color w:val="auto"/>
        </w:rPr>
      </w:pPr>
    </w:p>
    <w:p>
      <w:pPr>
        <w:ind w:left="652"/>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7" w:lineRule="exact"/>
        <w:rPr>
          <w:rFonts w:ascii="Times New Roman" w:cs="Times New Roman" w:eastAsia="Times New Roman" w:hAnsi="Times New Roman"/>
          <w:sz w:val="18"/>
          <w:szCs w:val="18"/>
          <w:color w:val="auto"/>
        </w:rPr>
      </w:pPr>
    </w:p>
    <w:p>
      <w:pPr>
        <w:ind w:left="652" w:right="6900" w:hanging="549"/>
        <w:spacing w:after="0" w:line="477" w:lineRule="auto"/>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British Virgin Islands</w:t>
      </w:r>
    </w:p>
    <w:p>
      <w:pPr>
        <w:ind w:left="2332" w:hanging="555"/>
        <w:spacing w:after="0"/>
        <w:tabs>
          <w:tab w:leader="none" w:pos="233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192"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1"/>
        </w:trPr>
        <w:tc>
          <w:tcPr>
            <w:tcW w:w="148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Borders>
              <w:bottom w:val="single" w:sz="8" w:color="auto"/>
            </w:tcBorders>
          </w:tcPr>
          <w:p>
            <w:pPr>
              <w:spacing w:after="0"/>
              <w:rPr>
                <w:sz w:val="7"/>
                <w:szCs w:val="7"/>
                <w:color w:val="auto"/>
              </w:rPr>
            </w:pPr>
          </w:p>
        </w:tc>
        <w:tc>
          <w:tcPr>
            <w:tcW w:w="9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480" w:type="dxa"/>
            <w:vAlign w:val="bottom"/>
            <w:vMerge w:val="continue"/>
          </w:tcPr>
          <w:p>
            <w:pPr>
              <w:spacing w:after="0"/>
              <w:rPr>
                <w:sz w:val="20"/>
                <w:szCs w:val="20"/>
                <w:color w:val="auto"/>
              </w:rPr>
            </w:pP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1480" w:type="dxa"/>
            <w:vAlign w:val="bottom"/>
          </w:tcPr>
          <w:p>
            <w:pPr>
              <w:jc w:val="center"/>
              <w:ind w:right="132"/>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4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BENEFICIALLY</w:t>
            </w:r>
          </w:p>
        </w:tc>
        <w:tc>
          <w:tcPr>
            <w:tcW w:w="440" w:type="dxa"/>
            <w:vAlign w:val="bottom"/>
          </w:tcPr>
          <w:p>
            <w:pPr>
              <w:spacing w:after="0"/>
              <w:rPr>
                <w:sz w:val="23"/>
                <w:szCs w:val="23"/>
                <w:color w:val="auto"/>
              </w:rPr>
            </w:pPr>
          </w:p>
        </w:tc>
        <w:tc>
          <w:tcPr>
            <w:tcW w:w="9120" w:type="dxa"/>
            <w:vAlign w:val="bottom"/>
          </w:tcPr>
          <w:p>
            <w:pPr>
              <w:ind w:left="220"/>
              <w:spacing w:after="0" w:line="274" w:lineRule="exact"/>
              <w:rPr>
                <w:sz w:val="20"/>
                <w:szCs w:val="20"/>
                <w:color w:val="auto"/>
              </w:rPr>
            </w:pPr>
            <w:r>
              <w:rPr>
                <w:rFonts w:ascii="Times New Roman" w:cs="Times New Roman" w:eastAsia="Times New Roman" w:hAnsi="Times New Roman"/>
                <w:sz w:val="18"/>
                <w:szCs w:val="18"/>
                <w:color w:val="auto"/>
              </w:rPr>
              <w:t>2,498,558</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35"/>
        </w:trPr>
        <w:tc>
          <w:tcPr>
            <w:tcW w:w="148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5"/>
                <w:szCs w:val="15"/>
                <w:color w:val="auto"/>
              </w:rPr>
              <w:t>OWNED BY</w:t>
            </w:r>
          </w:p>
        </w:tc>
        <w:tc>
          <w:tcPr>
            <w:tcW w:w="440" w:type="dxa"/>
            <w:vAlign w:val="bottom"/>
            <w:tcBorders>
              <w:bottom w:val="single" w:sz="8" w:color="auto"/>
            </w:tcBorders>
          </w:tcPr>
          <w:p>
            <w:pPr>
              <w:spacing w:after="0"/>
              <w:rPr>
                <w:sz w:val="11"/>
                <w:szCs w:val="11"/>
                <w:color w:val="auto"/>
              </w:rPr>
            </w:pPr>
          </w:p>
        </w:tc>
        <w:tc>
          <w:tcPr>
            <w:tcW w:w="9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EACH</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480" w:type="dxa"/>
            <w:vAlign w:val="bottom"/>
          </w:tcPr>
          <w:p>
            <w:pPr>
              <w:jc w:val="center"/>
              <w:ind w:right="152"/>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44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Pr>
          <w:p>
            <w:pPr>
              <w:spacing w:after="0"/>
              <w:rPr>
                <w:sz w:val="20"/>
                <w:szCs w:val="20"/>
                <w:color w:val="auto"/>
              </w:rPr>
            </w:pP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ind w:right="92"/>
              <w:spacing w:after="0"/>
              <w:rPr>
                <w:sz w:val="20"/>
                <w:szCs w:val="20"/>
                <w:color w:val="auto"/>
              </w:rPr>
            </w:pPr>
            <w:r>
              <w:rPr>
                <w:rFonts w:ascii="Times New Roman" w:cs="Times New Roman" w:eastAsia="Times New Roman" w:hAnsi="Times New Roman"/>
                <w:sz w:val="18"/>
                <w:szCs w:val="18"/>
                <w:color w:val="auto"/>
                <w:w w:val="97"/>
              </w:rPr>
              <w:t>WITH</w:t>
            </w:r>
          </w:p>
        </w:tc>
        <w:tc>
          <w:tcPr>
            <w:tcW w:w="440" w:type="dxa"/>
            <w:vAlign w:val="bottom"/>
            <w:tcBorders>
              <w:bottom w:val="single" w:sz="8" w:color="auto"/>
            </w:tcBorders>
          </w:tcPr>
          <w:p>
            <w:pPr>
              <w:spacing w:after="0"/>
              <w:rPr>
                <w:sz w:val="11"/>
                <w:szCs w:val="11"/>
                <w:color w:val="auto"/>
              </w:rPr>
            </w:pPr>
          </w:p>
        </w:tc>
        <w:tc>
          <w:tcPr>
            <w:tcW w:w="9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4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91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332" w:right="6380" w:hanging="555"/>
        <w:spacing w:after="0" w:line="374" w:lineRule="auto"/>
        <w:tabs>
          <w:tab w:leader="none" w:pos="2332"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2,498,558</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52" w:right="4020" w:hanging="549"/>
        <w:spacing w:after="0" w:line="383" w:lineRule="auto"/>
        <w:tabs>
          <w:tab w:leader="none" w:pos="6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2,498,558</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184" w:lineRule="exact"/>
        <w:rPr>
          <w:rFonts w:ascii="Times New Roman" w:cs="Times New Roman" w:eastAsia="Times New Roman" w:hAnsi="Times New Roman"/>
          <w:sz w:val="18"/>
          <w:szCs w:val="18"/>
          <w:color w:val="auto"/>
        </w:rPr>
      </w:pPr>
    </w:p>
    <w:p>
      <w:pPr>
        <w:ind w:left="652"/>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7"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8"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w:t>
      </w:r>
      <w:r>
        <w:rPr>
          <w:rFonts w:ascii="Times New Roman" w:cs="Times New Roman" w:eastAsia="Times New Roman" w:hAnsi="Times New Roman"/>
          <w:sz w:val="29"/>
          <w:szCs w:val="29"/>
          <w:color w:val="auto"/>
          <w:vertAlign w:val="superscript"/>
        </w:rPr>
        <w:t>(2)</w:t>
      </w:r>
    </w:p>
    <w:p>
      <w:pPr>
        <w:spacing w:after="0" w:line="94"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9"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396,295 Class A Ordinary Shares held by Igomax Inc., and (ii) 2,102,263 Class B Ordinary Shares held by Igomax Inc..</w:t>
      </w:r>
    </w:p>
    <w:p>
      <w:pPr>
        <w:spacing w:after="0" w:line="27" w:lineRule="exact"/>
        <w:rPr>
          <w:rFonts w:ascii="Times New Roman" w:cs="Times New Roman" w:eastAsia="Times New Roman" w:hAnsi="Times New Roman"/>
          <w:sz w:val="18"/>
          <w:szCs w:val="18"/>
          <w:color w:val="auto"/>
        </w:rPr>
      </w:pPr>
    </w:p>
    <w:p>
      <w:pPr>
        <w:ind w:left="372" w:right="400" w:hanging="372"/>
        <w:spacing w:after="0" w:line="260" w:lineRule="auto"/>
        <w:tabs>
          <w:tab w:leader="none" w:pos="3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43,786,873 Ordinary Shares outstanding, which is the total number of Ordinary Shares outstanding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 w:name="page4"/>
    <w:bookmarkEnd w:id="3"/>
    <w:p>
      <w:pPr>
        <w:ind w:left="12"/>
        <w:spacing w:after="0"/>
        <w:rPr>
          <w:sz w:val="20"/>
          <w:szCs w:val="20"/>
          <w:color w:val="auto"/>
        </w:rPr>
      </w:pPr>
      <w:r>
        <w:rPr>
          <w:rFonts w:ascii="Times New Roman" w:cs="Times New Roman" w:eastAsia="Times New Roman" w:hAnsi="Times New Roman"/>
          <w:sz w:val="18"/>
          <w:szCs w:val="18"/>
          <w:color w:val="auto"/>
        </w:rPr>
        <w:t>CUSIP No. 45113Y203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7123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7123430"/>
                    </a:xfrm>
                    <a:prstGeom prst="rect">
                      <a:avLst/>
                    </a:prstGeom>
                    <a:noFill/>
                  </pic:spPr>
                </pic:pic>
              </a:graphicData>
            </a:graphic>
          </wp:anchor>
        </w:drawing>
      </w:r>
    </w:p>
    <w:p>
      <w:pPr>
        <w:spacing w:after="0" w:line="300" w:lineRule="exact"/>
        <w:rPr>
          <w:sz w:val="20"/>
          <w:szCs w:val="20"/>
          <w:color w:val="auto"/>
        </w:rPr>
      </w:pPr>
    </w:p>
    <w:p>
      <w:pPr>
        <w:ind w:left="652" w:hanging="549"/>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652" w:right="50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Wing Hong Sammy Hsieh</w:t>
      </w:r>
    </w:p>
    <w:p>
      <w:pPr>
        <w:spacing w:after="0" w:line="121"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892" w:hanging="235"/>
        <w:spacing w:after="0" w:line="207" w:lineRule="exact"/>
        <w:tabs>
          <w:tab w:leader="none" w:pos="892"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66"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19"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4"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184" w:lineRule="exact"/>
        <w:rPr>
          <w:rFonts w:ascii="Times New Roman" w:cs="Times New Roman" w:eastAsia="Times New Roman" w:hAnsi="Times New Roman"/>
          <w:sz w:val="18"/>
          <w:szCs w:val="18"/>
          <w:color w:val="auto"/>
        </w:rPr>
      </w:pPr>
    </w:p>
    <w:p>
      <w:pPr>
        <w:ind w:left="652"/>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7" w:lineRule="exact"/>
        <w:rPr>
          <w:rFonts w:ascii="Times New Roman" w:cs="Times New Roman" w:eastAsia="Times New Roman" w:hAnsi="Times New Roman"/>
          <w:sz w:val="18"/>
          <w:szCs w:val="18"/>
          <w:color w:val="auto"/>
        </w:rPr>
      </w:pPr>
    </w:p>
    <w:p>
      <w:pPr>
        <w:ind w:left="652" w:right="6900" w:hanging="549"/>
        <w:spacing w:after="0" w:line="477"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Hong Kong S.A.R.</w:t>
      </w:r>
    </w:p>
    <w:p>
      <w:pPr>
        <w:ind w:left="2332" w:hanging="555"/>
        <w:spacing w:after="0"/>
        <w:tabs>
          <w:tab w:leader="none" w:pos="2332"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192"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241,295</w:t>
            </w:r>
          </w:p>
        </w:tc>
        <w:tc>
          <w:tcPr>
            <w:tcW w:w="0" w:type="dxa"/>
            <w:vAlign w:val="bottom"/>
          </w:tcPr>
          <w:p>
            <w:pPr>
              <w:spacing w:after="0"/>
              <w:rPr>
                <w:sz w:val="1"/>
                <w:szCs w:val="1"/>
                <w:color w:val="auto"/>
              </w:rPr>
            </w:pPr>
          </w:p>
        </w:tc>
      </w:tr>
      <w:tr>
        <w:trPr>
          <w:trHeight w:val="81"/>
        </w:trPr>
        <w:tc>
          <w:tcPr>
            <w:tcW w:w="148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Borders>
              <w:bottom w:val="single" w:sz="8" w:color="auto"/>
            </w:tcBorders>
          </w:tcPr>
          <w:p>
            <w:pPr>
              <w:spacing w:after="0"/>
              <w:rPr>
                <w:sz w:val="7"/>
                <w:szCs w:val="7"/>
                <w:color w:val="auto"/>
              </w:rPr>
            </w:pPr>
          </w:p>
        </w:tc>
        <w:tc>
          <w:tcPr>
            <w:tcW w:w="9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480" w:type="dxa"/>
            <w:vAlign w:val="bottom"/>
            <w:vMerge w:val="continue"/>
          </w:tcPr>
          <w:p>
            <w:pPr>
              <w:spacing w:after="0"/>
              <w:rPr>
                <w:sz w:val="20"/>
                <w:szCs w:val="20"/>
                <w:color w:val="auto"/>
              </w:rPr>
            </w:pP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1480" w:type="dxa"/>
            <w:vAlign w:val="bottom"/>
          </w:tcPr>
          <w:p>
            <w:pPr>
              <w:jc w:val="center"/>
              <w:ind w:right="132"/>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4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BENEFICIALLY</w:t>
            </w:r>
          </w:p>
        </w:tc>
        <w:tc>
          <w:tcPr>
            <w:tcW w:w="440" w:type="dxa"/>
            <w:vAlign w:val="bottom"/>
          </w:tcPr>
          <w:p>
            <w:pPr>
              <w:spacing w:after="0"/>
              <w:rPr>
                <w:sz w:val="23"/>
                <w:szCs w:val="23"/>
                <w:color w:val="auto"/>
              </w:rPr>
            </w:pPr>
          </w:p>
        </w:tc>
        <w:tc>
          <w:tcPr>
            <w:tcW w:w="9120" w:type="dxa"/>
            <w:vAlign w:val="bottom"/>
          </w:tcPr>
          <w:p>
            <w:pPr>
              <w:ind w:left="220"/>
              <w:spacing w:after="0" w:line="274" w:lineRule="exact"/>
              <w:rPr>
                <w:sz w:val="20"/>
                <w:szCs w:val="20"/>
                <w:color w:val="auto"/>
              </w:rPr>
            </w:pPr>
            <w:r>
              <w:rPr>
                <w:rFonts w:ascii="Times New Roman" w:cs="Times New Roman" w:eastAsia="Times New Roman" w:hAnsi="Times New Roman"/>
                <w:sz w:val="18"/>
                <w:szCs w:val="18"/>
                <w:color w:val="auto"/>
              </w:rPr>
              <w:t>2,282,815</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35"/>
        </w:trPr>
        <w:tc>
          <w:tcPr>
            <w:tcW w:w="148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5"/>
                <w:szCs w:val="15"/>
                <w:color w:val="auto"/>
              </w:rPr>
              <w:t>OWNED BY</w:t>
            </w:r>
          </w:p>
        </w:tc>
        <w:tc>
          <w:tcPr>
            <w:tcW w:w="440" w:type="dxa"/>
            <w:vAlign w:val="bottom"/>
            <w:tcBorders>
              <w:bottom w:val="single" w:sz="8" w:color="auto"/>
            </w:tcBorders>
          </w:tcPr>
          <w:p>
            <w:pPr>
              <w:spacing w:after="0"/>
              <w:rPr>
                <w:sz w:val="11"/>
                <w:szCs w:val="11"/>
                <w:color w:val="auto"/>
              </w:rPr>
            </w:pPr>
          </w:p>
        </w:tc>
        <w:tc>
          <w:tcPr>
            <w:tcW w:w="9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EACH</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480" w:type="dxa"/>
            <w:vAlign w:val="bottom"/>
          </w:tcPr>
          <w:p>
            <w:pPr>
              <w:jc w:val="center"/>
              <w:ind w:right="152"/>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44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Pr>
          <w:p>
            <w:pPr>
              <w:spacing w:after="0"/>
              <w:rPr>
                <w:sz w:val="20"/>
                <w:szCs w:val="20"/>
                <w:color w:val="auto"/>
              </w:rPr>
            </w:pP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241,295</w:t>
            </w:r>
          </w:p>
        </w:tc>
        <w:tc>
          <w:tcPr>
            <w:tcW w:w="0" w:type="dxa"/>
            <w:vAlign w:val="bottom"/>
          </w:tcPr>
          <w:p>
            <w:pPr>
              <w:spacing w:after="0"/>
              <w:rPr>
                <w:sz w:val="1"/>
                <w:szCs w:val="1"/>
                <w:color w:val="auto"/>
              </w:rPr>
            </w:pPr>
          </w:p>
        </w:tc>
      </w:tr>
      <w:tr>
        <w:trPr>
          <w:trHeight w:val="135"/>
        </w:trPr>
        <w:tc>
          <w:tcPr>
            <w:tcW w:w="1480" w:type="dxa"/>
            <w:vAlign w:val="bottom"/>
            <w:vMerge w:val="restart"/>
          </w:tcPr>
          <w:p>
            <w:pPr>
              <w:jc w:val="center"/>
              <w:ind w:right="92"/>
              <w:spacing w:after="0"/>
              <w:rPr>
                <w:sz w:val="20"/>
                <w:szCs w:val="20"/>
                <w:color w:val="auto"/>
              </w:rPr>
            </w:pPr>
            <w:r>
              <w:rPr>
                <w:rFonts w:ascii="Times New Roman" w:cs="Times New Roman" w:eastAsia="Times New Roman" w:hAnsi="Times New Roman"/>
                <w:sz w:val="18"/>
                <w:szCs w:val="18"/>
                <w:color w:val="auto"/>
                <w:w w:val="97"/>
              </w:rPr>
              <w:t>WITH</w:t>
            </w:r>
          </w:p>
        </w:tc>
        <w:tc>
          <w:tcPr>
            <w:tcW w:w="440" w:type="dxa"/>
            <w:vAlign w:val="bottom"/>
            <w:tcBorders>
              <w:bottom w:val="single" w:sz="8" w:color="auto"/>
            </w:tcBorders>
          </w:tcPr>
          <w:p>
            <w:pPr>
              <w:spacing w:after="0"/>
              <w:rPr>
                <w:sz w:val="11"/>
                <w:szCs w:val="11"/>
                <w:color w:val="auto"/>
              </w:rPr>
            </w:pPr>
          </w:p>
        </w:tc>
        <w:tc>
          <w:tcPr>
            <w:tcW w:w="9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4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91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332" w:right="6380" w:hanging="555"/>
        <w:spacing w:after="0" w:line="374" w:lineRule="auto"/>
        <w:tabs>
          <w:tab w:leader="none" w:pos="233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2,282,815</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52" w:right="4020" w:hanging="549"/>
        <w:spacing w:after="0" w:line="383" w:lineRule="auto"/>
        <w:tabs>
          <w:tab w:leader="none" w:pos="6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2,524,110</w:t>
      </w:r>
      <w:r>
        <w:rPr>
          <w:rFonts w:ascii="Times New Roman" w:cs="Times New Roman" w:eastAsia="Times New Roman" w:hAnsi="Times New Roman"/>
          <w:sz w:val="29"/>
          <w:szCs w:val="29"/>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184" w:lineRule="exact"/>
        <w:rPr>
          <w:rFonts w:ascii="Times New Roman" w:cs="Times New Roman" w:eastAsia="Times New Roman" w:hAnsi="Times New Roman"/>
          <w:sz w:val="18"/>
          <w:szCs w:val="18"/>
          <w:color w:val="auto"/>
        </w:rPr>
      </w:pPr>
    </w:p>
    <w:p>
      <w:pPr>
        <w:ind w:left="652"/>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7"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8"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w:t>
      </w:r>
      <w:r>
        <w:rPr>
          <w:rFonts w:ascii="Times New Roman" w:cs="Times New Roman" w:eastAsia="Times New Roman" w:hAnsi="Times New Roman"/>
          <w:sz w:val="29"/>
          <w:szCs w:val="29"/>
          <w:color w:val="auto"/>
          <w:vertAlign w:val="superscript"/>
        </w:rPr>
        <w:t>(3)</w:t>
      </w:r>
    </w:p>
    <w:p>
      <w:pPr>
        <w:spacing w:after="0" w:line="94"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319" w:lineRule="exact"/>
        <w:rPr>
          <w:rFonts w:ascii="Times New Roman" w:cs="Times New Roman" w:eastAsia="Times New Roman" w:hAnsi="Times New Roman"/>
          <w:sz w:val="18"/>
          <w:szCs w:val="18"/>
          <w:color w:val="auto"/>
        </w:rPr>
      </w:pPr>
    </w:p>
    <w:p>
      <w:pPr>
        <w:ind w:left="372" w:right="980" w:hanging="372"/>
        <w:spacing w:after="0" w:line="261" w:lineRule="auto"/>
        <w:tabs>
          <w:tab w:leader="none" w:pos="3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2,282,815 Class B Ordinary Shares held by Bubinga Holdings Limited. Mr. Wing Hong Sammy Hsieh is the sole director and shareholder of Bubinga Holdings Limited.</w:t>
      </w:r>
    </w:p>
    <w:p>
      <w:pPr>
        <w:ind w:left="372" w:right="440" w:hanging="372"/>
        <w:spacing w:after="0" w:line="250" w:lineRule="auto"/>
        <w:tabs>
          <w:tab w:leader="none" w:pos="3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241,295 Class A Ordinary Shares held directly by Mr. Wing Hong Sammy Hsieh and (ii) 2,282,815 Class B Ordinary Shares held by Bubinga Holdings Limited.</w:t>
      </w:r>
    </w:p>
    <w:p>
      <w:pPr>
        <w:ind w:left="372" w:right="400" w:hanging="372"/>
        <w:spacing w:after="0" w:line="260" w:lineRule="auto"/>
        <w:tabs>
          <w:tab w:leader="none" w:pos="3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43,786,873 Ordinary Shares outstanding, which is the total number of Ordinary Shares outstanding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 w:name="page5"/>
    <w:bookmarkEnd w:id="4"/>
    <w:p>
      <w:pPr>
        <w:ind w:left="12"/>
        <w:spacing w:after="0"/>
        <w:rPr>
          <w:sz w:val="20"/>
          <w:szCs w:val="20"/>
          <w:color w:val="auto"/>
        </w:rPr>
      </w:pPr>
      <w:r>
        <w:rPr>
          <w:rFonts w:ascii="Times New Roman" w:cs="Times New Roman" w:eastAsia="Times New Roman" w:hAnsi="Times New Roman"/>
          <w:sz w:val="18"/>
          <w:szCs w:val="18"/>
          <w:color w:val="auto"/>
        </w:rPr>
        <w:t>CUSIP No. 45113Y203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7123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712343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52" w:hanging="549"/>
        <w:spacing w:after="0"/>
        <w:tabs>
          <w:tab w:leader="none" w:pos="6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652" w:right="50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Bubinga Holdings Limited</w:t>
      </w:r>
    </w:p>
    <w:p>
      <w:pPr>
        <w:spacing w:after="0" w:line="121"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892" w:hanging="235"/>
        <w:spacing w:after="0" w:line="207" w:lineRule="exact"/>
        <w:tabs>
          <w:tab w:leader="none" w:pos="892" w:val="left"/>
        </w:tabs>
        <w:numPr>
          <w:ilvl w:val="1"/>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66"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19"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4"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184" w:lineRule="exact"/>
        <w:rPr>
          <w:rFonts w:ascii="Times New Roman" w:cs="Times New Roman" w:eastAsia="Times New Roman" w:hAnsi="Times New Roman"/>
          <w:sz w:val="18"/>
          <w:szCs w:val="18"/>
          <w:color w:val="auto"/>
        </w:rPr>
      </w:pPr>
    </w:p>
    <w:p>
      <w:pPr>
        <w:ind w:left="652"/>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7" w:lineRule="exact"/>
        <w:rPr>
          <w:rFonts w:ascii="Times New Roman" w:cs="Times New Roman" w:eastAsia="Times New Roman" w:hAnsi="Times New Roman"/>
          <w:sz w:val="18"/>
          <w:szCs w:val="18"/>
          <w:color w:val="auto"/>
        </w:rPr>
      </w:pPr>
    </w:p>
    <w:p>
      <w:pPr>
        <w:ind w:left="652" w:right="6900" w:hanging="549"/>
        <w:spacing w:after="0" w:line="477" w:lineRule="auto"/>
        <w:tabs>
          <w:tab w:leader="none" w:pos="6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British Virgin Islands</w:t>
      </w:r>
    </w:p>
    <w:p>
      <w:pPr>
        <w:ind w:left="2332" w:right="7040" w:hanging="555"/>
        <w:spacing w:after="0" w:line="477" w:lineRule="auto"/>
        <w:tabs>
          <w:tab w:leader="none" w:pos="233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2332" w:hanging="555"/>
        <w:spacing w:after="0"/>
        <w:tabs>
          <w:tab w:leader="none" w:pos="233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tbl>
      <w:tblPr>
        <w:tblLayout w:type="fixed"/>
        <w:tblInd w:w="92" w:type="dxa"/>
        <w:tblCellMar>
          <w:top w:w="0" w:type="dxa"/>
          <w:left w:w="0" w:type="dxa"/>
          <w:bottom w:w="0" w:type="dxa"/>
          <w:right w:w="0" w:type="dxa"/>
        </w:tblCellMar>
      </w:tblPr>
      <w:tr>
        <w:trPr>
          <w:trHeight w:val="196"/>
        </w:trPr>
        <w:tc>
          <w:tcPr>
            <w:tcW w:w="2020" w:type="dxa"/>
            <w:vAlign w:val="bottom"/>
            <w:gridSpan w:val="2"/>
          </w:tcPr>
          <w:p>
            <w:pPr>
              <w:jc w:val="center"/>
              <w:ind w:right="560"/>
              <w:spacing w:after="0" w:line="196" w:lineRule="exact"/>
              <w:rPr>
                <w:sz w:val="20"/>
                <w:szCs w:val="20"/>
                <w:color w:val="auto"/>
              </w:rPr>
            </w:pPr>
            <w:r>
              <w:rPr>
                <w:rFonts w:ascii="Times New Roman" w:cs="Times New Roman" w:eastAsia="Times New Roman" w:hAnsi="Times New Roman"/>
                <w:sz w:val="18"/>
                <w:szCs w:val="18"/>
                <w:color w:val="auto"/>
              </w:rPr>
              <w:t>NUMBER OF</w:t>
            </w:r>
          </w:p>
        </w:tc>
        <w:tc>
          <w:tcPr>
            <w:tcW w:w="9120" w:type="dxa"/>
            <w:vAlign w:val="bottom"/>
          </w:tcPr>
          <w:p>
            <w:pPr>
              <w:spacing w:after="0"/>
              <w:rPr>
                <w:sz w:val="17"/>
                <w:szCs w:val="17"/>
                <w:color w:val="auto"/>
              </w:rPr>
            </w:pPr>
          </w:p>
        </w:tc>
      </w:tr>
      <w:tr>
        <w:trPr>
          <w:trHeight w:val="275"/>
        </w:trPr>
        <w:tc>
          <w:tcPr>
            <w:tcW w:w="20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SHARES</w:t>
            </w:r>
          </w:p>
        </w:tc>
        <w:tc>
          <w:tcPr>
            <w:tcW w:w="9120" w:type="dxa"/>
            <w:vAlign w:val="bottom"/>
          </w:tcPr>
          <w:p>
            <w:pPr>
              <w:ind w:left="220"/>
              <w:spacing w:after="0" w:line="274" w:lineRule="exact"/>
              <w:rPr>
                <w:sz w:val="20"/>
                <w:szCs w:val="20"/>
                <w:color w:val="auto"/>
              </w:rPr>
            </w:pPr>
            <w:r>
              <w:rPr>
                <w:rFonts w:ascii="Times New Roman" w:cs="Times New Roman" w:eastAsia="Times New Roman" w:hAnsi="Times New Roman"/>
                <w:sz w:val="18"/>
                <w:szCs w:val="18"/>
                <w:color w:val="auto"/>
              </w:rPr>
              <w:t>2,282,815</w:t>
            </w:r>
            <w:r>
              <w:rPr>
                <w:rFonts w:ascii="Times New Roman" w:cs="Times New Roman" w:eastAsia="Times New Roman" w:hAnsi="Times New Roman"/>
                <w:sz w:val="29"/>
                <w:szCs w:val="29"/>
                <w:color w:val="auto"/>
                <w:vertAlign w:val="superscript"/>
              </w:rPr>
              <w:t>(1)</w:t>
            </w:r>
          </w:p>
        </w:tc>
      </w:tr>
      <w:tr>
        <w:trPr>
          <w:trHeight w:val="135"/>
        </w:trPr>
        <w:tc>
          <w:tcPr>
            <w:tcW w:w="1580" w:type="dxa"/>
            <w:vAlign w:val="bottom"/>
          </w:tcPr>
          <w:p>
            <w:pPr>
              <w:jc w:val="center"/>
              <w:ind w:right="35"/>
              <w:spacing w:after="0" w:line="135" w:lineRule="exact"/>
              <w:rPr>
                <w:sz w:val="20"/>
                <w:szCs w:val="20"/>
                <w:color w:val="auto"/>
              </w:rPr>
            </w:pPr>
            <w:r>
              <w:rPr>
                <w:rFonts w:ascii="Times New Roman" w:cs="Times New Roman" w:eastAsia="Times New Roman" w:hAnsi="Times New Roman"/>
                <w:sz w:val="15"/>
                <w:szCs w:val="15"/>
                <w:color w:val="auto"/>
              </w:rPr>
              <w:t>BENEFICIALLY</w:t>
            </w:r>
          </w:p>
        </w:tc>
        <w:tc>
          <w:tcPr>
            <w:tcW w:w="440" w:type="dxa"/>
            <w:vAlign w:val="bottom"/>
            <w:tcBorders>
              <w:bottom w:val="single" w:sz="8" w:color="auto"/>
            </w:tcBorders>
          </w:tcPr>
          <w:p>
            <w:pPr>
              <w:spacing w:after="0"/>
              <w:rPr>
                <w:sz w:val="11"/>
                <w:szCs w:val="11"/>
                <w:color w:val="auto"/>
              </w:rPr>
            </w:pPr>
          </w:p>
        </w:tc>
        <w:tc>
          <w:tcPr>
            <w:tcW w:w="9120" w:type="dxa"/>
            <w:vAlign w:val="bottom"/>
            <w:tcBorders>
              <w:bottom w:val="single" w:sz="8" w:color="auto"/>
            </w:tcBorders>
          </w:tcPr>
          <w:p>
            <w:pPr>
              <w:spacing w:after="0"/>
              <w:rPr>
                <w:sz w:val="11"/>
                <w:szCs w:val="11"/>
                <w:color w:val="auto"/>
              </w:rPr>
            </w:pPr>
          </w:p>
        </w:tc>
      </w:tr>
      <w:tr>
        <w:trPr>
          <w:trHeight w:val="236"/>
        </w:trPr>
        <w:tc>
          <w:tcPr>
            <w:tcW w:w="2020" w:type="dxa"/>
            <w:vAlign w:val="bottom"/>
            <w:gridSpan w:val="2"/>
          </w:tcPr>
          <w:p>
            <w:pPr>
              <w:spacing w:after="0" w:line="236" w:lineRule="exact"/>
              <w:rPr>
                <w:sz w:val="20"/>
                <w:szCs w:val="20"/>
                <w:color w:val="auto"/>
              </w:rPr>
            </w:pPr>
            <w:r>
              <w:rPr>
                <w:rFonts w:ascii="Times New Roman" w:cs="Times New Roman" w:eastAsia="Times New Roman" w:hAnsi="Times New Roman"/>
                <w:sz w:val="15"/>
                <w:szCs w:val="15"/>
                <w:color w:val="auto"/>
              </w:rPr>
              <w:t xml:space="preserve">OWNED BY EACH  </w:t>
            </w:r>
            <w:r>
              <w:rPr>
                <w:rFonts w:ascii="Times New Roman" w:cs="Times New Roman" w:eastAsia="Times New Roman" w:hAnsi="Times New Roman"/>
                <w:sz w:val="27"/>
                <w:szCs w:val="27"/>
                <w:color w:val="auto"/>
                <w:vertAlign w:val="subscript"/>
              </w:rPr>
              <w:t>9.</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r>
      <w:tr>
        <w:trPr>
          <w:trHeight w:val="198"/>
        </w:trPr>
        <w:tc>
          <w:tcPr>
            <w:tcW w:w="2020" w:type="dxa"/>
            <w:vAlign w:val="bottom"/>
            <w:gridSpan w:val="2"/>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9120" w:type="dxa"/>
            <w:vAlign w:val="bottom"/>
          </w:tcPr>
          <w:p>
            <w:pPr>
              <w:spacing w:after="0"/>
              <w:rPr>
                <w:sz w:val="17"/>
                <w:szCs w:val="17"/>
                <w:color w:val="auto"/>
              </w:rPr>
            </w:pPr>
          </w:p>
        </w:tc>
      </w:tr>
      <w:tr>
        <w:trPr>
          <w:trHeight w:val="288"/>
        </w:trPr>
        <w:tc>
          <w:tcPr>
            <w:tcW w:w="2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PERSON WITH</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57" w:lineRule="exact"/>
        <w:rPr>
          <w:sz w:val="20"/>
          <w:szCs w:val="20"/>
          <w:color w:val="auto"/>
        </w:rPr>
      </w:pPr>
    </w:p>
    <w:p>
      <w:pPr>
        <w:ind w:left="2332" w:right="6380" w:hanging="555"/>
        <w:spacing w:after="0" w:line="383" w:lineRule="auto"/>
        <w:tabs>
          <w:tab w:leader="none" w:pos="2332"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2,282,815</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52" w:right="4020" w:hanging="549"/>
        <w:spacing w:after="0" w:line="383" w:lineRule="auto"/>
        <w:tabs>
          <w:tab w:leader="none" w:pos="6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2,282,815</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184" w:lineRule="exact"/>
        <w:rPr>
          <w:rFonts w:ascii="Times New Roman" w:cs="Times New Roman" w:eastAsia="Times New Roman" w:hAnsi="Times New Roman"/>
          <w:sz w:val="18"/>
          <w:szCs w:val="18"/>
          <w:color w:val="auto"/>
        </w:rPr>
      </w:pPr>
    </w:p>
    <w:p>
      <w:pPr>
        <w:ind w:left="652"/>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7"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8"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29"/>
          <w:szCs w:val="29"/>
          <w:color w:val="auto"/>
          <w:vertAlign w:val="superscript"/>
        </w:rPr>
        <w:t>(2)</w:t>
      </w:r>
    </w:p>
    <w:p>
      <w:pPr>
        <w:spacing w:after="0" w:line="94" w:lineRule="exact"/>
        <w:rPr>
          <w:rFonts w:ascii="Times New Roman" w:cs="Times New Roman" w:eastAsia="Times New Roman" w:hAnsi="Times New Roman"/>
          <w:sz w:val="18"/>
          <w:szCs w:val="18"/>
          <w:color w:val="auto"/>
        </w:rPr>
      </w:pPr>
    </w:p>
    <w:p>
      <w:pPr>
        <w:ind w:left="652" w:hanging="549"/>
        <w:spacing w:after="0"/>
        <w:tabs>
          <w:tab w:leader="none" w:pos="6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9"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2,282,815 Class B Ordinary Shares held by Bubinga Holdings Limited.</w:t>
      </w:r>
    </w:p>
    <w:p>
      <w:pPr>
        <w:spacing w:after="0" w:line="27" w:lineRule="exact"/>
        <w:rPr>
          <w:rFonts w:ascii="Times New Roman" w:cs="Times New Roman" w:eastAsia="Times New Roman" w:hAnsi="Times New Roman"/>
          <w:sz w:val="18"/>
          <w:szCs w:val="18"/>
          <w:color w:val="auto"/>
        </w:rPr>
      </w:pPr>
    </w:p>
    <w:p>
      <w:pPr>
        <w:ind w:left="372" w:right="400" w:hanging="372"/>
        <w:spacing w:after="0" w:line="260" w:lineRule="auto"/>
        <w:tabs>
          <w:tab w:leader="none" w:pos="3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43,786,873 Ordinary Shares outstanding, which is the total number of Ordinary Shares outstanding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This Schedule 13D/A (this “</w:t>
      </w:r>
      <w:r>
        <w:rPr>
          <w:rFonts w:ascii="Times New Roman" w:cs="Times New Roman" w:eastAsia="Times New Roman" w:hAnsi="Times New Roman"/>
          <w:sz w:val="18"/>
          <w:szCs w:val="18"/>
          <w:u w:val="single" w:color="auto"/>
          <w:color w:val="auto"/>
        </w:rPr>
        <w:t>Schedule 13D/A</w:t>
      </w:r>
      <w:r>
        <w:rPr>
          <w:rFonts w:ascii="Times New Roman" w:cs="Times New Roman" w:eastAsia="Times New Roman" w:hAnsi="Times New Roman"/>
          <w:sz w:val="18"/>
          <w:szCs w:val="18"/>
          <w:color w:val="auto"/>
        </w:rPr>
        <w:t>”) relates to Class A Ordinary Shares, par value of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and Class B Ordinary Shares, par value of $0.001 per share (the “</w:t>
      </w:r>
      <w:r>
        <w:rPr>
          <w:rFonts w:ascii="Times New Roman" w:cs="Times New Roman" w:eastAsia="Times New Roman" w:hAnsi="Times New Roman"/>
          <w:sz w:val="18"/>
          <w:szCs w:val="18"/>
          <w:u w:val="single" w:color="auto"/>
          <w:color w:val="auto"/>
        </w:rPr>
        <w:t>Class B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1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principal executive office is located at 15/F, Prosperity Millennia Plaza, 663 King’s Road, Quarry Bay, Hong Kong S.A.R.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(c), (f)</w:t>
      </w:r>
    </w:p>
    <w:p>
      <w:pPr>
        <w:spacing w:after="0" w:line="162" w:lineRule="exact"/>
        <w:rPr>
          <w:sz w:val="20"/>
          <w:szCs w:val="20"/>
          <w:color w:val="auto"/>
        </w:rPr>
      </w:pPr>
    </w:p>
    <w:p>
      <w:pPr>
        <w:ind w:left="400" w:right="240"/>
        <w:spacing w:after="0" w:line="266" w:lineRule="auto"/>
        <w:rPr>
          <w:sz w:val="20"/>
          <w:szCs w:val="20"/>
          <w:color w:val="auto"/>
        </w:rPr>
      </w:pPr>
      <w:r>
        <w:rPr>
          <w:rFonts w:ascii="Times New Roman" w:cs="Times New Roman" w:eastAsia="Times New Roman" w:hAnsi="Times New Roman"/>
          <w:sz w:val="18"/>
          <w:szCs w:val="18"/>
          <w:color w:val="auto"/>
        </w:rPr>
        <w:t>This Schedule 13D/A is being filed jointly by Mr. Jian Tang, Igomax Inc., Mr. Wing Hong Sammy Hsieh and Bubinga Holdings Limited (together,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The agreement between the Reporting Persons relating to the joint filing is attached hereto as Exhibit 99.1.</w:t>
      </w:r>
    </w:p>
    <w:p>
      <w:pPr>
        <w:spacing w:after="0" w:line="108" w:lineRule="exact"/>
        <w:rPr>
          <w:sz w:val="20"/>
          <w:szCs w:val="20"/>
          <w:color w:val="auto"/>
        </w:rPr>
      </w:pPr>
    </w:p>
    <w:p>
      <w:pPr>
        <w:ind w:left="400"/>
        <w:spacing w:after="0" w:line="272" w:lineRule="auto"/>
        <w:rPr>
          <w:sz w:val="20"/>
          <w:szCs w:val="20"/>
          <w:color w:val="auto"/>
        </w:rPr>
      </w:pPr>
      <w:r>
        <w:rPr>
          <w:rFonts w:ascii="Times New Roman" w:cs="Times New Roman" w:eastAsia="Times New Roman" w:hAnsi="Times New Roman"/>
          <w:sz w:val="17"/>
          <w:szCs w:val="17"/>
          <w:color w:val="auto"/>
        </w:rPr>
        <w:t>The Class A Ordinary Shares beneficially owned by each of the Reporting Persons were previously reported on (i) a Schedule 13G filed jointly by Mr. Jian Tang and Igomax Inc. on February 13, 2018, as amended by (ii) Amendment No. 1 to Schedule 13G filed jointly by Mr. Jian Tang and Igomax Inc. on February 12, 2019 ; (iii) Amendment No. 2 to Schedule 13G filed jointly by Mr. Jian Tang and Igomax Inc. on February 13, 2020; and</w:t>
      </w:r>
    </w:p>
    <w:p>
      <w:pPr>
        <w:spacing w:after="0" w:line="2" w:lineRule="exact"/>
        <w:rPr>
          <w:sz w:val="20"/>
          <w:szCs w:val="20"/>
          <w:color w:val="auto"/>
        </w:rPr>
      </w:pPr>
    </w:p>
    <w:p>
      <w:pPr>
        <w:ind w:left="400" w:right="80" w:firstLine="4"/>
        <w:spacing w:after="0" w:line="251" w:lineRule="auto"/>
        <w:tabs>
          <w:tab w:leader="none" w:pos="7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3 to Schedule 13G filed jointly by Mr. Jian Tang and Igomax Inc. on February 10, 2021; and further amended by (v) Amendment No. 4 to Schedule 13G filed jointly by Mr. Jian Tang and Igomax Inc. on February 14, 2022; as well as (vi) a Schedule 13G filed by Mr. Wing Hong Sammy Hsieh on February 13, 2018, as amended by (vii) Amendment No. 1 to Schedule 13G filed jointly by Mr. Wing Hong Sammy Hsieh and Bubinga Holdings Limited on February 11, 2020; (viii) Amendment No. 2 to Schedule 13G filed jointly by Mr. Wing Hong Sammy Hsieh and Bubinga Holdings Limited on February 10, 2021; (ix) Amendment No. 3 to Schedule 13G filed jointly by Mr. Wing Hong Sammy Hsieh and Bubinga Holdings Limited on February 14, 2022; (x) Schedule 13D constitutes an initial Schedule 13D filing on behalf of each of the Reporting Persons and is being filed on December 22, 2022 because the Reporting Persons may be deemed to have a formed a “group” with certain other persons; (xi) Amendment No. 1 to the Schedule 13D filed by Mr. Jian Tang, Igomax Inc., Mr. Wing Hong Sammy Hsieh and Bubinga Holdings Limited on July 7, 2023; and (xii) Amendment No. 2 to the Schedule 13D filed by Mr. Jian Tang, Igomax Inc., Mr. Wing Hong Sammy Hsieh and Bubinga Holdings Limited on November 27, 2023.</w:t>
      </w:r>
    </w:p>
    <w:p>
      <w:pPr>
        <w:spacing w:after="0" w:line="125" w:lineRule="exact"/>
        <w:rPr>
          <w:sz w:val="20"/>
          <w:szCs w:val="20"/>
          <w:color w:val="auto"/>
        </w:rPr>
      </w:pPr>
    </w:p>
    <w:p>
      <w:pPr>
        <w:ind w:left="400" w:right="360"/>
        <w:spacing w:after="0" w:line="282" w:lineRule="auto"/>
        <w:rPr>
          <w:sz w:val="20"/>
          <w:szCs w:val="20"/>
          <w:color w:val="auto"/>
        </w:rPr>
      </w:pPr>
      <w:r>
        <w:rPr>
          <w:rFonts w:ascii="Times New Roman" w:cs="Times New Roman" w:eastAsia="Times New Roman" w:hAnsi="Times New Roman"/>
          <w:sz w:val="18"/>
          <w:szCs w:val="18"/>
          <w:color w:val="auto"/>
        </w:rPr>
        <w:t>Mr. Jian Tang is the chairman of the board, chief executive officer and co-founder of the Issuer. Mr. Jian Tang is a citizen of People’s Republic of China and has a principal business office at 15/F, Prosperity Millennia Plaza, 663 King’s Road, Quarry Bay, Hong Kong S.A.R..</w:t>
      </w:r>
    </w:p>
    <w:p>
      <w:pPr>
        <w:spacing w:after="0" w:line="94" w:lineRule="exact"/>
        <w:rPr>
          <w:sz w:val="20"/>
          <w:szCs w:val="20"/>
          <w:color w:val="auto"/>
        </w:rPr>
      </w:pPr>
    </w:p>
    <w:p>
      <w:pPr>
        <w:jc w:val="both"/>
        <w:ind w:left="400" w:right="420"/>
        <w:spacing w:after="0" w:line="266" w:lineRule="auto"/>
        <w:rPr>
          <w:sz w:val="20"/>
          <w:szCs w:val="20"/>
          <w:color w:val="auto"/>
        </w:rPr>
      </w:pPr>
      <w:r>
        <w:rPr>
          <w:rFonts w:ascii="Times New Roman" w:cs="Times New Roman" w:eastAsia="Times New Roman" w:hAnsi="Times New Roman"/>
          <w:sz w:val="18"/>
          <w:szCs w:val="18"/>
          <w:color w:val="auto"/>
        </w:rPr>
        <w:t>Igomax Inc. is principally an investment holding vehicle and a company organized and existing under the laws of the British Virgin Islands. Mr. Jian Tang is the sole director and shareholder of Igomax Inc. Igomax Inc.’s principal business office is at Jordans Trust Company, Geneva Place, Waterfront Drive, PO Box 3469, Road Town, Tortola, British Virgin Islands.</w:t>
      </w:r>
    </w:p>
    <w:p>
      <w:pPr>
        <w:spacing w:after="0" w:line="108" w:lineRule="exact"/>
        <w:rPr>
          <w:sz w:val="20"/>
          <w:szCs w:val="20"/>
          <w:color w:val="auto"/>
        </w:rPr>
      </w:pPr>
    </w:p>
    <w:p>
      <w:pPr>
        <w:ind w:left="400" w:right="240"/>
        <w:spacing w:after="0" w:line="282" w:lineRule="auto"/>
        <w:rPr>
          <w:sz w:val="20"/>
          <w:szCs w:val="20"/>
          <w:color w:val="auto"/>
        </w:rPr>
      </w:pPr>
      <w:r>
        <w:rPr>
          <w:rFonts w:ascii="Times New Roman" w:cs="Times New Roman" w:eastAsia="Times New Roman" w:hAnsi="Times New Roman"/>
          <w:sz w:val="18"/>
          <w:szCs w:val="18"/>
          <w:color w:val="auto"/>
        </w:rPr>
        <w:t>Mr. Wing Hong Sammy Hsieh is a co-founder and director of the Issuer. Mr. Wing Hong Sammy Hsieh is a citizen of Hong Kong S.A.R. and has a principal business office at 15/F, Prosperity Millennia Plaza, 663 King’s Road, Quarry Bay, Hong Kong S.A.R..</w:t>
      </w:r>
    </w:p>
    <w:p>
      <w:pPr>
        <w:spacing w:after="0" w:line="94" w:lineRule="exact"/>
        <w:rPr>
          <w:sz w:val="20"/>
          <w:szCs w:val="20"/>
          <w:color w:val="auto"/>
        </w:rPr>
      </w:pPr>
    </w:p>
    <w:p>
      <w:pPr>
        <w:ind w:left="400" w:right="300"/>
        <w:spacing w:after="0" w:line="266" w:lineRule="auto"/>
        <w:rPr>
          <w:sz w:val="20"/>
          <w:szCs w:val="20"/>
          <w:color w:val="auto"/>
        </w:rPr>
      </w:pPr>
      <w:r>
        <w:rPr>
          <w:rFonts w:ascii="Times New Roman" w:cs="Times New Roman" w:eastAsia="Times New Roman" w:hAnsi="Times New Roman"/>
          <w:sz w:val="18"/>
          <w:szCs w:val="18"/>
          <w:color w:val="auto"/>
        </w:rPr>
        <w:t>Bubinga Holdings Limited is principally an investment holding vehicle and a company organized and existing under the laws of the British Virgin Islands. Mr. Wing Hong Sammy Hsieh is the sole director and shareholder of Bubinga Holdings Limited. Bubinga Holdings Limited’s principal business office is at Vistra Corporate Services Centre, Wickhams Cay II, Road Town, Tortola, VG1110, British Virgin Islands.</w:t>
      </w:r>
    </w:p>
    <w:p>
      <w:pPr>
        <w:spacing w:after="0" w:line="108" w:lineRule="exact"/>
        <w:rPr>
          <w:sz w:val="20"/>
          <w:szCs w:val="20"/>
          <w:color w:val="auto"/>
        </w:rPr>
      </w:pPr>
    </w:p>
    <w:p>
      <w:pPr>
        <w:ind w:left="400" w:right="280"/>
        <w:spacing w:after="0" w:line="261" w:lineRule="auto"/>
        <w:rPr>
          <w:sz w:val="20"/>
          <w:szCs w:val="20"/>
          <w:color w:val="auto"/>
        </w:rPr>
      </w:pPr>
      <w:r>
        <w:rPr>
          <w:rFonts w:ascii="Times New Roman" w:cs="Times New Roman" w:eastAsia="Times New Roman" w:hAnsi="Times New Roman"/>
          <w:sz w:val="18"/>
          <w:szCs w:val="18"/>
          <w:color w:val="auto"/>
        </w:rPr>
        <w:t>Except as expressly otherwise stated herein, each Reporting Person expressly disclaims beneficial ownership for all purposes of the Ordinary Shares (including Ordinary Shares represented by ADSs) beneficially owned by each other Reporting Person. Information with respect to each of the Reporting Persons is given solely by such Reporting Person, and no Reporting Person assumes responsibility for the accuracy or completeness of the information concerning the other Reporting Person or any other person.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 (e)</w:t>
      </w:r>
    </w:p>
    <w:p>
      <w:pPr>
        <w:spacing w:after="0" w:line="162" w:lineRule="exact"/>
        <w:rPr>
          <w:sz w:val="20"/>
          <w:szCs w:val="20"/>
          <w:color w:val="auto"/>
        </w:rPr>
      </w:pPr>
    </w:p>
    <w:p>
      <w:pPr>
        <w:ind w:left="400" w:right="440"/>
        <w:spacing w:after="0" w:line="261" w:lineRule="auto"/>
        <w:rPr>
          <w:sz w:val="20"/>
          <w:szCs w:val="20"/>
          <w:color w:val="auto"/>
        </w:rPr>
      </w:pPr>
      <w:r>
        <w:rPr>
          <w:rFonts w:ascii="Times New Roman" w:cs="Times New Roman" w:eastAsia="Times New Roman" w:hAnsi="Times New Roman"/>
          <w:sz w:val="18"/>
          <w:szCs w:val="18"/>
          <w:color w:val="auto"/>
        </w:rPr>
        <w:t>During the last five years no Reporting Person has: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3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29, 2024, iClick Interactive Asia Group Limited (the Issuer), entered into a definitive Agreement and Plan of Merger (the “Merger Agreement”) with Overlord Merger Sub Ltd. ("Merger Sub"), a Cayman Islands exempted company and a direct, wholly owned subsidiary of the Issuer and Amber DWM Holding Limited ("Amber DWM"), a Cayman Islands exempted company and the holding entity of Amber Group's digital wealth management business, known as Amber Premium ("Amber Premium"), pursuant to which Merger Sub will merge with and into Amber DWM, with Amber DWM continuing as the surviving entity and becoming a wholly-owned subsidiary of the Issuer (the "Merger"), and the shareholders of Amber DWM will exchange all of the issued and outstanding share capital of Amber DWM for a mixture of newly issued Class A and Class B ordinary shares of the Issuer on the terms and conditions set forth therein in a transaction exempt from the registration requirements under the Securities Act of 1933. A copy of the Merger Agreement was attached as </w:t>
      </w:r>
      <w:hyperlink r:id="rId27">
        <w:r>
          <w:rPr>
            <w:rFonts w:ascii="Times New Roman" w:cs="Times New Roman" w:eastAsia="Times New Roman" w:hAnsi="Times New Roman"/>
            <w:sz w:val="18"/>
            <w:szCs w:val="18"/>
            <w:u w:val="single" w:color="auto"/>
            <w:color w:val="0000EE"/>
          </w:rPr>
          <w:t>Exhibit 99.2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Issuer’s current report on Form 6-K furnished to the SEC on November 29, 2024 and incorporated herein by reference.</w:t>
      </w:r>
    </w:p>
    <w:p>
      <w:pPr>
        <w:spacing w:after="0" w:line="18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Amber DWM agrees to (i) acquire 100% of the equity interests in WhaleFin Markets Limited (“WhaleFin HK”), a company incorporated in Hong Kong, from Amber Global Limited, a Cayman Islands exempted company (the “WhaleFin HK Equity Transfer”), and (b) assume or cause one or more of its subsidiaries to assume all rights and obligations under all of the customer contracts to which WFTL is a party (the “WFTL Assigned Contracts”) (the “WFTL Contract Assignment”, and collectively with the WhaleFin HK Equity Transfer, the “DWM Asset Restructuring”).</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Following the consummation and as a result of the Merger, Amber DWM's business will be wholly owned by the Issuer. Upon completion of the Merger, the Amber DWM shareholders and the Issuer’s shareholders (including holders of ADSs), in each case, immediately prior to the Merger, will own approximately 90% and 10%, respectively, of the outstanding shares of the combined company, or 97% and 3% voting power,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3 is hereby incorporated by reference in its entirety. The purpose of the Mergers was to enable the Issuer to acquire 100% control of Amber DWM’s business in a transaction in which the holders of securities of Amber DWM would receive the Issuer’s ordinary shares.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Merger Agreement contemplates that, upon the closing of the merger (the "Closing"), the Issuer will change its name to "Amber International Holding Limited" and adopt the tenth amended and restated memorandum and articles of association of the Issuer, in each case immediately before the Merger becomes effective (the “Effective Time”), following which the authorized share capital of the Issuer shall only consist of Class A ordinary shares and Class B ordinary shares (with different voting powers but equal economic rights), a par value of US$0.001 each.</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Issuer's board of directors (the "Board") approved the Merger Agreement and other transaction documents, including but not limited to the voting agreement entered into by and among certain shareholders of the Issuer (who holds approximately 36% of the outstanding shares representing 71% voting power of the Issuer as of November 29, 2024), the Issuer and Amber DWM (the "Voting Agreement") (collectively, the "Transaction Documents"), and the transactions contemplated thereunder (the "Transactions").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each of the shareholders of Amber DWM immediately prior to the consummation of the Merger is entering into a lock-up agreement with the Issuer pursuant to which they have agreed not to transfer the shares received in consideration of the Merger for a period of 12 months following the Merger closing.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after the Effective Time, the Board shall consist of up to seven directors, to be designated by Amber DWM.</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completion of the Transactions is subject to the satisfaction of closing conditions set forth in the Merger Agreement, including, among other things, receipt of the Issuer's shareholder approval and regulatory/stock exchange approvals (if applicable). The Merger Agreement provides for a long-stop date if the Merger is not completed by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 Reporting Persons have no plans or proposals which relate to or would result in any of the actions specified in paragraphs</w:t>
      </w:r>
    </w:p>
    <w:p>
      <w:pPr>
        <w:spacing w:after="0" w:line="27" w:lineRule="exact"/>
        <w:rPr>
          <w:sz w:val="20"/>
          <w:szCs w:val="20"/>
          <w:color w:val="auto"/>
        </w:rPr>
      </w:pPr>
    </w:p>
    <w:p>
      <w:pPr>
        <w:ind w:right="200" w:firstLine="8"/>
        <w:spacing w:after="0" w:line="255"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(j) of Item 4 of Schedule 13D/A. The Reporting Persons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b w:val="1"/>
          <w:bCs w:val="1"/>
          <w:color w:val="auto"/>
        </w:rPr>
        <w:t>Item 5. Interests in Securities of the 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(b)</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following information with respect to the ownership of the Ordinary Shares by each of the Reporting Persons is provided as of December 11,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Sole Power</w:t>
            </w:r>
          </w:p>
        </w:tc>
        <w:tc>
          <w:tcPr>
            <w:tcW w:w="1400" w:type="dxa"/>
            <w:vAlign w:val="bottom"/>
            <w:gridSpan w:val="2"/>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8"/>
              </w:rPr>
              <w:t>Shared</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Shared Power</w:t>
            </w:r>
          </w:p>
        </w:tc>
      </w:tr>
      <w:tr>
        <w:trPr>
          <w:trHeight w:val="243"/>
        </w:trPr>
        <w:tc>
          <w:tcPr>
            <w:tcW w:w="2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to</w:t>
            </w:r>
          </w:p>
        </w:tc>
        <w:tc>
          <w:tcPr>
            <w:tcW w:w="1400" w:type="dxa"/>
            <w:vAlign w:val="bottom"/>
            <w:gridSpan w:val="2"/>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rPr>
              <w:t>Power</w:t>
            </w:r>
          </w:p>
        </w:tc>
        <w:tc>
          <w:tcPr>
            <w:tcW w:w="1400" w:type="dxa"/>
            <w:vAlign w:val="bottom"/>
            <w:gridSpan w:val="2"/>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Sole Power to</w:t>
            </w:r>
          </w:p>
        </w:tc>
        <w:tc>
          <w:tcPr>
            <w:tcW w:w="1300" w:type="dxa"/>
            <w:vAlign w:val="bottom"/>
            <w:gridSpan w:val="2"/>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43"/>
        </w:trPr>
        <w:tc>
          <w:tcPr>
            <w:tcW w:w="2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80" w:type="dxa"/>
            <w:vAlign w:val="bottom"/>
            <w:gridSpan w:val="2"/>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400" w:type="dxa"/>
            <w:vAlign w:val="bottom"/>
            <w:gridSpan w:val="2"/>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7"/>
              </w:rPr>
              <w:t>Vote or</w:t>
            </w:r>
          </w:p>
        </w:tc>
        <w:tc>
          <w:tcPr>
            <w:tcW w:w="1400" w:type="dxa"/>
            <w:vAlign w:val="bottom"/>
            <w:gridSpan w:val="2"/>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7"/>
              </w:rPr>
              <w:t>to Vote or to</w:t>
            </w:r>
          </w:p>
        </w:tc>
        <w:tc>
          <w:tcPr>
            <w:tcW w:w="1400" w:type="dxa"/>
            <w:vAlign w:val="bottom"/>
            <w:gridSpan w:val="2"/>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Dispose or to</w:t>
            </w:r>
          </w:p>
        </w:tc>
        <w:tc>
          <w:tcPr>
            <w:tcW w:w="1300" w:type="dxa"/>
            <w:vAlign w:val="bottom"/>
            <w:gridSpan w:val="2"/>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Dispose or to</w:t>
            </w:r>
          </w:p>
        </w:tc>
      </w:tr>
      <w:tr>
        <w:trPr>
          <w:trHeight w:val="243"/>
        </w:trPr>
        <w:tc>
          <w:tcPr>
            <w:tcW w:w="2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380" w:type="dxa"/>
            <w:vAlign w:val="bottom"/>
            <w:gridSpan w:val="2"/>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rPr>
              <w:t>of</w:t>
            </w:r>
          </w:p>
        </w:tc>
        <w:tc>
          <w:tcPr>
            <w:tcW w:w="1400" w:type="dxa"/>
            <w:vAlign w:val="bottom"/>
            <w:gridSpan w:val="2"/>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8"/>
              </w:rPr>
              <w:t>Direct</w:t>
            </w:r>
          </w:p>
        </w:tc>
        <w:tc>
          <w:tcPr>
            <w:tcW w:w="1400" w:type="dxa"/>
            <w:vAlign w:val="bottom"/>
            <w:gridSpan w:val="2"/>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9"/>
              </w:rPr>
              <w:t>Direct the</w:t>
            </w:r>
          </w:p>
        </w:tc>
        <w:tc>
          <w:tcPr>
            <w:tcW w:w="1400" w:type="dxa"/>
            <w:vAlign w:val="bottom"/>
            <w:gridSpan w:val="2"/>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9"/>
              </w:rPr>
              <w:t>Direct the</w:t>
            </w:r>
          </w:p>
        </w:tc>
        <w:tc>
          <w:tcPr>
            <w:tcW w:w="1300" w:type="dxa"/>
            <w:vAlign w:val="bottom"/>
            <w:gridSpan w:val="2"/>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Direct the</w:t>
            </w:r>
          </w:p>
        </w:tc>
      </w:tr>
      <w:tr>
        <w:trPr>
          <w:trHeight w:val="25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Owned:</w:t>
            </w:r>
          </w:p>
        </w:tc>
        <w:tc>
          <w:tcPr>
            <w:tcW w:w="2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w:t>
            </w:r>
          </w:p>
        </w:tc>
        <w:tc>
          <w:tcPr>
            <w:tcW w:w="3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Vote:</w:t>
            </w:r>
          </w:p>
        </w:tc>
        <w:tc>
          <w:tcPr>
            <w:tcW w:w="3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Vote:</w:t>
            </w:r>
          </w:p>
        </w:tc>
        <w:tc>
          <w:tcPr>
            <w:tcW w:w="3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Disposition of:</w:t>
            </w:r>
          </w:p>
        </w:tc>
        <w:tc>
          <w:tcPr>
            <w:tcW w:w="3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Disposition of:</w:t>
            </w:r>
          </w:p>
        </w:tc>
        <w:tc>
          <w:tcPr>
            <w:tcW w:w="200" w:type="dxa"/>
            <w:vAlign w:val="bottom"/>
            <w:tcBorders>
              <w:bottom w:val="single" w:sz="8" w:color="CCEEFF"/>
            </w:tcBorders>
          </w:tcPr>
          <w:p>
            <w:pPr>
              <w:spacing w:after="0"/>
              <w:rPr>
                <w:sz w:val="22"/>
                <w:szCs w:val="22"/>
                <w:color w:val="auto"/>
              </w:rPr>
            </w:pPr>
          </w:p>
        </w:tc>
      </w:tr>
      <w:tr>
        <w:trPr>
          <w:trHeight w:val="22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Jian Tang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2,526,463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3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2"/>
              </w:rPr>
              <w:t>(1)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27,905</w:t>
            </w:r>
          </w:p>
        </w:tc>
        <w:tc>
          <w:tcPr>
            <w:tcW w:w="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2"/>
              </w:rPr>
              <w:t>(3)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2,498,558</w:t>
            </w:r>
          </w:p>
        </w:tc>
        <w:tc>
          <w:tcPr>
            <w:tcW w:w="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2"/>
              </w:rPr>
              <w:t>(4)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27,905</w:t>
            </w:r>
          </w:p>
        </w:tc>
        <w:tc>
          <w:tcPr>
            <w:tcW w:w="3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2"/>
              </w:rPr>
              <w:t>(3)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2,498,558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r>
      <w:tr>
        <w:trPr>
          <w:trHeight w:val="243"/>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Igomax Inc.</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2,498,558</w:t>
            </w:r>
          </w:p>
        </w:tc>
        <w:tc>
          <w:tcPr>
            <w:tcW w:w="1380" w:type="dxa"/>
            <w:vAlign w:val="bottom"/>
            <w:gridSpan w:val="2"/>
          </w:tcPr>
          <w:p>
            <w:pPr>
              <w:jc w:val="right"/>
              <w:ind w:right="73"/>
              <w:spacing w:after="0" w:line="243" w:lineRule="exact"/>
              <w:rPr>
                <w:sz w:val="20"/>
                <w:szCs w:val="20"/>
                <w:color w:val="auto"/>
              </w:rPr>
            </w:pPr>
            <w:r>
              <w:rPr>
                <w:rFonts w:ascii="Times New Roman" w:cs="Times New Roman" w:eastAsia="Times New Roman" w:hAnsi="Times New Roman"/>
                <w:sz w:val="16"/>
                <w:szCs w:val="16"/>
                <w:color w:val="auto"/>
              </w:rPr>
              <w:t>5.7%</w:t>
            </w:r>
            <w:r>
              <w:rPr>
                <w:rFonts w:ascii="Times New Roman" w:cs="Times New Roman" w:eastAsia="Times New Roman" w:hAnsi="Times New Roman"/>
                <w:sz w:val="26"/>
                <w:szCs w:val="26"/>
                <w:color w:val="auto"/>
                <w:vertAlign w:val="superscript"/>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20" w:type="dxa"/>
            <w:vAlign w:val="bottom"/>
          </w:tcPr>
          <w:p>
            <w:pPr>
              <w:spacing w:after="0"/>
              <w:rPr>
                <w:sz w:val="21"/>
                <w:szCs w:val="21"/>
                <w:color w:val="auto"/>
              </w:rPr>
            </w:pPr>
          </w:p>
        </w:tc>
        <w:tc>
          <w:tcPr>
            <w:tcW w:w="1400" w:type="dxa"/>
            <w:vAlign w:val="bottom"/>
            <w:gridSpan w:val="2"/>
          </w:tcPr>
          <w:p>
            <w:pPr>
              <w:jc w:val="right"/>
              <w:ind w:right="93"/>
              <w:spacing w:after="0" w:line="243" w:lineRule="exact"/>
              <w:rPr>
                <w:sz w:val="20"/>
                <w:szCs w:val="20"/>
                <w:color w:val="auto"/>
              </w:rPr>
            </w:pPr>
            <w:r>
              <w:rPr>
                <w:rFonts w:ascii="Times New Roman" w:cs="Times New Roman" w:eastAsia="Times New Roman" w:hAnsi="Times New Roman"/>
                <w:sz w:val="16"/>
                <w:szCs w:val="16"/>
                <w:color w:val="auto"/>
              </w:rPr>
              <w:t>2,498,558</w:t>
            </w:r>
            <w:r>
              <w:rPr>
                <w:rFonts w:ascii="Times New Roman" w:cs="Times New Roman" w:eastAsia="Times New Roman" w:hAnsi="Times New Roman"/>
                <w:sz w:val="26"/>
                <w:szCs w:val="26"/>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21"/>
                <w:szCs w:val="21"/>
                <w:color w:val="auto"/>
              </w:rPr>
            </w:pPr>
          </w:p>
        </w:tc>
        <w:tc>
          <w:tcPr>
            <w:tcW w:w="13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6"/>
                <w:szCs w:val="16"/>
                <w:color w:val="auto"/>
              </w:rPr>
              <w:t>2,498,558</w:t>
            </w:r>
            <w:r>
              <w:rPr>
                <w:rFonts w:ascii="Times New Roman" w:cs="Times New Roman" w:eastAsia="Times New Roman" w:hAnsi="Times New Roman"/>
                <w:sz w:val="26"/>
                <w:szCs w:val="26"/>
                <w:color w:val="auto"/>
                <w:vertAlign w:val="superscript"/>
              </w:rPr>
              <w:t>(5)</w:t>
            </w:r>
          </w:p>
        </w:tc>
      </w:tr>
      <w:tr>
        <w:trPr>
          <w:trHeight w:val="243"/>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Wing Hong Sammy Hsieh</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2,524,110</w:t>
            </w:r>
          </w:p>
        </w:tc>
        <w:tc>
          <w:tcPr>
            <w:tcW w:w="1380" w:type="dxa"/>
            <w:vAlign w:val="bottom"/>
            <w:gridSpan w:val="2"/>
            <w:shd w:val="clear" w:color="auto" w:fill="CCEEFF"/>
          </w:tcPr>
          <w:p>
            <w:pPr>
              <w:jc w:val="right"/>
              <w:ind w:right="73"/>
              <w:spacing w:after="0" w:line="243" w:lineRule="exact"/>
              <w:rPr>
                <w:sz w:val="20"/>
                <w:szCs w:val="20"/>
                <w:color w:val="auto"/>
              </w:rPr>
            </w:pPr>
            <w:r>
              <w:rPr>
                <w:rFonts w:ascii="Times New Roman" w:cs="Times New Roman" w:eastAsia="Times New Roman" w:hAnsi="Times New Roman"/>
                <w:sz w:val="16"/>
                <w:szCs w:val="16"/>
                <w:color w:val="auto"/>
              </w:rPr>
              <w:t>5.8%</w:t>
            </w:r>
            <w:r>
              <w:rPr>
                <w:rFonts w:ascii="Times New Roman" w:cs="Times New Roman" w:eastAsia="Times New Roman" w:hAnsi="Times New Roman"/>
                <w:sz w:val="26"/>
                <w:szCs w:val="26"/>
                <w:color w:val="auto"/>
                <w:vertAlign w:val="superscript"/>
              </w:rPr>
              <w:t>(2)</w:t>
            </w:r>
          </w:p>
        </w:tc>
        <w:tc>
          <w:tcPr>
            <w:tcW w:w="1400" w:type="dxa"/>
            <w:vAlign w:val="bottom"/>
            <w:gridSpan w:val="2"/>
            <w:shd w:val="clear" w:color="auto" w:fill="CCEEFF"/>
          </w:tcPr>
          <w:p>
            <w:pPr>
              <w:jc w:val="right"/>
              <w:ind w:right="93"/>
              <w:spacing w:after="0" w:line="243" w:lineRule="exact"/>
              <w:rPr>
                <w:sz w:val="20"/>
                <w:szCs w:val="20"/>
                <w:color w:val="auto"/>
              </w:rPr>
            </w:pPr>
            <w:r>
              <w:rPr>
                <w:rFonts w:ascii="Times New Roman" w:cs="Times New Roman" w:eastAsia="Times New Roman" w:hAnsi="Times New Roman"/>
                <w:sz w:val="16"/>
                <w:szCs w:val="16"/>
                <w:color w:val="auto"/>
              </w:rPr>
              <w:t>241,295</w:t>
            </w:r>
            <w:r>
              <w:rPr>
                <w:rFonts w:ascii="Times New Roman" w:cs="Times New Roman" w:eastAsia="Times New Roman" w:hAnsi="Times New Roman"/>
                <w:sz w:val="26"/>
                <w:szCs w:val="26"/>
                <w:color w:val="auto"/>
                <w:vertAlign w:val="superscript"/>
              </w:rPr>
              <w:t>(6)</w:t>
            </w:r>
          </w:p>
        </w:tc>
        <w:tc>
          <w:tcPr>
            <w:tcW w:w="1400" w:type="dxa"/>
            <w:vAlign w:val="bottom"/>
            <w:gridSpan w:val="2"/>
            <w:shd w:val="clear" w:color="auto" w:fill="CCEEFF"/>
          </w:tcPr>
          <w:p>
            <w:pPr>
              <w:jc w:val="right"/>
              <w:ind w:right="93"/>
              <w:spacing w:after="0" w:line="243" w:lineRule="exact"/>
              <w:rPr>
                <w:sz w:val="20"/>
                <w:szCs w:val="20"/>
                <w:color w:val="auto"/>
              </w:rPr>
            </w:pPr>
            <w:r>
              <w:rPr>
                <w:rFonts w:ascii="Times New Roman" w:cs="Times New Roman" w:eastAsia="Times New Roman" w:hAnsi="Times New Roman"/>
                <w:sz w:val="16"/>
                <w:szCs w:val="16"/>
                <w:color w:val="auto"/>
              </w:rPr>
              <w:t>2,282,815</w:t>
            </w:r>
            <w:r>
              <w:rPr>
                <w:rFonts w:ascii="Times New Roman" w:cs="Times New Roman" w:eastAsia="Times New Roman" w:hAnsi="Times New Roman"/>
                <w:sz w:val="26"/>
                <w:szCs w:val="26"/>
                <w:color w:val="auto"/>
                <w:vertAlign w:val="superscript"/>
              </w:rPr>
              <w:t>(7)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241,295</w:t>
            </w:r>
          </w:p>
        </w:tc>
        <w:tc>
          <w:tcPr>
            <w:tcW w:w="3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6"/>
                <w:szCs w:val="16"/>
                <w:color w:val="auto"/>
              </w:rPr>
              <w:t>2,282,815</w:t>
            </w:r>
            <w:r>
              <w:rPr>
                <w:rFonts w:ascii="Times New Roman" w:cs="Times New Roman" w:eastAsia="Times New Roman" w:hAnsi="Times New Roman"/>
                <w:sz w:val="26"/>
                <w:szCs w:val="26"/>
                <w:color w:val="auto"/>
                <w:vertAlign w:val="superscript"/>
              </w:rPr>
              <w:t>(7)</w:t>
            </w:r>
          </w:p>
        </w:tc>
      </w:tr>
      <w:tr>
        <w:trPr>
          <w:trHeight w:val="355"/>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Bubinga Holdings Limited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2,282,815</w:t>
            </w:r>
          </w:p>
        </w:tc>
        <w:tc>
          <w:tcPr>
            <w:tcW w:w="1380" w:type="dxa"/>
            <w:vAlign w:val="bottom"/>
            <w:gridSpan w:val="2"/>
          </w:tcPr>
          <w:p>
            <w:pPr>
              <w:jc w:val="right"/>
              <w:ind w:right="73"/>
              <w:spacing w:after="0"/>
              <w:rPr>
                <w:sz w:val="20"/>
                <w:szCs w:val="20"/>
                <w:color w:val="auto"/>
              </w:rPr>
            </w:pPr>
            <w:r>
              <w:rPr>
                <w:rFonts w:ascii="Times New Roman" w:cs="Times New Roman" w:eastAsia="Times New Roman" w:hAnsi="Times New Roman"/>
                <w:sz w:val="16"/>
                <w:szCs w:val="16"/>
                <w:color w:val="auto"/>
              </w:rPr>
              <w:t>5.2%</w:t>
            </w:r>
            <w:r>
              <w:rPr>
                <w:rFonts w:ascii="Times New Roman" w:cs="Times New Roman" w:eastAsia="Times New Roman" w:hAnsi="Times New Roman"/>
                <w:sz w:val="26"/>
                <w:szCs w:val="26"/>
                <w:color w:val="auto"/>
                <w:vertAlign w:val="superscript"/>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20" w:type="dxa"/>
            <w:vAlign w:val="bottom"/>
          </w:tcPr>
          <w:p>
            <w:pPr>
              <w:spacing w:after="0"/>
              <w:rPr>
                <w:sz w:val="24"/>
                <w:szCs w:val="24"/>
                <w:color w:val="auto"/>
              </w:rPr>
            </w:pPr>
          </w:p>
        </w:tc>
        <w:tc>
          <w:tcPr>
            <w:tcW w:w="1400" w:type="dxa"/>
            <w:vAlign w:val="bottom"/>
            <w:gridSpan w:val="2"/>
          </w:tcPr>
          <w:p>
            <w:pPr>
              <w:jc w:val="right"/>
              <w:ind w:right="93"/>
              <w:spacing w:after="0"/>
              <w:rPr>
                <w:sz w:val="20"/>
                <w:szCs w:val="20"/>
                <w:color w:val="auto"/>
              </w:rPr>
            </w:pPr>
            <w:r>
              <w:rPr>
                <w:rFonts w:ascii="Times New Roman" w:cs="Times New Roman" w:eastAsia="Times New Roman" w:hAnsi="Times New Roman"/>
                <w:sz w:val="16"/>
                <w:szCs w:val="16"/>
                <w:color w:val="auto"/>
              </w:rPr>
              <w:t>2,282,815</w:t>
            </w:r>
            <w:r>
              <w:rPr>
                <w:rFonts w:ascii="Times New Roman" w:cs="Times New Roman" w:eastAsia="Times New Roman" w:hAnsi="Times New Roman"/>
                <w:sz w:val="26"/>
                <w:szCs w:val="26"/>
                <w:color w:val="auto"/>
                <w:vertAlign w:val="superscript"/>
              </w:rPr>
              <w:t>(7)</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2,282,815</w:t>
            </w:r>
            <w:r>
              <w:rPr>
                <w:rFonts w:ascii="Times New Roman" w:cs="Times New Roman" w:eastAsia="Times New Roman" w:hAnsi="Times New Roman"/>
                <w:sz w:val="26"/>
                <w:szCs w:val="26"/>
                <w:color w:val="auto"/>
                <w:vertAlign w:val="superscript"/>
              </w:rPr>
              <w:t>(7)</w:t>
            </w:r>
          </w:p>
        </w:tc>
      </w:tr>
    </w:tbl>
    <w:p>
      <w:pPr>
        <w:spacing w:after="0" w:line="86" w:lineRule="exact"/>
        <w:rPr>
          <w:sz w:val="20"/>
          <w:szCs w:val="20"/>
          <w:color w:val="auto"/>
        </w:rPr>
      </w:pPr>
    </w:p>
    <w:p>
      <w:pPr>
        <w:ind w:left="860" w:right="220" w:hanging="474"/>
        <w:spacing w:after="0" w:line="257"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43,814,778 Ordinary Shares outstanding, which includes (i) the 43,786,873 Ordinary Shares outstanding as of June 30, 2024 and (ii) 27,905, the number of Ordinary Shares that such person or group has the right to acquire within 60 days of December 11, 2024.</w:t>
      </w:r>
    </w:p>
    <w:p>
      <w:pPr>
        <w:spacing w:after="0" w:line="1" w:lineRule="exact"/>
        <w:rPr>
          <w:rFonts w:ascii="Times New Roman" w:cs="Times New Roman" w:eastAsia="Times New Roman" w:hAnsi="Times New Roman"/>
          <w:sz w:val="18"/>
          <w:szCs w:val="18"/>
          <w:color w:val="auto"/>
        </w:rPr>
      </w:pPr>
    </w:p>
    <w:p>
      <w:pPr>
        <w:ind w:left="860" w:right="700" w:hanging="474"/>
        <w:spacing w:after="0" w:line="250"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43,786,873 Ordinary Shares outstanding, which includes 43,786,873 Ordinary Shares outstanding as of June 30, 2024.</w:t>
      </w:r>
    </w:p>
    <w:p>
      <w:pPr>
        <w:ind w:left="860" w:hanging="474"/>
        <w:spacing w:after="0"/>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27,905 Class A Ordinary Shares that are issuable upon exercise of options held in trust by Mr. Jian Tang.</w:t>
      </w:r>
    </w:p>
    <w:p>
      <w:pPr>
        <w:spacing w:after="0" w:line="9" w:lineRule="exact"/>
        <w:rPr>
          <w:rFonts w:ascii="Times New Roman" w:cs="Times New Roman" w:eastAsia="Times New Roman" w:hAnsi="Times New Roman"/>
          <w:sz w:val="18"/>
          <w:szCs w:val="18"/>
          <w:color w:val="auto"/>
        </w:rPr>
      </w:pPr>
    </w:p>
    <w:p>
      <w:pPr>
        <w:ind w:left="860" w:right="300" w:hanging="474"/>
        <w:spacing w:after="0" w:line="250"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396,295 Class A Ordinary Shares held by Igomax Inc. and (ii) 2,102,263 Class B Ordinary Shares held by Igomax Inc.. Mr. Jian Tang is the sole director and shareholder of Igomax Inc..</w:t>
      </w:r>
    </w:p>
    <w:p>
      <w:pPr>
        <w:ind w:left="860" w:hanging="474"/>
        <w:spacing w:after="0"/>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396,295 Class A Ordinary Shares held by Igomax Inc. and (ii) 2,102,263 Class B Ordinary Shares held by Igomax Inc..</w:t>
      </w:r>
    </w:p>
    <w:p>
      <w:pPr>
        <w:spacing w:after="0" w:line="9"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241,295 Class A Ordinary Shares held directly by Mr. Wing Hong Sammy Hsieh.</w:t>
      </w:r>
    </w:p>
    <w:p>
      <w:pPr>
        <w:spacing w:after="0" w:line="9" w:lineRule="exact"/>
        <w:rPr>
          <w:rFonts w:ascii="Times New Roman" w:cs="Times New Roman" w:eastAsia="Times New Roman" w:hAnsi="Times New Roman"/>
          <w:sz w:val="18"/>
          <w:szCs w:val="18"/>
          <w:color w:val="auto"/>
        </w:rPr>
      </w:pPr>
    </w:p>
    <w:p>
      <w:pPr>
        <w:ind w:left="860" w:right="520" w:hanging="474"/>
        <w:spacing w:after="0" w:line="260"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2,282,815 Class B Ordinary Shares held by Bubinga Holdings Limited. Mr. Wing Hong Sammy Hsieh is the sole director and shareholder of Bubinga Holdings Limited.</w:t>
      </w:r>
    </w:p>
    <w:p>
      <w:pPr>
        <w:spacing w:after="0" w:line="181" w:lineRule="exact"/>
        <w:rPr>
          <w:rFonts w:ascii="Times New Roman" w:cs="Times New Roman" w:eastAsia="Times New Roman" w:hAnsi="Times New Roman"/>
          <w:sz w:val="18"/>
          <w:szCs w:val="18"/>
          <w:color w:val="auto"/>
        </w:rPr>
      </w:pPr>
    </w:p>
    <w:p>
      <w:pPr>
        <w:ind w:right="480" w:firstLine="8"/>
        <w:spacing w:after="0" w:line="282" w:lineRule="auto"/>
        <w:tabs>
          <w:tab w:leader="none" w:pos="24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13D/A, none of the Reporting Persons has effected any transaction in the Ordinary Shares during the 60 days preceding the date hereof.</w:t>
      </w:r>
    </w:p>
    <w:p>
      <w:pPr>
        <w:spacing w:after="0" w:line="161" w:lineRule="exact"/>
        <w:rPr>
          <w:rFonts w:ascii="Times New Roman" w:cs="Times New Roman" w:eastAsia="Times New Roman" w:hAnsi="Times New Roman"/>
          <w:sz w:val="18"/>
          <w:szCs w:val="18"/>
          <w:b w:val="1"/>
          <w:bCs w:val="1"/>
          <w:color w:val="auto"/>
        </w:rPr>
      </w:pPr>
    </w:p>
    <w:p>
      <w:pPr>
        <w:jc w:val="both"/>
        <w:ind w:right="300" w:firstLine="8"/>
        <w:spacing w:after="0" w:line="282" w:lineRule="auto"/>
        <w:tabs>
          <w:tab w:leader="none" w:pos="26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13D/A, to the best knowledge of the Reporting Persons, no other person has the right to receive or the power to direct the receipt of dividends from, or the proceeds from the sale of, the Class A Ordinary Shares beneficially owned by any of the Reporting Persons.</w:t>
      </w:r>
    </w:p>
    <w:p>
      <w:pPr>
        <w:spacing w:after="0" w:line="16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the Securities of the Issuer.</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disclosure under Item 3 and 4 is incorporated herein by reference in its entirety.</w:t>
      </w:r>
    </w:p>
    <w:p>
      <w:pPr>
        <w:spacing w:after="0" w:line="225" w:lineRule="exact"/>
        <w:rPr>
          <w:sz w:val="20"/>
          <w:szCs w:val="20"/>
          <w:color w:val="auto"/>
        </w:rPr>
      </w:pPr>
    </w:p>
    <w:p>
      <w:pPr>
        <w:ind w:left="20" w:right="180"/>
        <w:spacing w:after="0" w:line="261" w:lineRule="auto"/>
        <w:rPr>
          <w:sz w:val="20"/>
          <w:szCs w:val="20"/>
          <w:color w:val="auto"/>
        </w:rPr>
      </w:pPr>
      <w:r>
        <w:rPr>
          <w:rFonts w:ascii="Times New Roman" w:cs="Times New Roman" w:eastAsia="Times New Roman" w:hAnsi="Times New Roman"/>
          <w:sz w:val="18"/>
          <w:szCs w:val="18"/>
          <w:color w:val="auto"/>
        </w:rPr>
        <w:t>To the best knowledge of the Reporting Persons, except as provided herein, there are no other contracts, arrangements, understandings or relationships (legal or otherwise) between the Reporting Persons and between any of the Reporting Persons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4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80" w:type="dxa"/>
            <w:vAlign w:val="bottom"/>
            <w:tcBorders>
              <w:top w:val="single" w:sz="8" w:color="auto"/>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Joint Filing Agreement, dated December 11, 2024, by and among Reporting Persons (filed herewith).</w:t>
            </w:r>
          </w:p>
        </w:tc>
        <w:tc>
          <w:tcPr>
            <w:tcW w:w="2700" w:type="dxa"/>
            <w:vAlign w:val="bottom"/>
            <w:tcBorders>
              <w:top w:val="single" w:sz="8" w:color="auto"/>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412"/>
        </w:trPr>
        <w:tc>
          <w:tcPr>
            <w:tcW w:w="320" w:type="dxa"/>
            <w:vAlign w:val="bottom"/>
          </w:tcPr>
          <w:p>
            <w:pPr>
              <w:spacing w:after="0"/>
              <w:rPr>
                <w:rFonts w:ascii="Times New Roman" w:cs="Times New Roman" w:eastAsia="Times New Roman" w:hAnsi="Times New Roman"/>
                <w:sz w:val="18"/>
                <w:szCs w:val="18"/>
                <w:color w:val="0000EE"/>
                <w:w w:val="95"/>
              </w:rPr>
            </w:pPr>
            <w:hyperlink r:id="rId27">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hyperlink>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20" w:type="dxa"/>
            <w:vAlign w:val="bottom"/>
            <w:gridSpan w:val="8"/>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Agreement and Plan of Merger, dated as of November 29, 2024, by and among iClick Interactive Asia Group Limited, Overlord Merger</w:t>
              </w:r>
            </w:hyperlink>
          </w:p>
        </w:tc>
      </w:tr>
      <w:tr>
        <w:trPr>
          <w:trHeight w:val="20"/>
        </w:trPr>
        <w:tc>
          <w:tcPr>
            <w:tcW w:w="320" w:type="dxa"/>
            <w:vAlign w:val="bottom"/>
            <w:tcBorders>
              <w:bottom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76"/>
        </w:trPr>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Borders>
              <w:bottom w:val="single" w:sz="8" w:color="0000EE"/>
            </w:tcBorders>
            <w:gridSpan w:val="7"/>
          </w:tcPr>
          <w:p>
            <w:pPr>
              <w:spacing w:after="0" w:line="17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Sub Ltd., and Amber DWM Holding Limited, incorporated herein by reference to Exhibit 99.2 to the Report on Form 6-K furnished by the</w:t>
              </w:r>
            </w:hyperlink>
          </w:p>
        </w:tc>
        <w:tc>
          <w:tcPr>
            <w:tcW w:w="20" w:type="dxa"/>
            <w:vAlign w:val="bottom"/>
          </w:tcPr>
          <w:p>
            <w:pPr>
              <w:spacing w:after="0"/>
              <w:rPr>
                <w:sz w:val="15"/>
                <w:szCs w:val="15"/>
                <w:color w:val="auto"/>
              </w:rPr>
            </w:pPr>
          </w:p>
        </w:tc>
      </w:tr>
      <w:tr>
        <w:trPr>
          <w:trHeight w:val="196"/>
        </w:trPr>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Issuer to the SEC on November 29, 2024.</w:t>
              </w:r>
            </w:hyperlink>
          </w:p>
        </w:tc>
        <w:tc>
          <w:tcPr>
            <w:tcW w:w="7020" w:type="dxa"/>
            <w:vAlign w:val="bottom"/>
            <w:gridSpan w:val="6"/>
          </w:tcPr>
          <w:p>
            <w:pPr>
              <w:spacing w:after="0"/>
              <w:rPr>
                <w:sz w:val="17"/>
                <w:szCs w:val="17"/>
                <w:color w:val="auto"/>
              </w:rPr>
            </w:pPr>
          </w:p>
        </w:tc>
      </w:tr>
      <w:tr>
        <w:trPr>
          <w:trHeight w:val="412"/>
        </w:trPr>
        <w:tc>
          <w:tcPr>
            <w:tcW w:w="320" w:type="dxa"/>
            <w:vAlign w:val="bottom"/>
          </w:tcPr>
          <w:p>
            <w:pPr>
              <w:spacing w:after="0"/>
              <w:rPr>
                <w:rFonts w:ascii="Times New Roman" w:cs="Times New Roman" w:eastAsia="Times New Roman" w:hAnsi="Times New Roman"/>
                <w:sz w:val="18"/>
                <w:szCs w:val="18"/>
                <w:color w:val="0000EE"/>
                <w:w w:val="95"/>
              </w:rPr>
            </w:pPr>
            <w:hyperlink r:id="rId29">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hyperlink>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20" w:type="dxa"/>
            <w:vAlign w:val="bottom"/>
            <w:gridSpan w:val="8"/>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Voting Agreement, dated as of November 29, 2024, by and among iClick Interactive Asia Group Limited, Amber DWM Holding Limited,</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gridSpan w:val="8"/>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and certain shareholders of iClick Interactive Asia Group Limited, incorporated herein by reference to Exhibit 99.3 to the Report on Form</w:t>
              </w:r>
            </w:hyperlink>
          </w:p>
        </w:tc>
      </w:tr>
      <w:tr>
        <w:trPr>
          <w:trHeight w:val="196"/>
        </w:trPr>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6-K furnished by the Issuer to the SEC on November 29, 2024.</w:t>
              </w:r>
            </w:hyperlink>
          </w:p>
        </w:tc>
        <w:tc>
          <w:tcPr>
            <w:tcW w:w="60" w:type="dxa"/>
            <w:vAlign w:val="bottom"/>
            <w:gridSpan w:val="2"/>
          </w:tcPr>
          <w:p>
            <w:pPr>
              <w:spacing w:after="0"/>
              <w:rPr>
                <w:sz w:val="17"/>
                <w:szCs w:val="17"/>
                <w:color w:val="auto"/>
              </w:rPr>
            </w:pPr>
          </w:p>
        </w:tc>
      </w:tr>
      <w:tr>
        <w:trPr>
          <w:trHeight w:val="696"/>
        </w:trPr>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80" w:type="dxa"/>
            <w:vAlign w:val="bottom"/>
            <w:tcBorders>
              <w:top w:val="single" w:sz="8" w:color="0000EE"/>
              <w:bottom w:val="single" w:sz="8" w:color="auto"/>
            </w:tcBorders>
          </w:tcPr>
          <w:p>
            <w:pPr>
              <w:spacing w:after="0"/>
              <w:rPr>
                <w:sz w:val="24"/>
                <w:szCs w:val="24"/>
                <w:color w:val="auto"/>
              </w:rPr>
            </w:pPr>
          </w:p>
        </w:tc>
        <w:tc>
          <w:tcPr>
            <w:tcW w:w="1540" w:type="dxa"/>
            <w:vAlign w:val="bottom"/>
            <w:tcBorders>
              <w:top w:val="single" w:sz="8" w:color="0000EE"/>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JIAN TANG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IGOMAX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Jian Tang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WING HONG SAMMY HSIEH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BUBINGA HOLDINGS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Wing Hong Sammy Hsieh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260" w:firstLine="396"/>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13D/A referred to below) on behalf of each of them of a statement on Schedule 13D/A (including amendments thereto executed by each of them) with respect to the Class A ordinary shares, par value of $0.001 per share, of iClick Interactive Asia Group Limited, a company incorporated in the Cayman Islands, and that this Agreement may be included as an exhibit to such joint filing.</w:t>
      </w:r>
    </w:p>
    <w:p>
      <w:pPr>
        <w:spacing w:after="0" w:line="183" w:lineRule="exact"/>
        <w:rPr>
          <w:sz w:val="20"/>
          <w:szCs w:val="20"/>
          <w:color w:val="auto"/>
        </w:rPr>
      </w:pPr>
    </w:p>
    <w:p>
      <w:pPr>
        <w:jc w:val="both"/>
        <w:ind w:right="120" w:firstLine="396"/>
        <w:spacing w:after="0" w:line="266" w:lineRule="auto"/>
        <w:rPr>
          <w:sz w:val="20"/>
          <w:szCs w:val="20"/>
          <w:color w:val="auto"/>
        </w:rPr>
      </w:pPr>
      <w:r>
        <w:rPr>
          <w:rFonts w:ascii="Times New Roman" w:cs="Times New Roman" w:eastAsia="Times New Roman" w:hAnsi="Times New Roman"/>
          <w:sz w:val="18"/>
          <w:szCs w:val="18"/>
          <w:color w:val="auto"/>
        </w:rPr>
        <w:t>Each of the undersigned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6" w:lineRule="exact"/>
        <w:rPr>
          <w:sz w:val="20"/>
          <w:szCs w:val="20"/>
          <w:color w:val="auto"/>
        </w:rPr>
      </w:pPr>
    </w:p>
    <w:p>
      <w:pPr>
        <w:ind w:right="360" w:firstLine="396"/>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two or more counterparts, each of which shall be deemed an original but all of which together will constitute one and the same instrument.</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on December 11,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Jian Tang</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Igomax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Jian Tang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Wing Hong Sammy Hsieh</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BUBINGA HOLDINGS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Wing Hong Sammy Hsieh</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Wing Hong Sammy Hsieh</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
    <w:nsid w:val="1F16E9E8"/>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
    <w:nsid w:val="1190CDE7"/>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3">
    <w:nsid w:val="66EF438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
    <w:nsid w:val="140E0F7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3352255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6">
    <w:nsid w:val="109CF92E"/>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7">
    <w:nsid w:val="DED726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8">
    <w:nsid w:val="7FDCC2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9">
    <w:nsid w:val="1BEFD79F"/>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0">
    <w:nsid w:val="41A7C4C9"/>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1">
    <w:nsid w:val="6B68079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2">
    <w:nsid w:val="4E6AFB6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3">
    <w:nsid w:val="25E45D3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4">
    <w:nsid w:val="519B500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5">
    <w:nsid w:val="431BD7B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6">
    <w:nsid w:val="3F2DBA31"/>
    <w:multiLevelType w:val="hybridMultilevel"/>
    <w:lvl w:ilvl="0">
      <w:lvlJc w:val="left"/>
      <w:lvlText w:val="(%1)"/>
      <w:numFmt w:val="lowerRoman"/>
      <w:start w:val="4"/>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lvl w:ilvl="1">
      <w:lvlJc w:val="left"/>
      <w:lvlText w:val="(%2)"/>
      <w:numFmt w:val="decimal"/>
      <w:start w:val="1"/>
    </w:lvl>
  </w:abstractNum>
  <w:abstractNum w:abstractNumId="19">
    <w:nsid w:val="62BBD95A"/>
    <w:multiLevelType w:val="hybridMultilevel"/>
    <w:lvl w:ilvl="0">
      <w:lvlJc w:val="left"/>
      <w:lvlText w:val="(%1)"/>
      <w:numFmt w:val="lowerLetter"/>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27" Type="http://schemas.openxmlformats.org/officeDocument/2006/relationships/hyperlink" Target="https://www.sec.gov/Archives/edgar/data/1697818/000110465924124155/tm2429824d1_ex99-2.htm" TargetMode="External"/><Relationship Id="rId29" Type="http://schemas.openxmlformats.org/officeDocument/2006/relationships/hyperlink" Target="https://www.sec.gov/Archives/edgar/data/1697818/000110465924124155/tm2429824d1_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2024-12-11T06:20:20Z</dcterms:created>
  <dcterms:modified xsi:type="dcterms:W3CDTF">2024-12-11T06:20:20Z</dcterms:modified>
</cp:coreProperties>
</file>