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July 13, 2017.</w:t>
      </w:r>
    </w:p>
    <w:p>
      <w:pPr>
        <w:spacing w:after="0" w:line="4" w:lineRule="exact"/>
        <w:rPr>
          <w:sz w:val="24"/>
          <w:szCs w:val="24"/>
          <w:color w:val="auto"/>
        </w:rPr>
      </w:pPr>
    </w:p>
    <w:p>
      <w:pPr>
        <w:ind w:left="8880"/>
        <w:spacing w:after="0"/>
        <w:rPr>
          <w:sz w:val="20"/>
          <w:szCs w:val="20"/>
          <w:color w:val="auto"/>
        </w:rPr>
      </w:pPr>
      <w:r>
        <w:rPr>
          <w:rFonts w:ascii="Arial" w:cs="Arial" w:eastAsia="Arial" w:hAnsi="Arial"/>
          <w:sz w:val="12"/>
          <w:szCs w:val="12"/>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p>
      <w:pPr>
        <w:spacing w:after="0" w:line="386"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7372</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Not Applicable</w:t>
      </w:r>
    </w:p>
    <w:p>
      <w:pPr>
        <w:spacing w:after="0" w:line="36" w:lineRule="exact"/>
        <w:rPr>
          <w:sz w:val="24"/>
          <w:szCs w:val="24"/>
          <w:color w:val="auto"/>
        </w:rPr>
      </w:pPr>
    </w:p>
    <w:p>
      <w:pPr>
        <w:sectPr>
          <w:pgSz w:w="11900" w:h="16838" w:orient="portrait"/>
          <w:cols w:equalWidth="0" w:num="3">
            <w:col w:w="4960" w:space="720"/>
            <w:col w:w="2680" w:space="720"/>
            <w:col w:w="2240"/>
          </w:cols>
          <w:pgMar w:left="240" w:top="230" w:right="3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5" w:lineRule="exact"/>
        <w:rPr>
          <w:sz w:val="24"/>
          <w:szCs w:val="24"/>
          <w:color w:val="auto"/>
        </w:rPr>
      </w:pPr>
    </w:p>
    <w:p>
      <w:pPr>
        <w:sectPr>
          <w:pgSz w:w="11900" w:h="16838" w:orient="portrait"/>
          <w:cols w:equalWidth="0" w:num="3">
            <w:col w:w="4200" w:space="720"/>
            <w:col w:w="3400" w:space="720"/>
            <w:col w:w="2280"/>
          </w:cols>
          <w:pgMar w:left="240" w:top="230" w:right="339" w:bottom="1440" w:gutter="0" w:footer="0" w:header="0"/>
          <w:type w:val="continuous"/>
        </w:sectPr>
      </w:pPr>
    </w:p>
    <w:p>
      <w:pPr>
        <w:ind w:left="5580"/>
        <w:spacing w:after="0"/>
        <w:rPr>
          <w:sz w:val="20"/>
          <w:szCs w:val="20"/>
          <w:color w:val="auto"/>
        </w:rPr>
      </w:pPr>
      <w:r>
        <w:rPr>
          <w:rFonts w:ascii="Arial" w:cs="Arial" w:eastAsia="Arial" w:hAnsi="Arial"/>
          <w:sz w:val="14"/>
          <w:szCs w:val="14"/>
          <w:b w:val="1"/>
          <w:bCs w:val="1"/>
          <w:color w:val="auto"/>
        </w:rPr>
        <w:t>15/F</w:t>
      </w:r>
    </w:p>
    <w:p>
      <w:pPr>
        <w:ind w:left="4900"/>
        <w:spacing w:after="0" w:line="226" w:lineRule="auto"/>
        <w:rPr>
          <w:sz w:val="20"/>
          <w:szCs w:val="20"/>
          <w:color w:val="auto"/>
        </w:rPr>
      </w:pPr>
      <w:r>
        <w:rPr>
          <w:rFonts w:ascii="Arial" w:cs="Arial" w:eastAsia="Arial" w:hAnsi="Arial"/>
          <w:sz w:val="14"/>
          <w:szCs w:val="14"/>
          <w:b w:val="1"/>
          <w:bCs w:val="1"/>
          <w:color w:val="auto"/>
        </w:rPr>
        <w:t>Prosperity Millennia Plaza</w:t>
      </w:r>
    </w:p>
    <w:p>
      <w:pPr>
        <w:ind w:left="4800"/>
        <w:spacing w:after="0" w:line="222" w:lineRule="auto"/>
        <w:rPr>
          <w:sz w:val="20"/>
          <w:szCs w:val="20"/>
          <w:color w:val="auto"/>
        </w:rPr>
      </w:pPr>
      <w:r>
        <w:rPr>
          <w:rFonts w:ascii="Arial" w:cs="Arial" w:eastAsia="Arial" w:hAnsi="Arial"/>
          <w:sz w:val="14"/>
          <w:szCs w:val="14"/>
          <w:b w:val="1"/>
          <w:bCs w:val="1"/>
          <w:color w:val="auto"/>
        </w:rPr>
        <w:t>663 King’s Road, Quarry Bay</w:t>
      </w:r>
    </w:p>
    <w:p>
      <w:pPr>
        <w:ind w:left="4280"/>
        <w:spacing w:after="0"/>
        <w:rPr>
          <w:sz w:val="20"/>
          <w:szCs w:val="20"/>
          <w:color w:val="auto"/>
        </w:rPr>
      </w:pPr>
      <w:r>
        <w:rPr>
          <w:rFonts w:ascii="Arial" w:cs="Arial" w:eastAsia="Arial" w:hAnsi="Arial"/>
          <w:sz w:val="13"/>
          <w:szCs w:val="13"/>
          <w:b w:val="1"/>
          <w:bCs w:val="1"/>
          <w:color w:val="auto"/>
        </w:rPr>
        <w:t>Hong Kong S.A.R., People’s Republic of China</w:t>
      </w:r>
    </w:p>
    <w:p>
      <w:pPr>
        <w:ind w:left="5100"/>
        <w:spacing w:after="0"/>
        <w:rPr>
          <w:sz w:val="20"/>
          <w:szCs w:val="20"/>
          <w:color w:val="auto"/>
        </w:rPr>
      </w:pPr>
      <w:r>
        <w:rPr>
          <w:rFonts w:ascii="Arial" w:cs="Arial" w:eastAsia="Arial" w:hAnsi="Arial"/>
          <w:sz w:val="14"/>
          <w:szCs w:val="14"/>
          <w:b w:val="1"/>
          <w:bCs w:val="1"/>
          <w:color w:val="auto"/>
        </w:rPr>
        <w:t>Tel: +852 3700 9000</w:t>
      </w:r>
    </w:p>
    <w:p>
      <w:pPr>
        <w:sectPr>
          <w:pgSz w:w="11900" w:h="16838" w:orient="portrait"/>
          <w:cols w:equalWidth="0" w:num="1">
            <w:col w:w="11320"/>
          </w:cols>
          <w:pgMar w:left="240" w:top="230" w:right="339" w:bottom="1440" w:gutter="0" w:footer="0" w:header="0"/>
          <w:type w:val="continuous"/>
        </w:sectPr>
      </w:pPr>
    </w:p>
    <w:p>
      <w:pPr>
        <w:jc w:val="center"/>
        <w:ind w:right="-99"/>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[Law Debenture Corporate Services, Inc.</w:t>
      </w:r>
    </w:p>
    <w:p>
      <w:pPr>
        <w:jc w:val="center"/>
        <w:ind w:right="-99"/>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ind w:right="-99"/>
        <w:spacing w:after="0" w:line="221" w:lineRule="auto"/>
        <w:rPr>
          <w:sz w:val="20"/>
          <w:szCs w:val="20"/>
          <w:color w:val="auto"/>
        </w:rPr>
      </w:pPr>
      <w:r>
        <w:rPr>
          <w:rFonts w:ascii="Arial" w:cs="Arial" w:eastAsia="Arial" w:hAnsi="Arial"/>
          <w:sz w:val="14"/>
          <w:szCs w:val="14"/>
          <w:b w:val="1"/>
          <w:bCs w:val="1"/>
          <w:color w:val="auto"/>
        </w:rPr>
        <w:t>(212) 750-6474]</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3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1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320"/>
          </w:cols>
          <w:pgMar w:left="240" w:top="2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5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80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0"/>
              </w:rPr>
              <w:t>Proposed</w:t>
            </w: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8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32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800" w:type="dxa"/>
            <w:vAlign w:val="bottom"/>
            <w:tcBorders>
              <w:right w:val="single" w:sz="8" w:color="auto"/>
            </w:tcBorders>
          </w:tcPr>
          <w:p>
            <w:pPr>
              <w:jc w:val="center"/>
              <w:ind w:right="1963"/>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84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4"/>
              </w:rPr>
              <w:t>Aggregate</w:t>
            </w:r>
          </w:p>
        </w:tc>
        <w:tc>
          <w:tcPr>
            <w:tcW w:w="320" w:type="dxa"/>
            <w:vAlign w:val="bottom"/>
          </w:tcPr>
          <w:p>
            <w:pPr>
              <w:spacing w:after="0"/>
              <w:rPr>
                <w:sz w:val="10"/>
                <w:szCs w:val="10"/>
                <w:color w:val="auto"/>
              </w:rPr>
            </w:pPr>
          </w:p>
        </w:tc>
        <w:tc>
          <w:tcPr>
            <w:tcW w:w="1460" w:type="dxa"/>
            <w:vAlign w:val="bottom"/>
          </w:tcPr>
          <w:p>
            <w:pPr>
              <w:jc w:val="center"/>
              <w:ind w:right="181"/>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2"/>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ind w:right="1963"/>
              <w:spacing w:after="0"/>
              <w:rPr>
                <w:sz w:val="20"/>
                <w:szCs w:val="20"/>
                <w:color w:val="auto"/>
              </w:rPr>
            </w:pPr>
            <w:r>
              <w:rPr>
                <w:rFonts w:ascii="Arial" w:cs="Arial" w:eastAsia="Arial" w:hAnsi="Arial"/>
                <w:sz w:val="11"/>
                <w:szCs w:val="11"/>
                <w:b w:val="1"/>
                <w:bCs w:val="1"/>
                <w:color w:val="auto"/>
                <w:w w:val="85"/>
              </w:rPr>
              <w:t>Securities to Be Registered</w:t>
            </w:r>
          </w:p>
        </w:tc>
        <w:tc>
          <w:tcPr>
            <w:tcW w:w="184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92"/>
              </w:rPr>
              <w:t>Offering Price</w:t>
            </w:r>
            <w:r>
              <w:rPr>
                <w:rFonts w:ascii="Arial" w:cs="Arial" w:eastAsia="Arial" w:hAnsi="Arial"/>
                <w:sz w:val="9"/>
                <w:szCs w:val="9"/>
                <w:b w:val="1"/>
                <w:bCs w:val="1"/>
                <w:color w:val="auto"/>
                <w:w w:val="92"/>
              </w:rPr>
              <w:t>(2)(3)</w:t>
            </w: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201"/>
              <w:spacing w:after="0"/>
              <w:rPr>
                <w:sz w:val="20"/>
                <w:szCs w:val="20"/>
                <w:color w:val="auto"/>
              </w:rPr>
            </w:pPr>
            <w:r>
              <w:rPr>
                <w:rFonts w:ascii="Arial" w:cs="Arial" w:eastAsia="Arial" w:hAnsi="Arial"/>
                <w:sz w:val="11"/>
                <w:szCs w:val="11"/>
                <w:b w:val="1"/>
                <w:bCs w:val="1"/>
                <w:color w:val="auto"/>
                <w:w w:val="88"/>
              </w:rPr>
              <w:t>Registration Fee</w:t>
            </w:r>
          </w:p>
        </w:tc>
      </w:tr>
      <w:tr>
        <w:trPr>
          <w:trHeight w:val="135"/>
        </w:trPr>
        <w:tc>
          <w:tcPr>
            <w:tcW w:w="20" w:type="dxa"/>
            <w:vAlign w:val="bottom"/>
            <w:tcBorders>
              <w:bottom w:val="single" w:sz="8" w:color="auto"/>
            </w:tcBorders>
          </w:tcPr>
          <w:p>
            <w:pPr>
              <w:spacing w:after="0"/>
              <w:rPr>
                <w:sz w:val="11"/>
                <w:szCs w:val="11"/>
                <w:color w:val="auto"/>
              </w:rPr>
            </w:pPr>
          </w:p>
        </w:tc>
        <w:tc>
          <w:tcPr>
            <w:tcW w:w="7780" w:type="dxa"/>
            <w:vAlign w:val="bottom"/>
            <w:tcBorders>
              <w:bottom w:val="single" w:sz="8" w:color="auto"/>
              <w:right w:val="single" w:sz="8" w:color="auto"/>
            </w:tcBorders>
            <w:gridSpan w:val="3"/>
          </w:tcPr>
          <w:p>
            <w:pPr>
              <w:spacing w:after="0" w:line="135" w:lineRule="exact"/>
              <w:rPr>
                <w:sz w:val="20"/>
                <w:szCs w:val="20"/>
                <w:color w:val="auto"/>
              </w:rPr>
            </w:pPr>
            <w:r>
              <w:rPr>
                <w:rFonts w:ascii="Arial" w:cs="Arial" w:eastAsia="Arial" w:hAnsi="Arial"/>
                <w:sz w:val="13"/>
                <w:szCs w:val="13"/>
                <w:color w:val="auto"/>
              </w:rPr>
              <w:t>Ordinary shares, par value US$0.001 per share</w:t>
            </w:r>
            <w:r>
              <w:rPr>
                <w:rFonts w:ascii="Arial" w:cs="Arial" w:eastAsia="Arial" w:hAnsi="Arial"/>
                <w:sz w:val="10"/>
                <w:szCs w:val="10"/>
                <w:color w:val="auto"/>
              </w:rPr>
              <w:t>(1)</w:t>
            </w:r>
          </w:p>
        </w:tc>
        <w:tc>
          <w:tcPr>
            <w:tcW w:w="1840" w:type="dxa"/>
            <w:vAlign w:val="bottom"/>
            <w:tcBorders>
              <w:bottom w:val="single" w:sz="8" w:color="auto"/>
              <w:right w:val="single" w:sz="8" w:color="auto"/>
            </w:tcBorders>
          </w:tcPr>
          <w:p>
            <w:pPr>
              <w:ind w:left="660"/>
              <w:spacing w:after="0" w:line="135" w:lineRule="exact"/>
              <w:rPr>
                <w:sz w:val="20"/>
                <w:szCs w:val="20"/>
                <w:color w:val="auto"/>
              </w:rPr>
            </w:pPr>
            <w:r>
              <w:rPr>
                <w:rFonts w:ascii="Arial" w:cs="Arial" w:eastAsia="Arial" w:hAnsi="Arial"/>
                <w:sz w:val="13"/>
                <w:szCs w:val="13"/>
                <w:color w:val="auto"/>
              </w:rPr>
              <w:t>US$</w:t>
            </w: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US$</w:t>
            </w:r>
          </w:p>
        </w:tc>
      </w:tr>
      <w:tr>
        <w:trPr>
          <w:trHeight w:val="20"/>
        </w:trPr>
        <w:tc>
          <w:tcPr>
            <w:tcW w:w="26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2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(1)</w:t>
            </w:r>
          </w:p>
        </w:tc>
        <w:tc>
          <w:tcPr>
            <w:tcW w:w="9700" w:type="dxa"/>
            <w:vAlign w:val="bottom"/>
            <w:tcBorders>
              <w:top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w w:val="88"/>
              </w:rPr>
              <w:t>American depositary shares issuable upon deposit of the ordinary shares registered hereby have been registered under a separate registration statement on Form F-6 (Registration No.333-</w:t>
            </w:r>
          </w:p>
        </w:tc>
        <w:tc>
          <w:tcPr>
            <w:tcW w:w="1460" w:type="dxa"/>
            <w:vAlign w:val="bottom"/>
            <w:tcBorders>
              <w:top w:val="single" w:sz="8" w:color="auto"/>
            </w:tcBorders>
          </w:tcPr>
          <w:p>
            <w:pPr>
              <w:ind w:left="280"/>
              <w:spacing w:after="0" w:line="115" w:lineRule="exact"/>
              <w:rPr>
                <w:sz w:val="20"/>
                <w:szCs w:val="20"/>
                <w:color w:val="auto"/>
              </w:rPr>
            </w:pPr>
            <w:r>
              <w:rPr>
                <w:rFonts w:ascii="Arial" w:cs="Arial" w:eastAsia="Arial" w:hAnsi="Arial"/>
                <w:sz w:val="13"/>
                <w:szCs w:val="13"/>
                <w:color w:val="auto"/>
              </w:rPr>
              <w:t>). Each American</w:t>
            </w:r>
          </w:p>
        </w:tc>
      </w:tr>
      <w:tr>
        <w:trPr>
          <w:trHeight w:val="145"/>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ind w:left="80"/>
              <w:spacing w:after="0" w:line="145" w:lineRule="exact"/>
              <w:rPr>
                <w:sz w:val="20"/>
                <w:szCs w:val="20"/>
                <w:color w:val="auto"/>
              </w:rPr>
            </w:pPr>
            <w:r>
              <w:rPr>
                <w:rFonts w:ascii="Arial" w:cs="Arial" w:eastAsia="Arial" w:hAnsi="Arial"/>
                <w:sz w:val="13"/>
                <w:szCs w:val="13"/>
                <w:color w:val="auto"/>
              </w:rPr>
              <w:t>depositary share represents</w:t>
            </w:r>
          </w:p>
        </w:tc>
        <w:tc>
          <w:tcPr>
            <w:tcW w:w="5800" w:type="dxa"/>
            <w:vAlign w:val="bottom"/>
          </w:tcPr>
          <w:p>
            <w:pPr>
              <w:ind w:left="280"/>
              <w:spacing w:after="0" w:line="145" w:lineRule="exact"/>
              <w:rPr>
                <w:sz w:val="20"/>
                <w:szCs w:val="20"/>
                <w:color w:val="auto"/>
              </w:rPr>
            </w:pPr>
            <w:r>
              <w:rPr>
                <w:rFonts w:ascii="Arial" w:cs="Arial" w:eastAsia="Arial" w:hAnsi="Arial"/>
                <w:sz w:val="13"/>
                <w:szCs w:val="13"/>
                <w:color w:val="auto"/>
              </w:rPr>
              <w:t>ordinary shares.</w:t>
            </w: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ind w:left="340" w:right="2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(i) ordinary shares that may be purchased by the underwriters pursuant to an over-allotment option and (ii)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ordinary shares are not being registered for the purposes of sales outside of the United States.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0"/>
          <w:szCs w:val="20"/>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tbl>
      <w:tblPr>
        <w:tblLayout w:type="fixed"/>
        <w:tblInd w:w="348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EB0029"/>
              </w:rPr>
              <w:t>, 2017</w:t>
            </w:r>
          </w:p>
        </w:tc>
      </w:tr>
      <w:tr>
        <w:trPr>
          <w:trHeight w:val="234"/>
        </w:trPr>
        <w:tc>
          <w:tcPr>
            <w:tcW w:w="3760" w:type="dxa"/>
            <w:vAlign w:val="bottom"/>
          </w:tcPr>
          <w:p>
            <w:pPr>
              <w:ind w:left="960"/>
              <w:spacing w:after="0"/>
              <w:rPr>
                <w:sz w:val="20"/>
                <w:szCs w:val="20"/>
                <w:color w:val="auto"/>
              </w:rPr>
            </w:pPr>
            <w:r>
              <w:rPr>
                <w:rFonts w:ascii="Arial" w:cs="Arial" w:eastAsia="Arial" w:hAnsi="Arial"/>
                <w:sz w:val="18"/>
                <w:szCs w:val="18"/>
                <w:b w:val="1"/>
                <w:bCs w:val="1"/>
                <w:color w:val="EB0029"/>
              </w:rPr>
              <w:t>PRELIMINARY PROSPECTUS</w:t>
            </w:r>
          </w:p>
        </w:tc>
        <w:tc>
          <w:tcPr>
            <w:tcW w:w="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5380" w:type="dxa"/>
            <w:vAlign w:val="bottom"/>
            <w:gridSpan w:val="2"/>
          </w:tcPr>
          <w:p>
            <w:pPr>
              <w:ind w:left="3660"/>
              <w:spacing w:after="0"/>
              <w:rPr>
                <w:sz w:val="20"/>
                <w:szCs w:val="20"/>
                <w:color w:val="auto"/>
              </w:rPr>
            </w:pPr>
            <w:r>
              <w:rPr>
                <w:rFonts w:ascii="Arial" w:cs="Arial" w:eastAsia="Arial" w:hAnsi="Arial"/>
                <w:sz w:val="25"/>
                <w:szCs w:val="25"/>
                <w:b w:val="1"/>
                <w:bCs w:val="1"/>
                <w:color w:val="auto"/>
              </w:rPr>
              <w:t>Representing</w:t>
            </w:r>
          </w:p>
        </w:tc>
        <w:tc>
          <w:tcPr>
            <w:tcW w:w="2520" w:type="dxa"/>
            <w:vAlign w:val="bottom"/>
            <w:gridSpan w:val="2"/>
          </w:tcPr>
          <w:p>
            <w:pPr>
              <w:ind w:left="580"/>
              <w:spacing w:after="0"/>
              <w:rPr>
                <w:sz w:val="20"/>
                <w:szCs w:val="20"/>
                <w:color w:val="auto"/>
              </w:rPr>
            </w:pPr>
            <w:r>
              <w:rPr>
                <w:rFonts w:ascii="Arial" w:cs="Arial" w:eastAsia="Arial" w:hAnsi="Arial"/>
                <w:sz w:val="25"/>
                <w:szCs w:val="25"/>
                <w:b w:val="1"/>
                <w:bCs w:val="1"/>
                <w:color w:val="auto"/>
                <w:w w:val="98"/>
              </w:rPr>
              <w:t>Ordinary Shares</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5"/>
        </w:trPr>
        <w:tc>
          <w:tcPr>
            <w:tcW w:w="45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1000" w:type="dxa"/>
            <w:vAlign w:val="bottom"/>
          </w:tcPr>
          <w:p>
            <w:pPr>
              <w:spacing w:after="0"/>
              <w:rPr>
                <w:sz w:val="24"/>
                <w:szCs w:val="24"/>
                <w:color w:val="auto"/>
              </w:rPr>
            </w:pPr>
          </w:p>
        </w:tc>
        <w:tc>
          <w:tcPr>
            <w:tcW w:w="24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411"/>
        </w:trPr>
        <w:tc>
          <w:tcPr>
            <w:tcW w:w="7900" w:type="dxa"/>
            <w:vAlign w:val="bottom"/>
            <w:gridSpan w:val="4"/>
          </w:tcPr>
          <w:p>
            <w:pPr>
              <w:ind w:left="460"/>
              <w:spacing w:after="0"/>
              <w:rPr>
                <w:sz w:val="20"/>
                <w:szCs w:val="20"/>
                <w:color w:val="auto"/>
              </w:rPr>
            </w:pPr>
            <w:r>
              <w:rPr>
                <w:rFonts w:ascii="Arial" w:cs="Arial" w:eastAsia="Arial" w:hAnsi="Arial"/>
                <w:sz w:val="18"/>
                <w:szCs w:val="18"/>
                <w:color w:val="auto"/>
              </w:rPr>
              <w:t>This is the initial public offering of our American Depositary Shares, or ADSs. We are selling</w:t>
            </w: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ADSs. Each ADS represents</w:t>
            </w:r>
          </w:p>
        </w:tc>
        <w:tc>
          <w:tcPr>
            <w:tcW w:w="980" w:type="dxa"/>
            <w:vAlign w:val="bottom"/>
          </w:tcPr>
          <w:p>
            <w:pPr>
              <w:ind w:left="520"/>
              <w:spacing w:after="0"/>
              <w:rPr>
                <w:sz w:val="20"/>
                <w:szCs w:val="20"/>
                <w:color w:val="auto"/>
              </w:rPr>
            </w:pPr>
            <w:r>
              <w:rPr>
                <w:rFonts w:ascii="Arial" w:cs="Arial" w:eastAsia="Arial" w:hAnsi="Arial"/>
                <w:sz w:val="18"/>
                <w:szCs w:val="18"/>
                <w:color w:val="auto"/>
                <w:w w:val="95"/>
              </w:rPr>
              <w:t>of our</w:t>
            </w:r>
          </w:p>
        </w:tc>
      </w:tr>
      <w:tr>
        <w:trPr>
          <w:trHeight w:val="230"/>
        </w:trPr>
        <w:tc>
          <w:tcPr>
            <w:tcW w:w="9020" w:type="dxa"/>
            <w:vAlign w:val="bottom"/>
            <w:gridSpan w:val="5"/>
          </w:tcPr>
          <w:p>
            <w:pPr>
              <w:spacing w:after="0"/>
              <w:rPr>
                <w:sz w:val="20"/>
                <w:szCs w:val="20"/>
                <w:color w:val="auto"/>
              </w:rPr>
            </w:pPr>
            <w:r>
              <w:rPr>
                <w:rFonts w:ascii="Arial" w:cs="Arial" w:eastAsia="Arial" w:hAnsi="Arial"/>
                <w:sz w:val="18"/>
                <w:szCs w:val="18"/>
                <w:color w:val="auto"/>
                <w:w w:val="95"/>
              </w:rPr>
              <w:t>ordinary shares, par value US$0.001 per share. We currently expect the initial public offering price to be between US$</w:t>
            </w:r>
          </w:p>
        </w:tc>
        <w:tc>
          <w:tcPr>
            <w:tcW w:w="1360" w:type="dxa"/>
            <w:vAlign w:val="bottom"/>
          </w:tcPr>
          <w:p>
            <w:pPr>
              <w:ind w:left="280"/>
              <w:spacing w:after="0"/>
              <w:rPr>
                <w:sz w:val="20"/>
                <w:szCs w:val="20"/>
                <w:color w:val="auto"/>
              </w:rPr>
            </w:pPr>
            <w:r>
              <w:rPr>
                <w:rFonts w:ascii="Arial" w:cs="Arial" w:eastAsia="Arial" w:hAnsi="Arial"/>
                <w:sz w:val="18"/>
                <w:szCs w:val="18"/>
                <w:color w:val="auto"/>
              </w:rPr>
              <w:t>and US$</w:t>
            </w:r>
          </w:p>
        </w:tc>
        <w:tc>
          <w:tcPr>
            <w:tcW w:w="980" w:type="dxa"/>
            <w:vAlign w:val="bottom"/>
          </w:tcPr>
          <w:p>
            <w:pPr>
              <w:ind w:left="300"/>
              <w:spacing w:after="0"/>
              <w:rPr>
                <w:sz w:val="20"/>
                <w:szCs w:val="20"/>
                <w:color w:val="auto"/>
              </w:rPr>
            </w:pPr>
            <w:r>
              <w:rPr>
                <w:rFonts w:ascii="Arial" w:cs="Arial" w:eastAsia="Arial" w:hAnsi="Arial"/>
                <w:sz w:val="18"/>
                <w:szCs w:val="18"/>
                <w:color w:val="auto"/>
                <w:w w:val="90"/>
              </w:rPr>
              <w:t>per ADS.</w:t>
            </w:r>
          </w:p>
        </w:tc>
      </w:tr>
      <w:tr>
        <w:trPr>
          <w:trHeight w:val="432"/>
        </w:trPr>
        <w:tc>
          <w:tcPr>
            <w:tcW w:w="5380" w:type="dxa"/>
            <w:vAlign w:val="bottom"/>
            <w:gridSpan w:val="2"/>
          </w:tcPr>
          <w:p>
            <w:pPr>
              <w:ind w:left="460"/>
              <w:spacing w:after="0"/>
              <w:rPr>
                <w:sz w:val="20"/>
                <w:szCs w:val="20"/>
                <w:color w:val="auto"/>
              </w:rPr>
            </w:pPr>
            <w:r>
              <w:rPr>
                <w:rFonts w:ascii="Arial" w:cs="Arial" w:eastAsia="Arial" w:hAnsi="Arial"/>
                <w:sz w:val="18"/>
                <w:szCs w:val="18"/>
                <w:color w:val="auto"/>
                <w:w w:val="99"/>
              </w:rPr>
              <w:t>We have granted the underwriters an option to purchase up to</w:t>
            </w:r>
          </w:p>
        </w:tc>
        <w:tc>
          <w:tcPr>
            <w:tcW w:w="3640" w:type="dxa"/>
            <w:vAlign w:val="bottom"/>
            <w:gridSpan w:val="3"/>
          </w:tcPr>
          <w:p>
            <w:pPr>
              <w:ind w:left="320"/>
              <w:spacing w:after="0"/>
              <w:rPr>
                <w:sz w:val="20"/>
                <w:szCs w:val="20"/>
                <w:color w:val="auto"/>
              </w:rPr>
            </w:pPr>
            <w:r>
              <w:rPr>
                <w:rFonts w:ascii="Arial" w:cs="Arial" w:eastAsia="Arial" w:hAnsi="Arial"/>
                <w:sz w:val="18"/>
                <w:szCs w:val="18"/>
                <w:color w:val="auto"/>
                <w:w w:val="99"/>
              </w:rPr>
              <w:t>additional ADSs to cover over-allotments.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will apply to have the ADSs listed on the [NASDAQ Global Market/New York Stock Exchange] under the symbol “ICLK”</w:t>
      </w:r>
    </w:p>
    <w:p>
      <w:pPr>
        <w:spacing w:after="0" w:line="17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16.</w:t>
      </w:r>
    </w:p>
    <w:p>
      <w:pPr>
        <w:spacing w:after="0" w:line="215"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Public</w:t>
            </w:r>
          </w:p>
        </w:tc>
        <w:tc>
          <w:tcPr>
            <w:tcW w:w="10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9"/>
              </w:rPr>
              <w:t>Underwriting</w:t>
            </w:r>
          </w:p>
        </w:tc>
        <w:tc>
          <w:tcPr>
            <w:tcW w:w="9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r>
      <w:tr>
        <w:trPr>
          <w:trHeight w:val="149"/>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1880" w:type="dxa"/>
            <w:vAlign w:val="bottom"/>
            <w:gridSpan w:val="2"/>
          </w:tcPr>
          <w:p>
            <w:pPr>
              <w:ind w:left="1000"/>
              <w:spacing w:after="0" w:line="149" w:lineRule="exact"/>
              <w:rPr>
                <w:sz w:val="20"/>
                <w:szCs w:val="20"/>
                <w:color w:val="auto"/>
              </w:rPr>
            </w:pPr>
            <w:r>
              <w:rPr>
                <w:rFonts w:ascii="Arial" w:cs="Arial" w:eastAsia="Arial" w:hAnsi="Arial"/>
                <w:sz w:val="14"/>
                <w:szCs w:val="14"/>
                <w:b w:val="1"/>
                <w:bCs w:val="1"/>
                <w:color w:val="auto"/>
                <w:w w:val="89"/>
              </w:rPr>
              <w:t>Discounts and</w:t>
            </w:r>
          </w:p>
        </w:tc>
        <w:tc>
          <w:tcPr>
            <w:tcW w:w="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before</w:t>
            </w:r>
          </w:p>
        </w:tc>
      </w:tr>
      <w:tr>
        <w:trPr>
          <w:trHeight w:val="17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1"/>
              </w:rPr>
              <w:t>Commissions</w:t>
            </w:r>
          </w:p>
        </w:tc>
        <w:tc>
          <w:tcPr>
            <w:tcW w:w="9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r>
      <w:tr>
        <w:trPr>
          <w:trHeight w:val="210"/>
        </w:trPr>
        <w:tc>
          <w:tcPr>
            <w:tcW w:w="92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880" w:type="dxa"/>
            <w:vAlign w:val="bottom"/>
            <w:gridSpan w:val="2"/>
          </w:tcPr>
          <w:p>
            <w:pPr>
              <w:ind w:left="980"/>
              <w:spacing w:after="0"/>
              <w:rPr>
                <w:sz w:val="20"/>
                <w:szCs w:val="20"/>
                <w:color w:val="auto"/>
              </w:rPr>
            </w:pPr>
            <w:r>
              <w:rPr>
                <w:rFonts w:ascii="Arial" w:cs="Arial" w:eastAsia="Arial" w:hAnsi="Arial"/>
                <w:sz w:val="18"/>
                <w:szCs w:val="18"/>
                <w:color w:val="auto"/>
              </w:rPr>
              <w:t>US$</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US$</w:t>
            </w:r>
          </w:p>
        </w:tc>
      </w:tr>
      <w:tr>
        <w:trPr>
          <w:trHeight w:val="418"/>
        </w:trPr>
        <w:tc>
          <w:tcPr>
            <w:tcW w:w="5820" w:type="dxa"/>
            <w:vAlign w:val="bottom"/>
            <w:gridSpan w:val="4"/>
          </w:tcPr>
          <w:p>
            <w:pPr>
              <w:spacing w:after="0"/>
              <w:rPr>
                <w:sz w:val="20"/>
                <w:szCs w:val="20"/>
                <w:color w:val="auto"/>
              </w:rPr>
            </w:pPr>
            <w:r>
              <w:rPr>
                <w:rFonts w:ascii="Arial" w:cs="Arial" w:eastAsia="Arial" w:hAnsi="Arial"/>
                <w:sz w:val="18"/>
                <w:szCs w:val="18"/>
                <w:color w:val="auto"/>
              </w:rPr>
              <w:t>The underwriters expect to deliver the ADSs to purchasers on or about</w:t>
            </w:r>
          </w:p>
        </w:tc>
        <w:tc>
          <w:tcPr>
            <w:tcW w:w="1000" w:type="dxa"/>
            <w:vAlign w:val="bottom"/>
          </w:tcPr>
          <w:p>
            <w:pPr>
              <w:jc w:val="right"/>
              <w:ind w:right="396"/>
              <w:spacing w:after="0"/>
              <w:rPr>
                <w:sz w:val="20"/>
                <w:szCs w:val="20"/>
                <w:color w:val="auto"/>
              </w:rPr>
            </w:pPr>
            <w:r>
              <w:rPr>
                <w:rFonts w:ascii="Arial" w:cs="Arial" w:eastAsia="Arial" w:hAnsi="Arial"/>
                <w:sz w:val="18"/>
                <w:szCs w:val="18"/>
                <w:color w:val="auto"/>
                <w:w w:val="90"/>
              </w:rPr>
              <w:t>, 2017.</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1260475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tabs>
          <w:tab w:leader="none" w:pos="1012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254635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380"/>
          </w:cols>
          <w:pgMar w:left="240" w:top="459" w:right="2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Page intentionally left blank for graphics</w:t>
      </w:r>
      <w:r>
        <w:rPr>
          <w:rFonts w:ascii="Arial" w:cs="Arial" w:eastAsia="Arial" w:hAnsi="Arial"/>
          <w:sz w:val="18"/>
          <w:szCs w:val="18"/>
          <w:b w:val="1"/>
          <w:bCs w:val="1"/>
          <w:color w:val="auto"/>
        </w:rPr>
        <w:t>]</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3560" w:type="dxa"/>
            <w:vAlign w:val="bottom"/>
            <w:gridSpan w:val="8"/>
            <w:vMerge w:val="restart"/>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640" w:type="dxa"/>
            <w:vAlign w:val="bottom"/>
            <w:gridSpan w:val="3"/>
            <w:vMerge w:val="restart"/>
          </w:tcPr>
          <w:p>
            <w:pPr>
              <w:spacing w:after="0"/>
              <w:rPr>
                <w:rFonts w:ascii="Arial" w:cs="Arial" w:eastAsia="Arial" w:hAnsi="Arial"/>
                <w:sz w:val="18"/>
                <w:szCs w:val="18"/>
                <w:color w:val="0000EE"/>
                <w:w w:val="84"/>
              </w:rPr>
            </w:pPr>
            <w:hyperlink w:anchor="page116">
              <w:r>
                <w:rPr>
                  <w:rFonts w:ascii="Arial" w:cs="Arial" w:eastAsia="Arial" w:hAnsi="Arial"/>
                  <w:sz w:val="18"/>
                  <w:szCs w:val="18"/>
                  <w:color w:val="0000EE"/>
                  <w:w w:val="84"/>
                </w:rPr>
                <w:t>Business</w:t>
              </w:r>
            </w:hyperlink>
          </w:p>
        </w:tc>
        <w:tc>
          <w:tcPr>
            <w:tcW w:w="4440" w:type="dxa"/>
            <w:vAlign w:val="bottom"/>
            <w:gridSpan w:val="11"/>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6"/>
            <w:vMerge w:val="continue"/>
          </w:tcPr>
          <w:p>
            <w:pPr>
              <w:spacing w:after="0"/>
              <w:rPr>
                <w:sz w:val="14"/>
                <w:szCs w:val="14"/>
                <w:color w:val="auto"/>
              </w:rPr>
            </w:pPr>
          </w:p>
        </w:tc>
        <w:tc>
          <w:tcPr>
            <w:tcW w:w="356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4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4180" w:type="dxa"/>
            <w:vAlign w:val="bottom"/>
            <w:gridSpan w:val="11"/>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16</w:t>
            </w:r>
          </w:p>
        </w:tc>
        <w:tc>
          <w:tcPr>
            <w:tcW w:w="5080" w:type="dxa"/>
            <w:vAlign w:val="bottom"/>
            <w:gridSpan w:val="1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Regulation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Special Note Regarding Forward-Looking Statements and</w:t>
              </w:r>
            </w:hyperlink>
          </w:p>
        </w:tc>
        <w:tc>
          <w:tcPr>
            <w:tcW w:w="9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44">
              <w:r>
                <w:rPr>
                  <w:rFonts w:ascii="Arial" w:cs="Arial" w:eastAsia="Arial" w:hAnsi="Arial"/>
                  <w:sz w:val="18"/>
                  <w:szCs w:val="18"/>
                  <w:color w:val="0000EE"/>
                  <w:w w:val="87"/>
                </w:rPr>
                <w:t>Management</w:t>
              </w:r>
            </w:hyperlink>
          </w:p>
        </w:tc>
        <w:tc>
          <w:tcPr>
            <w:tcW w:w="4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Industry Data</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58</w:t>
            </w:r>
          </w:p>
        </w:tc>
        <w:tc>
          <w:tcPr>
            <w:tcW w:w="5080" w:type="dxa"/>
            <w:vAlign w:val="bottom"/>
            <w:gridSpan w:val="1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Principal Shareholders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59</w:t>
            </w:r>
          </w:p>
        </w:tc>
        <w:tc>
          <w:tcPr>
            <w:tcW w:w="5080" w:type="dxa"/>
            <w:vAlign w:val="bottom"/>
            <w:gridSpan w:val="14"/>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60</w:t>
            </w:r>
          </w:p>
        </w:tc>
        <w:tc>
          <w:tcPr>
            <w:tcW w:w="5080" w:type="dxa"/>
            <w:vAlign w:val="bottom"/>
            <w:gridSpan w:val="1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Description of Share Capital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Capitalization</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61</w:t>
            </w:r>
          </w:p>
        </w:tc>
        <w:tc>
          <w:tcPr>
            <w:tcW w:w="5080" w:type="dxa"/>
            <w:vAlign w:val="bottom"/>
            <w:gridSpan w:val="1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Description of American Depositary Shares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4080" w:type="dxa"/>
            <w:vAlign w:val="bottom"/>
            <w:gridSpan w:val="10"/>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63</w:t>
            </w:r>
          </w:p>
        </w:tc>
        <w:tc>
          <w:tcPr>
            <w:tcW w:w="2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Shares Eligible for Future Sale</w:t>
              </w:r>
            </w:hyperlink>
          </w:p>
        </w:tc>
        <w:tc>
          <w:tcPr>
            <w:tcW w:w="920" w:type="dxa"/>
            <w:vAlign w:val="bottom"/>
            <w:tcBorders>
              <w:top w:val="single" w:sz="8" w:color="0000EE"/>
            </w:tcBorders>
            <w:gridSpan w:val="2"/>
          </w:tcPr>
          <w:p>
            <w:pPr>
              <w:spacing w:after="0"/>
              <w:rPr>
                <w:sz w:val="17"/>
                <w:szCs w:val="17"/>
                <w:color w:val="auto"/>
              </w:rPr>
            </w:pPr>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 Information</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65</w:t>
            </w:r>
          </w:p>
        </w:tc>
        <w:tc>
          <w:tcPr>
            <w:tcW w:w="5080" w:type="dxa"/>
            <w:vAlign w:val="bottom"/>
            <w:gridSpan w:val="14"/>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Taxation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Enforceability of Civil Liabilities</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66</w:t>
            </w:r>
          </w:p>
        </w:tc>
        <w:tc>
          <w:tcPr>
            <w:tcW w:w="5080" w:type="dxa"/>
            <w:vAlign w:val="bottom"/>
            <w:gridSpan w:val="14"/>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Corporate History and Structure</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68</w:t>
            </w:r>
          </w:p>
        </w:tc>
        <w:tc>
          <w:tcPr>
            <w:tcW w:w="5080" w:type="dxa"/>
            <w:vAlign w:val="bottom"/>
            <w:gridSpan w:val="14"/>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Expenses Relating to This Offering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Selected Consolidated Financial and Other Data</w:t>
              </w:r>
            </w:hyperlink>
          </w:p>
        </w:tc>
        <w:tc>
          <w:tcPr>
            <w:tcW w:w="1620" w:type="dxa"/>
            <w:vAlign w:val="bottom"/>
            <w:gridSpan w:val="3"/>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74</w:t>
            </w: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Legal Matters</w:t>
              </w:r>
            </w:hyperlink>
          </w:p>
        </w:tc>
        <w:tc>
          <w:tcPr>
            <w:tcW w:w="40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and Results of Operations</w:t>
              </w:r>
            </w:hyperlink>
          </w:p>
        </w:tc>
        <w:tc>
          <w:tcPr>
            <w:tcW w:w="25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76</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1">
              <w:r>
                <w:rPr>
                  <w:rFonts w:ascii="Arial" w:cs="Arial" w:eastAsia="Arial" w:hAnsi="Arial"/>
                  <w:sz w:val="18"/>
                  <w:szCs w:val="18"/>
                  <w:color w:val="0000EE"/>
                  <w:w w:val="92"/>
                </w:rPr>
                <w:t>Where You Can Find Additional Information</w:t>
              </w:r>
            </w:hyperlink>
          </w:p>
        </w:tc>
        <w:tc>
          <w:tcPr>
            <w:tcW w:w="18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Industry</w:t>
              </w:r>
            </w:hyperlink>
          </w:p>
        </w:tc>
        <w:tc>
          <w:tcPr>
            <w:tcW w:w="4480" w:type="dxa"/>
            <w:vAlign w:val="bottom"/>
            <w:gridSpan w:val="12"/>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w w:val="99"/>
              </w:rPr>
              <w:t>106</w:t>
            </w: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Index to Consolidated Financial Statements</w:t>
              </w:r>
            </w:hyperlink>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dated June, 2017 entitled “China Online Marketing Market Independent Market Research” commissioned by us and prepared by Frost &amp; Sullivan, an independent market research firm, to provide information on the online marketing market in China.</w:t>
      </w: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continous basis, typically include information on a user’s attributes, such as his or her demographics, geographic location, device preference, spending history, personal interest and other online or offline behavioral pattern. In the 30 days leading up to April 15, 2017, we analyzed approximately 651.6 million active profiled users with 23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Our platform appeals to marketers by offering omni-channel reach to the Chinese audience. We provide our customers one-stop access to a wide variety of cross-channel content distribution opportunities, including those from leading online publishers in China. 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April 15, 2017, we covered approximately 72,000 mobile apps and 2.3 million websites. We work closely with our content distribution partners to facilitate innovative and effective audience engagement. In 2016, our gross billing from mobile audience solutions and other solutions amounted to US$112.4 million and US$123.8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03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take a flexible approach to the delivery model of our solutions in order to cater to the preferences, levels of internal resources and sophistication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7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as well as small and medium-sized enterprises, and from different geographic regions in and outside China. We derived over 70% of our gross billing from direct marketer customers in 2015 and 2016.</w:t>
      </w:r>
    </w:p>
    <w:p>
      <w:pPr>
        <w:spacing w:after="0" w:line="154"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generate revenues primarily from customers’ marketing spend through our platform as they utilize our solutions, and to a lesser extent from rebates from certain publishers. We have achieved rapid growth in recent years. Our gross billing grew by 32.5% from US$178.2 million in 2015 to US$236.3 million in 2016 and our net revenues grew by 46.2% from US$65.2 million in 2015 to US$95.4 million in 2016. Our net loss was US$39.7 million and US$27.3 million in 2015 and 2016, respectively.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 have smaller marketing departments, thereby creating opportunities for independent online marketing technology companies like us to provide value added service.</w:t>
      </w:r>
    </w:p>
    <w:p>
      <w:pPr>
        <w:spacing w:after="0" w:line="189"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49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449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that the following competitive strengths have contributed to our success, differentiated us from our competitors and will continue to support our growth:</w:t>
      </w:r>
    </w:p>
    <w:p>
      <w:pPr>
        <w:spacing w:after="0" w:line="76" w:lineRule="exact"/>
        <w:rPr>
          <w:sz w:val="20"/>
          <w:szCs w:val="20"/>
          <w:color w:val="auto"/>
        </w:rPr>
      </w:pPr>
    </w:p>
    <w:p>
      <w:pPr>
        <w:ind w:left="1060" w:right="140" w:hanging="323"/>
        <w:spacing w:after="0" w:line="25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independent online marketing technology platform in China with a highly scalable and flexible business model. </w:t>
      </w:r>
      <w:r>
        <w:rPr>
          <w:rFonts w:ascii="Arial" w:cs="Arial" w:eastAsia="Arial" w:hAnsi="Arial"/>
          <w:sz w:val="18"/>
          <w:szCs w:val="18"/>
          <w:color w:val="auto"/>
        </w:rPr>
        <w:t>We were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largest independent online marketing technology platform in China in terms of gross billing in 2016, according to Frost &amp; Sullivan. As one of the first independent online marketing technology platforms in China to apply a data-driven approach to address marketers’ needs, our business has grown rapidly. In 2016, our gross billing reached US$236.3 million, up by 32.5% from 2015, leading to net revenue of US$95.4 million, up by 46.2% from 2015.</w:t>
      </w:r>
    </w:p>
    <w:p>
      <w:pPr>
        <w:spacing w:after="0" w:line="93" w:lineRule="exact"/>
        <w:rPr>
          <w:rFonts w:ascii="Arial" w:cs="Arial" w:eastAsia="Arial" w:hAnsi="Arial"/>
          <w:sz w:val="18"/>
          <w:szCs w:val="18"/>
          <w:color w:val="auto"/>
        </w:rPr>
      </w:pPr>
    </w:p>
    <w:p>
      <w:pPr>
        <w:jc w:val="both"/>
        <w:ind w:left="1060" w:right="160" w:hanging="323"/>
        <w:spacing w:after="0" w:line="30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April 15, 2017, we analyzed data of approximately 651.6 million active profiled users. The average daily volume of the data we collected reached 1.2 terabytes in the 30 days leading up to April 15, 2017.</w:t>
      </w:r>
    </w:p>
    <w:p>
      <w:pPr>
        <w:spacing w:after="0" w:line="59" w:lineRule="exact"/>
        <w:rPr>
          <w:rFonts w:ascii="Arial" w:cs="Arial" w:eastAsia="Arial" w:hAnsi="Arial"/>
          <w:sz w:val="16"/>
          <w:szCs w:val="16"/>
          <w:color w:val="auto"/>
        </w:rPr>
      </w:pPr>
    </w:p>
    <w:p>
      <w:pPr>
        <w:ind w:left="1060" w:right="4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63" w:lineRule="exact"/>
        <w:rPr>
          <w:rFonts w:ascii="Arial" w:cs="Arial" w:eastAsia="Arial" w:hAnsi="Arial"/>
          <w:sz w:val="16"/>
          <w:szCs w:val="16"/>
          <w:color w:val="auto"/>
        </w:rPr>
      </w:pPr>
    </w:p>
    <w:p>
      <w:pPr>
        <w:ind w:left="106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diverse and loyal customer base. </w:t>
      </w:r>
      <w:r>
        <w:rPr>
          <w:rFonts w:ascii="Arial" w:cs="Arial" w:eastAsia="Arial" w:hAnsi="Arial"/>
          <w:sz w:val="16"/>
          <w:szCs w:val="16"/>
          <w:color w:val="auto"/>
        </w:rPr>
        <w:t>We have a strong and diverse customer base from a broad range of industry verticals,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banking and finance, entertainment and media, and E-commerce. Our customers include over 150 multinational companies in 2016, making us the No.1 independent online marketing technology platform bridging the largest number of multinational companies to the Chinese market, according to Frost &amp; Sullivan. Our diverse customer base also includes small and medium-sized enterprises. We provide tailored and user-friendly solutions to cater to customers and marketers of different levels of sophistication and from different industry verticals.</w:t>
      </w:r>
    </w:p>
    <w:p>
      <w:pPr>
        <w:spacing w:after="0" w:line="63" w:lineRule="exact"/>
        <w:rPr>
          <w:rFonts w:ascii="Arial" w:cs="Arial" w:eastAsia="Arial" w:hAnsi="Arial"/>
          <w:sz w:val="16"/>
          <w:szCs w:val="16"/>
          <w:color w:val="auto"/>
        </w:rPr>
      </w:pPr>
    </w:p>
    <w:p>
      <w:pPr>
        <w:ind w:left="1060" w:right="60" w:hanging="323"/>
        <w:spacing w:after="0" w:line="25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knowledge and familiarity with China’s online marketing industry. </w:t>
      </w:r>
      <w:r>
        <w:rPr>
          <w:rFonts w:ascii="Arial" w:cs="Arial" w:eastAsia="Arial" w:hAnsi="Arial"/>
          <w:sz w:val="18"/>
          <w:szCs w:val="18"/>
          <w:color w:val="auto"/>
        </w:rPr>
        <w:t>We provide marketers with one-stop access to a wide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cross-channel audience engagement opportunities in China. We are one of the first independent online marketing technology platforms in China to apply a data-driven approach to address marketers’ needs in China, and we have fostered in-depth knowledge of, and cooperation with leading online channels covering approximately 72,000 mobile apps and 2.3 million websites in the 30 days leading up to April 15, 2017, to help marketers, especially multinational marketers, navigate through the fragmented landscapes to identify and reach their potential customers.</w:t>
      </w:r>
    </w:p>
    <w:p>
      <w:pPr>
        <w:spacing w:after="0" w:line="98" w:lineRule="exact"/>
        <w:rPr>
          <w:rFonts w:ascii="Arial" w:cs="Arial" w:eastAsia="Arial" w:hAnsi="Arial"/>
          <w:sz w:val="18"/>
          <w:szCs w:val="18"/>
          <w:color w:val="auto"/>
        </w:rPr>
      </w:pPr>
    </w:p>
    <w:p>
      <w:pPr>
        <w:ind w:left="1060" w:right="20" w:hanging="323"/>
        <w:spacing w:after="0" w:line="25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ind w:left="1060" w:right="80" w:hanging="323"/>
        <w:spacing w:after="0" w:line="28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Optimize and diversify our customer base. </w:t>
      </w:r>
      <w:r>
        <w:rPr>
          <w:rFonts w:ascii="Arial" w:cs="Arial" w:eastAsia="Arial" w:hAnsi="Arial"/>
          <w:sz w:val="17"/>
          <w:szCs w:val="17"/>
          <w:color w:val="auto"/>
        </w:rPr>
        <w:t>We plan to continue to optimize and diversify our customer base, including attracting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our self-service model, and customers from additional industry verticals and geographic markets, through developing and offering more tailored and user-friendly solutions and services, and enhancing our sales and marketing efforts.</w:t>
      </w:r>
    </w:p>
    <w:p>
      <w:pPr>
        <w:spacing w:after="0" w:line="70" w:lineRule="exact"/>
        <w:rPr>
          <w:rFonts w:ascii="Arial" w:cs="Arial" w:eastAsia="Arial" w:hAnsi="Arial"/>
          <w:sz w:val="17"/>
          <w:szCs w:val="17"/>
          <w:color w:val="auto"/>
        </w:rPr>
      </w:pPr>
    </w:p>
    <w:p>
      <w:pPr>
        <w:ind w:left="1060" w:right="100" w:hanging="323"/>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customer marketing spend on our platform. </w:t>
      </w:r>
      <w:r>
        <w:rPr>
          <w:rFonts w:ascii="Arial" w:cs="Arial" w:eastAsia="Arial" w:hAnsi="Arial"/>
          <w:sz w:val="18"/>
          <w:szCs w:val="18"/>
          <w:color w:val="auto"/>
        </w:rPr>
        <w:t>We intend to offer new features and enhanced functionalities on our platform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more effective and comprehensive solutions, especially mobile audience solutions. In addition, we are working on new partnership initiatives, which would make third-party applications available to our customers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hanging="323"/>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customers, publishers and other third-party partners to increase the dimensions and varieties of our data assets. We also plan to continue investing in data science technologies, including refreshing and upgrading data modeling and segmentation technologies to meet customer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jc w:val="both"/>
        <w:ind w:left="1060" w:right="180" w:hanging="323"/>
        <w:spacing w:after="0" w:line="279"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hanging="323"/>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 existing customers;</w:t>
      </w:r>
    </w:p>
    <w:p>
      <w:pPr>
        <w:spacing w:after="0" w:line="130"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new customers and further diversify our customer base, including more customers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1060" w:right="120" w:hanging="323"/>
        <w:spacing w:after="0" w:line="308"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64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064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rely on the contractual arrangements that establish the structure for certain of our operations in China;</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1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5131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hanging="424"/>
        <w:spacing w:after="0" w:line="342"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61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There are uncertainties under the PRC laws whether our collection and use multiple kinds of data from multiple sources in China to improve the cost-effectiveness of marketing campaigns for customers and marketers in and outside China may be deemed as “foreign-related survey”, which requires a foreign-related survey license from the National Bureau of Statistics in China or its local counterparts. This license may only be granted to a domestic enterprise or a sino-foreign enterprise which meets the several requirements under the relevant PRC laws. In light of these uncertainties and out of prudence, we, through our VIE, OptAim Network, applied for and was granted a foreign-related survey license on June 6, 2017. Therefore, we will continue to rely on OptAim Bejing’s contractual arrangements with OptAim Network and its shareholders to conduct certain of our operations in China, to the extent these operations are deemed foreign-related survey.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ATC Trustees (Cayman) Limited, Landmark Square, 3rd Floor, 64 Earth Close, Grand Cayman KY1-1203, Cayman Islands. Our agent for service of process in the United States, [Law Debenture Corporate Services, Inc.], is located at: [4th Floor, 400 Madison Avenue, New York, New York 10017].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6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7" w:lineRule="exact"/>
        <w:rPr>
          <w:sz w:val="20"/>
          <w:szCs w:val="20"/>
          <w:color w:val="auto"/>
        </w:rPr>
      </w:pPr>
    </w:p>
    <w:p>
      <w:pPr>
        <w:ind w:left="740"/>
        <w:spacing w:after="0"/>
        <w:tabs>
          <w:tab w:leader="none" w:pos="1040" w:val="left"/>
          <w:tab w:leader="none" w:pos="6740" w:val="left"/>
        </w:tabs>
        <w:rPr>
          <w:sz w:val="20"/>
          <w:szCs w:val="20"/>
          <w:color w:val="auto"/>
        </w:rPr>
      </w:pPr>
      <w:r>
        <w:rPr>
          <w:rFonts w:ascii="Arial" w:cs="Arial" w:eastAsia="Arial" w:hAnsi="Arial"/>
          <w:sz w:val="18"/>
          <w:szCs w:val="18"/>
          <w:color w:val="auto"/>
        </w:rPr>
        <w:t>•</w:t>
        <w:tab/>
        <w:t>“ADSs” refers to our American depositary shares, each of which represents</w:t>
      </w:r>
      <w:r>
        <w:rPr>
          <w:sz w:val="20"/>
          <w:szCs w:val="20"/>
          <w:color w:val="auto"/>
        </w:rPr>
        <w:tab/>
      </w:r>
      <w:r>
        <w:rPr>
          <w:rFonts w:ascii="Arial" w:cs="Arial" w:eastAsia="Arial" w:hAnsi="Arial"/>
          <w:sz w:val="16"/>
          <w:szCs w:val="16"/>
          <w:color w:val="auto"/>
        </w:rPr>
        <w:t>ordinary shares;</w:t>
      </w:r>
    </w:p>
    <w:p>
      <w:pPr>
        <w:spacing w:after="0" w:line="131" w:lineRule="exact"/>
        <w:rPr>
          <w:sz w:val="20"/>
          <w:szCs w:val="20"/>
          <w:color w:val="auto"/>
        </w:rPr>
      </w:pPr>
    </w:p>
    <w:p>
      <w:pPr>
        <w:ind w:left="1060" w:right="34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marketer customers” refers to marketers that have direct contractual relationship with us;</w:t>
      </w:r>
    </w:p>
    <w:p>
      <w:pPr>
        <w:spacing w:after="0" w:line="130"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 marketers” refers to marketers that are represented by our marketing agency customers and have no direct contractual relationship with us;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60" w:right="6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right="3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931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931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3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marketers” refers to both direct marketer customers, and end marketers;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customers” refers to entities from which we derive revenue under our marketing campaign contracts;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RMB6.9430 to U.S$1.00 and all translations of Hong Kong dollars into U.S. dollars in this prospectus were made at the rate of HK$7.7534 to US$1.00, each being the noon buying rates on December 30, 2016 as set forth in the H.10 statistical release of the U.S. Federal Reserve Board. We make no representation that the Renminbi or Hong Kong dollars referred to in this prospectus could have been or could be converted into U.S. dollars at any particular rate or at all. On July 7, 2017, the noon buying rate for Renminbi was RMB6.8039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58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The Offering</w:t>
            </w: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The Offering</w:t>
            </w: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rPr>
              <w:t>We currently estimate that the initial public offering price will be between US$</w:t>
            </w:r>
          </w:p>
        </w:tc>
        <w:tc>
          <w:tcPr>
            <w:tcW w:w="600" w:type="dxa"/>
            <w:vAlign w:val="bottom"/>
          </w:tcPr>
          <w:p>
            <w:pPr>
              <w:ind w:left="40"/>
              <w:spacing w:after="0"/>
              <w:rPr>
                <w:sz w:val="20"/>
                <w:szCs w:val="20"/>
                <w:color w:val="auto"/>
              </w:rPr>
            </w:pPr>
            <w:r>
              <w:rPr>
                <w:rFonts w:ascii="Arial" w:cs="Arial" w:eastAsia="Arial" w:hAnsi="Arial"/>
                <w:sz w:val="18"/>
                <w:szCs w:val="18"/>
                <w:color w:val="auto"/>
              </w:rPr>
              <w:t>and</w:t>
            </w:r>
          </w:p>
        </w:tc>
      </w:tr>
      <w:tr>
        <w:trPr>
          <w:trHeight w:val="230"/>
        </w:trPr>
        <w:tc>
          <w:tcPr>
            <w:tcW w:w="392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US$</w:t>
            </w:r>
          </w:p>
        </w:tc>
        <w:tc>
          <w:tcPr>
            <w:tcW w:w="1280" w:type="dxa"/>
            <w:vAlign w:val="bottom"/>
          </w:tcPr>
          <w:p>
            <w:pPr>
              <w:ind w:left="500"/>
              <w:spacing w:after="0"/>
              <w:rPr>
                <w:sz w:val="20"/>
                <w:szCs w:val="20"/>
                <w:color w:val="auto"/>
              </w:rPr>
            </w:pPr>
            <w:r>
              <w:rPr>
                <w:rFonts w:ascii="Arial" w:cs="Arial" w:eastAsia="Arial" w:hAnsi="Arial"/>
                <w:sz w:val="18"/>
                <w:szCs w:val="18"/>
                <w:color w:val="auto"/>
              </w:rPr>
              <w:t>per ADS.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ADSs offered by us</w:t>
            </w:r>
          </w:p>
        </w:tc>
        <w:tc>
          <w:tcPr>
            <w:tcW w:w="72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ADSs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ADSs outstanding immediately after this offering</w:t>
            </w:r>
          </w:p>
        </w:tc>
        <w:tc>
          <w:tcPr>
            <w:tcW w:w="72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ADSs (or</w:t>
            </w: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ADSs if the underwriters exercise their option to purchase</w:t>
            </w:r>
          </w:p>
        </w:tc>
        <w:tc>
          <w:tcPr>
            <w:tcW w:w="60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w w:val="94"/>
              </w:rPr>
              <w:t>additional ADSs in full)</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w w:val="97"/>
              </w:rPr>
              <w:t>Ordinary shares outstanding immediately after this</w:t>
            </w:r>
          </w:p>
        </w:tc>
        <w:tc>
          <w:tcPr>
            <w:tcW w:w="72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ordinary shares (or</w:t>
            </w:r>
          </w:p>
        </w:tc>
        <w:tc>
          <w:tcPr>
            <w:tcW w:w="4720" w:type="dxa"/>
            <w:vAlign w:val="bottom"/>
            <w:gridSpan w:val="3"/>
          </w:tcPr>
          <w:p>
            <w:pPr>
              <w:ind w:left="460"/>
              <w:spacing w:after="0"/>
              <w:rPr>
                <w:sz w:val="20"/>
                <w:szCs w:val="20"/>
                <w:color w:val="auto"/>
              </w:rPr>
            </w:pPr>
            <w:r>
              <w:rPr>
                <w:rFonts w:ascii="Arial" w:cs="Arial" w:eastAsia="Arial" w:hAnsi="Arial"/>
                <w:sz w:val="18"/>
                <w:szCs w:val="18"/>
                <w:color w:val="auto"/>
                <w:w w:val="92"/>
              </w:rPr>
              <w:t>ordinary shares if the underwriters exercise their option to</w:t>
            </w:r>
          </w:p>
        </w:tc>
      </w:tr>
      <w:tr>
        <w:trPr>
          <w:trHeight w:val="230"/>
        </w:trPr>
        <w:tc>
          <w:tcPr>
            <w:tcW w:w="3920" w:type="dxa"/>
            <w:vAlign w:val="bottom"/>
          </w:tcPr>
          <w:p>
            <w:pPr>
              <w:ind w:left="80"/>
              <w:spacing w:after="0"/>
              <w:rPr>
                <w:sz w:val="20"/>
                <w:szCs w:val="20"/>
                <w:color w:val="auto"/>
              </w:rPr>
            </w:pPr>
            <w:r>
              <w:rPr>
                <w:rFonts w:ascii="Arial" w:cs="Arial" w:eastAsia="Arial" w:hAnsi="Arial"/>
                <w:sz w:val="18"/>
                <w:szCs w:val="18"/>
                <w:color w:val="auto"/>
              </w:rPr>
              <w:t>offering</w:t>
            </w: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rPr>
              <w:t>purchase additional ADSs representing ordinary shares in full)</w:t>
            </w:r>
          </w:p>
        </w:tc>
        <w:tc>
          <w:tcPr>
            <w:tcW w:w="600" w:type="dxa"/>
            <w:vAlign w:val="bottom"/>
          </w:tcPr>
          <w:p>
            <w:pPr>
              <w:spacing w:after="0"/>
              <w:rPr>
                <w:sz w:val="20"/>
                <w:szCs w:val="20"/>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3"/>
              </w:rPr>
              <w:t>We have granted to the underwriters an option, exercisable for 30 days from the date of this</w:t>
            </w:r>
          </w:p>
        </w:tc>
      </w:tr>
      <w:tr>
        <w:trPr>
          <w:trHeight w:val="230"/>
        </w:trPr>
        <w:tc>
          <w:tcPr>
            <w:tcW w:w="3920" w:type="dxa"/>
            <w:vAlign w:val="bottom"/>
          </w:tcPr>
          <w:p>
            <w:pPr>
              <w:spacing w:after="0"/>
              <w:rPr>
                <w:sz w:val="20"/>
                <w:szCs w:val="20"/>
                <w:color w:val="auto"/>
              </w:rPr>
            </w:pPr>
          </w:p>
        </w:tc>
        <w:tc>
          <w:tcPr>
            <w:tcW w:w="3660" w:type="dxa"/>
            <w:vAlign w:val="bottom"/>
            <w:gridSpan w:val="4"/>
          </w:tcPr>
          <w:p>
            <w:pPr>
              <w:ind w:left="260"/>
              <w:spacing w:after="0"/>
              <w:rPr>
                <w:sz w:val="20"/>
                <w:szCs w:val="20"/>
                <w:color w:val="auto"/>
              </w:rPr>
            </w:pPr>
            <w:r>
              <w:rPr>
                <w:rFonts w:ascii="Arial" w:cs="Arial" w:eastAsia="Arial" w:hAnsi="Arial"/>
                <w:sz w:val="18"/>
                <w:szCs w:val="18"/>
                <w:color w:val="auto"/>
                <w:w w:val="98"/>
              </w:rPr>
              <w:t>prospectus, to purchase up to an additional</w:t>
            </w:r>
          </w:p>
        </w:tc>
        <w:tc>
          <w:tcPr>
            <w:tcW w:w="2840" w:type="dxa"/>
            <w:vAlign w:val="bottom"/>
          </w:tcPr>
          <w:p>
            <w:pPr>
              <w:ind w:left="300"/>
              <w:spacing w:after="0"/>
              <w:rPr>
                <w:sz w:val="20"/>
                <w:szCs w:val="20"/>
                <w:color w:val="auto"/>
              </w:rPr>
            </w:pPr>
            <w:r>
              <w:rPr>
                <w:rFonts w:ascii="Arial" w:cs="Arial" w:eastAsia="Arial" w:hAnsi="Arial"/>
                <w:sz w:val="18"/>
                <w:szCs w:val="18"/>
                <w:color w:val="auto"/>
              </w:rPr>
              <w:t>ADSs from us.</w:t>
            </w:r>
          </w:p>
        </w:tc>
        <w:tc>
          <w:tcPr>
            <w:tcW w:w="60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The ADSs</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w w:val="99"/>
              </w:rPr>
              <w:t>Each ADS represents</w:t>
            </w:r>
          </w:p>
        </w:tc>
        <w:tc>
          <w:tcPr>
            <w:tcW w:w="380" w:type="dxa"/>
            <w:vAlign w:val="bottom"/>
          </w:tcPr>
          <w:p>
            <w:pPr>
              <w:spacing w:after="0"/>
              <w:rPr>
                <w:sz w:val="24"/>
                <w:szCs w:val="24"/>
                <w:color w:val="auto"/>
              </w:rPr>
            </w:pPr>
          </w:p>
        </w:tc>
        <w:tc>
          <w:tcPr>
            <w:tcW w:w="4120" w:type="dxa"/>
            <w:vAlign w:val="bottom"/>
            <w:gridSpan w:val="2"/>
          </w:tcPr>
          <w:p>
            <w:pPr>
              <w:ind w:left="60"/>
              <w:spacing w:after="0"/>
              <w:rPr>
                <w:sz w:val="20"/>
                <w:szCs w:val="20"/>
                <w:color w:val="auto"/>
              </w:rPr>
            </w:pPr>
            <w:r>
              <w:rPr>
                <w:rFonts w:ascii="Arial" w:cs="Arial" w:eastAsia="Arial" w:hAnsi="Arial"/>
                <w:sz w:val="18"/>
                <w:szCs w:val="18"/>
                <w:color w:val="auto"/>
              </w:rPr>
              <w:t>ordinary shares, par value US$0.001 per share.</w:t>
            </w:r>
          </w:p>
        </w:tc>
        <w:tc>
          <w:tcPr>
            <w:tcW w:w="600" w:type="dxa"/>
            <w:vAlign w:val="bottom"/>
          </w:tcPr>
          <w:p>
            <w:pPr>
              <w:spacing w:after="0"/>
              <w:rPr>
                <w:sz w:val="24"/>
                <w:szCs w:val="24"/>
                <w:color w:val="auto"/>
              </w:rPr>
            </w:pPr>
          </w:p>
        </w:tc>
      </w:tr>
      <w:tr>
        <w:trPr>
          <w:trHeight w:val="431"/>
        </w:trPr>
        <w:tc>
          <w:tcPr>
            <w:tcW w:w="3920" w:type="dxa"/>
            <w:vAlign w:val="bottom"/>
          </w:tcPr>
          <w:p>
            <w:pPr>
              <w:spacing w:after="0"/>
              <w:rPr>
                <w:sz w:val="24"/>
                <w:szCs w:val="24"/>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6"/>
              </w:rPr>
              <w:t>The depositary will be the holder of the ordinary shares underlying the ADSs and you will</w:t>
            </w:r>
          </w:p>
        </w:tc>
      </w:tr>
      <w:tr>
        <w:trPr>
          <w:trHeight w:val="216"/>
        </w:trPr>
        <w:tc>
          <w:tcPr>
            <w:tcW w:w="3920" w:type="dxa"/>
            <w:vAlign w:val="bottom"/>
          </w:tcPr>
          <w:p>
            <w:pPr>
              <w:spacing w:after="0"/>
              <w:rPr>
                <w:sz w:val="18"/>
                <w:szCs w:val="18"/>
                <w:color w:val="auto"/>
              </w:rPr>
            </w:pP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w w:val="91"/>
              </w:rPr>
              <w:t>have the rights of an ADS holder as provided in the deposit agreement among us, the</w:t>
            </w:r>
          </w:p>
        </w:tc>
        <w:tc>
          <w:tcPr>
            <w:tcW w:w="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rPr>
              <w:t>depositary and holders and beneficial owners of ADSs from time to time.</w:t>
            </w:r>
          </w:p>
        </w:tc>
        <w:tc>
          <w:tcPr>
            <w:tcW w:w="600" w:type="dxa"/>
            <w:vAlign w:val="bottom"/>
          </w:tcPr>
          <w:p>
            <w:pPr>
              <w:spacing w:after="0"/>
              <w:rPr>
                <w:sz w:val="20"/>
                <w:szCs w:val="20"/>
                <w:color w:val="auto"/>
              </w:rPr>
            </w:pPr>
          </w:p>
        </w:tc>
      </w:tr>
      <w:tr>
        <w:trPr>
          <w:trHeight w:val="445"/>
        </w:trPr>
        <w:tc>
          <w:tcPr>
            <w:tcW w:w="3920" w:type="dxa"/>
            <w:vAlign w:val="bottom"/>
          </w:tcPr>
          <w:p>
            <w:pPr>
              <w:spacing w:after="0"/>
              <w:rPr>
                <w:sz w:val="24"/>
                <w:szCs w:val="24"/>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4"/>
              </w:rPr>
              <w:t>You may surrender your ADSs to the depositary to withdraw the ordinary shares underlying</w:t>
            </w:r>
          </w:p>
        </w:tc>
      </w:tr>
      <w:tr>
        <w:trPr>
          <w:trHeight w:val="230"/>
        </w:trPr>
        <w:tc>
          <w:tcPr>
            <w:tcW w:w="3920" w:type="dxa"/>
            <w:vAlign w:val="bottom"/>
          </w:tcPr>
          <w:p>
            <w:pPr>
              <w:spacing w:after="0"/>
              <w:rPr>
                <w:sz w:val="20"/>
                <w:szCs w:val="20"/>
                <w:color w:val="auto"/>
              </w:rPr>
            </w:pP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rPr>
              <w:t>your ADSs. The depositary will charge you a fee for such an exchange.</w:t>
            </w:r>
          </w:p>
        </w:tc>
        <w:tc>
          <w:tcPr>
            <w:tcW w:w="600" w:type="dxa"/>
            <w:vAlign w:val="bottom"/>
          </w:tcPr>
          <w:p>
            <w:pPr>
              <w:spacing w:after="0"/>
              <w:rPr>
                <w:sz w:val="20"/>
                <w:szCs w:val="20"/>
                <w:color w:val="auto"/>
              </w:rPr>
            </w:pPr>
          </w:p>
        </w:tc>
      </w:tr>
      <w:tr>
        <w:trPr>
          <w:trHeight w:val="445"/>
        </w:trPr>
        <w:tc>
          <w:tcPr>
            <w:tcW w:w="3920" w:type="dxa"/>
            <w:vAlign w:val="bottom"/>
          </w:tcPr>
          <w:p>
            <w:pPr>
              <w:spacing w:after="0"/>
              <w:rPr>
                <w:sz w:val="24"/>
                <w:szCs w:val="24"/>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1"/>
              </w:rPr>
              <w:t>We may amend or terminate the deposit agreement for any reason without your consent. Any</w:t>
            </w:r>
          </w:p>
        </w:tc>
      </w:tr>
      <w:tr>
        <w:trPr>
          <w:trHeight w:val="216"/>
        </w:trPr>
        <w:tc>
          <w:tcPr>
            <w:tcW w:w="3920" w:type="dxa"/>
            <w:vAlign w:val="bottom"/>
          </w:tcPr>
          <w:p>
            <w:pPr>
              <w:spacing w:after="0"/>
              <w:rPr>
                <w:sz w:val="18"/>
                <w:szCs w:val="18"/>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2"/>
              </w:rPr>
              <w:t>amendment that imposes or increases fees or certain charges or which materially prejudices</w:t>
            </w:r>
          </w:p>
        </w:tc>
      </w:tr>
      <w:tr>
        <w:trPr>
          <w:trHeight w:val="216"/>
        </w:trPr>
        <w:tc>
          <w:tcPr>
            <w:tcW w:w="3920" w:type="dxa"/>
            <w:vAlign w:val="bottom"/>
          </w:tcPr>
          <w:p>
            <w:pPr>
              <w:spacing w:after="0"/>
              <w:rPr>
                <w:sz w:val="18"/>
                <w:szCs w:val="18"/>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8"/>
              </w:rPr>
              <w:t>any substantial existing right you have as an ADS holder will not become effective as to</w:t>
            </w:r>
          </w:p>
        </w:tc>
      </w:tr>
      <w:tr>
        <w:trPr>
          <w:trHeight w:val="216"/>
        </w:trPr>
        <w:tc>
          <w:tcPr>
            <w:tcW w:w="3920" w:type="dxa"/>
            <w:vAlign w:val="bottom"/>
          </w:tcPr>
          <w:p>
            <w:pPr>
              <w:spacing w:after="0"/>
              <w:rPr>
                <w:sz w:val="18"/>
                <w:szCs w:val="18"/>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3"/>
              </w:rPr>
              <w:t>outstanding ADSs until 30 days after notice of the amendment is given to ADS holders. If an</w:t>
            </w:r>
          </w:p>
        </w:tc>
      </w:tr>
      <w:tr>
        <w:trPr>
          <w:trHeight w:val="216"/>
        </w:trPr>
        <w:tc>
          <w:tcPr>
            <w:tcW w:w="3920" w:type="dxa"/>
            <w:vAlign w:val="bottom"/>
          </w:tcPr>
          <w:p>
            <w:pPr>
              <w:spacing w:after="0"/>
              <w:rPr>
                <w:sz w:val="18"/>
                <w:szCs w:val="18"/>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0"/>
              </w:rPr>
              <w:t>amendment becomes effective, you will be bound by the deposit agreement as amended if you</w:t>
            </w:r>
          </w:p>
        </w:tc>
      </w:tr>
      <w:tr>
        <w:trPr>
          <w:trHeight w:val="230"/>
        </w:trPr>
        <w:tc>
          <w:tcPr>
            <w:tcW w:w="3920" w:type="dxa"/>
            <w:vAlign w:val="bottom"/>
          </w:tcPr>
          <w:p>
            <w:pPr>
              <w:spacing w:after="0"/>
              <w:rPr>
                <w:sz w:val="20"/>
                <w:szCs w:val="20"/>
                <w:color w:val="auto"/>
              </w:rPr>
            </w:pPr>
          </w:p>
        </w:tc>
        <w:tc>
          <w:tcPr>
            <w:tcW w:w="2380" w:type="dxa"/>
            <w:vAlign w:val="bottom"/>
            <w:gridSpan w:val="3"/>
          </w:tcPr>
          <w:p>
            <w:pPr>
              <w:ind w:left="260"/>
              <w:spacing w:after="0"/>
              <w:rPr>
                <w:sz w:val="20"/>
                <w:szCs w:val="20"/>
                <w:color w:val="auto"/>
              </w:rPr>
            </w:pPr>
            <w:r>
              <w:rPr>
                <w:rFonts w:ascii="Arial" w:cs="Arial" w:eastAsia="Arial" w:hAnsi="Arial"/>
                <w:sz w:val="18"/>
                <w:szCs w:val="18"/>
                <w:color w:val="auto"/>
                <w:w w:val="94"/>
              </w:rPr>
              <w:t>continue to hold your ADSs.</w:t>
            </w: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3920" w:type="dxa"/>
            <w:vAlign w:val="bottom"/>
          </w:tcPr>
          <w:p>
            <w:pPr>
              <w:spacing w:after="0"/>
              <w:rPr>
                <w:sz w:val="24"/>
                <w:szCs w:val="24"/>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7"/>
              </w:rPr>
              <w:t>To better understand the terms of the ADSs, you should carefully read the section in this</w:t>
            </w:r>
          </w:p>
        </w:tc>
      </w:tr>
      <w:tr>
        <w:trPr>
          <w:trHeight w:val="216"/>
        </w:trPr>
        <w:tc>
          <w:tcPr>
            <w:tcW w:w="3920" w:type="dxa"/>
            <w:vAlign w:val="bottom"/>
          </w:tcPr>
          <w:p>
            <w:pPr>
              <w:spacing w:after="0"/>
              <w:rPr>
                <w:sz w:val="18"/>
                <w:szCs w:val="18"/>
                <w:color w:val="auto"/>
              </w:rPr>
            </w:pP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4"/>
              </w:rPr>
              <w:t>prospectus entitled “Description of American Depositary Shares.” You should also read the</w:t>
            </w:r>
          </w:p>
        </w:tc>
      </w:tr>
      <w:tr>
        <w:trPr>
          <w:trHeight w:val="216"/>
        </w:trPr>
        <w:tc>
          <w:tcPr>
            <w:tcW w:w="3920" w:type="dxa"/>
            <w:vAlign w:val="bottom"/>
          </w:tcPr>
          <w:p>
            <w:pPr>
              <w:spacing w:after="0"/>
              <w:rPr>
                <w:sz w:val="18"/>
                <w:szCs w:val="18"/>
                <w:color w:val="auto"/>
              </w:rPr>
            </w:pP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w w:val="92"/>
              </w:rPr>
              <w:t>deposit agreement, which is an exhibit to the registration statement that includes this</w:t>
            </w:r>
          </w:p>
        </w:tc>
        <w:tc>
          <w:tcPr>
            <w:tcW w:w="60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prospectus.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[Reserved ADSs</w:t>
            </w:r>
          </w:p>
        </w:tc>
        <w:tc>
          <w:tcPr>
            <w:tcW w:w="7100" w:type="dxa"/>
            <w:vAlign w:val="bottom"/>
            <w:gridSpan w:val="6"/>
          </w:tcPr>
          <w:p>
            <w:pPr>
              <w:ind w:left="260"/>
              <w:spacing w:after="0"/>
              <w:rPr>
                <w:sz w:val="20"/>
                <w:szCs w:val="20"/>
                <w:color w:val="auto"/>
              </w:rPr>
            </w:pPr>
            <w:r>
              <w:rPr>
                <w:rFonts w:ascii="Arial" w:cs="Arial" w:eastAsia="Arial" w:hAnsi="Arial"/>
                <w:sz w:val="18"/>
                <w:szCs w:val="18"/>
                <w:color w:val="auto"/>
                <w:w w:val="91"/>
              </w:rPr>
              <w:t>At our request, the underwriters have reserved for sale, at the initial public offering price, up to</w:t>
            </w:r>
          </w:p>
        </w:tc>
      </w:tr>
      <w:tr>
        <w:trPr>
          <w:trHeight w:val="216"/>
        </w:trPr>
        <w:tc>
          <w:tcPr>
            <w:tcW w:w="3920" w:type="dxa"/>
            <w:vAlign w:val="bottom"/>
          </w:tcPr>
          <w:p>
            <w:pPr>
              <w:spacing w:after="0"/>
              <w:rPr>
                <w:sz w:val="18"/>
                <w:szCs w:val="18"/>
                <w:color w:val="auto"/>
              </w:rPr>
            </w:pP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an aggregate of</w:t>
            </w:r>
          </w:p>
        </w:tc>
        <w:tc>
          <w:tcPr>
            <w:tcW w:w="5100" w:type="dxa"/>
            <w:vAlign w:val="bottom"/>
            <w:gridSpan w:val="4"/>
          </w:tcPr>
          <w:p>
            <w:pPr>
              <w:jc w:val="center"/>
              <w:ind w:right="450"/>
              <w:spacing w:after="0"/>
              <w:rPr>
                <w:sz w:val="20"/>
                <w:szCs w:val="20"/>
                <w:color w:val="auto"/>
              </w:rPr>
            </w:pPr>
            <w:r>
              <w:rPr>
                <w:rFonts w:ascii="Arial" w:cs="Arial" w:eastAsia="Arial" w:hAnsi="Arial"/>
                <w:sz w:val="18"/>
                <w:szCs w:val="18"/>
                <w:color w:val="auto"/>
                <w:w w:val="92"/>
              </w:rPr>
              <w:t>ADSs offered in this offering to some of our directors, officers,</w:t>
            </w:r>
          </w:p>
        </w:tc>
      </w:tr>
      <w:tr>
        <w:trPr>
          <w:trHeight w:val="230"/>
        </w:trPr>
        <w:tc>
          <w:tcPr>
            <w:tcW w:w="3920" w:type="dxa"/>
            <w:vAlign w:val="bottom"/>
          </w:tcPr>
          <w:p>
            <w:pPr>
              <w:spacing w:after="0"/>
              <w:rPr>
                <w:sz w:val="20"/>
                <w:szCs w:val="20"/>
                <w:color w:val="auto"/>
              </w:rPr>
            </w:pPr>
          </w:p>
        </w:tc>
        <w:tc>
          <w:tcPr>
            <w:tcW w:w="6500" w:type="dxa"/>
            <w:vAlign w:val="bottom"/>
            <w:gridSpan w:val="5"/>
          </w:tcPr>
          <w:p>
            <w:pPr>
              <w:ind w:left="260"/>
              <w:spacing w:after="0"/>
              <w:rPr>
                <w:sz w:val="20"/>
                <w:szCs w:val="20"/>
                <w:color w:val="auto"/>
              </w:rPr>
            </w:pPr>
            <w:r>
              <w:rPr>
                <w:rFonts w:ascii="Arial" w:cs="Arial" w:eastAsia="Arial" w:hAnsi="Arial"/>
                <w:sz w:val="18"/>
                <w:szCs w:val="18"/>
                <w:color w:val="auto"/>
                <w:w w:val="88"/>
              </w:rPr>
              <w:t>employees, business associates and related persons through a directed share program.]</w:t>
            </w:r>
          </w:p>
        </w:tc>
        <w:tc>
          <w:tcPr>
            <w:tcW w:w="6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866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8666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6600" w:type="dxa"/>
            <w:vAlign w:val="bottom"/>
            <w:gridSpan w:val="4"/>
          </w:tcPr>
          <w:p>
            <w:pPr>
              <w:ind w:left="1500"/>
              <w:spacing w:after="0"/>
              <w:rPr>
                <w:sz w:val="20"/>
                <w:szCs w:val="20"/>
                <w:color w:val="auto"/>
              </w:rPr>
            </w:pPr>
            <w:r>
              <w:rPr>
                <w:rFonts w:ascii="Arial" w:cs="Arial" w:eastAsia="Arial" w:hAnsi="Arial"/>
                <w:sz w:val="18"/>
                <w:szCs w:val="18"/>
                <w:color w:val="auto"/>
                <w:w w:val="96"/>
              </w:rPr>
              <w:t>We expect that we will receive net proceeds of approximately US$</w:t>
            </w:r>
          </w:p>
        </w:tc>
        <w:tc>
          <w:tcPr>
            <w:tcW w:w="1680" w:type="dxa"/>
            <w:vAlign w:val="bottom"/>
          </w:tcPr>
          <w:p>
            <w:pPr>
              <w:ind w:left="300"/>
              <w:spacing w:after="0"/>
              <w:rPr>
                <w:sz w:val="20"/>
                <w:szCs w:val="20"/>
                <w:color w:val="auto"/>
              </w:rPr>
            </w:pPr>
            <w:r>
              <w:rPr>
                <w:rFonts w:ascii="Arial" w:cs="Arial" w:eastAsia="Arial" w:hAnsi="Arial"/>
                <w:sz w:val="18"/>
                <w:szCs w:val="18"/>
                <w:color w:val="auto"/>
              </w:rPr>
              <w:t>million from this</w:t>
            </w:r>
          </w:p>
        </w:tc>
      </w:tr>
      <w:tr>
        <w:trPr>
          <w:trHeight w:val="216"/>
        </w:trPr>
        <w:tc>
          <w:tcPr>
            <w:tcW w:w="2680" w:type="dxa"/>
            <w:vAlign w:val="bottom"/>
          </w:tcPr>
          <w:p>
            <w:pPr>
              <w:spacing w:after="0"/>
              <w:rPr>
                <w:sz w:val="18"/>
                <w:szCs w:val="18"/>
                <w:color w:val="auto"/>
              </w:rPr>
            </w:pPr>
          </w:p>
        </w:tc>
        <w:tc>
          <w:tcPr>
            <w:tcW w:w="5900" w:type="dxa"/>
            <w:vAlign w:val="bottom"/>
            <w:gridSpan w:val="3"/>
          </w:tcPr>
          <w:p>
            <w:pPr>
              <w:ind w:left="1500"/>
              <w:spacing w:after="0"/>
              <w:rPr>
                <w:sz w:val="20"/>
                <w:szCs w:val="20"/>
                <w:color w:val="auto"/>
              </w:rPr>
            </w:pPr>
            <w:r>
              <w:rPr>
                <w:rFonts w:ascii="Arial" w:cs="Arial" w:eastAsia="Arial" w:hAnsi="Arial"/>
                <w:sz w:val="18"/>
                <w:szCs w:val="18"/>
                <w:color w:val="auto"/>
                <w:w w:val="99"/>
              </w:rPr>
              <w:t>offering, assuming an initial public offering price of US$</w:t>
            </w:r>
          </w:p>
        </w:tc>
        <w:tc>
          <w:tcPr>
            <w:tcW w:w="2380" w:type="dxa"/>
            <w:vAlign w:val="bottom"/>
            <w:gridSpan w:val="2"/>
          </w:tcPr>
          <w:p>
            <w:pPr>
              <w:ind w:left="300"/>
              <w:spacing w:after="0"/>
              <w:rPr>
                <w:sz w:val="20"/>
                <w:szCs w:val="20"/>
                <w:color w:val="auto"/>
              </w:rPr>
            </w:pPr>
            <w:r>
              <w:rPr>
                <w:rFonts w:ascii="Arial" w:cs="Arial" w:eastAsia="Arial" w:hAnsi="Arial"/>
                <w:sz w:val="18"/>
                <w:szCs w:val="18"/>
                <w:color w:val="auto"/>
              </w:rPr>
              <w:t>per ADS, which is the</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rPr>
              <w:t>midpoint of the estimated range of the initial public offering price, after deducting</w:t>
            </w:r>
          </w:p>
        </w:tc>
      </w:tr>
      <w:tr>
        <w:trPr>
          <w:trHeight w:val="230"/>
        </w:trPr>
        <w:tc>
          <w:tcPr>
            <w:tcW w:w="2680" w:type="dxa"/>
            <w:vAlign w:val="bottom"/>
          </w:tcPr>
          <w:p>
            <w:pPr>
              <w:spacing w:after="0"/>
              <w:rPr>
                <w:sz w:val="20"/>
                <w:szCs w:val="20"/>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5"/>
              </w:rPr>
              <w:t>underwriting discounts and commissions and estimated offering expenses payable by us.</w:t>
            </w:r>
          </w:p>
        </w:tc>
      </w:tr>
      <w:tr>
        <w:trPr>
          <w:trHeight w:val="445"/>
        </w:trPr>
        <w:tc>
          <w:tcPr>
            <w:tcW w:w="2680" w:type="dxa"/>
            <w:vAlign w:val="bottom"/>
          </w:tcPr>
          <w:p>
            <w:pPr>
              <w:spacing w:after="0"/>
              <w:rPr>
                <w:sz w:val="24"/>
                <w:szCs w:val="24"/>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8"/>
              </w:rPr>
              <w:t>We plan to use the net proceeds from this offering primarily for the following purposes:</w:t>
            </w:r>
          </w:p>
        </w:tc>
      </w:tr>
      <w:tr>
        <w:trPr>
          <w:trHeight w:val="216"/>
        </w:trPr>
        <w:tc>
          <w:tcPr>
            <w:tcW w:w="2680" w:type="dxa"/>
            <w:vAlign w:val="bottom"/>
          </w:tcPr>
          <w:p>
            <w:pPr>
              <w:spacing w:after="0"/>
              <w:rPr>
                <w:sz w:val="18"/>
                <w:szCs w:val="18"/>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US$</w:t>
            </w:r>
          </w:p>
        </w:tc>
        <w:tc>
          <w:tcPr>
            <w:tcW w:w="6160" w:type="dxa"/>
            <w:vAlign w:val="bottom"/>
            <w:gridSpan w:val="4"/>
          </w:tcPr>
          <w:p>
            <w:pPr>
              <w:ind w:left="280"/>
              <w:spacing w:after="0"/>
              <w:rPr>
                <w:sz w:val="20"/>
                <w:szCs w:val="20"/>
                <w:color w:val="auto"/>
              </w:rPr>
            </w:pPr>
            <w:r>
              <w:rPr>
                <w:rFonts w:ascii="Arial" w:cs="Arial" w:eastAsia="Arial" w:hAnsi="Arial"/>
                <w:sz w:val="18"/>
                <w:szCs w:val="18"/>
                <w:color w:val="auto"/>
              </w:rPr>
              <w:t>in research and development and big data deep learning capabilities and</w:t>
            </w:r>
          </w:p>
        </w:tc>
      </w:tr>
      <w:tr>
        <w:trPr>
          <w:trHeight w:val="216"/>
        </w:trPr>
        <w:tc>
          <w:tcPr>
            <w:tcW w:w="2680" w:type="dxa"/>
            <w:vAlign w:val="bottom"/>
          </w:tcPr>
          <w:p>
            <w:pPr>
              <w:spacing w:after="0"/>
              <w:rPr>
                <w:sz w:val="18"/>
                <w:szCs w:val="18"/>
                <w:color w:val="auto"/>
              </w:rPr>
            </w:pPr>
          </w:p>
        </w:tc>
        <w:tc>
          <w:tcPr>
            <w:tcW w:w="3040" w:type="dxa"/>
            <w:vAlign w:val="bottom"/>
            <w:gridSpan w:val="2"/>
          </w:tcPr>
          <w:p>
            <w:pPr>
              <w:ind w:left="1500"/>
              <w:spacing w:after="0"/>
              <w:rPr>
                <w:sz w:val="20"/>
                <w:szCs w:val="20"/>
                <w:color w:val="auto"/>
              </w:rPr>
            </w:pPr>
            <w:r>
              <w:rPr>
                <w:rFonts w:ascii="Arial" w:cs="Arial" w:eastAsia="Arial" w:hAnsi="Arial"/>
                <w:sz w:val="18"/>
                <w:szCs w:val="18"/>
                <w:color w:val="auto"/>
              </w:rPr>
              <w:t>capacities; US$</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w w:val="89"/>
              </w:rPr>
              <w:t>in the development and expansion of our suite of solutions and service</w:t>
            </w:r>
          </w:p>
        </w:tc>
      </w:tr>
      <w:tr>
        <w:trPr>
          <w:trHeight w:val="216"/>
        </w:trPr>
        <w:tc>
          <w:tcPr>
            <w:tcW w:w="2680" w:type="dxa"/>
            <w:vAlign w:val="bottom"/>
          </w:tcPr>
          <w:p>
            <w:pPr>
              <w:spacing w:after="0"/>
              <w:rPr>
                <w:sz w:val="18"/>
                <w:szCs w:val="18"/>
                <w:color w:val="auto"/>
              </w:rPr>
            </w:pPr>
          </w:p>
        </w:tc>
        <w:tc>
          <w:tcPr>
            <w:tcW w:w="3040" w:type="dxa"/>
            <w:vAlign w:val="bottom"/>
            <w:gridSpan w:val="2"/>
          </w:tcPr>
          <w:p>
            <w:pPr>
              <w:ind w:left="1500"/>
              <w:spacing w:after="0"/>
              <w:rPr>
                <w:sz w:val="20"/>
                <w:szCs w:val="20"/>
                <w:color w:val="auto"/>
              </w:rPr>
            </w:pPr>
            <w:r>
              <w:rPr>
                <w:rFonts w:ascii="Arial" w:cs="Arial" w:eastAsia="Arial" w:hAnsi="Arial"/>
                <w:sz w:val="18"/>
                <w:szCs w:val="18"/>
                <w:color w:val="auto"/>
              </w:rPr>
              <w:t>offerings; and US$</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w w:val="99"/>
              </w:rPr>
              <w:t>in sales and marketing activities to attract, in particular, more</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2"/>
              </w:rPr>
              <w:t>customers to use our solutions on a self-serve basis, and customers from additional industry</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8"/>
              </w:rPr>
              <w:t>verticals and geographic markets. We also plan to use the remaining portion of the net</w:t>
            </w:r>
          </w:p>
        </w:tc>
      </w:tr>
      <w:tr>
        <w:trPr>
          <w:trHeight w:val="230"/>
        </w:trPr>
        <w:tc>
          <w:tcPr>
            <w:tcW w:w="2680" w:type="dxa"/>
            <w:vAlign w:val="bottom"/>
          </w:tcPr>
          <w:p>
            <w:pPr>
              <w:spacing w:after="0"/>
              <w:rPr>
                <w:sz w:val="20"/>
                <w:szCs w:val="20"/>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5"/>
              </w:rPr>
              <w:t>proceeds we receive from this offering for general corporate purposes and in investment,</w:t>
            </w:r>
          </w:p>
        </w:tc>
      </w:tr>
    </w:tbl>
    <w:p>
      <w:pPr>
        <w:ind w:left="4380"/>
        <w:spacing w:after="0" w:line="254" w:lineRule="auto"/>
        <w:rPr>
          <w:sz w:val="20"/>
          <w:szCs w:val="20"/>
          <w:color w:val="auto"/>
        </w:rPr>
      </w:pPr>
      <w:r>
        <w:rPr>
          <w:rFonts w:ascii="Arial" w:cs="Arial" w:eastAsia="Arial" w:hAnsi="Arial"/>
          <w:sz w:val="18"/>
          <w:szCs w:val="18"/>
          <w:color w:val="auto"/>
        </w:rPr>
        <w:t>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180"/>
          </w:cols>
          <w:pgMar w:left="240" w:top="459" w:right="47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We intend to apply to have the ADSs listed on the [NASDAQ Global Market/New York Stock Exchange, or NYSE] under the symbol “ICLK.” Our ADSs and shares will not be listed on any other stock exchange or traded on any automated quotation system.</w:t>
      </w:r>
    </w:p>
    <w:p>
      <w:pPr>
        <w:spacing w:after="0" w:line="193"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ind w:right="220"/>
        <w:spacing w:after="0" w:line="302" w:lineRule="auto"/>
        <w:rPr>
          <w:sz w:val="20"/>
          <w:szCs w:val="20"/>
          <w:color w:val="auto"/>
        </w:rPr>
      </w:pPr>
      <w:r>
        <w:rPr>
          <w:rFonts w:ascii="Arial" w:cs="Arial" w:eastAsia="Arial" w:hAnsi="Arial"/>
          <w:sz w:val="16"/>
          <w:szCs w:val="16"/>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154"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80"/>
          </w:cols>
          <w:pgMar w:left="240" w:top="459"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9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summary consolidated financial data for the years ended December 31, 2015 and 2016, and as of December 31, 2015 and 2016, have been derived from our audited consolidated financial statements included elsewhere in this prospectus.</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included elsewhere in this prospectus.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our summary consolidated statement of comprehensive income for the years ended December 31, 2015 and 2016.</w:t>
      </w: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(US$ in thousands, except for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per share and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Net 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65,242</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(34,531)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6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(8,106)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(31,385)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(12,745)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(52,236)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(63,617)</w:t>
            </w: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6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700" w:type="dxa"/>
            <w:vAlign w:val="bottom"/>
          </w:tcPr>
          <w:p>
            <w:pPr>
              <w:jc w:val="right"/>
              <w:spacing w:after="0"/>
              <w:rPr>
                <w:sz w:val="20"/>
                <w:szCs w:val="20"/>
                <w:color w:val="auto"/>
              </w:rPr>
            </w:pPr>
            <w:r>
              <w:rPr>
                <w:rFonts w:ascii="Arial" w:cs="Arial" w:eastAsia="Arial" w:hAnsi="Arial"/>
                <w:sz w:val="18"/>
                <w:szCs w:val="18"/>
                <w:color w:val="auto"/>
              </w:rPr>
              <w:t>791</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6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(2,692)</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6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(41,797)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200" w:type="dxa"/>
            <w:vAlign w:val="bottom"/>
            <w:tcBorders>
              <w:top w:val="single" w:sz="8" w:color="auto"/>
              <w:left w:val="single" w:sz="8" w:color="auto"/>
            </w:tcBorders>
          </w:tcPr>
          <w:p>
            <w:pPr>
              <w:spacing w:after="0"/>
              <w:rPr>
                <w:sz w:val="24"/>
                <w:szCs w:val="24"/>
                <w:color w:val="auto"/>
              </w:rPr>
            </w:pPr>
          </w:p>
        </w:tc>
        <w:tc>
          <w:tcPr>
            <w:tcW w:w="8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85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 w:type="dxa"/>
            <w:vAlign w:val="bottom"/>
            <w:tcBorders>
              <w:left w:val="single" w:sz="8" w:color="auto"/>
            </w:tcBorders>
          </w:tcPr>
          <w:p>
            <w:pPr>
              <w:spacing w:after="0"/>
              <w:rPr>
                <w:sz w:val="10"/>
                <w:szCs w:val="10"/>
                <w:color w:val="auto"/>
              </w:rPr>
            </w:pPr>
          </w:p>
        </w:tc>
        <w:tc>
          <w:tcPr>
            <w:tcW w:w="8580" w:type="dxa"/>
            <w:vAlign w:val="bottom"/>
          </w:tcPr>
          <w:p>
            <w:pPr>
              <w:spacing w:after="0"/>
              <w:rPr>
                <w:sz w:val="10"/>
                <w:szCs w:val="10"/>
                <w:color w:val="auto"/>
              </w:rPr>
            </w:pPr>
          </w:p>
        </w:tc>
        <w:tc>
          <w:tcPr>
            <w:tcW w:w="2320" w:type="dxa"/>
            <w:vAlign w:val="bottom"/>
            <w:gridSpan w:val="5"/>
          </w:tcPr>
          <w:p>
            <w:pPr>
              <w:jc w:val="right"/>
              <w:ind w:right="170"/>
              <w:spacing w:after="0" w:line="119" w:lineRule="exact"/>
              <w:rPr>
                <w:sz w:val="20"/>
                <w:szCs w:val="20"/>
                <w:color w:val="auto"/>
              </w:rPr>
            </w:pPr>
            <w:r>
              <w:rPr>
                <w:rFonts w:ascii="Arial" w:cs="Arial" w:eastAsia="Arial" w:hAnsi="Arial"/>
                <w:sz w:val="13"/>
                <w:szCs w:val="13"/>
                <w:b w:val="1"/>
                <w:bCs w:val="1"/>
                <w:color w:val="auto"/>
              </w:rPr>
              <w:t>(US$ in thousands, except for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tcPr>
          <w:p>
            <w:pPr>
              <w:ind w:left="120"/>
              <w:spacing w:after="0"/>
              <w:rPr>
                <w:sz w:val="20"/>
                <w:szCs w:val="20"/>
                <w:color w:val="auto"/>
              </w:rPr>
            </w:pPr>
            <w:r>
              <w:rPr>
                <w:rFonts w:ascii="Arial" w:cs="Arial" w:eastAsia="Arial" w:hAnsi="Arial"/>
                <w:sz w:val="14"/>
                <w:szCs w:val="14"/>
                <w:b w:val="1"/>
                <w:bCs w:val="1"/>
                <w:color w:val="auto"/>
              </w:rPr>
              <w:t>per share and share data)</w:t>
            </w: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 net of US$nil tax</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(129)</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(139)</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vMerge w:val="restart"/>
          </w:tcPr>
          <w:p>
            <w:pPr>
              <w:spacing w:after="0"/>
              <w:rPr>
                <w:sz w:val="2"/>
                <w:szCs w:val="2"/>
                <w:color w:val="auto"/>
              </w:rPr>
            </w:pPr>
          </w:p>
        </w:tc>
        <w:tc>
          <w:tcPr>
            <w:tcW w:w="8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(39,843)</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(27,469)</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tcBorders>
              <w:left w:val="single" w:sz="8" w:color="auto"/>
            </w:tcBorders>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11,661,049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13,151,063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580" w:type="dxa"/>
            <w:vAlign w:val="bottom"/>
            <w:vMerge w:val="restart"/>
          </w:tcPr>
          <w:p>
            <w:pPr>
              <w:ind w:left="440"/>
              <w:spacing w:after="0"/>
              <w:rPr>
                <w:sz w:val="20"/>
                <w:szCs w:val="20"/>
                <w:color w:val="auto"/>
              </w:rPr>
            </w:pPr>
            <w:r>
              <w:rPr>
                <w:rFonts w:ascii="Arial" w:cs="Arial" w:eastAsia="Arial" w:hAnsi="Arial"/>
                <w:sz w:val="18"/>
                <w:szCs w:val="18"/>
                <w:color w:val="auto"/>
                <w:w w:val="91"/>
              </w:rPr>
              <w:t>The following table presents our summary consolidated balance sheet data as of December 31, 2015 and 2016.</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tcBorders>
              <w:left w:val="single" w:sz="8" w:color="auto"/>
            </w:tcBorders>
          </w:tcPr>
          <w:p>
            <w:pPr>
              <w:spacing w:after="0"/>
              <w:rPr>
                <w:sz w:val="24"/>
                <w:szCs w:val="24"/>
                <w:color w:val="auto"/>
              </w:rPr>
            </w:pPr>
          </w:p>
        </w:tc>
        <w:tc>
          <w:tcPr>
            <w:tcW w:w="8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Borders>
              <w:left w:val="single" w:sz="8" w:color="auto"/>
            </w:tcBorders>
          </w:tcPr>
          <w:p>
            <w:pPr>
              <w:spacing w:after="0"/>
              <w:rPr>
                <w:sz w:val="24"/>
                <w:szCs w:val="24"/>
                <w:color w:val="auto"/>
              </w:rPr>
            </w:pPr>
          </w:p>
        </w:tc>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8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8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(US$ in thousands)</w:t>
            </w: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Borders>
              <w:left w:val="single" w:sz="8" w:color="auto"/>
            </w:tcBorders>
          </w:tcPr>
          <w:p>
            <w:pPr>
              <w:spacing w:after="0"/>
              <w:rPr>
                <w:sz w:val="17"/>
                <w:szCs w:val="17"/>
                <w:color w:val="auto"/>
              </w:rPr>
            </w:pPr>
          </w:p>
        </w:tc>
        <w:tc>
          <w:tcPr>
            <w:tcW w:w="8580" w:type="dxa"/>
            <w:vAlign w:val="bottom"/>
          </w:tcPr>
          <w:p>
            <w:pPr>
              <w:ind w:left="36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and US$1,693 as of</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858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28,423</w:t>
            </w:r>
          </w:p>
        </w:tc>
        <w:tc>
          <w:tcPr>
            <w:tcW w:w="3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Rebates receivable</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ind w:left="360"/>
              <w:spacing w:after="0"/>
              <w:rPr>
                <w:sz w:val="20"/>
                <w:szCs w:val="20"/>
                <w:color w:val="auto"/>
              </w:rPr>
            </w:pPr>
            <w:r>
              <w:rPr>
                <w:rFonts w:ascii="Arial" w:cs="Arial" w:eastAsia="Arial" w:hAnsi="Arial"/>
                <w:sz w:val="18"/>
                <w:szCs w:val="18"/>
                <w:color w:val="auto"/>
              </w:rPr>
              <w:t>Prepaid media cost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24,793</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34,409</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19,095</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146,110</w:t>
            </w: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115,124</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126,572</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129,569</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2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(55,929)</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(64,312)</w:t>
            </w: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0" w:type="dxa"/>
            <w:vAlign w:val="bottom"/>
            <w:tcBorders>
              <w:left w:val="single" w:sz="8" w:color="auto"/>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1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300" w:type="dxa"/>
            <w:vAlign w:val="bottom"/>
          </w:tcPr>
          <w:p>
            <w:pPr>
              <w:jc w:val="right"/>
              <w:ind w:right="655"/>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700" w:type="dxa"/>
            <w:vAlign w:val="bottom"/>
          </w:tcPr>
          <w:p>
            <w:pPr>
              <w:spacing w:after="0"/>
              <w:rPr>
                <w:sz w:val="10"/>
                <w:szCs w:val="10"/>
                <w:color w:val="auto"/>
              </w:rPr>
            </w:pPr>
          </w:p>
        </w:tc>
        <w:tc>
          <w:tcPr>
            <w:tcW w:w="82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(US$ in</w:t>
            </w:r>
          </w:p>
        </w:tc>
        <w:tc>
          <w:tcPr>
            <w:tcW w:w="12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300" w:type="dxa"/>
            <w:vAlign w:val="bottom"/>
          </w:tcPr>
          <w:p>
            <w:pPr>
              <w:jc w:val="right"/>
              <w:ind w:right="535"/>
              <w:spacing w:after="0"/>
              <w:rPr>
                <w:sz w:val="20"/>
                <w:szCs w:val="20"/>
                <w:color w:val="auto"/>
              </w:rPr>
            </w:pPr>
            <w:r>
              <w:rPr>
                <w:rFonts w:ascii="Arial" w:cs="Arial" w:eastAsia="Arial" w:hAnsi="Arial"/>
                <w:sz w:val="14"/>
                <w:szCs w:val="14"/>
                <w:b w:val="1"/>
                <w:bCs w:val="1"/>
                <w:color w:val="auto"/>
                <w:w w:val="87"/>
              </w:rPr>
              <w:t>thousands)</w:t>
            </w: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billing)</w:t>
            </w: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87"/>
              </w:rPr>
              <w:t>thousands)</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billing)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Gross billing</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178,239</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236,253</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billing from mobile audience solutions</w:t>
            </w:r>
          </w:p>
        </w:tc>
        <w:tc>
          <w:tcPr>
            <w:tcW w:w="13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41,323</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23.2</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112,403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136,916</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76.8</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123,850</w:t>
            </w: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revenues</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65,242</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36.6</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95,357</w:t>
            </w: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revenues from mobile audience solutions</w:t>
            </w:r>
          </w:p>
        </w:tc>
        <w:tc>
          <w:tcPr>
            <w:tcW w:w="13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11,908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57,761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1300" w:type="dxa"/>
            <w:vAlign w:val="bottom"/>
          </w:tcPr>
          <w:p>
            <w:pPr>
              <w:jc w:val="right"/>
              <w:ind w:right="535"/>
              <w:spacing w:after="0"/>
              <w:rPr>
                <w:sz w:val="20"/>
                <w:szCs w:val="20"/>
                <w:color w:val="auto"/>
              </w:rPr>
            </w:pPr>
            <w:r>
              <w:rPr>
                <w:rFonts w:ascii="Arial" w:cs="Arial" w:eastAsia="Arial" w:hAnsi="Arial"/>
                <w:sz w:val="18"/>
                <w:szCs w:val="18"/>
                <w:color w:val="auto"/>
              </w:rPr>
              <w:t>53,334</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29.9</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37,596</w:t>
            </w: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(8,850)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Adjusted net loss</w:t>
            </w:r>
          </w:p>
        </w:tc>
        <w:tc>
          <w:tcPr>
            <w:tcW w:w="1300" w:type="dxa"/>
            <w:vAlign w:val="bottom"/>
          </w:tcPr>
          <w:p>
            <w:pPr>
              <w:jc w:val="right"/>
              <w:ind w:right="475"/>
              <w:spacing w:after="0"/>
              <w:rPr>
                <w:sz w:val="20"/>
                <w:szCs w:val="20"/>
                <w:color w:val="auto"/>
              </w:rPr>
            </w:pPr>
            <w:r>
              <w:rPr>
                <w:rFonts w:ascii="Arial" w:cs="Arial" w:eastAsia="Arial" w:hAnsi="Arial"/>
                <w:sz w:val="18"/>
                <w:szCs w:val="18"/>
                <w:color w:val="auto"/>
              </w:rPr>
              <w:t>(11,583)</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(6.5)</w:t>
            </w:r>
          </w:p>
        </w:tc>
        <w:tc>
          <w:tcPr>
            <w:tcW w:w="820" w:type="dxa"/>
            <w:vAlign w:val="bottom"/>
          </w:tcPr>
          <w:p>
            <w:pPr>
              <w:jc w:val="right"/>
              <w:spacing w:after="0"/>
              <w:rPr>
                <w:sz w:val="20"/>
                <w:szCs w:val="20"/>
                <w:color w:val="auto"/>
              </w:rPr>
            </w:pPr>
            <w:r>
              <w:rPr>
                <w:rFonts w:ascii="Arial" w:cs="Arial" w:eastAsia="Arial" w:hAnsi="Arial"/>
                <w:sz w:val="18"/>
                <w:szCs w:val="18"/>
                <w:color w:val="auto"/>
              </w:rPr>
              <w:t>(8,999)</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7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04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90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9040" w:type="dxa"/>
            <w:vAlign w:val="bottom"/>
          </w:tcPr>
          <w:p>
            <w:pPr>
              <w:spacing w:after="0"/>
              <w:rPr>
                <w:sz w:val="12"/>
                <w:szCs w:val="12"/>
                <w:color w:val="auto"/>
              </w:rPr>
            </w:pPr>
          </w:p>
        </w:tc>
        <w:tc>
          <w:tcPr>
            <w:tcW w:w="1880" w:type="dxa"/>
            <w:vAlign w:val="bottom"/>
            <w:gridSpan w:val="3"/>
          </w:tcPr>
          <w:p>
            <w:pPr>
              <w:jc w:val="right"/>
              <w:ind w:right="271"/>
              <w:spacing w:after="0" w:line="142" w:lineRule="exact"/>
              <w:rPr>
                <w:sz w:val="20"/>
                <w:szCs w:val="20"/>
                <w:color w:val="auto"/>
              </w:rPr>
            </w:pPr>
            <w:r>
              <w:rPr>
                <w:rFonts w:ascii="Arial" w:cs="Arial" w:eastAsia="Arial" w:hAnsi="Arial"/>
                <w:sz w:val="14"/>
                <w:szCs w:val="14"/>
                <w:b w:val="1"/>
                <w:bCs w:val="1"/>
                <w:color w:val="auto"/>
              </w:rPr>
              <w:t>(US$ in thousands)</w:t>
            </w:r>
          </w:p>
        </w:tc>
        <w:tc>
          <w:tcPr>
            <w:tcW w:w="120" w:type="dxa"/>
            <w:vAlign w:val="bottom"/>
          </w:tcPr>
          <w:p>
            <w:pPr>
              <w:spacing w:after="0"/>
              <w:rPr>
                <w:sz w:val="12"/>
                <w:szCs w:val="1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Add / (less):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EBITDA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(36,981)</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(20,571)</w:t>
            </w: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6,494</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21,244</w:t>
            </w: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(3,995)</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(791)</w:t>
            </w:r>
          </w:p>
        </w:tc>
        <w:tc>
          <w:tcPr>
            <w:tcW w:w="68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r>
      <w:tr>
        <w:trPr>
          <w:trHeight w:val="27"/>
        </w:trPr>
        <w:tc>
          <w:tcPr>
            <w:tcW w:w="9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w:t>
            </w:r>
          </w:p>
        </w:tc>
      </w:tr>
      <w:tr>
        <w:trPr>
          <w:trHeight w:val="20"/>
        </w:trPr>
        <w:tc>
          <w:tcPr>
            <w:tcW w:w="9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90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9040" w:type="dxa"/>
            <w:vAlign w:val="bottom"/>
          </w:tcPr>
          <w:p>
            <w:pPr>
              <w:spacing w:after="0"/>
              <w:rPr>
                <w:sz w:val="12"/>
                <w:szCs w:val="12"/>
                <w:color w:val="auto"/>
              </w:rPr>
            </w:pPr>
          </w:p>
        </w:tc>
        <w:tc>
          <w:tcPr>
            <w:tcW w:w="1880" w:type="dxa"/>
            <w:vAlign w:val="bottom"/>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(US$ in thousands)</w:t>
            </w:r>
          </w:p>
        </w:tc>
        <w:tc>
          <w:tcPr>
            <w:tcW w:w="120" w:type="dxa"/>
            <w:vAlign w:val="bottom"/>
          </w:tcPr>
          <w:p>
            <w:pPr>
              <w:spacing w:after="0"/>
              <w:rPr>
                <w:sz w:val="12"/>
                <w:szCs w:val="1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Add:</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(3,995)</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60" w:type="dxa"/>
            <w:vAlign w:val="bottom"/>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r>
      <w:tr>
        <w:trPr>
          <w:trHeight w:val="223"/>
        </w:trPr>
        <w:tc>
          <w:tcPr>
            <w:tcW w:w="904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(11,583)</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such growth rates may not be indicative of our future growth.</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gross billing and net revenues have increased substantially since our inception, especially since our acquisition of OptAim in July 2015, which significantly contributed to our recent growth. We may not be able to sustain growth consistent with our recent history, or at all. You should not consider our gross billing and net revenues growth in recent periods as indicative of our future performance. In future periods, our gross billing and net revenues could decline or grow more slowly than we expect. We believe our growth depends on a number of factors, some of which are described in more details in this section, including our ability to:</w:t>
      </w:r>
    </w:p>
    <w:p>
      <w:pPr>
        <w:spacing w:after="0" w:line="9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existing customers;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new customer and further diversify our customer base, including more customers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While marketing via non-mobile online channels has been established for several years, marketing via mobile channels, in particular via mobile apps, is a relatively new phenomenon. We have experienced and expect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by 385.1% from US$11.9 million in 2015 to US$57.8 million in 2016, which contributed to the increase in our overall gross billing, gross margins for our mobile audience solutions remained relatively low in 2015 and 2016, compared to those of our other solutions during the same period, which contributed to the decrease in our overall gross profit margin from 47.1% in 2015 to 36.0% in 2016. As we continue to prioritize the execution of our mobile strategy and face increasing competition and pricing pressure for our mobile audience solutions, our profit margin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generated net losses of US$39.7 million in 2015 and US$27.3 million in 2016. As of December 31, 2016, we had an accumulated deficit of US$124.4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prospectus, and unforeseen expenses, difficulties, complications and delays and other unknown events. If we are unable to achieve or sustain profitability, the market price of our ADSs may significantly decrease.</w:t>
      </w:r>
    </w:p>
    <w:p>
      <w:pPr>
        <w:spacing w:after="0" w:line="2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margin and the comparability of our financial results may be affected by the relative percentage of gross billing recognized as net revenues under the gross and net models.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derive revenue under two models. Our revenue for cost-plus advertisement campaigns and rebates earned from certain website publishers is reported under the net model. Our revenue from performing specified actions (i.e., a cost-per-mille, or CPM, cost-per-click, or CPC, cost-per-action, or CPA, cost-per-sale, or CPS, cost-per-lead, or CPL, and return-on-investment, or ROI, basis) is reported under the gross model. Please see “Management’s Discussion and Analysis of Financial Condition and Results of Operations — Key Operating and Financial Metrics — Net Revenues” for more details. The gross profit margin under our net model is higher than the gross model as cost of revenues under the net model does not include media cost. Consequently, an increase in the percentage of gross billing recognized as net revenues under our gross model will have a positive impact on our net revenues and a negative impact on gross profit margin. As the relative percentage of gross billing from cost-plus advertisement campaigns, from rebates earned from certain website publishers and from performing specified actions changes from time to time, the relative percentage of gross billing recognized as net revenues under the two models also fluctuates, which would consequently impact our net revenues and gross margin. Our mobile audience solutions on one hand, and other solutions, on the other hand, each represents a mixture of revenue recognized on gross basis and on net basis and the proportion of each fluctuates from period to period. Therefore our net revenues, net revenues as a percentage of gross billing, gross margin and the comparability of our financial results in one period to another may be affected by the relative percentage of gross billing recognized as net revenues under the gross model and net model.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customers or attract new ones could adversely impact our business and results of operations.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do not have long-term customer contracts, and a majority of our customer contracts are for a term of one year or shorter. Our customers, which refer to entities from which we recognize revenue under our marketing campaign contracts with them and which include direct marketer customers and marketing agencies, are not obligated to use our platform on an exclusive basis and they generally use multiple providers to manage their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marketing spend. Accordingly, we must convince our customers to use our platform, increase their usage and spend a larger share of their online marketing budgets with us, and do so on an on-going basis.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achieve customer contract renewals and new customer sales depends on many factors, some of which are out of our control, including:</w:t>
      </w:r>
    </w:p>
    <w:p>
      <w:pPr>
        <w:spacing w:after="0" w:line="15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pricing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customers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our customers and end marketers,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our customers and end marketers generally.</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Therefore, we cannot assure you that customers that have generated marketing spend on our platform in the past will continue to spend at similar levels or that they will continue to use our platform at all. We may not be able to replace customers who decrease or cease their usage of our platform with new customers that spend similarly on our platform. We have relied on a limited number of customers to generate a significant portion of our revenues. For example, in 2016, we derived 18% of our net revenues from a marketer in the entertainment industry and 11% of our net revenues from a marketer in the e-commerce industry. If our existing customers do not continue to use or increase their use of our platform, or if we are unable to attract sufficient marketing spend on our platform from new customers, our business and results of operations could be materially and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customer may materially and adversely affect our business and results of operations.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engage third-party marketing agencies to help source and serve some of our marketers. In 2016, we had over 2,000 customers, including over 1,800 direct marketer customers and over 500 marketing agency customers, which represented over 1,100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customers could materially and adversely affect our business and results of operations.</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customers do not provide us with control or oversight over their day-to-day business activities. If any of our marketing agency customers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content distribution channel may materially and adversely affect our business and results of operations.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consistent access to attractive content distribution opportunities is crucial to our business. Our content distribution channels are concentrated and primarily include online and mobile publishers, major search engines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ad exchanges, including those owned or operated by Tencent, Baidu, Google and Alibaba. Media costs for content distribution opportunities on Tencent, Baidu, Google and Alibaba channels in aggregate accounted for 84.0% and 81.6% of our media costs in 2015 and 2016, respectively. The loss of access to content distribution opportunities from one of those companies would negatively impact our ability to help marketers reach their audience. We currently do not own or control any content distribution channels in China. Our contracts with content distribution channels generally do not impose long-term obligations requiring them to make their content distribution opportunities available to us, and under some of these contracts, content distribution channels may terminate the contracts during their terms if we do not meet the minimum market spending requirements in the contracts. Our ability to source content distribution opportunities from them depends in part on our ability to continuously generate sufficient market spending from our customers on these channels. We cannot assure you that we will successfully retain our content channel partners on terms favorable or acceptable to us.</w:t>
      </w:r>
    </w:p>
    <w:p>
      <w:pPr>
        <w:spacing w:after="0" w:line="166"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We generally enter into annual framework agreements with content distribution channel partners. These agreements generally provide for certain rebates, generally calculated as a percentage of marketing spend, that we are entitled to should the market spending during the terms exceed the specified thresholds. See “Management’s Discussion and Analysis of Financial Condition and Results of Operations — Key Operating and Financial Metrics — Net Revenue,” “— Critical Accounting Policies — Revenue recognition — Cost-Plus and Agreed Rebates to be Earned from Certain Website Publishers ” and “— Key Components of Results of Operations — Cost of Revenues; Gross Profit Margin” for a description of the accounting treatment of rebates that we receive from content distribution channels. If these or any other content distribution channel were to change their incentive programs or to cease doing business with us for any reason, our financial results would be materially adversely affected.</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Furthermore, 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287" w:lineRule="exact"/>
        <w:rPr>
          <w:sz w:val="20"/>
          <w:szCs w:val="20"/>
          <w:color w:val="auto"/>
        </w:rPr>
      </w:pPr>
    </w:p>
    <w:p>
      <w:pPr>
        <w:ind w:right="66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customer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model may be slower among marketers with heightened data security concerns or general demand for highly customizable application software. The acceptance of our solutions delivered as SaaS offerings will depend to a substantial extent on the education of our customers on the SaaS offerings and the widespread adoption of SaaS solutions in general, and we cannot be certain that the trend of adoption of such solutions will continue in the future. Therefore, it is difficult to predict customer demand for our platform or the future growth rate and size of the market for online marketing technology solutions.</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customers.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customer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ability to collect and use these types of data is limited by a number of factors, some of which are described in further details elsewhere in this section, including: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7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grow customer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8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Aside from blocking or deleting of cookies, other modifications to privacy settings on the PCs and mobile devices could limit or restrict our ability to collect and analyze data. For example, certain search engines, such 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customer departure and reputation damages, and materially and adversely affect our business and results of operations.</w:t>
      </w:r>
    </w:p>
    <w:p>
      <w:pPr>
        <w:spacing w:after="0" w:line="29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7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5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customers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customers is authentic or complete, or that we are able to identify and rectify all non-compliances in a timely manner.</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contracts with customers contain a back-to-back representation and warranty as to the truthfulness of the advertising content or an indemnity provision where the customers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customers’ increasing needs, our operating results could be harmed.</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customer departure, which could harm our reputation and adversely affect our business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customer base depends on our ability to maintain a consistently high level of customer services, customer education and technical support, which requires that our account servicing personnel have specific marketing domain knowledge and expertise. If we are unable to hire and train a sufficient number of support staff to provide effective and timely support to our customers, our customers’ appreciation of, or satisfaction with, our solutions may be adversely affected, resulting in reduced customer spending or departure and adversely affect our reputation and materially and adversely affect our business and results of operations.</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6" w:lineRule="exact"/>
        <w:rPr>
          <w:sz w:val="20"/>
          <w:szCs w:val="20"/>
          <w:color w:val="auto"/>
        </w:rPr>
      </w:pPr>
    </w:p>
    <w:p>
      <w:pPr>
        <w:ind w:right="70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70" w:lineRule="exact"/>
        <w:rPr>
          <w:sz w:val="20"/>
          <w:szCs w:val="20"/>
          <w:color w:val="auto"/>
        </w:rPr>
      </w:pPr>
    </w:p>
    <w:p>
      <w:pPr>
        <w:ind w:left="900" w:right="5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20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of December 31, 2016, we had US$48.5 million of goodwill, which represented approximately 28.6%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7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 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Upon completion of this offering, we will become a public company in the United States subject to the Sarbanes-Oxley Act of 2002. Section 404 of the Sarbanes-Oxley Act of 2002, or Section 404, will require that we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9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customers.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customers.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customers, and our business and results of operations may be harmed.</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customer confidence in, and the use of, our solutions. Harm to our reputation and customer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customers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customers or retain our existing customers and our business and results of operations can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customers, inability to attract future customers, reputational damage, regulatory intervention and financial harm, which could negatively impact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the need to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Sammy Hsieh,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9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rely on the contractual arrangements that establish the structure for certain of our operations in China.</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6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 However, we cannot assure you that such transition will be completed in a timely manner or at all as some of our customers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We collect and use multiple kinds of data from multiple sources in China to improve the cost-effectiveness of marketing campaigns for our customers and marketers in and outside China. There are uncertainties whether such activities fall within the scope of “foreign-related surveys” under the Foreign-related Surveys Measures for which a foreign-related survey license is required.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In light of these uncertainties and out of prudence, we, through our VIE OptAim Network applied for and was granted a foreign-related survey license on June 6, 2017 by the Chinese National Bureau of Statistics. Therefore, we will continue to rely on OptAim Bejing’s contractual arrangements with OptAim Network and its shareholders to conduct certain of our operations in China, to the extent these operations may be deemed as foreign-related survey.</w:t>
      </w:r>
    </w:p>
    <w:p>
      <w:pPr>
        <w:spacing w:after="0" w:line="18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the opinion of our PRC counsel, Jingtian &amp; Gongcheng, our current ownership structure, the ownership structure of our PRC subsidiaries, our consolidated variable interest entity and its subsidiary, and the contractual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8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customer contracts of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73"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us on a timely basis. We cannot assure you that when conflicts of interest arise, any or all of these shareholders will act in the best interests of our company or such conflicts will be resolved in our favor.</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Among other things, the draft Foreign Investment Law expands the definition of foreign investment and introduces the principle of “actual control” in determining whether a company is considered an FIE. The draft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Any funds we transfer to our PRC subsidiaries, either as a shareholder loan or as an increase in registered capital, are subject to approval by or registration with relevant governmental authorities in China. According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2"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140"/>
        <w:spacing w:after="0" w:line="269"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system prevents us from obtaining sufficient foreign currencies to satisfy our foreign currency demands, we may not be able to pay dividends in foreign currencies to our shareholders, including holders of our ADSs.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beneficiary owners of our shares who are PRC residents, including Jiping Liu,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 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2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expect to list our ADSs on the [NASDAQ Global Market/NYSE].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affecting us, our customers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We plan to use the net proceeds from this offering primarily for the following purposes: US$ in research and development and big data deep learning capabilities and capacities; US$ in the development and expansion of our suite of solutions and service offerings; and US$ in sales and</w:t>
      </w:r>
    </w:p>
    <w:p>
      <w:pPr>
        <w:spacing w:after="0"/>
        <w:rPr>
          <w:sz w:val="20"/>
          <w:szCs w:val="20"/>
          <w:color w:val="auto"/>
        </w:rPr>
      </w:pPr>
      <w:r>
        <w:rPr>
          <w:rFonts w:ascii="Arial" w:cs="Arial" w:eastAsia="Arial" w:hAnsi="Arial"/>
          <w:sz w:val="16"/>
          <w:szCs w:val="16"/>
          <w:color w:val="auto"/>
        </w:rPr>
        <w:t>marketing activities to attract, in particular, more customers to use our solutions on a self-serve basis, and customers from additional industry verticals and</w:t>
      </w:r>
    </w:p>
    <w:p>
      <w:pPr>
        <w:spacing w:after="0" w:line="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geographic markets. We also plan to use US$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directors and officers will collectively own an aggregate of % of the total voting power of our outstanding ordinary shares immediately upon completion of this offering, assuming the underwriters do not exercise their over-allotment option. As a result, they have substantial influence over our business, including significant corporate actions such as mergers, consolidations, sales of all or substantially all of our assets, election of directors and other significant corporate actions.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adopted our stock option plan in 2010 for the purpose of granting share based compensation awards to employees, directors and advisors to incentivize their performance and align their interests with ours. We account for compensation costs for all share options using a fair-value based method and recognize expenses in our consolidated statements of comprehensive income in accordance with U.S. GAAP. Under our stock option plan, the maximum aggregate number of ordinary shares which may be issued pursuant to all awards under the plan is 2,398,137. As of the date of this prospectus, options to purchase 1,791,606 ordinary shares have been granted and outstanding.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w:t>
      </w:r>
    </w:p>
    <w:p>
      <w:pPr>
        <w:spacing w:after="0" w:line="2" w:lineRule="exact"/>
        <w:rPr>
          <w:sz w:val="20"/>
          <w:szCs w:val="20"/>
          <w:color w:val="auto"/>
        </w:rPr>
      </w:pPr>
    </w:p>
    <w:p>
      <w:pPr>
        <w:ind w:right="1900"/>
        <w:spacing w:after="0" w:line="261" w:lineRule="auto"/>
        <w:rPr>
          <w:sz w:val="20"/>
          <w:szCs w:val="20"/>
          <w:color w:val="auto"/>
        </w:rPr>
      </w:pPr>
      <w:r>
        <w:rPr>
          <w:rFonts w:ascii="Arial" w:cs="Arial" w:eastAsia="Arial" w:hAnsi="Arial"/>
          <w:sz w:val="18"/>
          <w:szCs w:val="18"/>
          <w:color w:val="auto"/>
        </w:rPr>
        <w:t>There will be ADSs (representing ordinary shares) outstanding immediately after this offering, or ADSs (representing ordinary shares) if the underwriters exercise their over-allotment option in full.</w:t>
      </w:r>
    </w:p>
    <w:p>
      <w:pPr>
        <w:spacing w:after="0" w:line="18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dividends in the foreseeable future. Therefore, you should not rely on an investment in our ADSs as a source for any future dividend income.</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PRC counsel, Jingtian &amp; Gongcheng, has advised us based on their understanding of the current PRC law, rules and regulations that the CSRC’s approval is not required for the listing and trading of our ADSs on the [NASDAQ Global Market/NYSE] in the context of this offering, given that:</w:t>
      </w:r>
    </w:p>
    <w:p>
      <w:pPr>
        <w:spacing w:after="0" w:line="29" w:lineRule="exact"/>
        <w:rPr>
          <w:sz w:val="20"/>
          <w:szCs w:val="20"/>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7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expect to adopt and to become effective immediately prior to the completion of this offering will contain anti-takeover provisions that could discourage a third party from acquiring us and adversely affect the rights of holders of our ordinary shares and ADSs.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to adopt, subject to the approval by our shareholders,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requirements/NYSE corporate governance listing standards]; these practices may afford less protection to shareholders than they would enjoy if we complied fully with the [NASDAQ corporate governance requirements/NYSE corporate governance listing standards].</w:t>
      </w:r>
    </w:p>
    <w:p>
      <w:pPr>
        <w:spacing w:after="0" w:line="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a Cayman Islands company listed on the [NASDAQ Global Market/NYSE], we are subject to the [NASDAQ corporate governance requirements/NYSE corporate governance listing standards]. However, [NASDAQ Global Market/ NYSE] rules permit a foreign private issuer like us to follow the corporate governance practices of its home country. Certain corporate governance practices in the Cayman Islands, which is our home country, may differ significantly from the [NASDAQ corporate governance requirements/NYSE corporate governance listing standards]. Upon the completion of this offering, we will follow our home country practices and rely on certain exemptions provided by the [Nasdaq Stock Market Rules]/[Corporate Governance Rules of the New York Stock Exchange] to a foreign private issuer, including exemptions from the requirements to have:</w:t>
      </w:r>
    </w:p>
    <w:p>
      <w:pPr>
        <w:spacing w:after="0" w:line="7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[Nasdaq]/[NYSE]’s corporate governance requirements.</w:t>
      </w:r>
    </w:p>
    <w:p>
      <w:pPr>
        <w:spacing w:after="0" w:line="27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or to obtain copies of lists of shareholders of these companies. Our directors will have discretion under the post-offering amended and restated memorandum and articles of association we expect to adopt,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5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ordinary shares.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ordinary shares underlying your ADSs if you do not vote at shareholders’ meetings, which could adversely affect your interests.</w:t>
      </w:r>
    </w:p>
    <w:p>
      <w:pPr>
        <w:spacing w:after="0" w:line="6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Under the deposit agreement for our ADSs, the depositary will give us (or our nominee) a discretionary proxy to vote our ordinary shares underlying your ADSs at shareholders’ meetings if you do not give voting instructions to the depositary as to how to vote the ordinary shares underlying your ADSs at any particular shareholders’ meeting, unless:</w:t>
      </w:r>
    </w:p>
    <w:p>
      <w:pPr>
        <w:spacing w:after="0" w:line="8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ordinary shares underlying your ADSs at any particular shareholders’ meeting, you cannot prevent our ordinary shares underlying your ADSs from being voted at that meeting, absent the situations described above, and it may make it more difficult for shareholders to influence our management. Holders of our ordinary shares are not subject to this discretionary proxy.</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ADSs in this offering, you will pay more for your ADSs than the amount paid by our existing shareholders for their ordinary shares on</w:t>
      </w:r>
    </w:p>
    <w:p>
      <w:pPr>
        <w:spacing w:after="0" w:line="46"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a per ADS basis. As a result, you will experience immediate and substantial dilution of US$ per ADS, representing the difference between the assumed initial public offering price of US$ per ADS, the midpoint of the estimated range of the initial public offering price, and our net tangible book value per ADS of US$ as of December 31, 2016, after giving effect to the net proceeds to us from this offering. In addition, you may</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experience further dilution to the extent that our ordinary shares are issued upon the exercise of any share options. See “Dilution” for a more complete description of how the value of your investment in our ADSs will be diluted upon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We will incur additional legal, accounting and other expenses as a public reporting company, particularly after we cease to qualify as an emerging growth company, which occurs on the earliest of (a) the last day of the fiscal year during which we have total annual gross revenues of at least</w:t>
      </w:r>
    </w:p>
    <w:p>
      <w:pPr>
        <w:ind w:right="40"/>
        <w:spacing w:after="0" w:line="268" w:lineRule="auto"/>
        <w:rPr>
          <w:sz w:val="20"/>
          <w:szCs w:val="20"/>
          <w:color w:val="auto"/>
        </w:rPr>
      </w:pPr>
      <w:r>
        <w:rPr>
          <w:rFonts w:ascii="Arial" w:cs="Arial" w:eastAsia="Arial" w:hAnsi="Arial"/>
          <w:sz w:val="17"/>
          <w:szCs w:val="17"/>
          <w:color w:val="auto"/>
        </w:rPr>
        <w:t>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Market/NYSE],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30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Although the law in this regard is unclear, we intend to treat our consolidated variable interest entity as being owned by us for United States federal income tax purposes, not only because we exercise effective control over the operation of such entities but also because we are entitled to substantially all of their economic benefits, and, as a result, we consolidate their results of operations in our consolidated financial statements. Assuming that we are the owner of our consolidated variable interest entity for United States federal income tax purposes, and based upon our current and expected income and assets, including goodwill, (taking into account the expected proceeds from this offering) and projections as to the value of our ADSs and ordinary shares following the offering, we do not presently expect to be a PFIC for the current taxable year or the foreseeable future.</w:t>
      </w:r>
    </w:p>
    <w:p>
      <w:pPr>
        <w:spacing w:after="0" w:line="18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While we do not expect to become a PFIC, because the value of our assets for purposes of the asset test may be determined by reference to the market price of our ADSs or ordinary shares, fluctuations in the market price of our ADSs or ordinary shares may cause us to become a PFIC for the current or subsequent taxable years. The determination of whether we will be or become a PFIC will also depend, in part, on the composition of our income and assets, which may be affected by how, and how quickly, we use our liquid assets and the cash raised in this offering. If we determine not to deploy significant amounts of cash for active purposes or if it were determined that we do not own the stock of our consolidated variable interest entity for United States federal income tax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our customers and end marketers;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 million, or approximately US$ million if the underwriters exercise their option to purchase additional ADSs in full, after deducting underwriting discounts and commissions and the estimated offering expenses</w:t>
      </w:r>
    </w:p>
    <w:p>
      <w:pPr>
        <w:ind w:right="80"/>
        <w:spacing w:after="0" w:line="271" w:lineRule="auto"/>
        <w:rPr>
          <w:sz w:val="20"/>
          <w:szCs w:val="20"/>
          <w:color w:val="auto"/>
        </w:rPr>
      </w:pPr>
      <w:r>
        <w:rPr>
          <w:rFonts w:ascii="Arial" w:cs="Arial" w:eastAsia="Arial" w:hAnsi="Arial"/>
          <w:sz w:val="17"/>
          <w:szCs w:val="17"/>
          <w:color w:val="auto"/>
        </w:rPr>
        <w:t>payable by us. These estimates are based upon an assumed initial offering price of US$ per ADS, the midpoint of the range shown on the front cover page of this prospectus. A US$1.00 change in the assumed initial public offering price of US$ per ADS would, in the case of an increase, increase and, in the case of a decrease, decrease the net proceeds of this offering by US$ million, or approximately US$ million if the underwriters exercise their option to purchase additional ADSs in full, assuming the sale of ADSs at US$ per ADS, the midpoint of the range shown on the front cover page of this prospectus and after deducting underwriting discounts and commissions and the estimated offering expenses payable by us.</w:t>
      </w:r>
    </w:p>
    <w:p>
      <w:pPr>
        <w:spacing w:after="0" w:line="17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research and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the development and expansion of our suite of solutions and service offerings;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December 31, 2016:</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our preferred shares into 9,525,757 ordinary shares on a one-for-one basis upon the completion of the offering; and</w:t>
      </w:r>
    </w:p>
    <w:p>
      <w:pPr>
        <w:spacing w:after="0" w:line="75" w:lineRule="exact"/>
        <w:rPr>
          <w:rFonts w:ascii="Arial" w:cs="Arial" w:eastAsia="Arial" w:hAnsi="Arial"/>
          <w:sz w:val="18"/>
          <w:szCs w:val="18"/>
          <w:color w:val="auto"/>
        </w:rPr>
      </w:pPr>
    </w:p>
    <w:p>
      <w:pPr>
        <w:ind w:left="900" w:right="20" w:hanging="325"/>
        <w:spacing w:after="0" w:line="27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 pro forma as adjusted basis to reflect (1) the automatic conversion of all of our outstanding preferred shares into 9,525,757 ordinary shares on a one-for-one basis immediately upon the completion of this offering; and (2) the sale of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 2016</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80" w:type="dxa"/>
            <w:vAlign w:val="bottom"/>
          </w:tcPr>
          <w:p>
            <w:pPr>
              <w:spacing w:after="0"/>
              <w:rPr>
                <w:sz w:val="10"/>
                <w:szCs w:val="10"/>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Actual</w:t>
            </w:r>
          </w:p>
        </w:tc>
        <w:tc>
          <w:tcPr>
            <w:tcW w:w="15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jc w:val="center"/>
              <w:ind w:left="3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(US$ in thousands)</w:t>
            </w:r>
          </w:p>
        </w:tc>
        <w:tc>
          <w:tcPr>
            <w:tcW w:w="9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redeemable preferred shares (US$0.001 par value; 2,500,000 shares</w:t>
            </w: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rPr>
              <w:t>authorized as of December 31, 2015 and 2016, respectively; 2,476,190 shares issued and</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5,597</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B convertible redeemable preferred shares (US$0.001 par value; 3,000,000 shares authorized</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as of December 31, 2015 and 2016, respectively; 1,889,249 shares issued and outstanding as of</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9,807</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C convertible redeemable preferred shares (US$0.001 par value; 1,650,000 shares authorized</w:t>
            </w: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40"/>
              <w:spacing w:after="0"/>
              <w:rPr>
                <w:sz w:val="20"/>
                <w:szCs w:val="20"/>
                <w:color w:val="auto"/>
              </w:rPr>
            </w:pPr>
            <w:r>
              <w:rPr>
                <w:rFonts w:ascii="Arial" w:cs="Arial" w:eastAsia="Arial" w:hAnsi="Arial"/>
                <w:sz w:val="18"/>
                <w:szCs w:val="18"/>
                <w:color w:val="auto"/>
                <w:w w:val="97"/>
              </w:rPr>
              <w:t>as of December 31, 2015 and 2016, respectively; 1,599,186 shares issued and outstanding as of</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8"/>
              </w:rPr>
              <w:t>10,733</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D convertible redeemable preferred shares (US$0.001 par value; 4,500,000 shares</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as of December 31, 2015 and 2016, respectively; 2,493,018 shares issued and</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8"/>
              </w:rPr>
              <w:t>43,956</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E convertible redeemable preferred shares (US$0.001 par value; 1,200,000 shares authorized</w:t>
            </w: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w w:val="99"/>
              </w:rPr>
              <w:t>as of December 31, 2016; 1,068,114 shares issued and outstanding as of December 31, 2016)</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8"/>
              </w:rPr>
              <w:t>18,845</w:t>
            </w:r>
          </w:p>
        </w:tc>
        <w:tc>
          <w:tcPr>
            <w:tcW w:w="150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Redeemable ordinary shares (US$0.001 par value; 742,320 shares issued and outstanding as of</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8"/>
              </w:rPr>
              <w:t>15,445</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Shareholders’ deficit:</w:t>
            </w: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(US$0.001 par value; 38,350,000 and 37,150,000 shares authorized as of</w:t>
            </w: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 14,465,124 and 14,970,029 shares issued and</w:t>
            </w:r>
          </w:p>
        </w:tc>
        <w:tc>
          <w:tcPr>
            <w:tcW w:w="8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w:t>
            </w: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15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24</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w w:val="98"/>
              </w:rPr>
              <w:t>Treasury shares (1,293,364 and 788,459 shares as of December 31, 2015 and 2016, respectively)</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(2,468)</w:t>
            </w: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(2,468)</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80" w:type="dxa"/>
            <w:vAlign w:val="bottom"/>
          </w:tcPr>
          <w:p>
            <w:pPr>
              <w:ind w:left="5620"/>
              <w:spacing w:after="0"/>
              <w:rPr>
                <w:sz w:val="20"/>
                <w:szCs w:val="20"/>
                <w:color w:val="auto"/>
              </w:rPr>
            </w:pPr>
            <w:r>
              <w:rPr>
                <w:rFonts w:ascii="Arial" w:cs="Arial" w:eastAsia="Arial" w:hAnsi="Arial"/>
                <w:sz w:val="18"/>
                <w:szCs w:val="18"/>
                <w:color w:val="auto"/>
              </w:rPr>
              <w:t>61</w:t>
            </w: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December 31, 2016</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40" w:type="dxa"/>
            <w:vAlign w:val="bottom"/>
          </w:tcPr>
          <w:p>
            <w:pPr>
              <w:spacing w:after="0"/>
              <w:rPr>
                <w:sz w:val="10"/>
                <w:szCs w:val="1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0"/>
                <w:szCs w:val="10"/>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Pro Forma</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(US$ in thousands)</w:t>
            </w: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65,687</w:t>
            </w:r>
          </w:p>
        </w:tc>
        <w:tc>
          <w:tcPr>
            <w:tcW w:w="2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230,944</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(3,241)</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(124,385)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(124,385)</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(64,312)</w:t>
            </w: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100,955</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Total mezzanine equity and shareholders’ (deficit)/equity</w:t>
            </w:r>
          </w:p>
        </w:tc>
        <w:tc>
          <w:tcPr>
            <w:tcW w:w="700" w:type="dxa"/>
            <w:vAlign w:val="bottom"/>
          </w:tcPr>
          <w:p>
            <w:pPr>
              <w:jc w:val="right"/>
              <w:spacing w:after="0"/>
              <w:rPr>
                <w:sz w:val="20"/>
                <w:szCs w:val="20"/>
                <w:color w:val="auto"/>
              </w:rPr>
            </w:pPr>
            <w:r>
              <w:rPr>
                <w:rFonts w:ascii="Arial" w:cs="Arial" w:eastAsia="Arial" w:hAnsi="Arial"/>
                <w:sz w:val="18"/>
                <w:szCs w:val="18"/>
                <w:color w:val="auto"/>
              </w:rPr>
              <w:t>40,071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100,955</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4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Assuming the number of ADSs offered by us as set forth on the cover page of this prospectus remains the same, and after deduction of underwriting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discounts and commissions and the estimated offering expenses payable by us, a US$1.00 change in the assumed initial public offering price of</w:t>
      </w:r>
    </w:p>
    <w:p>
      <w:pPr>
        <w:spacing w:after="0" w:line="397"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color w:val="auto"/>
        </w:rPr>
        <w:t>US$ per ADS would, in the case of an increase, increase and, in the case of a decrease, decrease each of additional paid-in capital, total shareholders’ deficit and total mezzanine equity and shareholders’ deficit by US$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net tangible book value as of December 31, 2016 was approximately US$25.3 million, or US$1.9 per ordinary share as of that date, and US$ per ADS. Net tangible book value represents the amount of our total consolidated assets, less the amount of our intangible assets and total consolidated liabilities. Pro forma net tangible book value per ordinary share is calculated after giving effect to the automatic conversion of all of our issued and outstanding convertible preferred shares. Pro forma as adjusted net tangible book value per ordinary share is calculated after giving effect to the automatic conversion of all our issued and outstanding convertible preferred shares and the issuance of ordinary shares in the form of ADS by us in this offering. Dilution is determined by subtracting pro forma as adjusted net tangible book value per ordinary share from the public offering price per ordinary share.</w:t>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Without taking into account any other changes in net tangible book value after December 31, 2016, other than to give effect to (i) the automatic</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conversion of all of our issued and outstanding convertible preferred shares into 9,525,757 ordinary shares concurrently with the completion of this offering</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and (ii) the issuance and sale by us of ordinary shares in the form of ADSs in this offering at an assumed initial public offering price of US$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 forma as adjusted</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net tangible book value as of December 31, 2016 would have been US$ million, or US$ per outstanding ordinary share and US$ per ADS. This represents an immediate increase in pro forma net tangible book value of US$ per ordinary share and US$ per ADS to the existing shareholders and an immediate dilution in net tangible book value of US$ per ordinary share and US$ per ADS to investors purchasing ADSs in this offering. The following table illustrates such dilution: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4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w w:val="94"/>
              </w:rPr>
              <w:t>Per ordinary</w:t>
            </w:r>
          </w:p>
        </w:tc>
      </w:tr>
      <w:tr>
        <w:trPr>
          <w:trHeight w:val="171"/>
        </w:trPr>
        <w:tc>
          <w:tcPr>
            <w:tcW w:w="9180" w:type="dxa"/>
            <w:vAlign w:val="bottom"/>
          </w:tcPr>
          <w:p>
            <w:pPr>
              <w:spacing w:after="0"/>
              <w:rPr>
                <w:sz w:val="14"/>
                <w:szCs w:val="14"/>
                <w:color w:val="auto"/>
              </w:rPr>
            </w:pPr>
          </w:p>
        </w:tc>
        <w:tc>
          <w:tcPr>
            <w:tcW w:w="560" w:type="dxa"/>
            <w:vAlign w:val="bottom"/>
          </w:tcPr>
          <w:p>
            <w:pPr>
              <w:ind w:left="240"/>
              <w:spacing w:after="0"/>
              <w:rPr>
                <w:sz w:val="20"/>
                <w:szCs w:val="20"/>
                <w:color w:val="auto"/>
              </w:rPr>
            </w:pPr>
            <w:r>
              <w:rPr>
                <w:rFonts w:ascii="Arial" w:cs="Arial" w:eastAsia="Arial" w:hAnsi="Arial"/>
                <w:sz w:val="14"/>
                <w:szCs w:val="14"/>
                <w:b w:val="1"/>
                <w:bCs w:val="1"/>
                <w:color w:val="auto"/>
                <w:w w:val="80"/>
              </w:rPr>
              <w:t>share</w:t>
            </w:r>
          </w:p>
        </w:tc>
        <w:tc>
          <w:tcPr>
            <w:tcW w:w="1680" w:type="dxa"/>
            <w:vAlign w:val="bottom"/>
            <w:gridSpan w:val="2"/>
          </w:tcPr>
          <w:p>
            <w:pPr>
              <w:ind w:left="1100"/>
              <w:spacing w:after="0"/>
              <w:rPr>
                <w:sz w:val="20"/>
                <w:szCs w:val="20"/>
                <w:color w:val="auto"/>
              </w:rPr>
            </w:pPr>
            <w:r>
              <w:rPr>
                <w:rFonts w:ascii="Arial" w:cs="Arial" w:eastAsia="Arial" w:hAnsi="Arial"/>
                <w:sz w:val="14"/>
                <w:szCs w:val="14"/>
                <w:b w:val="1"/>
                <w:bCs w:val="1"/>
                <w:color w:val="auto"/>
                <w:w w:val="99"/>
              </w:rPr>
              <w:t>Per ADS</w:t>
            </w:r>
          </w:p>
        </w:tc>
      </w:tr>
      <w:tr>
        <w:trPr>
          <w:trHeight w:val="142"/>
        </w:trPr>
        <w:tc>
          <w:tcPr>
            <w:tcW w:w="9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902"/>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Actual net tangible book value per ordinary share as of December 31, 2016</w:t>
            </w:r>
          </w:p>
        </w:tc>
        <w:tc>
          <w:tcPr>
            <w:tcW w:w="1640" w:type="dxa"/>
            <w:vAlign w:val="bottom"/>
          </w:tcPr>
          <w:p>
            <w:pPr>
              <w:jc w:val="right"/>
              <w:ind w:right="1322"/>
              <w:spacing w:after="0"/>
              <w:rPr>
                <w:sz w:val="20"/>
                <w:szCs w:val="20"/>
                <w:color w:val="auto"/>
              </w:rPr>
            </w:pPr>
            <w:r>
              <w:rPr>
                <w:rFonts w:ascii="Arial" w:cs="Arial" w:eastAsia="Arial" w:hAnsi="Arial"/>
                <w:sz w:val="18"/>
                <w:szCs w:val="18"/>
                <w:color w:val="auto"/>
                <w:w w:val="87"/>
              </w:rPr>
              <w:t>1.9</w:t>
            </w:r>
          </w:p>
        </w:tc>
        <w:tc>
          <w:tcPr>
            <w:tcW w:w="40" w:type="dxa"/>
            <w:vAlign w:val="bottom"/>
          </w:tcPr>
          <w:p>
            <w:pPr>
              <w:spacing w:after="0"/>
              <w:rPr>
                <w:sz w:val="18"/>
                <w:szCs w:val="18"/>
                <w:color w:val="auto"/>
              </w:rPr>
            </w:pPr>
          </w:p>
        </w:tc>
      </w:tr>
      <w:tr>
        <w:trPr>
          <w:trHeight w:val="202"/>
        </w:trPr>
        <w:tc>
          <w:tcPr>
            <w:tcW w:w="9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per ordinary share after giving effect to the automatic conversion of all of our</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convertible preferred shares into ordinary shares</w:t>
            </w:r>
          </w:p>
        </w:tc>
        <w:tc>
          <w:tcPr>
            <w:tcW w:w="1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2"/>
        </w:trPr>
        <w:tc>
          <w:tcPr>
            <w:tcW w:w="9740" w:type="dxa"/>
            <w:vAlign w:val="bottom"/>
            <w:gridSpan w:val="2"/>
          </w:tcPr>
          <w:p>
            <w:pPr>
              <w:spacing w:after="0" w:line="201" w:lineRule="exact"/>
              <w:rPr>
                <w:sz w:val="20"/>
                <w:szCs w:val="20"/>
                <w:color w:val="auto"/>
              </w:rPr>
            </w:pPr>
            <w:r>
              <w:rPr>
                <w:rFonts w:ascii="Arial" w:cs="Arial" w:eastAsia="Arial" w:hAnsi="Arial"/>
                <w:sz w:val="18"/>
                <w:szCs w:val="18"/>
                <w:color w:val="auto"/>
              </w:rPr>
              <w:t>Pro forma as adjusted net tangible book value per ordinary share after giving effect to (i) the automatic conversion</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of all of our issued and outstanding convertible preferred shares into ordinary shares and (ii) the issuance</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of  ordinary shares in the form of ADSs in this offering</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US$1.00 increase (decrease) in the assumed initial public offering price of US$ per ADS (the mid-point of the estimated initial public offering price range shown on the cover page of this prospectus) would increase (decrease) our pro forma net tangible book value after giving effect to the offering by US$ million, the pro forma net tangible book value per ordinary share and per ADS after giving effect to the automatic conversion of our convertible preferred shares and this offering by US$ per ordinary share and US$ per ADS and the dilution in pro forma net tangible book value per ordinary share and per ADS to new investors in this offering by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 per ordinary share and US$ per ADS, assuming no change to the number of ADSs offered by us as set forth on the cover page of this prospectus, and after deducting the estimated underwriting discounts and commissions and estimated offering expenses payable by us.</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December 31, 2016,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00" w:type="dxa"/>
            <w:vAlign w:val="bottom"/>
            <w:gridSpan w:val="4"/>
          </w:tcPr>
          <w:p>
            <w:pPr>
              <w:jc w:val="center"/>
              <w:ind w:right="448"/>
              <w:spacing w:after="0"/>
              <w:rPr>
                <w:sz w:val="20"/>
                <w:szCs w:val="20"/>
                <w:color w:val="auto"/>
              </w:rPr>
            </w:pPr>
            <w:r>
              <w:rPr>
                <w:rFonts w:ascii="Arial" w:cs="Arial" w:eastAsia="Arial" w:hAnsi="Arial"/>
                <w:sz w:val="14"/>
                <w:szCs w:val="14"/>
                <w:b w:val="1"/>
                <w:bCs w:val="1"/>
                <w:color w:val="auto"/>
                <w:w w:val="93"/>
              </w:rPr>
              <w:t>Ordinary Shares</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vMerge w:val="restart"/>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Average Price per</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2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Ordinary Share</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ADS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70"/>
              </w:rPr>
              <w:t>thousands</w:t>
            </w: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70"/>
              </w:rPr>
              <w:t>, except</w:t>
            </w: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c>
          <w:tcPr>
            <w:tcW w:w="2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of shares and percentages)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jc w:val="center"/>
              <w:ind w:left="159"/>
              <w:spacing w:after="0" w:line="129" w:lineRule="exact"/>
              <w:rPr>
                <w:sz w:val="20"/>
                <w:szCs w:val="20"/>
                <w:color w:val="auto"/>
              </w:rPr>
            </w:pPr>
            <w:r>
              <w:rPr>
                <w:rFonts w:ascii="Arial" w:cs="Arial" w:eastAsia="Arial" w:hAnsi="Arial"/>
                <w:sz w:val="14"/>
                <w:szCs w:val="14"/>
                <w:b w:val="1"/>
                <w:bCs w:val="1"/>
                <w:color w:val="auto"/>
                <w:w w:val="93"/>
              </w:rPr>
              <w:t>(in</w:t>
            </w:r>
          </w:p>
        </w:tc>
        <w:tc>
          <w:tcPr>
            <w:tcW w:w="520" w:type="dxa"/>
            <w:vAlign w:val="bottom"/>
            <w:vMerge w:val="continue"/>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90"/>
              </w:rPr>
              <w:t>of US$</w:t>
            </w:r>
          </w:p>
        </w:tc>
        <w:tc>
          <w:tcPr>
            <w:tcW w:w="360" w:type="dxa"/>
            <w:vAlign w:val="bottom"/>
            <w:vMerge w:val="continue"/>
          </w:tcPr>
          <w:p>
            <w:pPr>
              <w:spacing w:after="0"/>
              <w:rPr>
                <w:sz w:val="11"/>
                <w:szCs w:val="11"/>
                <w:color w:val="auto"/>
              </w:rPr>
            </w:pPr>
          </w:p>
        </w:tc>
        <w:tc>
          <w:tcPr>
            <w:tcW w:w="54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77"/>
              </w:rPr>
              <w:t>number</w:t>
            </w:r>
          </w:p>
        </w:tc>
        <w:tc>
          <w:tcPr>
            <w:tcW w:w="2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3"/>
          </w:tcPr>
          <w:p>
            <w:pPr>
              <w:ind w:left="460"/>
              <w:spacing w:after="0"/>
              <w:rPr>
                <w:sz w:val="20"/>
                <w:szCs w:val="20"/>
                <w:color w:val="auto"/>
              </w:rPr>
            </w:pPr>
            <w:r>
              <w:rPr>
                <w:rFonts w:ascii="Arial" w:cs="Arial" w:eastAsia="Arial" w:hAnsi="Arial"/>
                <w:sz w:val="18"/>
                <w:szCs w:val="18"/>
                <w:color w:val="auto"/>
                <w:w w:val="92"/>
              </w:rPr>
              <w:t>A US$1.00 increase (decrease) in the assumed public offering price of US$</w:t>
            </w:r>
          </w:p>
        </w:tc>
        <w:tc>
          <w:tcPr>
            <w:tcW w:w="5400" w:type="dxa"/>
            <w:vAlign w:val="bottom"/>
            <w:gridSpan w:val="10"/>
          </w:tcPr>
          <w:p>
            <w:pPr>
              <w:ind w:left="100"/>
              <w:spacing w:after="0"/>
              <w:rPr>
                <w:sz w:val="20"/>
                <w:szCs w:val="20"/>
                <w:color w:val="auto"/>
              </w:rPr>
            </w:pPr>
            <w:r>
              <w:rPr>
                <w:rFonts w:ascii="Arial" w:cs="Arial" w:eastAsia="Arial" w:hAnsi="Arial"/>
                <w:sz w:val="18"/>
                <w:szCs w:val="18"/>
                <w:color w:val="auto"/>
              </w:rPr>
              <w:t>per ADS (the mid-point of the estimated initial public offering price</w:t>
            </w:r>
          </w:p>
        </w:tc>
        <w:tc>
          <w:tcPr>
            <w:tcW w:w="0" w:type="dxa"/>
            <w:vAlign w:val="bottom"/>
          </w:tcPr>
          <w:p>
            <w:pPr>
              <w:spacing w:after="0"/>
              <w:rPr>
                <w:sz w:val="1"/>
                <w:szCs w:val="1"/>
                <w:color w:val="auto"/>
              </w:rPr>
            </w:pPr>
          </w:p>
        </w:tc>
      </w:tr>
    </w:tbl>
    <w:p>
      <w:pPr>
        <w:ind w:right="240"/>
        <w:spacing w:after="0" w:line="261" w:lineRule="auto"/>
        <w:rPr>
          <w:sz w:val="20"/>
          <w:szCs w:val="20"/>
          <w:color w:val="auto"/>
        </w:rPr>
      </w:pPr>
      <w:r>
        <w:rPr>
          <w:rFonts w:ascii="Arial" w:cs="Arial" w:eastAsia="Arial" w:hAnsi="Arial"/>
          <w:sz w:val="18"/>
          <w:szCs w:val="18"/>
          <w:color w:val="auto"/>
        </w:rPr>
        <w:t>range shown on the cover page of this prospectus) would increase (decrease) total consideration paid by new investors by US$ million, assuming that the number of shares offered by us, as set forth on the cover page of this prospectus, remains the same.</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As of the date of this prospectus, there are 1,791,606 ordinary shares issuable upon the exercise of outstanding options to purchase ordinary shares and an additional 337,538 ordinary shares reserved for future issuance under the share option incentive scheme we adopted in 2010, or the 2010 Plan. To the extent that any of the unvested options later vest are exercised to purchase ordinary shares, there will be further dilution to new investors.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2010 Plan, the maximum number of ordinary shares that may be issued to the beneficiaries is 2,398,137, which have been issued to Arda Holdings Limited, or Arda, as trustee to the beneficiaries of the 2010 Plan. As of the date of this prospectus, options to purchase 2,060,599 ordinary shares were granted under the 2010 Plan, 774,273 of which are not vested, 1,017,333 are fully vested but not exercised, and 268,993 have been exercised.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RMB6.9430 to US$1.00 and all translations of Hong Kong dollars into U.S. dollars in this prospectus were made at the rate of HK$7.7534 to US$1.00, each being the noon buying rates on December 30, 2016 as set forth in the H.10 statistical release of the U.S. Federal Reserve Board. We make no representation that the Renminbi referred to in this prospectus could have been or could be converted into U.S. dollars at any particular rate or at all. On July 7, 2017, the noon buying rate for Renminbi was RMB6.8039 to US$1.00 as set forth in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6.8768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6.8907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6.9575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February</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6.8665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6.8694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6.8517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6.8821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6.8940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6.8687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6.9132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April</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6.8900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6.8876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6.8778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6.8988</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6.8843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6.9060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June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6.7793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6.8066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6.7793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(through July 7,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6.8039</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6.8002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6.7984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Source: Federal Reserve Statistical Release</w:t>
      </w:r>
    </w:p>
    <w:p>
      <w:pPr>
        <w:spacing w:after="0" w:line="23" w:lineRule="exact"/>
        <w:rPr>
          <w:sz w:val="20"/>
          <w:szCs w:val="20"/>
          <w:color w:val="auto"/>
        </w:rPr>
      </w:pPr>
    </w:p>
    <w:p>
      <w:pPr>
        <w:ind w:left="460" w:right="20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customers in Southeast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5850" cy="53943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6585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right="10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4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customers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customers and its business are gradually being transferred to iClick Interactive Asia Limited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audience solutions and other solutions to Hong Kong customers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certain publisher</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customers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customers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customers through our VIE and the VIE’s subsidiary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customers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 the process of transferring the business operated by our VIE, OptAim Network, to our wholly owned subsidiaries. We expect that by the end of 2018, OptAim (Beijing) Information Technology Co., Ltd. will replace Beijing OptAim Network Technology Co., Ltd. as contracting party for all our mobile audience solution business that are operated by OptAim. Please refer to “Risk Factors —Risks Related to Our Corporate Structure — We will continue to rely on the contractual arrangements that establish the structure for certain of our operations in China.”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2"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There are uncertainties under the PRC laws whether our collection and use of data of multiple kinds and from multiple sources in China to improve the cost-effectiveness of marketing campaigns for customers and marketers in and outside China may be deemed as “foreign-related survey”, which requires a foreign-related survey license from the National Bureau of Statistics in China or its local counterparts. This license may only be granted to a domestic enterprise or a sino-foreign enterprise which meets the several requirements under the relevant PRC laws. In light of these uncertainties and out of prudence, we, through our VIE, OptAim Network, applied for and was granted a foreign-related survey license on June 6, 2017. Therefore, we will continue to rely on OptAim Bejing’s contractual arrangements with OptAim Network and its shareholders to conduct certain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operations in China and to the extent these operations are deemed foreign-related survey. See “Risk Factors — Risk Related to Our Corporate Structure — We will continue to rely on the contractual arrangements that establish the structure for certain of our operations in China.”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continue to rely on the contractual arrangements that establish the structure for certain of our operations in China,”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The following selected consolidated statements of comprehensive income/(loss) data and selected consolidated cash flows data for the year ended December 31, 2015 and 2016, and selected consolidated balance sheet data as of December 31, 2015 and 2016 have been derived from our audited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3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(US$ in thousands, except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per share and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65,242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(34,531)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(8,106)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(31,385)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(12,745)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(52,236)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(63,617)</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(39,714)</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2,591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(41,797)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(3.58)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11,661,049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11,661,049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74</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2000" w:type="dxa"/>
            <w:vAlign w:val="bottom"/>
            <w:gridSpan w:val="3"/>
          </w:tcPr>
          <w:p>
            <w:pPr>
              <w:jc w:val="right"/>
              <w:ind w:right="331"/>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receivables of US$1,733 and US$1,693 as of December 31, 2015</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18"/>
                <w:szCs w:val="18"/>
                <w:color w:val="auto"/>
              </w:rPr>
              <w:t>and 2016, respectively</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28,423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24,793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19,095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48,496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146,110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115,124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118,829</w:t>
            </w:r>
          </w:p>
        </w:tc>
        <w:tc>
          <w:tcPr>
            <w:tcW w:w="5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83,210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(55,929)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146,110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jc w:val="right"/>
              <w:ind w:right="3430"/>
              <w:spacing w:after="0"/>
              <w:rPr>
                <w:sz w:val="20"/>
                <w:szCs w:val="20"/>
                <w:color w:val="auto"/>
              </w:rPr>
            </w:pPr>
            <w:r>
              <w:rPr>
                <w:rFonts w:ascii="Arial" w:cs="Arial" w:eastAsia="Arial" w:hAnsi="Arial"/>
                <w:sz w:val="18"/>
                <w:szCs w:val="18"/>
                <w:color w:val="auto"/>
              </w:rPr>
              <w:t>75</w:t>
            </w: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significantly by US$71.1 million, or 172.0%, from US$41.3 million in 2015 to US$112.4 million in 2016.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Our net revenues from mobile audience solutions represented 60.6% of our net revenues in 2016, compared to 18.3% in 2015. In addition to mobile audience solutions, we have other online marketing solutions that are primarily focused on non-mobile app channels and search engine marketing.</w:t>
      </w:r>
    </w:p>
    <w:p>
      <w:pPr>
        <w:spacing w:after="0" w:line="18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take a flexible approach to the delivery model of our solutions in order to cater to the preferences and levels of internal resources and sophistication of customers. Customers may choose to access our solutions either through (i) a self-service model, under which they have the flexibility to utilize our solutions “a la carte” to complement their existing marketing resources, and (ii) a managed service model, where our account management team provides in-depth services that suit customers’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Our customers, referring to entities from which we recognize revenue under our marketing campaign contracts with them, include direct marketer customers and marketing agencies. We derived over 70% of our gross billing from direct marketer customers in 2015 and 2016.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generate revenues primarily from customers’ marketing spend through our platform as they utilize our solutions, and to a lesser extent from rebates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certain publishers. We have achieved significant growth in recent years. Our gross billing grew by 32.5% from US$178.2 million in 2015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US$236.3 million in 2016. Our net revenues grew by 46.2% from US$65.2 million in 2015 to US$95.4 million in 2016. Our net loss was US$39.7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US$27.3 million in 2015 and 2016,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Please refer to note 4(b) of our consolidated financial statements included elsewhere in this prospectus. OptAim contributed US$41.1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gross billing and US$11.7 million to our net revenues from July 24, 2015, when we acquired OptAim, to December 31, 2015, and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US$105.7 million to our gross billing and US$51.1 million to our net revenues in 2016. Intangible assets identified in connection with our acquisition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are amortized. Amortization expenses of US$1.8 million and US$4.0 million were recognized under our cost of revenues in 2015 and 2016,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In addition, as of December 31, 2016, we had US$45.5 million of goodwill, which represented approximately 26.8% of our total assets,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related to our acquisition of OptAim. Goodwill is recorded at fair value and is not amortized, but is reviewed for impairment at least annually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more frequently if impairment indicators arise. Impairment charges could substantially affect our results of operations in the periods of such charges.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impairment charges would negatively impact our financial ratios and could limit our ability to obtain financing in the future. See “Risk Factors —</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Risks Related to Our Business and Industry — We may be required to record significant impairment charges as a result of our acquisition of OptAim.”</w:t>
      </w:r>
    </w:p>
    <w:p>
      <w:pPr>
        <w:spacing w:after="0" w:line="22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 we integrate OptAim’s operations, we have realized synergies and economy of scale. Our operating expenses as a percentage of net revenues decreased from 80.1% in 2015 to 66.7% in 2016. In particular, we were able to reduce our sales and marketing expenses by US$3.1 million, or 9.9%, from US$31.4 million in 2015 to US$28.3 million in 2016 while increasing our net revenues in the same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20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vMerge w:val="restart"/>
          </w:tcPr>
          <w:p>
            <w:pPr>
              <w:jc w:val="right"/>
              <w:ind w:right="73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140" w:type="dxa"/>
            <w:vAlign w:val="bottom"/>
          </w:tcPr>
          <w:p>
            <w:pPr>
              <w:jc w:val="right"/>
              <w:ind w:right="495"/>
              <w:spacing w:after="0" w:line="119" w:lineRule="exact"/>
              <w:rPr>
                <w:sz w:val="20"/>
                <w:szCs w:val="20"/>
                <w:color w:val="auto"/>
              </w:rPr>
            </w:pPr>
            <w:r>
              <w:rPr>
                <w:rFonts w:ascii="Arial" w:cs="Arial" w:eastAsia="Arial" w:hAnsi="Arial"/>
                <w:sz w:val="13"/>
                <w:szCs w:val="13"/>
                <w:b w:val="1"/>
                <w:bCs w:val="1"/>
                <w:color w:val="auto"/>
              </w:rPr>
              <w:t>(US$ in</w:t>
            </w: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520" w:type="dxa"/>
            <w:vAlign w:val="bottom"/>
          </w:tcPr>
          <w:p>
            <w:pPr>
              <w:spacing w:after="0"/>
              <w:rPr>
                <w:sz w:val="10"/>
                <w:szCs w:val="10"/>
                <w:color w:val="auto"/>
              </w:rPr>
            </w:pPr>
          </w:p>
        </w:tc>
        <w:tc>
          <w:tcPr>
            <w:tcW w:w="7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(US$ in</w:t>
            </w:r>
          </w:p>
        </w:tc>
        <w:tc>
          <w:tcPr>
            <w:tcW w:w="11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w w:val="87"/>
              </w:rPr>
              <w:t>thousands)</w:t>
            </w: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Gross billing</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178,239</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236,253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billing from mobile audience solutions</w:t>
            </w:r>
          </w:p>
        </w:tc>
        <w:tc>
          <w:tcPr>
            <w:tcW w:w="11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41,323</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112,403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136,916</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76.8</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123,850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revenues</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65,242</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36.6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95,357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revenues from mobile audience solutions</w:t>
            </w:r>
          </w:p>
        </w:tc>
        <w:tc>
          <w:tcPr>
            <w:tcW w:w="11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11,908</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28.8</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53,334</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38.9</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37,596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(8,850)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Adjusted net loss</w:t>
            </w:r>
          </w:p>
        </w:tc>
        <w:tc>
          <w:tcPr>
            <w:tcW w:w="1140" w:type="dxa"/>
            <w:vAlign w:val="bottom"/>
          </w:tcPr>
          <w:p>
            <w:pPr>
              <w:jc w:val="right"/>
              <w:ind w:right="315"/>
              <w:spacing w:after="0"/>
              <w:rPr>
                <w:sz w:val="20"/>
                <w:szCs w:val="20"/>
                <w:color w:val="auto"/>
              </w:rPr>
            </w:pPr>
            <w:r>
              <w:rPr>
                <w:rFonts w:ascii="Arial" w:cs="Arial" w:eastAsia="Arial" w:hAnsi="Arial"/>
                <w:sz w:val="18"/>
                <w:szCs w:val="18"/>
                <w:color w:val="auto"/>
              </w:rPr>
              <w:t>(11,583)</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780" w:type="dxa"/>
            <w:vAlign w:val="bottom"/>
          </w:tcPr>
          <w:p>
            <w:pPr>
              <w:jc w:val="right"/>
              <w:spacing w:after="0"/>
              <w:rPr>
                <w:sz w:val="20"/>
                <w:szCs w:val="20"/>
                <w:color w:val="auto"/>
              </w:rPr>
            </w:pPr>
            <w:r>
              <w:rPr>
                <w:rFonts w:ascii="Arial" w:cs="Arial" w:eastAsia="Arial" w:hAnsi="Arial"/>
                <w:sz w:val="18"/>
                <w:szCs w:val="18"/>
                <w:color w:val="auto"/>
              </w:rPr>
              <w:t>(8,999)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Gross billing from our mobile audience solutions increased, both in absolute amount and as a percentage of total gross billing,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as a result of a decrease in the number of customers for our other solutions from 2015 to 2016 as we optimized our customer base to focus on customers that have larger marketing budgets and better credit and liquidity profile, and conduct online marketing campaigns on a more frequent basis.</w:t>
      </w:r>
    </w:p>
    <w:p>
      <w:pPr>
        <w:spacing w:after="0" w:line="179"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Our gross billing per customer increased by US$32,020, or 47.5%, from US$67,413 in 2015 to US$99,433 in 2016, while the total number of our customers decreased by 10.1% from 2,644 in 2015 to 2,376 in 2016. This was due to our efforts in optimizing our customer base to focus on sales to customers who have better credit and liquidity profile and larger marketing budgets, and conduct online marketing campaigns on a more frequent basis.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gross billing retention rate, referring to the rate with respect to a given fiscal year of (i) gross billing recognized during such period from customers that contributed to the gross billing recognized in the prior fiscal year divided by (ii) gross billing contributed by such customers in such prior fiscal year, was 107% in 2016, compared to 100%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derive and report our revenue under two models. Our revenue for cost-plus advertisement campaigns and rebates earned from certain website publishers is reported under the net model. Our revenue from performing specified actions (i.e., a CPM, CPC, CPA, CPS, CPL or ROI basis) is reported under the gross model.</w:t>
      </w:r>
    </w:p>
    <w:p>
      <w:pPr>
        <w:spacing w:after="0" w:line="18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the net model, we record service fees, net of media costs and, rebates and discounts, as net revenues. Service fees are generally calculated as a percentage of media cost. Such percentage is negotiated on a customer-by-customer, and campaign-by-campaign basis. We also generate revenue under this model from rebates from publishers for which we distribute content distribution opportunities. The amount of such rebates are determined based on a variety of factors, including yearly market spending at these publishers’ platforms.</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Under the gross model, we record the aggregate gross dollar amount that our customers spend through our platform, which includes media cost, as net revenues. We charge our customers for specified actions, such as when a user clicks on their marketing messages, or a CPC pricing model, or when their marketing messages are displayed, or a CPM pricing model. Rebates received from publishers are recorded as deduction of cost of revenues under this model.</w:t>
      </w:r>
    </w:p>
    <w:p>
      <w:pPr>
        <w:spacing w:after="0" w:line="14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grant rebates and discounts to our customers based on certain factors, including their yearly market spending on our platform, to incentivize and encourage them to use our marketing solutions. With respect to the arrangement between a particular publisher and our subsidiary whose sole business is to act as a sales agent for that publisher, rebates and discounts granted to our customers are recorded as cost of revenues as we consider these rebates are identifiable and separable from the rebates revenue generated from that publisher. In all other circumstances, rebates and discounts granted to our customers are recorded as reduction of revenues.</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our customers, including whether to conduct their marketing campaigns on a specified-action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(i.e., gross) or cost-plus (i.e., net) basis in a particular period, which in turn depends on customers’ needs and goals. Please refer to “— Key Factors Affecting Our Results of Operations — Our Revenue Models” on the impact of our revenue recognition models on our results of operations.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Net revenues as a percentage of gross billing for mobile audience solutions increased from 28.8% in 2015 to 51.4% in 2016 as more marketing campaigns involving mobile audience solutions were conducted on specified-action (i.e., gross) basis in 2016 compared to 2015. US$54.2 million, or 48.2%, of gross billing from mobile audience solutions were recognized as net revenues on a gross basis in 2016, compared to US$7.9 million, or 19.1%, in 2015. This was a result of the implementation of our go-to-market strategy for mobile audience solutions to capture a larger share of customers’ marketing spend for these solutions.</w:t>
      </w:r>
    </w:p>
    <w:p>
      <w:pPr>
        <w:spacing w:after="0" w:line="188"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Net revenues as a percentage of gross billing for our other solutions decreased from 38.9% in 2015 to 30.4% in 2016 as more marketing campaigns involving other solutions were conducted on cost-plus (i.e., net) basis in 2016 compared to 2015. US$17.9 million, or 14.4%, of gross billing from other solutions were recognized as net revenues on a gross basis in 2016, compared to US$30.8 million or 22.5% in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960" w:type="dxa"/>
            <w:vAlign w:val="bottom"/>
            <w:gridSpan w:val="3"/>
          </w:tcPr>
          <w:p>
            <w:pPr>
              <w:jc w:val="right"/>
              <w:ind w:right="311"/>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Add / (less):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EBITDA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6,494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7"/>
        </w:trPr>
        <w:tc>
          <w:tcPr>
            <w:tcW w:w="9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w:t>
            </w:r>
          </w:p>
        </w:tc>
      </w:tr>
      <w:tr>
        <w:trPr>
          <w:trHeight w:val="20"/>
        </w:trPr>
        <w:tc>
          <w:tcPr>
            <w:tcW w:w="9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96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Add:</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21,244</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19,390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(3,995)</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(11,583)</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optimize customer base and increase customer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customers on these channels, especially mobile app channels. We also intend to strengthen our relationships with content distribution channel partners through technology collaboration to faciliate innovative and effective user engagement.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derive revenue under two models. Our revenue for cost-plus advertisement campaigns and rebates earned from certain website publishers is reported under the net model. Our revenue from performing specified actions (i.e., a CPM, CPC, CPA, CPS, CPL or ROI basis) is reported under the gross model. Please see “— Key Operating and Financial Metrics — Net Revenues” above for more details. The gross profit margin under our net model is higher than the gross model as cost of revenues under the net model does not include media cost. As a result, an increase in the percentage of gross billing recognized as net revenues under our gross model will have a positive impact on our net revenues and a negative impact on gross profit margin. Our mobile audience solutions, on one hand and other solutions, on the other hand, each represents a mixture of revenue recognized on gross basis and on net basis and the proportion of each fluctuates from period to period. Therefore our net revenues, net revenues as a percentage of gross billing, gross margin and the comparability of our financial results in one period to another may be affected by the relative percentage of gross billing recognized as net revenues under the gross model and net model.</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Customer Base and Increase Customer Spending</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growth and profitability are dependent upon our ability to optimize customer base and increase customer’s marketing spend on our platform. To optimize our customer base, we conducted a comprehensive review of our customer base in 2016 to focus on sales to customers who have larger marketing budgets and better credit and liquidity profile, and conduct online marketing campaigns on a more frequent basis. We have also been focused, and expect to continue our focus, on sales to direct marketer customers, which tend to command higher gross profit margin compared to agency customers. Furthermore, our growth and profitability also depend on our ability to attract more customers to our self-service model, and to further diversify our customers base to capture the growth in additional industry verticals and geographic markets.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ability to increase customer’s marketing spend on our platform depends on whether our solutions can effectively address customers’ evolving and diverse needs in a cost-efficient manner. To that end, we plan to develop and offer more tailored, innovative and user-friendly solutions and services and enhance our sales, marketing and account servicing efforts.</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As a result of these initiatives, our gross billing retention rate and gross billing per customer both increased from 2015 to 2016, which resulted in the growth of our overall gross billing despite the decrease in our number of customers during the same period as we optimized our customer base.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customers achieve more precise audience targeting and enables us to retain customers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customers’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customers’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plan to continue collaborating with customers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revenue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revenue, primarily due to a lower level of allocation of online marketing budgets by marketers at the beginning of the calendar year in which the Chinese New Year holidays fall, during which time businesses in China are generally closed. We expect our revenue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discussed below to be critical to an understanding of our financial statements as their application places the most significant demands on the judgment of our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services are the provisions of online marketing services. We utilize a combination of pricing models and revenue is recognized when the related services are delivered based on the specific terms of the contract, which are commonly based on (i) cost-plus, (ii) agreed rebates to be earned from certain website publishers or (iii) specified actions (i.e. CPM, CPC, CPA, CPS, CPL or ROI) and related campaign budgets, depending on the customers’ preferences and their campaigns launched.</w:t>
      </w:r>
    </w:p>
    <w:p>
      <w:pPr>
        <w:spacing w:after="0" w:line="18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we are acting as an agent in a transaction, and the timing and the amount are based on an evaluation of the terms of each arrangement.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cost-plus advertisement campaigns and rebates to be earned from certain website publishers, sales are valued at the fair value of the amount received. Rebates and discounts granted to clients under cost-plus marketing campaigns, along with free or extended advertising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and December 28, 2016,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US$ in millions</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August 1, 2015</w:t>
            </w:r>
          </w:p>
        </w:tc>
        <w:tc>
          <w:tcPr>
            <w:tcW w:w="55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December 28, 2016</w:t>
            </w:r>
          </w:p>
        </w:tc>
        <w:tc>
          <w:tcPr>
            <w:tcW w:w="5500" w:type="dxa"/>
            <w:vAlign w:val="bottom"/>
          </w:tcPr>
          <w:p>
            <w:pPr>
              <w:jc w:val="right"/>
              <w:spacing w:after="0"/>
              <w:rPr>
                <w:sz w:val="20"/>
                <w:szCs w:val="20"/>
                <w:color w:val="auto"/>
              </w:rPr>
            </w:pPr>
            <w:r>
              <w:rPr>
                <w:rFonts w:ascii="Arial" w:cs="Arial" w:eastAsia="Arial" w:hAnsi="Arial"/>
                <w:sz w:val="18"/>
                <w:szCs w:val="18"/>
                <w:color w:val="auto"/>
              </w:rPr>
              <w:t>441</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 xml:space="preserve">Weighted average cost of capital, or WACC. </w:t>
      </w:r>
      <w:r>
        <w:rPr>
          <w:rFonts w:ascii="Arial" w:cs="Arial" w:eastAsia="Arial" w:hAnsi="Arial"/>
          <w:sz w:val="17"/>
          <w:szCs w:val="17"/>
          <w:color w:val="auto"/>
        </w:rPr>
        <w:t>Our cash flows were discounted to present value using discount rates that reflect the risks the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and 18.3% for January 1, 2015, August 1, 2015, December 31, 2015 and December 28, 2016, respectively.</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Discount for lack of marketability, or DLOM</w:t>
      </w:r>
      <w:r>
        <w:rPr>
          <w:rFonts w:ascii="Arial" w:cs="Arial" w:eastAsia="Arial" w:hAnsi="Arial"/>
          <w:sz w:val="18"/>
          <w:szCs w:val="18"/>
          <w:color w:val="auto"/>
        </w:rPr>
        <w:t>. At the time of each issuance, we were a closely-held company and there was no public market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and 19.2% for January 1, 2015, August 1, 2015, December 31, 2015 and December 28, 2016, respectively.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and decrease to US$478.0 million as of December 31, 2015 and further to US$440.8 million as of December 31, 2016. We believe the change in the fair value of our total equity was primarily attributable to the following factors:</w:t>
      </w:r>
    </w:p>
    <w:p>
      <w:pPr>
        <w:spacing w:after="0" w:line="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afterward and certain fluctuation is attributable to the changes in discount rate as a result of the change in market data adopted in the CAPM model for derivation of WACC (i.e. increase in risk-free rates and unlevered beta of comparable companies has been observed by end of 2015 and 2016).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and December 28, 2016, respectively: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35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3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August 1, 2015</w:t>
            </w:r>
          </w:p>
        </w:tc>
        <w:tc>
          <w:tcPr>
            <w:tcW w:w="536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December 28, 2016</w:t>
            </w:r>
          </w:p>
        </w:tc>
        <w:tc>
          <w:tcPr>
            <w:tcW w:w="5360" w:type="dxa"/>
            <w:vAlign w:val="bottom"/>
            <w:gridSpan w:val="3"/>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350"/>
        </w:trPr>
        <w:tc>
          <w:tcPr>
            <w:tcW w:w="3520" w:type="dxa"/>
            <w:vAlign w:val="bottom"/>
          </w:tcPr>
          <w:p>
            <w:pPr>
              <w:spacing w:after="0"/>
              <w:rPr>
                <w:sz w:val="24"/>
                <w:szCs w:val="24"/>
                <w:color w:val="auto"/>
              </w:rPr>
            </w:pPr>
          </w:p>
        </w:tc>
        <w:tc>
          <w:tcPr>
            <w:tcW w:w="3760" w:type="dxa"/>
            <w:vAlign w:val="bottom"/>
          </w:tcPr>
          <w:p>
            <w:pPr>
              <w:jc w:val="right"/>
              <w:ind w:right="1390"/>
              <w:spacing w:after="0"/>
              <w:rPr>
                <w:sz w:val="20"/>
                <w:szCs w:val="20"/>
                <w:color w:val="auto"/>
              </w:rPr>
            </w:pPr>
            <w:r>
              <w:rPr>
                <w:rFonts w:ascii="Arial" w:cs="Arial" w:eastAsia="Arial" w:hAnsi="Arial"/>
                <w:sz w:val="18"/>
                <w:szCs w:val="18"/>
                <w:color w:val="auto"/>
              </w:rPr>
              <w:t>87</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and December 28, 2016,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jc w:val="right"/>
              <w:ind w:right="1156"/>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Ordinary Shares</w:t>
            </w:r>
          </w:p>
        </w:tc>
      </w:tr>
      <w:tr>
        <w:trPr>
          <w:trHeight w:val="142"/>
        </w:trPr>
        <w:tc>
          <w:tcPr>
            <w:tcW w:w="446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59</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7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60" w:type="dxa"/>
            <w:vAlign w:val="bottom"/>
            <w:vMerge w:val="restart"/>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Risk-free interest</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960" w:type="dxa"/>
            <w:vAlign w:val="bottom"/>
            <w:vMerge w:val="restart"/>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2"/>
                <w:szCs w:val="12"/>
                <w:b w:val="1"/>
                <w:bCs w:val="1"/>
                <w:color w:val="auto"/>
              </w:rPr>
              <w:t>(4)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5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rapid growth in recent periods, and such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1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40" w:type="dxa"/>
            <w:vAlign w:val="bottom"/>
          </w:tcPr>
          <w:p>
            <w:pPr>
              <w:spacing w:after="0"/>
              <w:rPr>
                <w:sz w:val="10"/>
                <w:szCs w:val="10"/>
                <w:color w:val="auto"/>
              </w:rPr>
            </w:pPr>
          </w:p>
        </w:tc>
        <w:tc>
          <w:tcPr>
            <w:tcW w:w="11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thousands)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revenues)</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(34,531)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(52.9)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(61,048)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(8,584)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(31,385)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(28,266)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(26,767)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440" w:type="dxa"/>
            <w:vAlign w:val="bottom"/>
            <w:vMerge w:val="continue"/>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(80.1)</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4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(29,308)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(713)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(19,390)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(29.7)</w:t>
            </w:r>
          </w:p>
        </w:tc>
        <w:tc>
          <w:tcPr>
            <w:tcW w:w="680" w:type="dxa"/>
            <w:vAlign w:val="bottom"/>
          </w:tcPr>
          <w:p>
            <w:pPr>
              <w:jc w:val="right"/>
              <w:spacing w:after="0"/>
              <w:rPr>
                <w:sz w:val="20"/>
                <w:szCs w:val="20"/>
                <w:color w:val="auto"/>
              </w:rPr>
            </w:pPr>
            <w:r>
              <w:rPr>
                <w:rFonts w:ascii="Arial" w:cs="Arial" w:eastAsia="Arial" w:hAnsi="Arial"/>
                <w:sz w:val="18"/>
                <w:szCs w:val="18"/>
                <w:color w:val="auto"/>
              </w:rPr>
              <w:t>3,995</w:t>
            </w:r>
          </w:p>
        </w:tc>
        <w:tc>
          <w:tcPr>
            <w:tcW w:w="4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(40,231)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(27,108)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555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440" w:type="dxa"/>
            <w:vAlign w:val="bottom"/>
            <w:vMerge w:val="continue"/>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4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generate revenue primarily from customers of our online marketing solutions, and from certain publishers for our promotion of their content distribution opportunities. Please refer to “— Key Operating and Financial Metrics — Net Revenues” for a description of the components of our net revenues and revenue recognition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16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7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revenues)</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thousands)</w:t>
            </w:r>
          </w:p>
        </w:tc>
        <w:tc>
          <w:tcPr>
            <w:tcW w:w="4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 from mobile audience solutions</w:t>
            </w:r>
          </w:p>
        </w:tc>
        <w:tc>
          <w:tcPr>
            <w:tcW w:w="2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29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53,334</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81.7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37,596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65,242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95,357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960" w:type="dxa"/>
            <w:vAlign w:val="bottom"/>
            <w:vMerge w:val="restart"/>
          </w:tcPr>
          <w:p>
            <w:pPr>
              <w:jc w:val="right"/>
              <w:ind w:right="1510"/>
              <w:spacing w:after="0"/>
              <w:rPr>
                <w:sz w:val="20"/>
                <w:szCs w:val="20"/>
                <w:color w:val="auto"/>
              </w:rPr>
            </w:pPr>
            <w:r>
              <w:rPr>
                <w:rFonts w:ascii="Arial" w:cs="Arial" w:eastAsia="Arial" w:hAnsi="Arial"/>
                <w:sz w:val="18"/>
                <w:szCs w:val="18"/>
                <w:color w:val="auto"/>
              </w:rPr>
              <w:t>89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table below shows our rebates received from publishers and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7400" w:type="dxa"/>
            <w:vAlign w:val="bottom"/>
          </w:tcPr>
          <w:p>
            <w:pPr>
              <w:spacing w:after="0"/>
              <w:rPr>
                <w:sz w:val="10"/>
                <w:szCs w:val="10"/>
                <w:color w:val="auto"/>
              </w:rPr>
            </w:pPr>
          </w:p>
        </w:tc>
        <w:tc>
          <w:tcPr>
            <w:tcW w:w="116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 net</w:t>
            </w:r>
          </w:p>
        </w:tc>
        <w:tc>
          <w:tcPr>
            <w:tcW w:w="460" w:type="dxa"/>
            <w:vAlign w:val="bottom"/>
          </w:tcPr>
          <w:p>
            <w:pPr>
              <w:spacing w:after="0"/>
              <w:rPr>
                <w:sz w:val="10"/>
                <w:szCs w:val="10"/>
                <w:color w:val="auto"/>
              </w:rPr>
            </w:pPr>
          </w:p>
        </w:tc>
        <w:tc>
          <w:tcPr>
            <w:tcW w:w="7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74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revenues)</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thousands)</w:t>
            </w:r>
          </w:p>
        </w:tc>
        <w:tc>
          <w:tcPr>
            <w:tcW w:w="4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Rebates received from publishers for mobile audience solutions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10,429</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14,665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 for other solutions</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21,099</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 diverse customer base in terms of the geographic location of our customers’ or marketers’ headquarters as we help them, especially multinational marketers, navigate through the fragmented online marketing landscapes in China to identify and reach their potential audience. In determining whether a customer should be classified under a particular geographic region for revenue purposes, we look at the geographic location of our sales office with which such customer executed the marketing campaign contract. In 2015 and 2016, we derived 53.2% and 25.3% of our net revenues from customers outside China, respectively. Our net revenues from customers in China increased significantly from 2015 to 2016 as we continued to prioritize the execution of our mobile strategy. Our net revenues from customers outside China decreased from 2015 to 2016 as we continued to optimize our customer base. The table below shows our net revenues breakdown by geographic region as measured by the location of our sales offices,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7400" w:type="dxa"/>
            <w:vAlign w:val="bottom"/>
          </w:tcPr>
          <w:p>
            <w:pPr>
              <w:spacing w:after="0"/>
              <w:rPr>
                <w:sz w:val="10"/>
                <w:szCs w:val="10"/>
                <w:color w:val="auto"/>
              </w:rPr>
            </w:pPr>
          </w:p>
        </w:tc>
        <w:tc>
          <w:tcPr>
            <w:tcW w:w="116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74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revenues)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4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Hong Kong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34,442</w:t>
            </w:r>
          </w:p>
        </w:tc>
        <w:tc>
          <w:tcPr>
            <w:tcW w:w="4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22,766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ind w:left="900" w:right="6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our gross model</w:t>
      </w:r>
      <w:r>
        <w:rPr>
          <w:rFonts w:ascii="Arial" w:cs="Arial" w:eastAsia="Arial" w:hAnsi="Arial"/>
          <w:sz w:val="18"/>
          <w:szCs w:val="18"/>
          <w:color w:val="auto"/>
        </w:rPr>
        <w:t>. Media cost refers to cost we pay to publishers for acquisition of content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which is partially offset by rebates we receive from publishers under our gross model. Media cost represented 81.8% and 88.2% of our cost of revenues in 2015 and 2016, respectively.</w:t>
      </w:r>
    </w:p>
    <w:p>
      <w:pPr>
        <w:spacing w:after="0" w:line="86"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Rebates to customers in connection with our net model</w:t>
      </w:r>
      <w:r>
        <w:rPr>
          <w:rFonts w:ascii="Arial" w:cs="Arial" w:eastAsia="Arial" w:hAnsi="Arial"/>
          <w:sz w:val="18"/>
          <w:szCs w:val="18"/>
          <w:color w:val="auto"/>
        </w:rPr>
        <w:t>. We pay rebates to our customers in connection with our distribution of advertisements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certain publishers. Rebates to customers represented 9.5% and 4.2% of our cost of revenues in 2015 and 2016, respectively. The significant decrease was mainly due to our increased bargaining power as we solidified our market position as the largest independent online marketing technology platform in China in terms of gross billings.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table below shows our rebates and discounts granted to customers and recognized as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50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 cost</w:t>
            </w:r>
          </w:p>
        </w:tc>
        <w:tc>
          <w:tcPr>
            <w:tcW w:w="56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520" w:type="dxa"/>
            <w:vAlign w:val="bottom"/>
          </w:tcPr>
          <w:p>
            <w:pPr>
              <w:spacing w:after="0"/>
              <w:rPr>
                <w:sz w:val="10"/>
                <w:szCs w:val="10"/>
                <w:color w:val="auto"/>
              </w:rPr>
            </w:pPr>
          </w:p>
        </w:tc>
        <w:tc>
          <w:tcPr>
            <w:tcW w:w="58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5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revenues)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5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and discounts granted to customers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Rebates and discounts granted to customers for mobile audience solutions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granted to customers for other solutions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2,568</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right="6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and 6.8% of our cost of revenues in 2015 and 2016, respectively.</w:t>
      </w:r>
    </w:p>
    <w:p>
      <w:pPr>
        <w:spacing w:after="0" w:line="170" w:lineRule="exact"/>
        <w:rPr>
          <w:sz w:val="20"/>
          <w:szCs w:val="20"/>
          <w:color w:val="auto"/>
        </w:rPr>
      </w:pPr>
    </w:p>
    <w:p>
      <w:pPr>
        <w:ind w:right="380" w:firstLine="456"/>
        <w:spacing w:after="0" w:line="269" w:lineRule="auto"/>
        <w:rPr>
          <w:sz w:val="20"/>
          <w:szCs w:val="20"/>
          <w:color w:val="auto"/>
        </w:rPr>
      </w:pPr>
      <w:r>
        <w:rPr>
          <w:rFonts w:ascii="Arial" w:cs="Arial" w:eastAsia="Arial" w:hAnsi="Arial"/>
          <w:sz w:val="17"/>
          <w:szCs w:val="17"/>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tbl>
      <w:tblPr>
        <w:tblLayout w:type="fixed"/>
        <w:tblInd w:w="0" w:type="dxa"/>
        <w:tblCellMar>
          <w:top w:w="0" w:type="dxa"/>
          <w:left w:w="0" w:type="dxa"/>
          <w:bottom w:w="0" w:type="dxa"/>
          <w:right w:w="0" w:type="dxa"/>
        </w:tblCellMar>
      </w:tblPr>
      <w:tr>
        <w:trPr>
          <w:trHeight w:val="157"/>
        </w:trPr>
        <w:tc>
          <w:tcPr>
            <w:tcW w:w="70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ind w:left="100"/>
              <w:spacing w:after="0" w:line="157" w:lineRule="exact"/>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5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mobile</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(US$ in</w:t>
            </w:r>
          </w:p>
        </w:tc>
        <w:tc>
          <w:tcPr>
            <w:tcW w:w="5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mobile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audience</w:t>
            </w:r>
          </w:p>
        </w:tc>
        <w:tc>
          <w:tcPr>
            <w:tcW w:w="7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audience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52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solutions)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5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3,396</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28.5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9,549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tbl>
      <w:tblPr>
        <w:tblLayout w:type="fixed"/>
        <w:tblInd w:w="0" w:type="dxa"/>
        <w:tblCellMar>
          <w:top w:w="0" w:type="dxa"/>
          <w:left w:w="0" w:type="dxa"/>
          <w:bottom w:w="0" w:type="dxa"/>
          <w:right w:w="0" w:type="dxa"/>
        </w:tblCellMar>
      </w:tblPr>
      <w:tr>
        <w:trPr>
          <w:trHeight w:val="157"/>
        </w:trPr>
        <w:tc>
          <w:tcPr>
            <w:tcW w:w="74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ind w:left="40"/>
              <w:spacing w:after="0" w:line="157" w:lineRule="exact"/>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44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revenues</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 in</w:t>
            </w:r>
          </w:p>
        </w:tc>
        <w:tc>
          <w:tcPr>
            <w:tcW w:w="4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revenues</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for other</w:t>
            </w:r>
          </w:p>
        </w:tc>
        <w:tc>
          <w:tcPr>
            <w:tcW w:w="7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other</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7"/>
              </w:rPr>
              <w:t>thousands)</w:t>
            </w:r>
          </w:p>
        </w:tc>
        <w:tc>
          <w:tcPr>
            <w:tcW w:w="4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solutions)</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thousands)</w:t>
            </w:r>
          </w:p>
        </w:tc>
        <w:tc>
          <w:tcPr>
            <w:tcW w:w="4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2"/>
              </w:rPr>
              <w:t>solutions)</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27,314</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51.2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24,760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which was 48.2%, compared to that for our other solutions in the same period, which was 14.4%. As a result, gross profit margins for our mobile audience solutions in 2015 and 2016, which were 28.5% and 16.5%, respectively, were significantly lower than those for our other solutions, which were 51.2%, and 65.9%, respectively, for the same periods.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748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1020" w:type="dxa"/>
            <w:vAlign w:val="bottom"/>
            <w:tcBorders>
              <w:bottom w:val="single" w:sz="8" w:color="auto"/>
            </w:tcBorders>
          </w:tcPr>
          <w:p>
            <w:pPr>
              <w:spacing w:after="0"/>
              <w:rPr>
                <w:sz w:val="14"/>
                <w:szCs w:val="14"/>
                <w:color w:val="auto"/>
              </w:rPr>
            </w:pPr>
          </w:p>
        </w:tc>
      </w:tr>
      <w:tr>
        <w:trPr>
          <w:trHeight w:val="142"/>
        </w:trPr>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50"/>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119"/>
        </w:trPr>
        <w:tc>
          <w:tcPr>
            <w:tcW w:w="1040" w:type="dxa"/>
            <w:vAlign w:val="bottom"/>
          </w:tcPr>
          <w:p>
            <w:pPr>
              <w:jc w:val="center"/>
              <w:ind w:right="310"/>
              <w:spacing w:after="0" w:line="119" w:lineRule="exact"/>
              <w:rPr>
                <w:sz w:val="20"/>
                <w:szCs w:val="20"/>
                <w:color w:val="auto"/>
              </w:rPr>
            </w:pPr>
            <w:r>
              <w:rPr>
                <w:rFonts w:ascii="Arial" w:cs="Arial" w:eastAsia="Arial" w:hAnsi="Arial"/>
                <w:sz w:val="13"/>
                <w:szCs w:val="13"/>
                <w:b w:val="1"/>
                <w:bCs w:val="1"/>
                <w:color w:val="auto"/>
              </w:rPr>
              <w:t>(US$ in</w:t>
            </w:r>
          </w:p>
        </w:tc>
        <w:tc>
          <w:tcPr>
            <w:tcW w:w="6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 net</w:t>
            </w:r>
          </w:p>
        </w:tc>
        <w:tc>
          <w:tcPr>
            <w:tcW w:w="4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in</w:t>
            </w:r>
          </w:p>
        </w:tc>
        <w:tc>
          <w:tcPr>
            <w:tcW w:w="102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 of net</w:t>
            </w:r>
          </w:p>
        </w:tc>
      </w:tr>
      <w:tr>
        <w:trPr>
          <w:trHeight w:val="171"/>
        </w:trPr>
        <w:tc>
          <w:tcPr>
            <w:tcW w:w="1040" w:type="dxa"/>
            <w:vAlign w:val="bottom"/>
          </w:tcPr>
          <w:p>
            <w:pPr>
              <w:jc w:val="center"/>
              <w:ind w:right="290"/>
              <w:spacing w:after="0"/>
              <w:rPr>
                <w:sz w:val="20"/>
                <w:szCs w:val="20"/>
                <w:color w:val="auto"/>
              </w:rPr>
            </w:pPr>
            <w:r>
              <w:rPr>
                <w:rFonts w:ascii="Arial" w:cs="Arial" w:eastAsia="Arial" w:hAnsi="Arial"/>
                <w:sz w:val="14"/>
                <w:szCs w:val="14"/>
                <w:b w:val="1"/>
                <w:bCs w:val="1"/>
                <w:color w:val="auto"/>
                <w:w w:val="90"/>
              </w:rPr>
              <w:t>thousands)</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w w:val="87"/>
              </w:rPr>
              <w:t>revenues)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(8,106)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(8,584)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(31,385)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(12,745)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(26,767)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(52,236)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(63,617)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(i) salary and welfare for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customers was US$1.7 million and US$0.1 million in 2015 and 2016, respectively. Professional service fees primarily related to legal and audit service in connection with our private placements and OptAim acquisition and preparation for this offering.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97" w:lineRule="exact"/>
        <w:rPr>
          <w:rFonts w:ascii="Arial" w:cs="Arial" w:eastAsia="Arial" w:hAnsi="Arial"/>
          <w:sz w:val="18"/>
          <w:szCs w:val="18"/>
          <w:color w:val="auto"/>
        </w:rPr>
      </w:pPr>
    </w:p>
    <w:p>
      <w:pPr>
        <w:ind w:left="900" w:right="66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9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560" w:firstLine="456"/>
        <w:spacing w:after="0" w:line="342" w:lineRule="auto"/>
        <w:rPr>
          <w:sz w:val="20"/>
          <w:szCs w:val="20"/>
          <w:color w:val="auto"/>
        </w:rPr>
      </w:pPr>
      <w:r>
        <w:rPr>
          <w:rFonts w:ascii="Arial" w:cs="Arial" w:eastAsia="Arial" w:hAnsi="Arial"/>
          <w:sz w:val="16"/>
          <w:szCs w:val="16"/>
          <w:color w:val="auto"/>
        </w:rPr>
        <w:t>Our net revenues increased by US$30.1 million, or 46.2%, from US$65.2 million in 2015 to US$95.4 million in 2016, primarily as a result of an increase in our net revenues from our mobile audience solutions and partially offset by a decrease in our net revenues from our other solutions.</w:t>
      </w:r>
    </w:p>
    <w:p>
      <w:pPr>
        <w:spacing w:after="0" w:line="124"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 or 19.1%, in 2015. Rebates received from publishers and recognized as net revenues increased by US$4.2 million or 40.6% from US$10.4 million in 2015 to US$14.6 million in 2016 for our mobile audience solutions. OptAim contributed US$51.1 million to our net revenues in 2016, compared to US$11.7 million from July 24, 2015, when we acquired OptAim, to December 31, 2015. All such net revenues contribution from OptAim related to our mobile audience solutions.</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revenues on a gross basis in 2016, compared to US$30.8 million or 22.5% in 2015. Rebates received from publishers and recognized as net revenues decreased by US$5.8 million or 27.6% from US21.1 million in 2015 to US$15.3 million in 2016 for our other solutions.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6350</wp:posOffset>
            </wp:positionV>
            <wp:extent cx="14579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Arial" w:cs="Arial" w:eastAsia="Arial" w:hAnsi="Arial"/>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(34,531)</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(61,048)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490"/>
              <w:spacing w:after="0"/>
              <w:rPr>
                <w:sz w:val="20"/>
                <w:szCs w:val="20"/>
                <w:color w:val="auto"/>
              </w:rPr>
            </w:pPr>
            <w:r>
              <w:rPr>
                <w:rFonts w:ascii="Arial" w:cs="Arial" w:eastAsia="Arial" w:hAnsi="Arial"/>
                <w:sz w:val="18"/>
                <w:szCs w:val="18"/>
                <w:color w:val="auto"/>
              </w:rPr>
              <w:t>30,711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34,309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ind w:right="220"/>
        <w:spacing w:after="0" w:line="255" w:lineRule="auto"/>
        <w:rPr>
          <w:sz w:val="20"/>
          <w:szCs w:val="20"/>
          <w:color w:val="auto"/>
        </w:rPr>
      </w:pPr>
      <w:r>
        <w:rPr>
          <w:rFonts w:ascii="Arial" w:cs="Arial" w:eastAsia="Arial" w:hAnsi="Arial"/>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9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ind w:right="20"/>
        <w:spacing w:after="0" w:line="255" w:lineRule="auto"/>
        <w:rPr>
          <w:sz w:val="20"/>
          <w:szCs w:val="20"/>
          <w:color w:val="auto"/>
        </w:rPr>
      </w:pPr>
      <w:r>
        <w:rPr>
          <w:rFonts w:ascii="Arial" w:cs="Arial" w:eastAsia="Arial" w:hAnsi="Arial"/>
          <w:sz w:val="18"/>
          <w:szCs w:val="18"/>
          <w:color w:val="auto"/>
        </w:rPr>
        <w:t>OptAim contributed US$47.0 million to our cost of revenues in 2016, compared to US$8.5 million from July 24, 2015, when we acquired OptAim, to December 31, 2015. All such cost of revenues contribution from OptAim related to our mobile audience solutions. No rebate or discount granted to customers was recognized as cost of revenues for our mobile audience solutions in 2015 or 2016.</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and discounts granted to customers and recognized as cost of revenues decreased by US$0.7 million or 22.0% from US$3.3 million in 2015 to US$2.6 million in 2016 for other solutions.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2015 to 16.5% 2016 as a result of competitive pressure and a larger percentage of gross billing for our mobile audience solutions being recognized as net revenues on a gross basis in 2016 compared to 2015. Gross margin for our other solutions increased from 51.2%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80" w:hanging="325"/>
        <w:spacing w:after="0" w:line="291"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US$28.3 million in 2016. Sales and marketing expenses as a percentage of net revenues also decreased significantly from 48.1% in 2015 to</w:t>
      </w: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29.6% in 2016, as a result of synergies from the integration of complementary sales and marketing capabilities of OptAim and economies of scale, and as we optimized our sales and marketing efforts to focus on sales to customers who have larger marketing budgets and better credit and liquidity profiles.</w:t>
      </w:r>
    </w:p>
    <w:p>
      <w:pPr>
        <w:spacing w:after="0" w:line="95" w:lineRule="exact"/>
        <w:rPr>
          <w:rFonts w:ascii="Arial" w:cs="Arial" w:eastAsia="Arial" w:hAnsi="Arial"/>
          <w:sz w:val="16"/>
          <w:szCs w:val="16"/>
          <w:color w:val="auto"/>
        </w:rPr>
      </w:pPr>
    </w:p>
    <w:p>
      <w:pPr>
        <w:ind w:left="900" w:right="120" w:hanging="325"/>
        <w:spacing w:after="0" w:line="273"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US$14.0 million, or 110.0%,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related to share base compensation to one of our founders in 2016, and an increase in headcount for our general and administrative personnel as a result of OptAim acquisition, partially offset by a decrease in legal and professional fees, which primarily related to our acquisition of OptAim in 2015, and the absence of a compensation payment to certain existing shareholders of OptAim in connection with our acquisition of OptAim in 2015. As a result, general and administrative expenses as a percentage of net revenues increased from 19.5% in 2015 to 28.1% in 2016.</w:t>
      </w:r>
    </w:p>
    <w:p>
      <w:pPr>
        <w:spacing w:after="0" w:line="83" w:lineRule="exact"/>
        <w:rPr>
          <w:rFonts w:ascii="Arial" w:cs="Arial" w:eastAsia="Arial" w:hAnsi="Arial"/>
          <w:sz w:val="17"/>
          <w:szCs w:val="17"/>
          <w:color w:val="auto"/>
        </w:rPr>
      </w:pPr>
    </w:p>
    <w:p>
      <w:pPr>
        <w:ind w:left="900" w:right="8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Our research and development expenses increased by US$0.5 million, or 5.9%, from US$8.1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US$8.6 million in 2016. Research and development expenses as a percentage of our net revenues decreased from 12.4% in 2015 to 9.0% in 2016, primarily as a result of synergies from the integration of the complementary technologies and technology infrastructure of OptAim and economy of scale.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other gains, net was US$0.8 million in 2015, compared to an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date, we have financed our operations primarily through the issuance of shares in private placements and bank financing. As of December 31, 2016, we had US$27.3 million in cash and cash equivalents, and borrowing capacity of US$4.4 million under our revolving credit facilities and term loan facilities of a total principal amount of US$17.3 million. As of December 31, 2016, our cash and cash equivalents primarily consisted of cash on hand, cash held at bank, and time deposits placed with banks or other financial institutions, which have original maturities of three months or less. As of December 31, 2016, we had violated certain financial covenants with respect to our bank borrowings extended by a bank, however, we had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0" w:lineRule="exact"/>
        <w:rPr>
          <w:sz w:val="20"/>
          <w:szCs w:val="20"/>
          <w:color w:val="auto"/>
        </w:rPr>
      </w:pPr>
    </w:p>
    <w:p>
      <w:pPr>
        <w:jc w:val="both"/>
        <w:ind w:right="580" w:firstLine="456"/>
        <w:spacing w:after="0" w:line="312" w:lineRule="auto"/>
        <w:rPr>
          <w:sz w:val="20"/>
          <w:szCs w:val="20"/>
          <w:color w:val="auto"/>
        </w:rPr>
      </w:pPr>
      <w:r>
        <w:rPr>
          <w:rFonts w:ascii="Arial" w:cs="Arial" w:eastAsia="Arial" w:hAnsi="Arial"/>
          <w:sz w:val="16"/>
          <w:szCs w:val="16"/>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14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36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8360" w:type="dxa"/>
            <w:vAlign w:val="bottom"/>
          </w:tcPr>
          <w:p>
            <w:pPr>
              <w:spacing w:after="0"/>
              <w:rPr>
                <w:sz w:val="12"/>
                <w:szCs w:val="12"/>
                <w:color w:val="auto"/>
              </w:rPr>
            </w:pPr>
          </w:p>
        </w:tc>
        <w:tc>
          <w:tcPr>
            <w:tcW w:w="204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(US$ in thousands)</w:t>
            </w:r>
          </w:p>
        </w:tc>
        <w:tc>
          <w:tcPr>
            <w:tcW w:w="10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(9,797)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(3,907)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(18,095)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(2,612)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24,564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(232)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(30,504)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year</w:t>
            </w:r>
          </w:p>
        </w:tc>
        <w:tc>
          <w:tcPr>
            <w:tcW w:w="11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41,131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10,395</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at the end of year</w:t>
            </w: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10,395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27,280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US$22.2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US$2.3 million. The increase in deferred revenue of US$10.8 million was primarily driven by an increase in receipt in advance from customers. The increase in prepaid media cost of US$9.6 million was primarily driven by an increase in prepayment to certain publishers to secure rebates.</w:t>
      </w:r>
    </w:p>
    <w:p>
      <w:pPr>
        <w:spacing w:after="0" w:line="1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non-cash items of US$22.2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customers and accrued expenses.</w:t>
      </w:r>
    </w:p>
    <w:p>
      <w:pPr>
        <w:spacing w:after="0" w:line="181" w:lineRule="exact"/>
        <w:rPr>
          <w:sz w:val="20"/>
          <w:szCs w:val="20"/>
          <w:color w:val="auto"/>
        </w:rPr>
      </w:pPr>
    </w:p>
    <w:p>
      <w:pPr>
        <w:ind w:right="1000" w:firstLine="456"/>
        <w:spacing w:after="0" w:line="264" w:lineRule="auto"/>
        <w:rPr>
          <w:sz w:val="20"/>
          <w:szCs w:val="20"/>
          <w:color w:val="auto"/>
        </w:rPr>
      </w:pPr>
      <w:r>
        <w:rPr>
          <w:rFonts w:ascii="Arial" w:cs="Arial" w:eastAsia="Arial" w:hAnsi="Arial"/>
          <w:sz w:val="18"/>
          <w:szCs w:val="18"/>
          <w:color w:val="auto"/>
        </w:rPr>
        <w:t>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 and decrease in amounts due to related parties in an amount of US$0.05 million relating to the repayment of a loan provided by our director during the year ended December 31, 2016.</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made capital expenditures of US$2.7 million and US$0.9 million in 2015 and 2016, respectively. In these periods, our capital expenditures were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mainly used for the purchase of property and equipment and purchase of software. Our capital expenditures for 2017 are expected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US$3.0 million, consisting primarily of expenditures related to the purchase of property and equipment and purchase of software. We will continue to make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to meet the expected growth of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2015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1-3 years</w:t>
            </w: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3-5 years</w:t>
            </w: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2,065</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1,435</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13,555</w:t>
            </w:r>
          </w:p>
        </w:tc>
        <w:tc>
          <w:tcPr>
            <w:tcW w:w="6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13,471</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84</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17,055</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15,536</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1,519</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 w:firstLine="456"/>
        <w:spacing w:after="0" w:line="342" w:lineRule="auto"/>
        <w:rPr>
          <w:sz w:val="20"/>
          <w:szCs w:val="20"/>
          <w:color w:val="auto"/>
        </w:rPr>
      </w:pPr>
      <w:r>
        <w:rPr>
          <w:rFonts w:ascii="Arial" w:cs="Arial" w:eastAsia="Arial" w:hAnsi="Arial"/>
          <w:sz w:val="16"/>
          <w:szCs w:val="16"/>
          <w:color w:val="auto"/>
        </w:rPr>
        <w:t>Our operating lease obligations relate to our leases of office premises. We lease our office premises under a non-cancelable operating lease arrangement. Rental expenses under operating leases for 2015 and 2016 were US$2.6 million and US$3.0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December 2015, we entered into a facility agreement for working capital loans with SPD Silicon Valley Bank, which was most recently amended in March 2017. Pursuant to the agreement as amended, we were granted a one-year revolving line of credit up to the lesser of (a) RMB50 million (US$7.2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minimum month-end unrestricted cash balance and new equity round. We provided corporate guarantee and a maximum amount of RMB60 million (US$8.6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2018, when the loan matures and the principal is due and payable. We are allowed to voluntarily prepay the loan without prepayment charges. As of December 31, 2016, the total outstanding amount of the revolving loan was RMB30 million (US$4.3 million) and RMB20 million (US$2.9 million) was available to be drawn under this facility.</w:t>
      </w:r>
    </w:p>
    <w:p>
      <w:pPr>
        <w:spacing w:after="0" w:line="1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firstLine="8"/>
        <w:spacing w:after="0" w:line="267" w:lineRule="auto"/>
        <w:tabs>
          <w:tab w:leader="none" w:pos="245" w:val="left"/>
        </w:tabs>
        <w:numPr>
          <w:ilvl w:val="0"/>
          <w:numId w:val="45"/>
        </w:numPr>
        <w:rPr>
          <w:rFonts w:ascii="Arial" w:cs="Arial" w:eastAsia="Arial" w:hAnsi="Arial"/>
          <w:sz w:val="17"/>
          <w:szCs w:val="17"/>
          <w:color w:val="auto"/>
        </w:rPr>
      </w:pPr>
      <w:r>
        <w:rPr>
          <w:rFonts w:ascii="Arial" w:cs="Arial" w:eastAsia="Arial" w:hAnsi="Arial"/>
          <w:sz w:val="17"/>
          <w:szCs w:val="17"/>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December 31, 2016, the total outstanding amount of the term loan was approximately US$1.1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December 31, 2016, the total outstanding amount under the revolving loan was US$2,950,000 and US$50,000 was available to be drawn under this facility. This loan also contains certain repayable on demand clause.</w:t>
      </w:r>
    </w:p>
    <w:p>
      <w:pPr>
        <w:spacing w:after="0" w:line="18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May 2016, we entered into a facility agreement for working capital loans with Bangkok Bank, which was most recently amended in October 2016. Pursuant to the agreement as amended, we were provided with a RMB20 million (US$2.9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six months granted by financial institutions plus 20.0% per annum. We are required to make monthly interest payments through May 2017, when the loan matures and the principal is due and payable. We will be charged a prepayment fee if we prepay the loan before the maturity date. As of December 31, 2016, the total outstanding amount of the revolving loan was RMB10 million (US$1.4 million) which was repaid in January 2017.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(US$1.6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As of December 31, 2016, the total outstanding amount of the non-revolving loan was RMB12 million (US$1.7 million) and no further amounts were available to be drawn under that facility.</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November 2016, we entered into a facility agreement for working capital loans with SPD Silicon Valley Bank, which provides for a RMB10 million (US$1.4 million) three-month non-revolving loan. The agreement includes a financial covenant that requires that we meet certain foreign debt quota coverage. Our obligations to Silicon Valley Bank are secured by a pledged deposit with an amount of US$1,666,000. The interest rate of this loan facility is the benchmark interest rate determined by the People’s Bank of China for loans over three months granted by financial institutions plus 0.435% per annum, and we are required to make monthly payment of accrued interest through February 2017, when the loan matures and principal is due and payable. We are allowed to voluntarily prepay the loan without prepayment charges. As of December 31, 2016, the total outstanding amount of the non-revolving loan was RMB10 million (US$1.4 million) and no further amounts were available to be drawn under that facility. The facility was fully repaid in February 2017.</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GAPP are not identified in a timely manner. Neither we nor our independent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our holding U.S. dollar equivalents of US$(0.9) million, US$(2.1) million, US$(3.1) million and US$2.2 million for cash and cash equivalents, accounts receivable, prepaid cost and deferred revenue, respectively. In addition, we estimate that a 10% depreciation of Renminbi against the U.S. dollar based on the foreign exchange rate on December 31, 2015 would result in a decrease of US$3.1 million and US$1.9 million in our net revenues and cost of revenues in 2015, respectively, and a 10% depreciation of Renminbi against the U.S. dollar based on the foreign exchange rate on December 31, 2016 would result in a decrease of US$6.7 million and US$5.3 million change in our net revenues and cost of revenues in 2016, respectively.</w:t>
      </w:r>
    </w:p>
    <w:p>
      <w:pPr>
        <w:spacing w:after="0" w:line="17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Our main interest rate exposure relates to bank borrowings. We also have interest-bearing assets, including cash and cash equivalents, short-term investments and restricted cash. We manage our interest rate exposure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 focus on reducing our overall cost of debt and exposure to changes in interest rates. All of the aggregate principal outstanding amount of our bank borrowings as of December 31, 2016 was at floating rates.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mainly as a result of higher/lower interest expense for our bank borrowings at floating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73"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are in the process of evaluating the impact of the standard on our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do not expect this standard to have a material impact on our consolidated financial statements.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do not expect this standard to have a material impact on our consolidated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dated June,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online marketing market in China by online and offline segments for each of the periods presented.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172085</wp:posOffset>
            </wp:positionV>
            <wp:extent cx="4373880" cy="13976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38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80"/>
          </w:cols>
          <w:pgMar w:left="240" w:top="45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75" w:lineRule="exact"/>
        <w:rPr>
          <w:rFonts w:ascii="Arial" w:cs="Arial" w:eastAsia="Arial" w:hAnsi="Arial"/>
          <w:sz w:val="18"/>
          <w:szCs w:val="18"/>
          <w:color w:val="auto"/>
        </w:rPr>
      </w:pPr>
    </w:p>
    <w:p>
      <w:pPr>
        <w:ind w:left="900" w:right="28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Manage</w:t>
      </w:r>
      <w:r>
        <w:rPr>
          <w:rFonts w:ascii="Arial" w:cs="Arial" w:eastAsia="Arial" w:hAnsi="Arial"/>
          <w:sz w:val="17"/>
          <w:szCs w:val="17"/>
          <w:color w:val="auto"/>
        </w:rPr>
        <w:t>: technologies that assist marketers in accomplishing marketing objectives, and include customer relationship management system, or</w:t>
      </w:r>
      <w:r>
        <w:rPr>
          <w:rFonts w:ascii="Arial" w:cs="Arial" w:eastAsia="Arial" w:hAnsi="Arial"/>
          <w:sz w:val="17"/>
          <w:szCs w:val="17"/>
          <w:i w:val="1"/>
          <w:iCs w:val="1"/>
          <w:color w:val="auto"/>
        </w:rPr>
        <w:t xml:space="preserve"> </w:t>
      </w:r>
      <w:r>
        <w:rPr>
          <w:rFonts w:ascii="Arial" w:cs="Arial" w:eastAsia="Arial" w:hAnsi="Arial"/>
          <w:sz w:val="17"/>
          <w:szCs w:val="17"/>
          <w:color w:val="auto"/>
        </w:rPr>
        <w:t>CRM system, marketing automation, account-based marketing, or ABM, project and product management tools.</w:t>
      </w:r>
    </w:p>
    <w:p>
      <w:pPr>
        <w:spacing w:after="0" w:line="51"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40" w:hanging="325"/>
        <w:spacing w:after="0" w:line="279"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6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40" w:hanging="325"/>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 resources to bridge multinational companies to the China market are expected to benefit from this trend.</w:t>
      </w:r>
    </w:p>
    <w:p>
      <w:pPr>
        <w:spacing w:after="0" w:line="98" w:lineRule="exact"/>
        <w:rPr>
          <w:rFonts w:ascii="Arial" w:cs="Arial" w:eastAsia="Arial" w:hAnsi="Arial"/>
          <w:sz w:val="18"/>
          <w:szCs w:val="18"/>
          <w:color w:val="auto"/>
        </w:rPr>
      </w:pPr>
    </w:p>
    <w:p>
      <w:pPr>
        <w:ind w:left="900" w:hanging="325"/>
        <w:spacing w:after="0" w:line="297"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5.2%. The five largest independent online marketing technology companies in China accounted for a total market share of 13.1% in terms of gross billing in 2016.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169545</wp:posOffset>
            </wp:positionV>
            <wp:extent cx="4399280" cy="14751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April 15, 2017, we analyzed approximately 651.6 million active profiled users with 23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platform appeals to marketers by offering omni-channel reach to the Chinese audience. We provide our customers one-stop access to a wide variety of cross-channel content distribution opportunities, including those from the leading online publishers in China. We offer both mobile audience solutions and other solutions based on channels desired by our customers. In the 30 days leading up to April 15, 2017, we covered approximately 72,000 mobile apps and 2.3 million websites. We work closely with our content distribution partners to facilitate innovative and effective audience engagement. In 2016, our gross billing from mobile audience solutions and other solutions amounted to US$112.4 million and US$123.9 million, respectively.</w:t>
      </w:r>
    </w:p>
    <w:p>
      <w:pPr>
        <w:spacing w:after="0" w:line="15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take a flexible approach to the delivery model of our solutions in order to cater to the preferences and levels of internal resources and expertise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as well as small and medium-sized enterprises, and from different geographic regions in and outside China. We derived over 70% of our gross billing from direct marketer customers in 2015 and 2016.</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generate revenue primarily from customers’ marketing spend through our platform as they utilize our solutions, and to a less extent from rebates from certain publishers. We have achieved rapid growth in recent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years. Our gross billing grew by 32.5% from US$178.2 million in 2015 to US$236.3 million in 2016 and our net revenues grew by 46.2% from US$65.2 million in 2015 to US$95.4 million in 2016. Our net loss was US$39.7 million and US$27.3 million in 2015 and 2016,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following competitive strengths have contributed to our success, differentiated us from our competitors and will continue to support our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As one of the first independent online marketing technology platforms in China to apply a data-driven approach to address marketers’ needs, according to Frost &amp; Sullivan, our business has grown rapidly. In 2016, our gross billing reached US$236.3 million, up by 32.5% from 2015, leading to net revenue of US$95.4 million, up by 46.2% from 2015.</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measurement of the results of online marketing campaigns, to creating content catering to their potential customers across different channels. We offer both mobile audience solutions and other solutions based on channels desired by our customers. Our solutions are delivered under our self-service model or managed service model, which we believe are well suited to the current development stage of online marketing in China. Our self-service model enables sophisticated marketers to run their campaigns on an “a-la-carte”, cost-effective basis. Our managed service model, under which our account management team provides in-depth services utilizing our solutions, enables marketers to navigate through complicated and fragmented online marketing landscapes and manage their marketing activities based on specified objectives and budgets. This model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simplifying and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had the largest Chinese consumer data set in terms of number of active profiled users in 2016 among independent online marketing technology companies in China, according to Frost &amp; Sullivan. In the 30 days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leading up to April 15, 2017, we analyzed data of approximately 651.6 million active profiled users. The average daily volume of the data we collected reached 1.2 terabytes in the 30 days leading up to April 15, 2017.</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his or her demographics, geographic location, device preference, spending history, personal interest and other online or offline behavioral pattern, which can be targeted for marketing campaigns by specific industry verticals. These user profiles are continuously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takes place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customer base</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effective and flexible solutions, sophisticated data analytics capabilities, and market leadership position have earned us a strong and diverse customer base from a broad range of industry verticals, including banking and finance, entertainment and media, and E-commerce. Our customers include over 150 multinational companies in 2016 , making us the No.1 independent online marketing technology platform bridging the largest number of multinational companies to the Chinese market, according to Frost &amp; Sullivan.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to multinational companies, our diverse customer base also includes small and medium-sized enterprises. We provide tailored and user-friendly solutions to cater to customers and marketers of different levels of sophistication and from different industry verticals. This allows us to serve a wide spectrum of customers to capture the growth potentials in the market segments or industry verticals that they represent.</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Through our close working relationship with direct marketer customers, we are able to better understand and anticipate market trends, customize our solutions, foster closer customer relationships and increase customer loyalty and retention. We derived over 70% of our gross billing from direct marketer customers in 2015 and 2016. Our gross billing retention rate was to 107% in 2016, compared to 100% in 2015. Our gross billing per customer increased by 47.5% from US$67,413 in 2015 to US$99,433 in 2016. All of these demonstrate the stickiness of our platform and the strength of our solutions in addressing direct marketer customers’ needs through differentiated and tailored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72,000 mobile apps and 2.3 million websites in the 30 days leading up to April 15, 2017, to help marketers, especially multinational marketers, navigate the fragmented landscape to identify and reach their potential customers. In 2016, we derived approximately 30% of our gross billing from customers outside of China as measured by the location of our sales offices. We are also well-versed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success is attributable to the deep industry experience and proven execution track record of our senior management team, with global perspectives and insightful knowledge in both technology and the online marketing industry. We are spearheaded by Sammy Hsieh, our chief executive officer and co-founder, Jian Tang, 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management team has navigated us through the development of the online marketing industry in recent years, ensuring that our products and services continue to be attractive to and in demand by customers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paved the way for our rapid growth since our inception,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customer base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plan to continue to optimize and diversify our customer base, including attracting customers to our self-service model, and customers from additional industry verticals and geographic markets, through developing and offering more tailored and user-friendly solutions and services, and enhancing our sales and marketing efforts.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4"/>
          <w:szCs w:val="14"/>
          <w:color w:val="auto"/>
        </w:rPr>
        <w:t>nd</w:t>
      </w:r>
      <w:r>
        <w:rPr>
          <w:rFonts w:ascii="Arial" w:cs="Arial" w:eastAsia="Arial" w:hAnsi="Arial"/>
          <w:sz w:val="17"/>
          <w:szCs w:val="17"/>
          <w:color w:val="auto"/>
        </w:rPr>
        <w:t xml:space="preserve"> tier and 3</w:t>
      </w:r>
      <w:r>
        <w:rPr>
          <w:rFonts w:ascii="Arial" w:cs="Arial" w:eastAsia="Arial" w:hAnsi="Arial"/>
          <w:sz w:val="14"/>
          <w:szCs w:val="14"/>
          <w:color w:val="auto"/>
        </w:rPr>
        <w:t>rd</w:t>
      </w:r>
      <w:r>
        <w:rPr>
          <w:rFonts w:ascii="Arial" w:cs="Arial" w:eastAsia="Arial" w:hAnsi="Arial"/>
          <w:sz w:val="17"/>
          <w:szCs w:val="17"/>
          <w:color w:val="auto"/>
        </w:rPr>
        <w:t xml:space="preserve"> tier cities in China and invest in their training to strengthen their ability in attracting and retaining high-quality small and medium-sized enterprises locally and educate them to use our solutions on a self-serve basis. We also strive to diversify our customer base and penetrate into new industry verticals and geographical markets to capture more growth opportunities. We plan to launch solutions with industry-specific features, such as more user data packages with industry focus, and interfaces to attract customers in additional industry verticals. In addition, we intend to continue to open overseas offices, increase our international presence and attract more overseas customers with timely and localized support. We plan to add new features to our existing solutions that are particularly relevant to overseas customers, such as multi-language, currency and time zone settings. Furthermore, we plan to roll out our self-service model in the overseas market to cater to more multinational companies. We believe this will empower a growing number of multinational customers to transact in an automated fashion with minimal additional sales and marketing inputs from us, enabling us to scale up operations efficiently.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customer marketing spend on our platform</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strive to increase customer marketing spend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officially launch iExperience in the fourth quarter of 2017. In addition, we are working on new partnership initiatives, which would make third-party applications available to our customers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customers better monitor and optimize their campaigns.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customers and other third parties to increase the dimensions and varieties of our data assets. We plan to work on further integration of data management platforms of our customers,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customer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plan to take advantage of the fragmented nature and rapid growth of the online marketing technology market in China to continue to explore investment, acquisition and business collaboration opportunities and will 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 devices.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6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404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customers,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fourth quarter of 2017.</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customers’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customers, our solutions are delivered through:</w:t>
      </w:r>
    </w:p>
    <w:p>
      <w:pPr>
        <w:spacing w:after="0" w:line="7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self-service model, under which customers have the flexibility to run their advertising campaigns on an “a la carte”, cost-effective basis; and</w:t>
      </w:r>
    </w:p>
    <w:p>
      <w:pPr>
        <w:spacing w:after="0" w:line="153" w:lineRule="exact"/>
        <w:rPr>
          <w:rFonts w:ascii="Arial" w:cs="Arial" w:eastAsia="Arial" w:hAnsi="Arial"/>
          <w:sz w:val="16"/>
          <w:szCs w:val="16"/>
          <w:color w:val="auto"/>
        </w:rPr>
      </w:pPr>
    </w:p>
    <w:p>
      <w:pPr>
        <w:jc w:val="both"/>
        <w:ind w:left="900" w:right="18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managed service model, where our account management team manages marketing campaigns for our customers,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We generate revenues primarily from customers’ marketing spend through our platform as they utilize our solutions, and depending on our revenue recognition model, either including or excluding media cost. To a lesser extent, we generate revenues from rebates from certain publishers. Please refer to “Management Discussion and Analysis of Financial Condition and Results of Operations — Key Operating and Financial Metrics — Net Revenue”, and “Management Discussion and Analysis of Financial Condition — Critical Accounting Policies — Revenue recognition” for a description of our revenue recognition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72,000 mobile apps and 2.3 million websites that we covered, we analyzed approximately 651.6 million active profiled users in China in the 30 days leading up to April 15, 2017. According to the China Internet Network Information Center, or CNNIC, there were 731 million internet users and 695 million mobile internet users in China as of December 31, 2016. The average daily volume of the data we collected reached 1.2 terabytes in the 30 days leading up to April 15,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customers.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customer campaigns, and through our data collaboration arrangements with selected third-party data partners.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April 15, 2017, we analyzed approximately 651.6 million active profiled users, whose profiles include on average 23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April 15, 2017, we had designed an aggregate of 187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associate a random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we require its immediate deletion.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customers and increased complexity of their online marketing campaigns.</w:t>
      </w:r>
    </w:p>
    <w:p>
      <w:pPr>
        <w:spacing w:after="0" w:line="29" w:lineRule="exact"/>
        <w:rPr>
          <w:sz w:val="20"/>
          <w:szCs w:val="20"/>
          <w:color w:val="auto"/>
        </w:rPr>
      </w:pPr>
    </w:p>
    <w:p>
      <w:pPr>
        <w:ind w:left="900" w:right="80" w:hanging="325"/>
        <w:spacing w:after="0" w:line="30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80" w:hanging="325"/>
        <w:spacing w:after="0" w:line="27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customer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80" w:hanging="325"/>
        <w:spacing w:after="0" w:line="288"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4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and 81.6% of our media costs in 2015 and 2016,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 addition, 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6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publishers, major search engines and ad exchanges. In the 30 days leading up to April 15, 2017, we covered approximately 72,000 mobile apps and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2.3 million websites. In 2016, our gross billing from mobile audience solutions and other solutions amounted to US$112.4 million and US$123.9 million, accounting for 47.6% and 52.4% of our gross billing, respectively. In 2016, our net revenues from mobile audience solutions and other solutions amounted to US$57.8 million and US$37.6 million, accounting for 60.6% and 39.4% of our net revenue, respectively.</w:t>
      </w:r>
    </w:p>
    <w:p>
      <w:pPr>
        <w:spacing w:after="0" w:line="1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 “—Critical Accounting Policies — Revenue recognition — Cost-Plus and Agreed Rebates to be Earned from Certain Website Publishers” and “—Key Components of Results of Operations — Cost of Revenues; Gross Profit Margin” for a description of the accounting treatment of rebates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we derive revenue from under our marketing campaign contracts with them as our customers. Therefore, we count specific sub-brands or divisions within the same brand or holding company as distinct customers so long as we have signed campaign contracts with different entities. On the other hand, even though multiple campaign contracts may be involved, we only record one single customer if those contracts with us are signed by the same entity. Our customers include both marketers who have direct contractual relationships with us, or direct marketer customers, and marketing agency customers. Our “marketers” include both direct marketer customers, and marketers that are represented by our marketing agency customers and have no direct contractual relationship with us, or end marketers. During 2016, we had over 2,000 customers including over 1,800 direct marketer customers and over 500 marketing agency customers, which represented over 1,100 end marketers.</w:t>
      </w:r>
    </w:p>
    <w:p>
      <w:pPr>
        <w:spacing w:after="0" w:line="17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as well as small and medium-sized enterprises. Our marketers come from a variety of regions, with headquarters in Europe, North America, South America, or Southeast Asia. In determining whether a customer should be classified under a particular geographic region for revenue purposes,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look at the geographic location of our sales office with which such customer executed the marketing campaign contract. Therefore, while the headquarters of a material amount of our marketers or marketing agencies are based outside of the PRC, Hong Kong and Singapore, since the signing entities of these marketers or marketing agencies with which we executed marketing campaign contracts are primarily based in the PRC, Hong Kong or Singapore, where we have local subsidiaries and physical presence, we derived substantially all our net revenues from PRC, Hong Kong or Singapore. Please refer to “Management’s Discussion and Analysis of Financial Condition and Results of Operations — Key Components of Results of Operations — Net Revenues” for our net revenues breakdown by geographic region as measured by the location of our sales offices. We provide marketers with on-the-ground support through our local offices as well as centralized support out of our headquarters in Hong Kong.</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derived over 70% of our gross billing from direct marketer customers in 2015 and 2016. We have been strategically optimizing our customer base to focus on sales to customers who have larger marketing budgets and better credit and liquidity profile, and conduct online marketing campaigns on a more frequent basis. As a result of these efforts and our enhanced focus on mobile, including our acquisition of OptAim, our gross billing per customer increased by US$32,020, or 47.5%, from US$67,413 in 2015 to US$99,433 in 2016 and our gross billing retention rate was 107% in 2016, compared to 100% in 2015, both of which contributed to the growth of our overall gross billing and demonstrated the stickiness of our platform. The total number of our customers decreased by 10.1% from 2,644 in 2015 to 2,376 in 2016 notwithstanding our full year consolidation of OptAim’s results of operations in 2016 compared to our consolidation of OptAim’s results of operations only for the period from July 24 to December 31 in 2015.</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2016, we derived 18% of our net revenues from a marketer in the entertainment industry and 11% of our net revenues from a marketer in the e-commerce industry. Both of them utilized our mobile audience solutions under specified-action arrangement and therefore, revenue from these two marketers were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customers or attract new ones could adversely impact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sales and business development workforce is focused on optimizing our customer base to enhance sales to customers who have larger marketing budgets and better credit and liquidity profile, and to attract more customers to use our solutions through our self-service model. Leveraging our existing positions and reputations in industry sectors where we already have a strong presence, we are able to attract more direct marketer customers in those sectors. In addition, we are focused on diversifying our customer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6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sales and business development team is organized by geographic region, and is further divided into groups that focus on sales to marketers or to marketing agencies in each geographic region. As of December 31, 2016, we had 161 employees for sales and business development.</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Supporting our sales and business development team are our account managers under our operational support team, who help maintain and grow the accounts of our customers. While our intuitive user interfaces are designed to enable customers to easily deploy and utilize our solutions themselves with minimal customer support, we make online and telephonic helpdesk facilities available and provide onsite engineering support to customers and also assign account managers for our direct marketer customers and some of our marketing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agency customers. Our account mangers provide consultative services on the use of our solutions, and in addition, for our managed service customers, more in-depth servicing on campaign planning, execution and result measurement and analysis.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customer demand, including through direct marketing, print advertising in trade journals, offline sales efforts and customer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30, 2017, we had two patents in application in China, and 13 registered trademarks and trademark application in China and Hong Kong.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5.2%. According to Frost &amp; Sullivan, the five largest independent online marketing technology companies accounted for a total market share of 13.1% in terms of gross billing among all independent online marketing technology companies in China in 2016. We mainly compete with independent online marketing technology companies in China that offer online marketing solutions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customer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customer base, deep knowledge and familiarity with China’s online marketing industry, and visionary leadership enable us to remain competitive.</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customer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light of these uncertainties and out of prudence, we through OptAim Network, our VIE entity, applied for and were granted the foreign-related survey license on June 6, 2017 by the Chinese National Bureau of Statistics.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w:t>
      </w:r>
    </w:p>
    <w:p>
      <w:pPr>
        <w:spacing w:after="0" w:line="5" w:lineRule="exact"/>
        <w:rPr>
          <w:sz w:val="20"/>
          <w:szCs w:val="20"/>
          <w:color w:val="auto"/>
        </w:rPr>
      </w:pPr>
    </w:p>
    <w:p>
      <w:pPr>
        <w:ind w:right="20" w:firstLine="8"/>
        <w:spacing w:after="0" w:line="295" w:lineRule="auto"/>
        <w:tabs>
          <w:tab w:leader="none" w:pos="2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January 2015, the MOFCOM published a consultation draft of PRC Foreign Investment Law for public review and comments. Among other things, the draft Foreign Investment Law expands the definition of foreign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 (ii) 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6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 Unless otherwise stated, the business address for our directors and executive officers is that of our principal executive office at: 15/F, Prosperity Millennia Plaza, 663 King’s Road, Quarry Bay, Hong Kong S.A.R.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Ricky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Francis Hun Ming Wong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Anmin Pan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8"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i w:val="1"/>
          <w:iCs w:val="1"/>
          <w:color w:val="auto"/>
        </w:rPr>
        <w:t xml:space="preserve">Mr. Francis Hun Ming Wong </w:t>
      </w:r>
      <w:r>
        <w:rPr>
          <w:rFonts w:ascii="Arial" w:cs="Arial" w:eastAsia="Arial" w:hAnsi="Arial"/>
          <w:sz w:val="16"/>
          <w:szCs w:val="16"/>
          <w:color w:val="auto"/>
        </w:rPr>
        <w:t>was appointed as our director by Sumitomo Corporation Equity Asia Limited in August 2015 in connection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 of our series B preferred shares. Mr. Wong is currently an executive director and serves on the board of Sumitomo Corporation Equity Asia Limited, the Asia corporate venture investment arm of Sumitomo Corporation, and leads its investment activities in Asia. Mr. Wong also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serves on the board of Wisers Information Holding Company Limited, Algoblu Holding Limited, RETCHAT Inc. and CDP Holdings Limited. Mr. Wong has more than 16 years of venture capital investing experience in Asia, primarily in technology sector. Prior to joining Sumitomo Corporation Equity Asia in 2007, Mr. Wong was an assistant vice president of Walden International, a venture capital firm in Silicon Valley. Prior to entering venture capital industry in 2000, Mr. Wong served various positions on engineering, product and business development in telecom sector respectively with Hongkong Telecom and Hutchison Telecom for almost eight years. Mr. Wong received his bachelor degree in engineering, his master degree in computer science from the University of Manchester, United Kingdom, and an MBA degree from Strathclyde Graduate School of Business, Scotland.</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Mr. Antares Au </w:t>
      </w:r>
      <w:r>
        <w:rPr>
          <w:rFonts w:ascii="Arial" w:cs="Arial" w:eastAsia="Arial" w:hAnsi="Arial"/>
          <w:sz w:val="17"/>
          <w:szCs w:val="17"/>
          <w:color w:val="auto"/>
        </w:rPr>
        <w:t>was appointed as our director by SSG Capital in February 2011 in connection with its subscription of our series B preferred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Mr. Au is the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w:t>
      </w:r>
      <w:r>
        <w:rPr>
          <w:rFonts w:ascii="Arial" w:cs="Arial" w:eastAsia="Arial" w:hAnsi="Arial"/>
          <w:sz w:val="17"/>
          <w:szCs w:val="17"/>
          <w:b w:val="1"/>
          <w:bCs w:val="1"/>
          <w:color w:val="auto"/>
        </w:rPr>
        <w:t>.</w:t>
      </w:r>
      <w:r>
        <w:rPr>
          <w:rFonts w:ascii="Arial" w:cs="Arial" w:eastAsia="Arial" w:hAnsi="Arial"/>
          <w:sz w:val="17"/>
          <w:szCs w:val="17"/>
          <w:color w:val="auto"/>
        </w:rPr>
        <w:t xml:space="preserve">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Mr. Anmin Pan </w:t>
      </w:r>
      <w:r>
        <w:rPr>
          <w:rFonts w:ascii="Arial" w:cs="Arial" w:eastAsia="Arial" w:hAnsi="Arial"/>
          <w:sz w:val="17"/>
          <w:szCs w:val="17"/>
          <w:color w:val="auto"/>
        </w:rPr>
        <w:t>was appointed as our director by BlueFocus International Limited. Mr. Pan has served as our director since June 2017. Mr. Pan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CEO at BlueFocus Mobile Internet division affiliated to BlueFocus Communication Group, mainly in charge of developing its mobile advertising business of the since 2014, and as director of various subsidiaries of BlueFocus Communication Group. Mr. Pan is a leading pioneer in Chinese mobile advertising industry with rich knowledge and experience in sectors such as marketing, public relations, brand communications and traditional advertising. Mr. Pan received his bachelor degree of clinic care from Affiliated College of Shandong Medical University.</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460"/>
        <w:spacing w:after="0"/>
        <w:tabs>
          <w:tab w:leader="none" w:pos="10660" w:val="left"/>
        </w:tabs>
        <w:rPr>
          <w:sz w:val="20"/>
          <w:szCs w:val="20"/>
          <w:color w:val="auto"/>
        </w:rPr>
      </w:pPr>
      <w:r>
        <w:rPr>
          <w:rFonts w:ascii="Arial" w:cs="Arial" w:eastAsia="Arial" w:hAnsi="Arial"/>
          <w:sz w:val="18"/>
          <w:szCs w:val="18"/>
          <w:color w:val="auto"/>
        </w:rPr>
        <w:t>Upon the effectiveness of our registration statement on Form F-1, of which this prospectus is a part, our board of directors will consist of</w:t>
      </w:r>
      <w:r>
        <w:rPr>
          <w:sz w:val="20"/>
          <w:szCs w:val="20"/>
          <w:color w:val="auto"/>
        </w:rPr>
        <w:tab/>
      </w:r>
      <w:r>
        <w:rPr>
          <w:rFonts w:ascii="Arial" w:cs="Arial" w:eastAsia="Arial" w:hAnsi="Arial"/>
          <w:sz w:val="16"/>
          <w:szCs w:val="16"/>
          <w:color w:val="auto"/>
        </w:rPr>
        <w:t>directors,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including executive directors and non-executive directors.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 foreign private issuer (as such term is defined in Rule 3b-4 under the Exchange Act), and our ADSs are listed on the [NASDAQ Global Market/New York Stock Exchange]. Under [Section 5615 of the NASDAQ Stock Market Rules/Section 303A of the Corporate Governance Rules of the New York Stock Exchange], [NASDAQ/NYSE]-listed companies that are foreign private issuers are permitted to follow home country practice in lieu of the corporate governance provisions specified by [NASDAQ]/[NYSE]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requirements/NYSE corporate governance listing standards]; these practices may afford less protection to shareholders than they would enjoy if we complied fully with the [NASDAQ corporate governance requirements/NYSE corporate governance listing standards].”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4800" w:val="left"/>
          <w:tab w:leader="none" w:pos="5660" w:val="left"/>
          <w:tab w:leader="none" w:pos="6680" w:val="left"/>
          <w:tab w:leader="none" w:pos="8820" w:val="left"/>
          <w:tab w:leader="none" w:pos="9620" w:val="left"/>
          <w:tab w:leader="none" w:pos="10480" w:val="left"/>
        </w:tabs>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is chaired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right="420" w:firstLine="765"/>
        <w:spacing w:after="0" w:line="281" w:lineRule="auto"/>
        <w:rPr>
          <w:sz w:val="20"/>
          <w:szCs w:val="20"/>
          <w:color w:val="auto"/>
        </w:rPr>
      </w:pPr>
      <w:r>
        <w:rPr>
          <w:rFonts w:ascii="Arial" w:cs="Arial" w:eastAsia="Arial" w:hAnsi="Arial"/>
          <w:sz w:val="16"/>
          <w:szCs w:val="16"/>
          <w:color w:val="auto"/>
        </w:rPr>
        <w:t>each satisfy the “independence” requirements of the [Rule5605(c)(2) of the Listing Rules of the NASDAQ Stock Market/Section 303A of the Corporate Governance Rules of the NYSE] and meet the independence standards under Rule 10A-3 under the Exchange Act. We have determined that</w:t>
      </w:r>
    </w:p>
    <w:p>
      <w:pPr>
        <w:spacing w:after="0" w:line="1" w:lineRule="exact"/>
        <w:rPr>
          <w:sz w:val="20"/>
          <w:szCs w:val="20"/>
          <w:color w:val="auto"/>
        </w:rPr>
      </w:pPr>
    </w:p>
    <w:p>
      <w:pPr>
        <w:ind w:right="220" w:firstLine="585"/>
        <w:spacing w:after="0" w:line="261" w:lineRule="auto"/>
        <w:rPr>
          <w:sz w:val="20"/>
          <w:szCs w:val="20"/>
          <w:color w:val="auto"/>
        </w:rPr>
      </w:pPr>
      <w:r>
        <w:rPr>
          <w:rFonts w:ascii="Arial" w:cs="Arial" w:eastAsia="Arial" w:hAnsi="Arial"/>
          <w:sz w:val="18"/>
          <w:szCs w:val="18"/>
          <w:color w:val="auto"/>
        </w:rPr>
        <w:t>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89" w:lineRule="exact"/>
        <w:rPr>
          <w:sz w:val="20"/>
          <w:szCs w:val="20"/>
          <w:color w:val="auto"/>
        </w:rPr>
      </w:pPr>
    </w:p>
    <w:p>
      <w:pPr>
        <w:ind w:left="90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left="460"/>
        <w:spacing w:after="0"/>
        <w:tabs>
          <w:tab w:leader="none" w:pos="6100" w:val="left"/>
          <w:tab w:leader="none" w:pos="6960" w:val="left"/>
          <w:tab w:leader="none" w:pos="7980" w:val="left"/>
          <w:tab w:leader="none" w:pos="10440" w:val="left"/>
        </w:tabs>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will be chaired by</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satisfy the “independence” requirements of [the Listing Rules of the NASDAQ Stock Market/ Corporate Governance Rules of the NYSE]. The</w:t>
      </w:r>
    </w:p>
    <w:p>
      <w:pPr>
        <w:spacing w:after="0" w:line="3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will be responsible for, among other things: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68"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jc w:val="right"/>
        <w:ind w:left="460" w:right="220"/>
        <w:spacing w:after="0" w:line="274"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Our nominating and corporate governance committee will consist of         ,         ,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and will be chaired by        .         and         satisfy the “independence” requirements of [the Listing Rules of the NASDAQ Stock</w:t>
      </w:r>
    </w:p>
    <w:p>
      <w:pPr>
        <w:ind w:left="5580" w:right="2040" w:hanging="5570"/>
        <w:spacing w:after="0" w:line="433" w:lineRule="auto"/>
        <w:rPr>
          <w:sz w:val="20"/>
          <w:szCs w:val="20"/>
          <w:color w:val="auto"/>
        </w:rPr>
      </w:pPr>
      <w:r>
        <w:rPr>
          <w:rFonts w:ascii="Arial" w:cs="Arial" w:eastAsia="Arial" w:hAnsi="Arial"/>
          <w:sz w:val="18"/>
          <w:szCs w:val="18"/>
          <w:color w:val="auto"/>
        </w:rPr>
        <w:t>Market/ Corporate Governance Rules of the NYSE]. The nominating and corporate governance committee will assist the board in 142</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selecting individuals qualified to become our directors and in determining the composition of the board and its committees. The nominating and corporate governance committee will be responsible for, among other things:</w:t>
      </w:r>
    </w:p>
    <w:p>
      <w:pPr>
        <w:spacing w:after="0" w:line="76"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committee itself;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(1) becomes bankrupt or makes any arrangement or composition with his creditors; or (2) dies or is found by our company to be of unsound mind.</w:t>
      </w:r>
    </w:p>
    <w:p>
      <w:pPr>
        <w:spacing w:after="0" w:line="291" w:lineRule="exact"/>
        <w:rPr>
          <w:sz w:val="20"/>
          <w:szCs w:val="20"/>
          <w:color w:val="auto"/>
        </w:rPr>
      </w:pPr>
    </w:p>
    <w:p>
      <w:pPr>
        <w:jc w:val="right"/>
        <w:ind w:right="504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jc w:val="center"/>
        <w:ind w:right="460"/>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240" w:firstLine="8"/>
        <w:spacing w:after="0" w:line="261" w:lineRule="auto"/>
        <w:tabs>
          <w:tab w:leader="none" w:pos="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Under these agreements, we may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twelve months ended December 31, 2016, we paid an aggregate of approximately US$1 million in cash to our executive officers, and we did not 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equal to certain percentages of each employee’s salary for his or her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2,060,599 ordinary shares were granted under the 2010 Plan, 774,273 of which are not vested, 1,017,333 are fully vested but not exercised, and 268,993 have been exercised.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Vesting Schedule. </w:t>
      </w:r>
      <w:r>
        <w:rPr>
          <w:rFonts w:ascii="Arial" w:cs="Arial" w:eastAsia="Arial" w:hAnsi="Arial"/>
          <w:sz w:val="18"/>
          <w:szCs w:val="18"/>
          <w:color w:val="auto"/>
        </w:rPr>
        <w:t>Unless otherwise stated in respective grants, subject to forfeiture and arrangement on termination of employment or service, 25%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Exercise of Options. </w:t>
      </w:r>
      <w:r>
        <w:rPr>
          <w:rFonts w:ascii="Arial" w:cs="Arial" w:eastAsia="Arial" w:hAnsi="Arial"/>
          <w:sz w:val="16"/>
          <w:szCs w:val="16"/>
          <w:color w:val="auto"/>
        </w:rPr>
        <w:t>Vested options will become exercisable during the first five business days of January, April, July and October until the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6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(US$/Share)</w:t>
            </w: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7"/>
              </w:rPr>
              <w:t>Wing</w:t>
            </w:r>
          </w:p>
        </w:tc>
        <w:tc>
          <w:tcPr>
            <w:tcW w:w="3160" w:type="dxa"/>
            <w:vAlign w:val="bottom"/>
            <w:tcBorders>
              <w:top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Hong Sammy Hsieh</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0.0010</w:t>
            </w:r>
          </w:p>
        </w:tc>
        <w:tc>
          <w:tcPr>
            <w:tcW w:w="1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August 27, 2014</w:t>
            </w:r>
          </w:p>
        </w:tc>
        <w:tc>
          <w:tcPr>
            <w:tcW w:w="10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earlier of: (1) within 10 years of the</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vesting date; (2) immediately prior to</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listing of the Company on a stock</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exchange,</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Yau Ping Ricky Ng</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0.0010 – 4.800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June 21, 2013 to</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4"/>
              </w:rPr>
              <w:t>April 1, 2023; The earlier of: (1) within 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 27, 2014</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years of the vesting date; (2) immediately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prior to listing of the Company on a stock</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6"/>
              </w:rPr>
              <w:t>exchange,</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0.2687 – 4.0304</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1, 2015</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1, 2025</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8.1290 – 8.1300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January 1, 2015</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88"/>
              </w:rPr>
              <w:t>January 1, 2025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8.1290 – 8.1300</w:t>
            </w:r>
          </w:p>
        </w:tc>
        <w:tc>
          <w:tcPr>
            <w:tcW w:w="18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August 18, 2014</w:t>
            </w:r>
          </w:p>
        </w:tc>
        <w:tc>
          <w:tcPr>
            <w:tcW w:w="3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July 1, 2024 to January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1,371,155</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0.0100 – 20.0000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April 1, 2011 to</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1"/>
              </w:rPr>
              <w:t>April 1, 2020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in the table below are based on (1) 23,897,421 ordinary shares on an as-converted basis outstanding as of the date of this prospectus,</w:t>
      </w:r>
    </w:p>
    <w:p>
      <w:pPr>
        <w:spacing w:after="0" w:line="4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which include all exercised options, but do not include granted but unexercised options, whether or not they are vested, and (2) ordinary shares to be issued immediately upon completion of this offering, including (i) ordinary shares to be sold by us in this offering in the form of ADSs, assuming the</w:t>
      </w:r>
    </w:p>
    <w:p>
      <w:pPr>
        <w:ind w:right="340"/>
        <w:spacing w:after="0" w:line="261" w:lineRule="auto"/>
        <w:rPr>
          <w:sz w:val="20"/>
          <w:szCs w:val="20"/>
          <w:color w:val="auto"/>
        </w:rPr>
      </w:pPr>
      <w:r>
        <w:rPr>
          <w:rFonts w:ascii="Arial" w:cs="Arial" w:eastAsia="Arial" w:hAnsi="Arial"/>
          <w:sz w:val="18"/>
          <w:szCs w:val="18"/>
          <w:color w:val="auto"/>
        </w:rPr>
        <w:t>underwriters do not exercise their over-allotment option to purchase additional ADSs, and (ii) 9,525,757 ordinary shares into which all of our outstanding preferred shares will automatically convert upon completion of this offering on a one-for-one basis.</w:t>
      </w:r>
    </w:p>
    <w:p>
      <w:pPr>
        <w:spacing w:after="0" w:line="18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58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w w:val="95"/>
              </w:rPr>
              <w:t>Ordinary Shares</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Ordinary Shares Being</w:t>
            </w:r>
          </w:p>
        </w:tc>
        <w:tc>
          <w:tcPr>
            <w:tcW w:w="16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5"/>
              </w:rPr>
              <w:t>Ordinary Shares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6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Beneficially Owned Prior to</w:t>
            </w:r>
          </w:p>
        </w:tc>
        <w:tc>
          <w:tcPr>
            <w:tcW w:w="2320" w:type="dxa"/>
            <w:vAlign w:val="bottom"/>
            <w:gridSpan w:val="5"/>
            <w:vMerge w:val="continue"/>
          </w:tcPr>
          <w:p>
            <w:pPr>
              <w:spacing w:after="0"/>
              <w:rPr>
                <w:sz w:val="12"/>
                <w:szCs w:val="12"/>
                <w:color w:val="auto"/>
              </w:rPr>
            </w:pPr>
          </w:p>
        </w:tc>
        <w:tc>
          <w:tcPr>
            <w:tcW w:w="19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580" w:type="dxa"/>
            <w:vAlign w:val="bottom"/>
            <w:tcBorders>
              <w:bottom w:val="single" w:sz="8" w:color="auto"/>
            </w:tcBorders>
            <w:gridSpan w:val="2"/>
          </w:tcPr>
          <w:p>
            <w:pPr>
              <w:jc w:val="center"/>
              <w:ind w:left="413"/>
              <w:spacing w:after="0"/>
              <w:rPr>
                <w:sz w:val="20"/>
                <w:szCs w:val="20"/>
                <w:color w:val="auto"/>
              </w:rPr>
            </w:pPr>
            <w:r>
              <w:rPr>
                <w:rFonts w:ascii="Arial" w:cs="Arial" w:eastAsia="Arial" w:hAnsi="Arial"/>
                <w:sz w:val="14"/>
                <w:szCs w:val="14"/>
                <w:b w:val="1"/>
                <w:bCs w:val="1"/>
                <w:color w:val="auto"/>
                <w:w w:val="96"/>
              </w:rPr>
              <w:t>This Offering</w:t>
            </w:r>
          </w:p>
        </w:tc>
        <w:tc>
          <w:tcPr>
            <w:tcW w:w="5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4"/>
              </w:rPr>
              <w:t>Sold in This Offering</w:t>
            </w:r>
          </w:p>
        </w:tc>
        <w:tc>
          <w:tcPr>
            <w:tcW w:w="2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6"/>
              </w:rPr>
              <w:t>This Offering</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5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56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16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(1)(10)</w:t>
            </w:r>
          </w:p>
        </w:tc>
        <w:tc>
          <w:tcPr>
            <w:tcW w:w="1020" w:type="dxa"/>
            <w:vAlign w:val="bottom"/>
          </w:tcPr>
          <w:p>
            <w:pPr>
              <w:jc w:val="right"/>
              <w:spacing w:after="0"/>
              <w:rPr>
                <w:sz w:val="20"/>
                <w:szCs w:val="20"/>
                <w:color w:val="auto"/>
              </w:rPr>
            </w:pPr>
            <w:r>
              <w:rPr>
                <w:rFonts w:ascii="Arial" w:cs="Arial" w:eastAsia="Arial" w:hAnsi="Arial"/>
                <w:sz w:val="18"/>
                <w:szCs w:val="18"/>
                <w:color w:val="auto"/>
              </w:rPr>
              <w:t>2,769,573</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11.6</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2,337,133</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(3)(10)</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954,653</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Francis Hun Ming Wong</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Yu Long</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Antares Au</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Anmin Pan</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Jie Jiao</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Yan Lee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6,124,618</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2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Bertelsmann Asia Investments AG and its affiliate</w:t>
            </w:r>
            <w:r>
              <w:rPr>
                <w:rFonts w:ascii="Arial" w:cs="Arial" w:eastAsia="Arial" w:hAnsi="Arial"/>
                <w:sz w:val="15"/>
                <w:szCs w:val="15"/>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3,235,338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13.5</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2,881,030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2,757,878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11.6</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Czerny Holdings Limited and Cervetto Holdings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w:t>
            </w:r>
            <w:r>
              <w:rPr>
                <w:rFonts w:ascii="Arial" w:cs="Arial" w:eastAsia="Arial" w:hAnsi="Arial"/>
                <w:sz w:val="15"/>
                <w:szCs w:val="15"/>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2,486,802</w:t>
            </w:r>
          </w:p>
        </w:tc>
        <w:tc>
          <w:tcPr>
            <w:tcW w:w="5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2,320,028</w:t>
            </w:r>
          </w:p>
        </w:tc>
        <w:tc>
          <w:tcPr>
            <w:tcW w:w="5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9.7</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1,749,818</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020" w:type="dxa"/>
            <w:vAlign w:val="bottom"/>
          </w:tcPr>
          <w:p>
            <w:pPr>
              <w:jc w:val="right"/>
              <w:spacing w:after="0"/>
              <w:rPr>
                <w:sz w:val="20"/>
                <w:szCs w:val="20"/>
                <w:color w:val="auto"/>
              </w:rPr>
            </w:pPr>
            <w:r>
              <w:rPr>
                <w:rFonts w:ascii="Arial" w:cs="Arial" w:eastAsia="Arial" w:hAnsi="Arial"/>
                <w:sz w:val="18"/>
                <w:szCs w:val="18"/>
                <w:color w:val="auto"/>
              </w:rPr>
              <w:t>1,532,955</w:t>
            </w:r>
          </w:p>
        </w:tc>
        <w:tc>
          <w:tcPr>
            <w:tcW w:w="56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520" w:type="dxa"/>
            <w:vAlign w:val="bottom"/>
          </w:tcPr>
          <w:p>
            <w:pPr>
              <w:spacing w:after="0"/>
              <w:rPr>
                <w:sz w:val="24"/>
                <w:szCs w:val="24"/>
                <w:color w:val="auto"/>
              </w:rPr>
            </w:pP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Less than 1% of our total outstanding shares.</w:t>
      </w:r>
    </w:p>
    <w:p>
      <w:pPr>
        <w:spacing w:after="0" w:line="2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shares beneficially owned by such</w:t>
      </w:r>
    </w:p>
    <w:p>
      <w:pPr>
        <w:spacing w:after="0" w:line="32" w:lineRule="exact"/>
        <w:rPr>
          <w:sz w:val="20"/>
          <w:szCs w:val="20"/>
          <w:color w:val="auto"/>
        </w:rPr>
      </w:pPr>
    </w:p>
    <w:p>
      <w:pPr>
        <w:jc w:val="both"/>
        <w:ind w:left="460" w:right="140"/>
        <w:spacing w:after="0" w:line="250" w:lineRule="auto"/>
        <w:rPr>
          <w:sz w:val="20"/>
          <w:szCs w:val="20"/>
          <w:color w:val="auto"/>
        </w:rPr>
      </w:pPr>
      <w:r>
        <w:rPr>
          <w:rFonts w:ascii="Arial" w:cs="Arial" w:eastAsia="Arial" w:hAnsi="Arial"/>
          <w:sz w:val="18"/>
          <w:szCs w:val="18"/>
          <w:color w:val="auto"/>
        </w:rPr>
        <w:t>person or group by the sum of the total number of ordinary shares outstanding, which is 23,897,421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right="140" w:hanging="452"/>
        <w:spacing w:after="0" w:line="281"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and (b) 268,993 ordinary shares held by Arda Holdings from the exercise of options under our 2010 Plan. Mr. Wing Hong Sammy Hsieh through Arda upon trust serves as the trustee to the beneficiaries of the 2010 Plan. The trustee shall only deal with the trust properties in such manner as our board from time to time directs in writing. In addition to the 2,769,573 shares beneficially owned by Wing Hong Sammy Hsieh, there are 120,067 options granted to Wing Hong Sammy Hsieh that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w:t>
      </w:r>
    </w:p>
    <w:p>
      <w:pPr>
        <w:spacing w:after="0" w:line="4" w:lineRule="exact"/>
        <w:rPr>
          <w:rFonts w:ascii="Arial" w:cs="Arial" w:eastAsia="Arial" w:hAnsi="Arial"/>
          <w:sz w:val="16"/>
          <w:szCs w:val="16"/>
          <w:color w:val="auto"/>
        </w:rPr>
      </w:pPr>
    </w:p>
    <w:p>
      <w:pPr>
        <w:jc w:val="both"/>
        <w:ind w:left="460" w:right="22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17,105 ordinary shares that are issuable upon exercise of options held in trust by Mr. Tang on behalf of certain consultants of OptAim that are exercisable currently or within 60 days of the date of this prospectus.</w:t>
      </w:r>
    </w:p>
    <w:p>
      <w:pPr>
        <w:spacing w:after="0" w:line="1"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(a) 880,653 ordinary shares held by Yau Ping Ricky Ng as of the date of this prospectus, and (b) 74,000 ordinary shares that are issuable upon exercise of options held by Mr. Ng that are exercisable currently or within 60 days of the date of this prospectus. In addition to the 954,653 shares beneficially owned by Yau Ping Ricky Ng, there are 29,933 options granted to Yau Ping Ricky Ng that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w:t>
      </w:r>
    </w:p>
    <w:p>
      <w:pPr>
        <w:spacing w:after="0" w:line="1" w:lineRule="exact"/>
        <w:rPr>
          <w:rFonts w:ascii="Arial" w:cs="Arial" w:eastAsia="Arial" w:hAnsi="Arial"/>
          <w:sz w:val="17"/>
          <w:szCs w:val="17"/>
          <w:color w:val="auto"/>
        </w:rPr>
      </w:pPr>
    </w:p>
    <w:p>
      <w:pPr>
        <w:ind w:left="460" w:right="10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w:t>
      </w:r>
    </w:p>
    <w:p>
      <w:pPr>
        <w:spacing w:after="0" w:line="1"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w:t>
      </w:r>
    </w:p>
    <w:p>
      <w:pPr>
        <w:ind w:left="460" w:hanging="452"/>
        <w:spacing w:after="0" w:line="265"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 which is the sole shareholder of SSG Capital Partners I GPGP, Ltd and SSG Capital Partners II GPGP, Ltd. The registered office address of Czerny Holdings Limited and Cervetto Holdings Limited is P.O. Box 957, Offshore Incorporations Center, Road Town, Tortola, British Virgin Islands.</w:t>
      </w:r>
    </w:p>
    <w:p>
      <w:pPr>
        <w:spacing w:after="0" w:line="1" w:lineRule="exact"/>
        <w:rPr>
          <w:rFonts w:ascii="Arial" w:cs="Arial" w:eastAsia="Arial" w:hAnsi="Arial"/>
          <w:sz w:val="17"/>
          <w:szCs w:val="17"/>
          <w:color w:val="auto"/>
        </w:rPr>
      </w:pPr>
    </w:p>
    <w:p>
      <w:pPr>
        <w:ind w:left="460" w:right="20" w:hanging="452"/>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1,749,818 ordinary shares held by Maestro Investment Holdings Limited, a company incorporated in British Virgin Islands. Jiping Liu is the sole shareholder of Maestro Investment Holdings Limited.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74"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1,532,955 ordinary shares held by O &amp; K Investment Limited, a company incorporated in Hong Kong. Sunee Chiraseivinupraphand is the sole shareholder of O &amp; K Investment Limited. Sunee Chiraseivinupraphand is spouse of Wing Hong Sammy Hsieh.</w:t>
      </w:r>
    </w:p>
    <w:p>
      <w:pPr>
        <w:ind w:left="460" w:right="600" w:hanging="452"/>
        <w:spacing w:after="0" w:line="290"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December 2016, Wing Hong Sammy Hsieh and Yau Ping Ricky Ng each transferred 247,088 and 176,138 shares to Igomax Inc. for nominal consideration as compensation of Jian Tang’s service to us. Please refer to note 19(c) of our consolidated financial statements.</w:t>
      </w:r>
    </w:p>
    <w:p>
      <w:pPr>
        <w:spacing w:after="0" w:line="1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date of this prospectus, none of our ordinary shares issued and outstanding on an as converted basis were held by record holders in the United States. None of our shareholders has informed us that it is affiliated with a registered broker-dealer or is in the business of underwriting securities.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80"/>
          </w:cols>
          <w:pgMar w:left="240" w:top="460" w:right="3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the date of this prospectus, our company is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14,371,664 ordinary shares, including 268,993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except for the ordinary shares issued to Arda under the 2010 Plan other than those ordinary shares whose underlying 2010 Options have been exercised. See “Management — Share Incentive Plans — 2010 Plan.”</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Upon completion of this offering, there will be ordinary shares issued and outstanding, including a total of 9,525,757 ordinary shares resulting from the automatic conversion of all of our outstanding preferred shares (assuming the underwriters do not exercise the over-allotment option).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to adopt, subject to the approval of our shareholders, an eighth amended and restated memorandum and articles of association, which will become effective and replace our current seventh amended and restated memorandum and articles of association in its entirety immediately upon the completion of this offering. The following are summaries of material provisions of the post-offering amended and restated memorandum and articles of association that we expect to adopt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93"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Voting at any shareholders’ meeting is by show of hands unless a poll is demanded. A poll may be demanded by the chairman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or any one or more shareholders who together hold no less than 10% of the votes attaching to the total ordinary shares present in person or by proxy.</w:t>
      </w:r>
    </w:p>
    <w:p>
      <w:pPr>
        <w:spacing w:after="0" w:line="124"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A quorum required for a meeting of shareholders consists of one or more shareholders present and holding no less than one-third of the votes of the outstanding voting shares in our company. Shareholders may be present in person or by proxy or, if the shareholder is a legal entity, by its duly authorized representative. Shareholders’ meetings may be convened by our board of directors on its own initiative or upon a request to the directors by shareholders holding no less than one-third of our voting share capital in issue. Advance notice of at least seven clear days is required for the convening of our annual general shareholders’ meeting and any other general shareholders’ meeting.</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Both ordinary resolutions and special resolutions may also be passed by unanimous written resolutions signed by all the shareholders of our company, as permitted by the Companies Law and our post-offering amended and restated memorandum and articles of association. A special resolution will be required for important matters such as a change of name or making changes to our post-offering amended and restated memorandum and articles of association. Holders of the ordinary shares may, among other things, divide or combine their shares by ordinary resolution.</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fee of such maximum sum as the [NYSE/NASDAQ] may determine to be payable or such lesser sum as our directors may from time to time require is paid to us in respect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[NYSE/NASDAQ],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class or series) may be varied with the consent in writing of all the holders of the issued shares of that class or series or with the sanction of a resolution passed by a majority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48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6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As a Cayman Islands exempted limited liability company, we are not obliged by the Companies Law to call shareholders’ annual general meetings. Our post-offering amended and restated memorandum and articles of association provide that we may (but are not obliged to) in each year hold a general meeting as our annual general meeting.</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seven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memorandum and articles of association allow our shareholders holding shares representing in aggregate no less than one-third of our voting share capital in issue, the right to requisition an extraordinary general meeting of our shareholders, in which case our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articles of association. Our post-offering amended and restated articles of association allow our shareholders holding no less than one-third of all voting power of our share capital in issue to requisition a shareholder’s meeting, in which case our directors are obliged to call such meeting and to put the resolutions so requisitioned to a vote at such meeting. Other than this right to requisition a shareholders’ meeting, our post-offering amended and restated articles of association do not provide our shareholders other right to put proposal before a meeting. As an exempted Cayman Islands company, we are not obliged by law to call shareholders’ annual general meetings.</w:t>
      </w:r>
    </w:p>
    <w:p>
      <w:pPr>
        <w:spacing w:after="0" w:line="1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 cause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4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Transactions with Interested Shareholders. </w:t>
      </w:r>
      <w:r>
        <w:rPr>
          <w:rFonts w:ascii="Arial" w:cs="Arial" w:eastAsia="Arial" w:hAnsi="Arial"/>
          <w:sz w:val="18"/>
          <w:szCs w:val="18"/>
          <w:color w:val="auto"/>
        </w:rPr>
        <w:t>The Delaware General Corporation Law contains a business combination statute applicable to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simple majority of the corporation’s outstanding shares. Delaware law allows a Delaware corporation to include in its certificate of incorporation a supermajority voting requirement in connection with dissolutions initiated by the board.</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resolution passed by a majority of the votes cast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we issued 274,752 ordinary shares to Big Tooth Corporation in recognition of Mr. Robert Tran’s consulting services to us.</w:t>
      </w:r>
    </w:p>
    <w:p>
      <w:pPr>
        <w:spacing w:after="0" w:line="237"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preferred shares will be automatically converted into ordinary shares at the then applicable conversion price upon the completion of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Form F-3 Registration Rights. </w:t>
      </w:r>
      <w:r>
        <w:rPr>
          <w:rFonts w:ascii="Arial" w:cs="Arial" w:eastAsia="Arial" w:hAnsi="Arial"/>
          <w:sz w:val="18"/>
          <w:szCs w:val="18"/>
          <w:color w:val="auto"/>
        </w:rPr>
        <w:t>When we are eligible for registration on Form F-3, upon a written request from any holder of the registrable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outstanding, we must promptly file a registration statement 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60" w:firstLine="1004"/>
        <w:spacing w:after="0" w:line="273" w:lineRule="auto"/>
        <w:tabs>
          <w:tab w:leader="none" w:pos="1086" w:val="left"/>
        </w:tabs>
        <w:numPr>
          <w:ilvl w:val="0"/>
          <w:numId w:val="82"/>
        </w:numPr>
        <w:rPr>
          <w:rFonts w:ascii="Arial" w:cs="Arial" w:eastAsia="Arial" w:hAnsi="Arial"/>
          <w:sz w:val="17"/>
          <w:szCs w:val="17"/>
          <w:color w:val="auto"/>
        </w:rPr>
      </w:pPr>
      <w:r>
        <w:rPr>
          <w:rFonts w:ascii="Arial" w:cs="Arial" w:eastAsia="Arial" w:hAnsi="Arial"/>
          <w:sz w:val="17"/>
          <w:szCs w:val="17"/>
          <w:color w:val="auto"/>
        </w:rPr>
        <w:t>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78" w:lineRule="exact"/>
        <w:rPr>
          <w:sz w:val="20"/>
          <w:szCs w:val="20"/>
          <w:color w:val="auto"/>
        </w:rPr>
      </w:pPr>
    </w:p>
    <w:p>
      <w:pPr>
        <w:ind w:left="460"/>
        <w:spacing w:after="0"/>
        <w:tabs>
          <w:tab w:leader="none" w:pos="3960" w:val="left"/>
        </w:tabs>
        <w:rPr>
          <w:sz w:val="20"/>
          <w:szCs w:val="20"/>
          <w:color w:val="auto"/>
        </w:rPr>
      </w:pPr>
      <w:r>
        <w:rPr>
          <w:rFonts w:ascii="Arial" w:cs="Arial" w:eastAsia="Arial" w:hAnsi="Arial"/>
          <w:sz w:val="18"/>
          <w:szCs w:val="18"/>
          <w:color w:val="auto"/>
        </w:rPr>
        <w:t>The depositary’s office is located at</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shares or other deposited securities, after converting any cash received into U.S. dollars (if it determines such conversion may be made on a reasonable basis)</w:t>
      </w:r>
    </w:p>
    <w:p>
      <w:pPr>
        <w:spacing w:after="0" w:line="4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and, in all cases, making any necessary deductions provided for in the deposit agreement. The depositary may utilize a division, branch or affiliate of ,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3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The depositary will distribute any U.S. dollars available to it resulting from a cash dividend or other cash distribution or the net proceeds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Rights to receive additional shares</w:t>
      </w:r>
      <w:r>
        <w:rPr>
          <w:rFonts w:ascii="Arial" w:cs="Arial" w:eastAsia="Arial" w:hAnsi="Arial"/>
          <w:sz w:val="17"/>
          <w:szCs w:val="17"/>
          <w:color w:val="auto"/>
        </w:rPr>
        <w:t>. In the case of a distribution of rights to subscribe for additional shares or other rights, if we timely provide evidence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7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 such rights if practicable and distribute the net proceeds in the same manner as cash to the ADR holders entitled thereto; or</w:t>
      </w:r>
    </w:p>
    <w:p>
      <w:pPr>
        <w:spacing w:after="0" w:line="130"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obligation to file a registration statement under the Securities Act in order to make any rights available to ADR holders.</w:t>
      </w:r>
    </w:p>
    <w:p>
      <w:pPr>
        <w:spacing w:after="0" w:line="225"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In the case of a distribution of securities or property other than those described above, the depositary may either (i) distribute such</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it may retain such items, without paying interest on or investing them, on behalf of the ADR holder as deposited securities, in which case the ADSs will also represent the retained items.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w:t>
      </w:r>
    </w:p>
    <w:p>
      <w:pPr>
        <w:spacing w:after="0" w:line="4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registered in the name of</w:t>
      </w:r>
      <w:r>
        <w:rPr>
          <w:sz w:val="20"/>
          <w:szCs w:val="20"/>
          <w:color w:val="auto"/>
        </w:rPr>
        <w:tab/>
      </w:r>
      <w:r>
        <w:rPr>
          <w:rFonts w:ascii="Arial" w:cs="Arial" w:eastAsia="Arial" w:hAnsi="Arial"/>
          <w:sz w:val="16"/>
          <w:szCs w:val="16"/>
          <w:color w:val="auto"/>
        </w:rPr>
        <w:t>, as depositary for the benefit of holders of ADRs or in such other name as the depositary shall direct.</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80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 the depositary in writing that</w:t>
      </w:r>
    </w:p>
    <w:p>
      <w:pPr>
        <w:spacing w:after="0" w:line="4" w:lineRule="exact"/>
        <w:rPr>
          <w:sz w:val="20"/>
          <w:szCs w:val="20"/>
          <w:color w:val="auto"/>
        </w:rPr>
      </w:pPr>
    </w:p>
    <w:p>
      <w:pPr>
        <w:ind w:firstLine="8"/>
        <w:spacing w:after="0" w:line="253"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any applicable law, public rule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regulation in force in the Cayman Islands, (c) the courts of the Cayman Islands will give effect to the voting arrangement and deemed instruction as contemplated in the proxy under Cayman Islands law and (d) there is nothing under Cayman Islands law which would result in the depositary being deemed to have exercised any discretion when voting in accordance with the terms of the proxy.</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87"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52"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right="58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connection with the conversion of foreign currency into U.S. dollars, shall deduct out of such foreign currency the fees, expenses and other charges charged by it and/or its agent (which may be a division, branch or affiliate) so appointed in connection with such conversion; and</w:t>
      </w:r>
    </w:p>
    <w:p>
      <w:pPr>
        <w:spacing w:after="0" w:line="29"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left="900" w:right="4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and/or its agent may act as principal for such conversion of foreign currency.</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depositary anticipates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fees and charges you may be required to pay may vary over time and may be changed by us and by the depositary. You will receive prior notice of the increase in any such fees and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ADR holders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(ii) any distributions of shares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w:t>
      </w:r>
    </w:p>
    <w:p>
      <w:pPr>
        <w:ind w:firstLine="8"/>
        <w:spacing w:after="0" w:line="268"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20" w:hanging="325"/>
        <w:spacing w:after="0" w:line="272"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or other document believed by it to be genuine and to have been signed, presented or given by the proper party or parties.</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w:t>
      </w:r>
    </w:p>
    <w:p>
      <w:pPr>
        <w:spacing w:after="0" w:line="7"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affiliate of .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w:t>
      </w:r>
    </w:p>
    <w:p>
      <w:pPr>
        <w:spacing w:after="0" w:line="1" w:lineRule="exact"/>
        <w:rPr>
          <w:sz w:val="20"/>
          <w:szCs w:val="20"/>
          <w:color w:val="auto"/>
        </w:rPr>
      </w:pPr>
    </w:p>
    <w:p>
      <w:pPr>
        <w:ind w:right="20" w:firstLine="8"/>
        <w:spacing w:after="0" w:line="268" w:lineRule="auto"/>
        <w:tabs>
          <w:tab w:leader="none" w:pos="2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the People’s Republic of China law, rules or regulations or any changes therein or thereto.</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none of us, the depositary or the custodian shall be liable for the failure by any ADR holder or beneficial owner therein to obtain the benefits of credits on the basis of non-U.S. tax paid against such holder’s or beneficial owner’s income tax liability, except for any failure arising directly out of the gross negligence or willful misconduct of the depositary or the custodian or their respective directors, officers, affiliates or agents acting in their capacities as such. Neither we nor the depositary shall incur any liability for any tax consequences that may be incurred by ADR holders or beneficial owners therein on account of their ownership of ADRs or ADSs.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9"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our securities and in ADSs.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us solely in order to enable us to comply with applicable law.</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its capacity as depositary, the depositary shall not lend shares or ADSs; provided, however, that the depositary may issue ADSs prior to the receipt of shares (a “pre-release”). The depositary may receive ADSs in lieu of shares under (which ADSs will promptly be canceled by the depositary upon receipt by the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such pre-release will be subject to a written agreement whereby the person or entity (the ”applicant”) to whom ADSs are to be delivered (a) represents that at the time of the pre-release the applicant or its customer owns the shares that are to be delivered by the applicant under such pre-release, (b) agrees to indicate the depositary as owner of such shares or ADSs in its records and to hold such shares in trust for the depositary until such shares are delivered to the depositary or the custodian, (c) unconditionally guarantees to deliver to the depositary or the custodian, as applicable, such shares or ADSs, (d) agrees that the applicant or its customer that owns the shares or ADSs to be delivered by the applicant will cause tax to be withheld on the dividends at the same rate as if such shares or ADSs were held by the depositary and to be paid to the relevant tax authority, and (e) agrees to any additional restrictions or requirements that the depositary deems appropriate. Each such pre-release will be at all times fully collateralized with cash, U.S. government securities or such other collateral as the depositary deems appropriate, terminable by the depositary on not more than five (5) business days’ notice and subject to such further indemnities and credit regulations as the depositary deems appropriate. The depositary will normally limit the number of ADSs involved in such pre-release at any one time to thirty percent (30%) of the ADSs outstanding (without giving effect to ADSs outstanding as a result of a pre-release), provided, however, that the depositary reserves the right to change or disregard such limit from time to time as it deems appropriate. The depositary may also set limits with respect to the number of ADSs involved in pre-release with any one person on a case-by-case basis as it deems appropriate. The depositary may retain for its own account any compensation received by it in conjunction with the foregoing. Collateral provided in connection with pre-release transactions, but not the earnings thereon, shall be held for the benefit of the ADR holders (other than the applicant).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30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Jurisdiction</w:t>
      </w:r>
    </w:p>
    <w:p>
      <w:pPr>
        <w:spacing w:after="0" w:line="12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provided however, to the extent there are specific federal securities law violation aspects to any claims against us and/or the depositary brought by any registered holder of ADRs, the federal securities law violation aspects of such claims brought by a registered holder of ADRs against us and/or the depositary may, at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the option of such registered holder of ADRs, remain in state or federal court in New York, New York and all other aspects, claims, disputes, legal suits, actions and/or proceedings brought by such ADR holders against us and/or the depositary, including those brought along with, or in addition to, federal securities law violation claims, would be referred to arbitration in accordance with the provisions of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80"/>
          </w:cols>
          <w:pgMar w:left="240" w:top="460" w:right="27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b w:val="1"/>
                <w:bCs w:val="1"/>
                <w:color w:val="auto"/>
              </w:rPr>
              <w:t>SHARES ELIGIBLE FOR FUTURE SALE</w:t>
            </w:r>
          </w:p>
        </w:tc>
      </w:tr>
      <w:tr>
        <w:trPr>
          <w:trHeight w:val="432"/>
        </w:trPr>
        <w:tc>
          <w:tcPr>
            <w:tcW w:w="3940" w:type="dxa"/>
            <w:vAlign w:val="bottom"/>
            <w:gridSpan w:val="2"/>
          </w:tcPr>
          <w:p>
            <w:pPr>
              <w:ind w:left="460"/>
              <w:spacing w:after="0"/>
              <w:rPr>
                <w:sz w:val="20"/>
                <w:szCs w:val="20"/>
                <w:color w:val="auto"/>
              </w:rPr>
            </w:pPr>
            <w:r>
              <w:rPr>
                <w:rFonts w:ascii="Arial" w:cs="Arial" w:eastAsia="Arial" w:hAnsi="Arial"/>
                <w:sz w:val="18"/>
                <w:szCs w:val="18"/>
                <w:color w:val="auto"/>
                <w:w w:val="96"/>
              </w:rPr>
              <w:t>Upon completion of this offering, we will have</w:t>
            </w:r>
          </w:p>
        </w:tc>
        <w:tc>
          <w:tcPr>
            <w:tcW w:w="7400" w:type="dxa"/>
            <w:vAlign w:val="bottom"/>
          </w:tcPr>
          <w:p>
            <w:pPr>
              <w:ind w:left="360"/>
              <w:spacing w:after="0"/>
              <w:rPr>
                <w:sz w:val="20"/>
                <w:szCs w:val="20"/>
                <w:color w:val="auto"/>
              </w:rPr>
            </w:pPr>
            <w:r>
              <w:rPr>
                <w:rFonts w:ascii="Arial" w:cs="Arial" w:eastAsia="Arial" w:hAnsi="Arial"/>
                <w:sz w:val="18"/>
                <w:szCs w:val="18"/>
                <w:color w:val="auto"/>
                <w:w w:val="92"/>
              </w:rPr>
              <w:t>ADSs outstanding, representing approximately   % of our outstanding ordinary shares. All of the</w:t>
            </w:r>
          </w:p>
        </w:tc>
      </w:tr>
    </w:tbl>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[NYSE][NASDAQ], we cannot assure you that a regular trading market will develop in the ADSs. We do not expect that a trading market will develop for our ordinary shares not represented by the ADSs.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of our directors, executive officers [and existing shareholders] has agreed, subject to some exceptions, not to sell, transfer or dispose of, directly or indirectly,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 180-day period, the ordinary shares or ADSs held by our directors, executive officers or our existing shareholders may be sold subject to the restrictions under Rule 144 under the Securities Act or by means of registered public offerings.</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of our ordinary shares outstanding prior to this offering, other than those issued pursuant to Regulation S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80"/>
          </w:cols>
          <w:pgMar w:left="240" w:top="446"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w:t>
      </w:r>
    </w:p>
    <w:p>
      <w:pPr>
        <w:spacing w:after="0" w:line="131" w:lineRule="exact"/>
        <w:rPr>
          <w:sz w:val="20"/>
          <w:szCs w:val="20"/>
          <w:color w:val="auto"/>
        </w:rPr>
      </w:pPr>
    </w:p>
    <w:p>
      <w:pPr>
        <w:ind w:left="900" w:right="4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 of the then outstanding ordinary shares, in the form of ADSs or otherwise, which will equal approximately ordinary shares immediately after this offering; or</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[NYSE][NASDAQ], during the four calendar weeks preceding the date on which notice of the sale is filed with the SEC.</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Dividends paid in a currency other than U.S. dollars generally will be includible in your income in a U.S. dollar amount calculated by reference to the exchange rate in effect on the day you receive the dividends, in the case of ordinary shares, or the date the depositary receives the dividends, in the case of ordinary shares represented by ADSs. U.S. Holders should consult their own tax advisors regarding the treatment of foreign currency gain or loss, if any, on any foreign currency received that is converted into U.S. dollars after it is received.</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U.S. dollar amount of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12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ADSs will be listed on the [NASDAQ Select Market /New York Stock Exchange],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80" w:hanging="325"/>
        <w:spacing w:after="0" w:line="279"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Prospective investors should consult their own tax advisors concerning the application of these rules to their investment in the ADSs, including the application of the rules to their particular circumstances.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04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920" w:type="dxa"/>
            <w:vAlign w:val="bottom"/>
          </w:tcPr>
          <w:p>
            <w:pPr>
              <w:spacing w:after="0"/>
              <w:rPr>
                <w:sz w:val="24"/>
                <w:szCs w:val="24"/>
                <w:color w:val="auto"/>
              </w:rPr>
            </w:pPr>
          </w:p>
        </w:tc>
      </w:tr>
      <w:tr>
        <w:trPr>
          <w:trHeight w:val="432"/>
        </w:trPr>
        <w:tc>
          <w:tcPr>
            <w:tcW w:w="7400" w:type="dxa"/>
            <w:vAlign w:val="bottom"/>
            <w:gridSpan w:val="2"/>
          </w:tcPr>
          <w:p>
            <w:pPr>
              <w:ind w:left="4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 we have agreed to sell to the underwriters named</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below, for whom Credit Suisse Securities (USA) LLC and Jefferies LLC are acting as representatives, the following respective numbers of shares of ADSs: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ADSs initially at the public offering price on the cover page of this prospectus and to selling group members at that</w:t>
      </w:r>
    </w:p>
    <w:p>
      <w:pPr>
        <w:spacing w:after="0" w:line="46" w:lineRule="exact"/>
        <w:rPr>
          <w:sz w:val="20"/>
          <w:szCs w:val="20"/>
          <w:color w:val="auto"/>
        </w:rPr>
      </w:pPr>
    </w:p>
    <w:p>
      <w:pPr>
        <w:jc w:val="both"/>
        <w:ind w:right="140"/>
        <w:spacing w:after="0" w:line="290" w:lineRule="auto"/>
        <w:rPr>
          <w:sz w:val="20"/>
          <w:szCs w:val="20"/>
          <w:color w:val="auto"/>
        </w:rPr>
      </w:pPr>
      <w:r>
        <w:rPr>
          <w:rFonts w:ascii="Arial" w:cs="Arial" w:eastAsia="Arial" w:hAnsi="Arial"/>
          <w:sz w:val="17"/>
          <w:szCs w:val="17"/>
          <w:color w:val="auto"/>
        </w:rPr>
        <w:t>price less a selling concession of US$ per ADS. The underwriters and selling group members may allow a discount of US$ per ADS on sales to other broker/dealers. After the initial public offering the underwriters may change the public offering price and concession and discount to broker/dealers.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and the selling stockholders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Total</w:t>
            </w:r>
          </w:p>
        </w:tc>
      </w:tr>
      <w:tr>
        <w:trPr>
          <w:trHeight w:val="123"/>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6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ADSs, our ordinary shares or securities convertible into or exchangeable or exercisable for any ADSs or our ordinary shares, or publicly disclose the intention to make any offer, sale, pledge, disposition or 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officers, directors, [major shareholders and option holders] have agreed that they will not offer, sell, contract to sell, pledge or otherwise dispose of, directly or indirectly, any ADSs, our ordinary shares or securities convertible into or exchangeable or exercisable for any ADSs or our ordinary shares, enter into a transaction that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46"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transaction, swap, hedge or other arrangement, without, in each case, the prior written consent of Credit Suisse Securities (USA) LLC and Jefferies LLC for a period of [180] days after the date of this prospectus.]</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underwriters have reserved for sale at the initial public offering price up to ADSs for employees, directors and other persons associated with us who have expressed an interest in purchasing ADSs in the offering. If purchased by these persons, these shares will be subject to a 180-day lock-up restriction. The number of ADSs available for sale to the general public in the offering will be reduced to the extent of these persons’ purchase. Any reserved ADSs not so purchased will be offered by the underwriters to the general public on the same terms as the other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ADSs on [the NYSE/the NASDAQ Global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listing of ADSs on the NYSE/ the NASDAQ Global Market, the underwriters will undertake to sell round lots of 100 shares or</w:t>
      </w:r>
    </w:p>
    <w:p>
      <w:pPr>
        <w:spacing w:after="0" w:line="4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more to a minimum of</w:t>
      </w:r>
      <w:r>
        <w:rPr>
          <w:sz w:val="20"/>
          <w:szCs w:val="20"/>
          <w:color w:val="auto"/>
        </w:rPr>
        <w:tab/>
      </w:r>
      <w:r>
        <w:rPr>
          <w:rFonts w:ascii="Arial" w:cs="Arial" w:eastAsia="Arial" w:hAnsi="Arial"/>
          <w:sz w:val="16"/>
          <w:szCs w:val="16"/>
          <w:color w:val="auto"/>
        </w:rPr>
        <w:t>beneficial owners.]</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representatives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hanging="325"/>
        <w:spacing w:after="0" w:line="255"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5"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[the NYSE/NASDAQ Global Market] or otherwise and, if commenced, may be discontinued at any time.</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40"/>
          </w:cols>
          <w:pgMar w:left="240" w:top="459" w:right="3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2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7" w:lineRule="exact"/>
        <w:rPr>
          <w:sz w:val="20"/>
          <w:szCs w:val="20"/>
          <w:color w:val="auto"/>
        </w:rPr>
      </w:pPr>
    </w:p>
    <w:p>
      <w:pPr>
        <w:ind w:left="900" w:right="180" w:hanging="325"/>
        <w:spacing w:after="0" w:line="31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52"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40" w:hanging="567"/>
        <w:spacing w:after="0" w:line="277"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7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Set forth below is an itemization of the total expenses, excluding underwriting discounts and commissions, that are expected to be incurred in connection with the offer and sale of the ADSs. With the exception of the Securities and Exchange Commission registration fee, the Financial Industry Regulatory Authority, Inc., or FINRA, filing fee and the [NASDAQ Global Market/NYSE] listing fee, all amounts are estimates.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FINRA Filing Fee</w:t>
            </w:r>
          </w:p>
        </w:tc>
        <w:tc>
          <w:tcPr>
            <w:tcW w:w="5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US$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Market/NYSE] Listing Fee</w:t>
            </w:r>
          </w:p>
        </w:tc>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Printing Expenses</w:t>
            </w:r>
          </w:p>
        </w:tc>
        <w:tc>
          <w:tcPr>
            <w:tcW w:w="5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US$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US$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536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360" w:type="dxa"/>
            <w:vAlign w:val="bottom"/>
            <w:vMerge w:val="restart"/>
          </w:tcPr>
          <w:p>
            <w:pPr>
              <w:jc w:val="right"/>
              <w:ind w:right="4210"/>
              <w:spacing w:after="0"/>
              <w:rPr>
                <w:sz w:val="20"/>
                <w:szCs w:val="20"/>
                <w:color w:val="auto"/>
              </w:rPr>
            </w:pPr>
            <w:r>
              <w:rPr>
                <w:rFonts w:ascii="Arial" w:cs="Arial" w:eastAsia="Arial" w:hAnsi="Arial"/>
                <w:sz w:val="18"/>
                <w:szCs w:val="18"/>
                <w:color w:val="auto"/>
              </w:rPr>
              <w:t>193</w:t>
            </w: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00"/>
          </w:cols>
          <w:pgMar w:left="240" w:top="460" w:right="3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9580" w:type="dxa"/>
            <w:vAlign w:val="bottom"/>
            <w:gridSpan w:val="13"/>
            <w:vMerge w:val="continue"/>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580" w:type="dxa"/>
            <w:vAlign w:val="bottom"/>
            <w:gridSpan w:val="13"/>
          </w:tcPr>
          <w:p>
            <w:pPr>
              <w:spacing w:after="0" w:line="190" w:lineRule="exact"/>
              <w:rPr>
                <w:rFonts w:ascii="Arial" w:cs="Arial" w:eastAsia="Arial" w:hAnsi="Arial"/>
                <w:sz w:val="18"/>
                <w:szCs w:val="18"/>
                <w:color w:val="0000EE"/>
              </w:rPr>
            </w:pPr>
            <w:hyperlink w:anchor="page203">
              <w:r>
                <w:rPr>
                  <w:rFonts w:ascii="Arial" w:cs="Arial" w:eastAsia="Arial" w:hAnsi="Arial"/>
                  <w:sz w:val="18"/>
                  <w:szCs w:val="18"/>
                  <w:color w:val="0000EE"/>
                </w:rPr>
                <w:t>Report of Independent Registered Public Accounting Firm</w:t>
              </w:r>
            </w:hyperlink>
          </w:p>
        </w:tc>
        <w:tc>
          <w:tcPr>
            <w:tcW w:w="17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Consolidated Balance Sheets as of December 31, 2015 and 2016</w:t>
              </w:r>
            </w:hyperlink>
          </w:p>
        </w:tc>
        <w:tc>
          <w:tcPr>
            <w:tcW w:w="4920" w:type="dxa"/>
            <w:vAlign w:val="bottom"/>
            <w:gridSpan w:val="8"/>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Consolidated Statements of Comprehensive Loss for the years ended December 31, 2015 and 2016</w:t>
              </w:r>
            </w:hyperlink>
          </w:p>
        </w:tc>
        <w:tc>
          <w:tcPr>
            <w:tcW w:w="2440" w:type="dxa"/>
            <w:vAlign w:val="bottom"/>
            <w:gridSpan w:val="5"/>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Consolidated Statements of Changes in Shareholders’ Deficit for the years ended December 31, 2015 and 2016</w:t>
              </w:r>
            </w:hyperlink>
          </w:p>
        </w:tc>
        <w:tc>
          <w:tcPr>
            <w:tcW w:w="1560" w:type="dxa"/>
            <w:vAlign w:val="bottom"/>
            <w:gridSpan w:val="2"/>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Consolidated Statements of Cash Flows for the years ended December 31, 2015 and 2016</w:t>
              </w:r>
            </w:hyperlink>
          </w:p>
        </w:tc>
        <w:tc>
          <w:tcPr>
            <w:tcW w:w="3060" w:type="dxa"/>
            <w:vAlign w:val="bottom"/>
            <w:gridSpan w:val="7"/>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9580" w:type="dxa"/>
            <w:vAlign w:val="bottom"/>
            <w:gridSpan w:val="1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Notes to the Consolidated Financial Statements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434"/>
        </w:trPr>
        <w:tc>
          <w:tcPr>
            <w:tcW w:w="34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OPTAIM LIMITED (Note)</w:t>
            </w:r>
          </w:p>
        </w:tc>
        <w:tc>
          <w:tcPr>
            <w:tcW w:w="6160" w:type="dxa"/>
            <w:vAlign w:val="bottom"/>
            <w:gridSpan w:val="11"/>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580" w:type="dxa"/>
            <w:vAlign w:val="bottom"/>
            <w:gridSpan w:val="13"/>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580" w:type="dxa"/>
            <w:vAlign w:val="bottom"/>
            <w:gridSpan w:val="13"/>
          </w:tcPr>
          <w:p>
            <w:pPr>
              <w:spacing w:after="0" w:line="170" w:lineRule="exact"/>
              <w:rPr>
                <w:rFonts w:ascii="Arial" w:cs="Arial" w:eastAsia="Arial" w:hAnsi="Arial"/>
                <w:sz w:val="18"/>
                <w:szCs w:val="18"/>
                <w:color w:val="0000EE"/>
              </w:rPr>
            </w:pPr>
            <w:hyperlink w:anchor="page272">
              <w:r>
                <w:rPr>
                  <w:rFonts w:ascii="Arial" w:cs="Arial" w:eastAsia="Arial" w:hAnsi="Arial"/>
                  <w:sz w:val="18"/>
                  <w:szCs w:val="18"/>
                  <w:color w:val="0000EE"/>
                </w:rPr>
                <w:t>Report of Independent Auditors</w:t>
              </w:r>
            </w:hyperlink>
          </w:p>
        </w:tc>
        <w:tc>
          <w:tcPr>
            <w:tcW w:w="1780" w:type="dxa"/>
            <w:vAlign w:val="bottom"/>
          </w:tcPr>
          <w:p>
            <w:pPr>
              <w:jc w:val="right"/>
              <w:spacing w:after="0" w:line="170"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73">
              <w:r>
                <w:rPr>
                  <w:rFonts w:ascii="Arial" w:cs="Arial" w:eastAsia="Arial" w:hAnsi="Arial"/>
                  <w:sz w:val="18"/>
                  <w:szCs w:val="18"/>
                  <w:color w:val="0000EE"/>
                  <w:w w:val="89"/>
                </w:rPr>
                <w:t>Consolidated Balance Sheet as of July 23, 2015</w:t>
              </w:r>
            </w:hyperlink>
          </w:p>
        </w:tc>
        <w:tc>
          <w:tcPr>
            <w:tcW w:w="6140" w:type="dxa"/>
            <w:vAlign w:val="bottom"/>
            <w:gridSpan w:val="10"/>
          </w:tcPr>
          <w:p>
            <w:pPr>
              <w:spacing w:after="0"/>
              <w:rPr>
                <w:sz w:val="18"/>
                <w:szCs w:val="18"/>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75">
              <w:r>
                <w:rPr>
                  <w:rFonts w:ascii="Arial" w:cs="Arial" w:eastAsia="Arial" w:hAnsi="Arial"/>
                  <w:sz w:val="18"/>
                  <w:szCs w:val="18"/>
                  <w:color w:val="0000EE"/>
                  <w:w w:val="90"/>
                </w:rPr>
                <w:t>Consolidated Statement of Comprehensive Loss for the Period from January 1, 2015 to July 23, 2015</w:t>
              </w:r>
            </w:hyperlink>
          </w:p>
        </w:tc>
        <w:tc>
          <w:tcPr>
            <w:tcW w:w="86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10"/>
        </w:trPr>
        <w:tc>
          <w:tcPr>
            <w:tcW w:w="9580" w:type="dxa"/>
            <w:vAlign w:val="bottom"/>
            <w:gridSpan w:val="13"/>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Consolidated Statement of Changes in Shareholders’ Equity for the Period from January 1, 2015 to July 23, 2015</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10"/>
        </w:trPr>
        <w:tc>
          <w:tcPr>
            <w:tcW w:w="6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277">
              <w:r>
                <w:rPr>
                  <w:rFonts w:ascii="Arial" w:cs="Arial" w:eastAsia="Arial" w:hAnsi="Arial"/>
                  <w:sz w:val="18"/>
                  <w:szCs w:val="18"/>
                  <w:color w:val="0000EE"/>
                  <w:w w:val="90"/>
                </w:rPr>
                <w:t>Consolidated Statement of Cash Flows for the Period from January 1, 2015 to July 23, 2015</w:t>
              </w:r>
            </w:hyperlink>
          </w:p>
        </w:tc>
        <w:tc>
          <w:tcPr>
            <w:tcW w:w="1520" w:type="dxa"/>
            <w:vAlign w:val="bottom"/>
            <w:tcBorders>
              <w:top w:val="single" w:sz="8" w:color="0000EE"/>
            </w:tcBorders>
            <w:gridSpan w:val="5"/>
          </w:tcPr>
          <w:p>
            <w:pPr>
              <w:spacing w:after="0"/>
              <w:rPr>
                <w:sz w:val="18"/>
                <w:szCs w:val="18"/>
                <w:color w:val="auto"/>
              </w:rPr>
            </w:pPr>
          </w:p>
        </w:tc>
        <w:tc>
          <w:tcPr>
            <w:tcW w:w="1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9580" w:type="dxa"/>
            <w:vAlign w:val="bottom"/>
            <w:gridSpan w:val="13"/>
          </w:tcPr>
          <w:p>
            <w:pPr>
              <w:spacing w:after="0" w:line="196" w:lineRule="exact"/>
              <w:rPr>
                <w:rFonts w:ascii="Arial" w:cs="Arial" w:eastAsia="Arial" w:hAnsi="Arial"/>
                <w:sz w:val="18"/>
                <w:szCs w:val="18"/>
                <w:color w:val="0000EE"/>
              </w:rPr>
            </w:pPr>
            <w:hyperlink w:anchor="page278">
              <w:r>
                <w:rPr>
                  <w:rFonts w:ascii="Arial" w:cs="Arial" w:eastAsia="Arial" w:hAnsi="Arial"/>
                  <w:sz w:val="18"/>
                  <w:szCs w:val="18"/>
                  <w:color w:val="0000EE"/>
                </w:rPr>
                <w:t>Notes to the Consolidated Financial Statements for the Period from January 1, 2015 to July 23, 2015</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 except for note 22, which is as of July 13,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60" w:right="3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5"/>
              </w:rPr>
              <w:t>As of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140" w:type="dxa"/>
            <w:vAlign w:val="bottom"/>
          </w:tcPr>
          <w:p>
            <w:pPr>
              <w:jc w:val="right"/>
              <w:ind w:right="191"/>
              <w:spacing w:after="0"/>
              <w:rPr>
                <w:sz w:val="20"/>
                <w:szCs w:val="20"/>
                <w:color w:val="auto"/>
              </w:rPr>
            </w:pPr>
            <w:r>
              <w:rPr>
                <w:rFonts w:ascii="Arial" w:cs="Arial" w:eastAsia="Arial" w:hAnsi="Arial"/>
                <w:sz w:val="14"/>
                <w:szCs w:val="14"/>
                <w:color w:val="auto"/>
              </w:rPr>
              <w:t>Note</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10,395</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27,280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8"/>
              </w:rPr>
              <w:t>Accounts receivable, net of allowance for doubtful receivables of US$1,733 and US$1,693 as of</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28,423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30,694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Prepaid media costs</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24,793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34,409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 receivable</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19,095</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14,804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66,671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5"/>
              </w:rPr>
              <w:t>As of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subsidiary without recourse to the Company of US$426 and US$28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3"/>
              </w:rPr>
              <w:t>Deferred revenue (including deferred revenue of the consolidated VIE and its subsidiary without recourse to</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the Company 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14,935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25,697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VIE and its subsidiary without recourse to the Company of US$66 and US$404 as of</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63,724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60,525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due to a related party (including amount due to a related party of the consolidated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subsidiary without recourse to the Company of US$46 and US$nil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8,542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12,982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1,067</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115,124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126,572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66,047</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129,569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As of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7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60" w:type="dxa"/>
            <w:vAlign w:val="bottom"/>
          </w:tcPr>
          <w:p>
            <w:pPr>
              <w:spacing w:after="0"/>
              <w:rPr>
                <w:sz w:val="10"/>
                <w:szCs w:val="10"/>
                <w:color w:val="auto"/>
              </w:rPr>
            </w:pP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(Note 26)</w:t>
            </w:r>
          </w:p>
        </w:tc>
      </w:tr>
      <w:tr>
        <w:trPr>
          <w:trHeight w:val="181"/>
        </w:trPr>
        <w:tc>
          <w:tcPr>
            <w:tcW w:w="7480" w:type="dxa"/>
            <w:vAlign w:val="bottom"/>
          </w:tcPr>
          <w:p>
            <w:pPr>
              <w:spacing w:after="0"/>
              <w:rPr>
                <w:sz w:val="15"/>
                <w:szCs w:val="15"/>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(unaudited)</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2,476,190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US$7,393 and US$6,737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5,487</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5,597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1,889,249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US$14,441 and US$14,625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9,145</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8"/>
              </w:rPr>
              <w:t>Series C convertible redeemable preferred shares (US$0.001 par value; 1,650,000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1,599,186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US$20,636 and US$22,288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10,733</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10,733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Series D convertible redeemable preferred shares (US$0.001 par value; 4,500,000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2,493,018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US$55,944 and US$58,874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43,956</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43,956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authorized as of December 31, 2016; 1,068,114 shares issued and outstanding as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December 31, 2016; redemption amount of US$20,000 as of December 31, 2016)</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18,845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13,889</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15,445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104,383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3"/>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8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0"/>
                <w:szCs w:val="10"/>
                <w:color w:val="auto"/>
              </w:rPr>
            </w:pP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(Note 26)</w:t>
            </w:r>
          </w:p>
        </w:tc>
      </w:tr>
      <w:tr>
        <w:trPr>
          <w:trHeight w:val="181"/>
        </w:trPr>
        <w:tc>
          <w:tcPr>
            <w:tcW w:w="804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Note</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(unaudited)</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040" w:type="dxa"/>
            <w:vAlign w:val="bottom"/>
          </w:tcPr>
          <w:p>
            <w:pPr>
              <w:ind w:left="360"/>
              <w:spacing w:after="0" w:line="201" w:lineRule="exact"/>
              <w:rPr>
                <w:sz w:val="20"/>
                <w:szCs w:val="20"/>
                <w:color w:val="auto"/>
              </w:rPr>
            </w:pPr>
            <w:r>
              <w:rPr>
                <w:rFonts w:ascii="Arial" w:cs="Arial" w:eastAsia="Arial" w:hAnsi="Arial"/>
                <w:sz w:val="18"/>
                <w:szCs w:val="18"/>
                <w:color w:val="auto"/>
                <w:w w:val="91"/>
              </w:rPr>
              <w:t>Ordinary shares (US$0.001 par value; 38,350,000 and 37,150,000 shares authorized as of December 31,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40" w:type="dxa"/>
            <w:vAlign w:val="bottom"/>
          </w:tcPr>
          <w:p>
            <w:pPr>
              <w:ind w:left="540"/>
              <w:spacing w:after="0"/>
              <w:rPr>
                <w:sz w:val="20"/>
                <w:szCs w:val="20"/>
                <w:color w:val="auto"/>
              </w:rPr>
            </w:pPr>
            <w:r>
              <w:rPr>
                <w:rFonts w:ascii="Arial" w:cs="Arial" w:eastAsia="Arial" w:hAnsi="Arial"/>
                <w:sz w:val="18"/>
                <w:szCs w:val="18"/>
                <w:color w:val="auto"/>
                <w:w w:val="99"/>
              </w:rPr>
              <w:t>2015 and 2016, respectively; 13,104,300 and 13,609,208 shares issued and outstanding as of</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Treasury shares (2,654,188 and 2,149,280 shares as of December 31, 2015 and 2016, respectively)</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53,917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65,687</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230,944</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(3,241)</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(124,385)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(124,385)</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(55,929)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100,955</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146,110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169,640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59" w:right="3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60"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60"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deposits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customer deposits and recognized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5" w:lineRule="exact"/>
        <w:rPr>
          <w:sz w:val="20"/>
          <w:szCs w:val="20"/>
          <w:color w:val="auto"/>
        </w:rPr>
      </w:pPr>
    </w:p>
    <w:p>
      <w:pPr>
        <w:ind w:left="460" w:firstLine="4"/>
        <w:spacing w:after="0" w:line="255" w:lineRule="auto"/>
        <w:tabs>
          <w:tab w:leader="none" w:pos="7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6"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Income taxes</w:t>
      </w:r>
    </w:p>
    <w:p>
      <w:pPr>
        <w:spacing w:after="0" w:line="12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(ac)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680" w:firstLine="8"/>
        <w:spacing w:after="0" w:line="443" w:lineRule="auto"/>
        <w:tabs>
          <w:tab w:leader="none" w:pos="446"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(ad) Statutory reserves (Continued)</w:t>
      </w: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6"/>
          <w:szCs w:val="16"/>
          <w:b w:val="1"/>
          <w:bCs w:val="1"/>
          <w:color w:val="auto"/>
        </w:rPr>
        <w:t>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Comprehensive loss</w:t>
      </w:r>
    </w:p>
    <w:p>
      <w:pPr>
        <w:spacing w:after="0" w:line="12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60"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(ah)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0"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Recognised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Recognised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13   Customer deposits</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31 December 2016. The interest rate of this loan facility was the benchmark interest rate determined by the People’s Bank of China for loans over six months granted by financial institutions plus 20.0% per annum. Restricted cash amounting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79"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preferred shares at US$5.53 per share (“Series B Warrants”) at the option of Investors B. During the year ended December 31, 2013, the Series B Warrants were fully exercised.</w:t>
      </w:r>
    </w:p>
    <w:p>
      <w:pPr>
        <w:spacing w:after="0" w:line="62"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jc w:val="both"/>
        <w:ind w:left="460" w:righ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(v) any holder of the Series A, Series B, Series C or Series D preferred shares electing for redemption.</w:t>
      </w:r>
    </w:p>
    <w:p>
      <w:pPr>
        <w:spacing w:after="0" w:line="103"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60" w:right="3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60" w:right="3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60" w:right="2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140"/>
        <w:spacing w:after="0" w:line="273"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6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3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8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 (Continued)</w:t>
      </w:r>
    </w:p>
    <w:p>
      <w:pPr>
        <w:spacing w:after="0" w:line="135" w:lineRule="exact"/>
        <w:rPr>
          <w:sz w:val="20"/>
          <w:szCs w:val="20"/>
          <w:color w:val="auto"/>
        </w:rPr>
      </w:pPr>
    </w:p>
    <w:p>
      <w:pPr>
        <w:ind w:left="460" w:right="7420" w:hanging="452"/>
        <w:spacing w:after="0" w:line="406" w:lineRule="auto"/>
        <w:tabs>
          <w:tab w:leader="none" w:pos="44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PRC Enterprise Income Tax (“EIT”) (Continued) </w:t>
      </w:r>
      <w:r>
        <w:rPr>
          <w:rFonts w:ascii="Arial" w:cs="Arial" w:eastAsia="Arial" w:hAnsi="Arial"/>
          <w:sz w:val="17"/>
          <w:szCs w:val="17"/>
          <w:i w:val="1"/>
          <w:iCs w:val="1"/>
          <w:color w:val="auto"/>
        </w:rPr>
        <w:t>Deferred tax assets and liabilities</w:t>
      </w:r>
    </w:p>
    <w:p>
      <w:pPr>
        <w:ind w:left="460" w:right="560"/>
        <w:spacing w:after="0" w:line="308" w:lineRule="auto"/>
        <w:rPr>
          <w:rFonts w:ascii="Arial" w:cs="Arial" w:eastAsia="Arial" w:hAnsi="Arial"/>
          <w:sz w:val="17"/>
          <w:szCs w:val="17"/>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-213360</wp:posOffset>
            </wp:positionV>
            <wp:extent cx="3003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-213360</wp:posOffset>
            </wp:positionV>
            <wp:extent cx="3003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ind w:left="900" w:right="160" w:hanging="446"/>
        <w:spacing w:after="0" w:line="273" w:lineRule="auto"/>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 (Continued)</w:t>
      </w:r>
    </w:p>
    <w:p>
      <w:pPr>
        <w:spacing w:after="0" w:line="135" w:lineRule="exact"/>
        <w:rPr>
          <w:sz w:val="20"/>
          <w:szCs w:val="20"/>
          <w:color w:val="auto"/>
        </w:rPr>
      </w:pPr>
    </w:p>
    <w:p>
      <w:pPr>
        <w:ind w:left="460" w:right="7420" w:hanging="452"/>
        <w:spacing w:after="0" w:line="383" w:lineRule="auto"/>
        <w:tabs>
          <w:tab w:leader="none" w:pos="4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PRC Enterprise Income Tax (“EIT”) (Continued) </w:t>
      </w:r>
      <w:r>
        <w:rPr>
          <w:rFonts w:ascii="Arial" w:cs="Arial" w:eastAsia="Arial" w:hAnsi="Arial"/>
          <w:sz w:val="18"/>
          <w:szCs w:val="18"/>
          <w:i w:val="1"/>
          <w:iCs w:val="1"/>
          <w:color w:val="auto"/>
        </w:rPr>
        <w:t>Tax loss carryforwards</w:t>
      </w:r>
    </w:p>
    <w:p>
      <w:pPr>
        <w:spacing w:after="0" w:line="1" w:lineRule="exact"/>
        <w:rPr>
          <w:rFonts w:ascii="Arial" w:cs="Arial" w:eastAsia="Arial" w:hAnsi="Arial"/>
          <w:sz w:val="18"/>
          <w:szCs w:val="18"/>
          <w:color w:val="auto"/>
        </w:rPr>
      </w:pPr>
    </w:p>
    <w:p>
      <w:pPr>
        <w:ind w:left="460" w:right="3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6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Revision to previously issued financial statements</w:t>
      </w:r>
    </w:p>
    <w:p>
      <w:pPr>
        <w:spacing w:after="0" w:line="117" w:lineRule="exact"/>
        <w:rPr>
          <w:rFonts w:ascii="Arial" w:cs="Arial" w:eastAsia="Arial" w:hAnsi="Arial"/>
          <w:sz w:val="18"/>
          <w:szCs w:val="18"/>
          <w:color w:val="auto"/>
        </w:rPr>
      </w:pPr>
    </w:p>
    <w:p>
      <w:pPr>
        <w:ind w:left="460" w:right="80"/>
        <w:spacing w:after="0" w:line="297" w:lineRule="auto"/>
        <w:rPr>
          <w:rFonts w:ascii="Arial" w:cs="Arial" w:eastAsia="Arial" w:hAnsi="Arial"/>
          <w:sz w:val="18"/>
          <w:szCs w:val="18"/>
          <w:color w:val="auto"/>
        </w:rPr>
      </w:pPr>
      <w:r>
        <w:rPr>
          <w:rFonts w:ascii="Arial" w:cs="Arial" w:eastAsia="Arial" w:hAnsi="Arial"/>
          <w:sz w:val="16"/>
          <w:szCs w:val="16"/>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color w:val="auto"/>
                <w:w w:val="91"/>
              </w:rPr>
              <w:t>For the year ended December 31, 2015</w:t>
            </w:r>
          </w:p>
        </w:tc>
      </w:tr>
      <w:tr>
        <w:trPr>
          <w:trHeight w:val="123"/>
        </w:trPr>
        <w:tc>
          <w:tcPr>
            <w:tcW w:w="8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7"/>
              </w:rPr>
              <w:t>As</w:t>
            </w: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85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Previously</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As</w:t>
            </w:r>
          </w:p>
        </w:tc>
      </w:tr>
      <w:tr>
        <w:trPr>
          <w:trHeight w:val="167"/>
        </w:trPr>
        <w:tc>
          <w:tcPr>
            <w:tcW w:w="854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Revision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Revised</w:t>
            </w: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100" w:type="dxa"/>
            <w:vAlign w:val="bottom"/>
          </w:tcPr>
          <w:p>
            <w:pPr>
              <w:spacing w:after="0"/>
              <w:rPr>
                <w:sz w:val="12"/>
                <w:szCs w:val="12"/>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(41,797)</w:t>
            </w:r>
          </w:p>
        </w:tc>
      </w:tr>
      <w:tr>
        <w:trPr>
          <w:trHeight w:val="324"/>
        </w:trPr>
        <w:tc>
          <w:tcPr>
            <w:tcW w:w="854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 Diluted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336"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Arial" w:cs="Arial" w:eastAsia="Arial" w:hAnsi="Arial"/>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Basic and diluted net loss per share (Continued)</w:t>
      </w:r>
    </w:p>
    <w:p>
      <w:pPr>
        <w:spacing w:after="0" w:line="13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8"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60" w:right="2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2017</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F-64</w:t>
            </w:r>
          </w:p>
        </w:tc>
      </w:tr>
    </w:tbl>
    <w:p>
      <w:pPr>
        <w:sectPr>
          <w:pgSz w:w="11900" w:h="16838" w:orient="portrait"/>
          <w:cols w:equalWidth="0" w:num="1">
            <w:col w:w="11360"/>
          </w:cols>
          <w:pgMar w:left="240" w:top="459" w:right="2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a qualified initial public offering, the Series A, B, C, D and E preferred shares shall automatically be converted into ordinary shares. The unaudited pro-forma balance sheet as of December 31, 2016 assumes a qualified initial public offering has occurred and presents an adjusted financial position as if the conversion of all outstanding Series A, B, C, D and E preferred shares into ordinary shares at the conversion ratio as described in Note 16 to the consolidated financial statements occurred on December 31, 2016.</w:t>
      </w:r>
    </w:p>
    <w:p>
      <w:pPr>
        <w:spacing w:after="0" w:line="78" w:lineRule="exact"/>
        <w:rPr>
          <w:rFonts w:ascii="Arial" w:cs="Arial" w:eastAsia="Arial" w:hAnsi="Arial"/>
          <w:sz w:val="18"/>
          <w:szCs w:val="18"/>
          <w:b w:val="1"/>
          <w:bCs w:val="1"/>
          <w:color w:val="auto"/>
        </w:rPr>
      </w:pPr>
    </w:p>
    <w:p>
      <w:pPr>
        <w:jc w:val="both"/>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pro-forma basic and diluted net loss per share reflecting the effect to conversion of all outstanding Series A, B, C, D and E preferred shares into ordinary shares into ordinary shares as if the conversion had occurred at the beginning of the year, or the date of issuance, whichever is later: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color w:val="auto"/>
              </w:rPr>
              <w:t>For the 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4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Net loss attributable to iClick Interactive Asia Group Limited</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Accretion to convertible redeemable shares redemption value</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Accretion to redeemable ordinary shares redemption value</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gain in derivatives liabilities</w:t>
            </w:r>
          </w:p>
        </w:tc>
        <w:tc>
          <w:tcPr>
            <w:tcW w:w="6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Numerator for pro-forma basic and diluted net loss per share</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(31,325)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Weighted average number of ordinary shares outstanding</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A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6"/>
              </w:rPr>
              <w:t>Pro-forma effect of the conversion of Series B preferred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C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6"/>
              </w:rPr>
              <w:t>Pro-forma effect of the conversion of Series D preferred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E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Pro-forma effect of redeemable ordinary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Denominator for pro-forma basic and diluted net loss per share</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23,419,140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b w:val="1"/>
                <w:bCs w:val="1"/>
                <w:color w:val="auto"/>
              </w:rPr>
              <w:t>Pro-forma net loss per share:</w:t>
            </w:r>
          </w:p>
        </w:tc>
        <w:tc>
          <w:tcPr>
            <w:tcW w:w="4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200" w:type="dxa"/>
            <w:vAlign w:val="bottom"/>
            <w:gridSpan w:val="3"/>
          </w:tcPr>
          <w:p>
            <w:pPr>
              <w:jc w:val="right"/>
              <w:ind w:right="5540"/>
              <w:spacing w:after="0"/>
              <w:rPr>
                <w:sz w:val="20"/>
                <w:szCs w:val="20"/>
                <w:color w:val="auto"/>
              </w:rPr>
            </w:pPr>
            <w:r>
              <w:rPr>
                <w:rFonts w:ascii="Arial" w:cs="Arial" w:eastAsia="Arial" w:hAnsi="Arial"/>
                <w:sz w:val="18"/>
                <w:szCs w:val="18"/>
                <w:color w:val="auto"/>
              </w:rPr>
              <w:t>F-65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 (Continued)</w:t>
      </w:r>
    </w:p>
    <w:p>
      <w:pPr>
        <w:spacing w:after="0" w:line="134"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potentially dilutive securities that were not included in the calculation of above pro-forma dilutive net loss per share in the period presented where their inclusion would be anti-dilutive include options to purchase ordinary shares of 1,091,088, for the year ended December 31, 2016 on a weighted average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20"/>
          </w:cols>
          <w:pgMar w:left="240" w:top="459" w:right="3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F-68</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F-69</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F-70</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8"/>
              </w:rPr>
              <w:t>Customer deposits (including deferred revenue of the consolidated VIE and its subsidiary without recourse to the Company of of</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US$5,240 as of July 23, 2015)</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of US$521 as of July 23, 2015)</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w w:val="92"/>
              </w:rPr>
              <w:t>Amount due to a related party (including amount due to a related party of the consolidated VIE and its subsidiary without recourse to the</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Company of of US$537 as of July 23, 2015)</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tax payable (including income tax payable of the consolidated VIE and its subsidiary without recourse to the Company of of</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US$44 as of July 23, 2015)</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association of OptAim VIE. The power of attorney will remain in force until OptAim WFOE provides prior written notice to OptAim VIE.</w:t>
      </w:r>
    </w:p>
    <w:p>
      <w:pPr>
        <w:spacing w:after="0" w:line="142" w:lineRule="exact"/>
        <w:rPr>
          <w:sz w:val="20"/>
          <w:szCs w:val="20"/>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40" w:type="dxa"/>
            <w:vAlign w:val="bottom"/>
          </w:tcPr>
          <w:p>
            <w:pPr>
              <w:ind w:left="2440"/>
              <w:spacing w:after="0"/>
              <w:rPr>
                <w:sz w:val="20"/>
                <w:szCs w:val="20"/>
                <w:color w:val="auto"/>
              </w:rPr>
            </w:pPr>
            <w:r>
              <w:rPr>
                <w:rFonts w:ascii="Arial" w:cs="Arial" w:eastAsia="Arial" w:hAnsi="Arial"/>
                <w:sz w:val="18"/>
                <w:szCs w:val="18"/>
                <w:color w:val="auto"/>
              </w:rPr>
              <w:t>2 – 5 years</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4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3 – 5 years</w:t>
            </w:r>
          </w:p>
        </w:tc>
      </w:tr>
      <w:tr>
        <w:trPr>
          <w:trHeight w:val="365"/>
        </w:trPr>
        <w:tc>
          <w:tcPr>
            <w:tcW w:w="3460" w:type="dxa"/>
            <w:vAlign w:val="bottom"/>
          </w:tcPr>
          <w:p>
            <w:pPr>
              <w:spacing w:after="0"/>
              <w:rPr>
                <w:sz w:val="24"/>
                <w:szCs w:val="24"/>
                <w:color w:val="auto"/>
              </w:rPr>
            </w:pPr>
          </w:p>
        </w:tc>
        <w:tc>
          <w:tcPr>
            <w:tcW w:w="7040" w:type="dxa"/>
            <w:vAlign w:val="bottom"/>
          </w:tcPr>
          <w:p>
            <w:pPr>
              <w:ind w:left="1620"/>
              <w:spacing w:after="0"/>
              <w:rPr>
                <w:sz w:val="20"/>
                <w:szCs w:val="20"/>
                <w:color w:val="auto"/>
              </w:rPr>
            </w:pPr>
            <w:r>
              <w:rPr>
                <w:rFonts w:ascii="Arial" w:cs="Arial" w:eastAsia="Arial" w:hAnsi="Arial"/>
                <w:sz w:val="18"/>
                <w:szCs w:val="18"/>
                <w:color w:val="auto"/>
              </w:rPr>
              <w:t>F-82</w:t>
            </w:r>
          </w:p>
        </w:tc>
      </w:tr>
    </w:tbl>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deposits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customer deposits and recognized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00"/>
          </w:cols>
          <w:pgMar w:left="240" w:top="460" w:right="2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2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380"/>
          </w:cols>
          <w:pgMar w:left="240" w:top="459" w:right="2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00"/>
          </w:cols>
          <w:pgMar w:left="240" w:top="459" w:right="2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380"/>
          </w:cols>
          <w:pgMar w:left="240" w:top="459" w:right="2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6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A1</w:t>
            </w:r>
          </w:p>
        </w:tc>
        <w:tc>
          <w:tcPr>
            <w:tcW w:w="262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A3</w:t>
            </w:r>
          </w:p>
        </w:tc>
        <w:tc>
          <w:tcPr>
            <w:tcW w:w="26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060" w:type="dxa"/>
            <w:vAlign w:val="bottom"/>
          </w:tcPr>
          <w:p>
            <w:pPr>
              <w:ind w:left="4160"/>
              <w:spacing w:after="0"/>
              <w:rPr>
                <w:sz w:val="20"/>
                <w:szCs w:val="20"/>
                <w:color w:val="auto"/>
              </w:rPr>
            </w:pPr>
            <w:r>
              <w:rPr>
                <w:rFonts w:ascii="Arial" w:cs="Arial" w:eastAsia="Arial" w:hAnsi="Arial"/>
                <w:sz w:val="18"/>
                <w:szCs w:val="18"/>
                <w:color w:val="auto"/>
              </w:rPr>
              <w:t>F-94</w:t>
            </w:r>
          </w:p>
        </w:tc>
        <w:tc>
          <w:tcPr>
            <w:tcW w:w="26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9" w:right="239" w:bottom="1440" w:gutter="0" w:footer="0" w:header="0"/>
          <w:type w:val="continuous"/>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Customer deposits</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Customer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60" w:right="1440"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360"/>
          </w:cols>
          <w:pgMar w:left="240" w:top="459" w:right="29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380"/>
          </w:cols>
          <w:pgMar w:left="240" w:top="459" w:right="2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Grant Date</w:t>
            </w:r>
          </w:p>
        </w:tc>
        <w:tc>
          <w:tcPr>
            <w:tcW w:w="464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Arial" w:cs="Arial" w:eastAsia="Arial" w:hAnsi="Arial"/>
                <w:sz w:val="18"/>
                <w:szCs w:val="18"/>
                <w:color w:val="auto"/>
              </w:rPr>
              <w:t>F-100</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340"/>
          </w:cols>
          <w:pgMar w:left="240" w:top="460" w:right="31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320"/>
          </w:cols>
          <w:pgMar w:left="240" w:top="459" w:right="3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Customer deposits</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right="7360" w:hanging="452"/>
        <w:spacing w:after="0" w:line="431" w:lineRule="auto"/>
        <w:tabs>
          <w:tab w:leader="none" w:pos="44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PRC Enterprise Income Tax (“EIT”) (Continued) </w:t>
      </w:r>
      <w:r>
        <w:rPr>
          <w:rFonts w:ascii="Arial" w:cs="Arial" w:eastAsia="Arial" w:hAnsi="Arial"/>
          <w:sz w:val="16"/>
          <w:szCs w:val="16"/>
          <w:i w:val="1"/>
          <w:iCs w:val="1"/>
          <w:color w:val="auto"/>
        </w:rPr>
        <w:t>Deferred tax assets and liabilities (Continued)</w:t>
      </w:r>
    </w:p>
    <w:p>
      <w:pPr>
        <w:ind w:left="900" w:right="100" w:hanging="446"/>
        <w:spacing w:after="0" w:line="273" w:lineRule="auto"/>
        <w:tabs>
          <w:tab w:leader="none" w:pos="90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360"/>
          </w:cols>
          <w:pgMar w:left="240" w:top="460" w:right="2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right="7180" w:hanging="452"/>
        <w:spacing w:after="0" w:line="431" w:lineRule="auto"/>
        <w:tabs>
          <w:tab w:leader="none" w:pos="44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PRC Enterprise Income Tax (“EIT”) (Continued) </w:t>
      </w:r>
      <w:r>
        <w:rPr>
          <w:rFonts w:ascii="Arial" w:cs="Arial" w:eastAsia="Arial" w:hAnsi="Arial"/>
          <w:sz w:val="16"/>
          <w:szCs w:val="16"/>
          <w:i w:val="1"/>
          <w:iCs w:val="1"/>
          <w:color w:val="auto"/>
        </w:rPr>
        <w:t>Tax loss carryforwards (Continued)</w:t>
      </w:r>
    </w:p>
    <w:p>
      <w:pPr>
        <w:ind w:left="460"/>
        <w:spacing w:after="0" w:line="277" w:lineRule="auto"/>
        <w:rPr>
          <w:rFonts w:ascii="Arial" w:cs="Arial" w:eastAsia="Arial" w:hAnsi="Arial"/>
          <w:sz w:val="16"/>
          <w:szCs w:val="16"/>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80"/>
          </w:cols>
          <w:pgMar w:left="240" w:top="459" w:right="47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400"/>
          </w:cols>
          <w:pgMar w:left="240" w:top="459" w:right="2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the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Consideration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Maestro</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Holdings Limited</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2014</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1,740,653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Big Tooth Corporation</w:t>
            </w:r>
          </w:p>
        </w:tc>
        <w:tc>
          <w:tcPr>
            <w:tcW w:w="1940" w:type="dxa"/>
            <w:vAlign w:val="bottom"/>
          </w:tcPr>
          <w:p>
            <w:pPr>
              <w:spacing w:after="0"/>
              <w:rPr>
                <w:sz w:val="20"/>
                <w:szCs w:val="20"/>
                <w:color w:val="auto"/>
              </w:rPr>
            </w:pPr>
            <w:r>
              <w:rPr>
                <w:rFonts w:ascii="Arial" w:cs="Arial" w:eastAsia="Arial" w:hAnsi="Arial"/>
                <w:sz w:val="18"/>
                <w:szCs w:val="18"/>
                <w:color w:val="auto"/>
              </w:rPr>
              <w:t>December 22,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274,752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23, 2014</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255,033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1940" w:type="dxa"/>
            <w:vAlign w:val="bottom"/>
          </w:tcPr>
          <w:p>
            <w:pPr>
              <w:spacing w:after="0"/>
              <w:rPr>
                <w:sz w:val="20"/>
                <w:szCs w:val="20"/>
                <w:color w:val="auto"/>
              </w:rPr>
            </w:pPr>
            <w:r>
              <w:rPr>
                <w:rFonts w:ascii="Arial" w:cs="Arial" w:eastAsia="Arial" w:hAnsi="Arial"/>
                <w:sz w:val="18"/>
                <w:szCs w:val="18"/>
                <w:color w:val="auto"/>
              </w:rPr>
              <w:t>December 30,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742,320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US$12.0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BlueFocus International Limited</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30, 2014</w:t>
            </w:r>
          </w:p>
        </w:tc>
        <w:tc>
          <w:tcPr>
            <w:tcW w:w="26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2,493,018 series D preferred</w:t>
            </w:r>
          </w:p>
        </w:tc>
        <w:tc>
          <w:tcPr>
            <w:tcW w:w="1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US$48.0 million</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44"/>
        </w:trPr>
        <w:tc>
          <w:tcPr>
            <w:tcW w:w="6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1940" w:type="dxa"/>
            <w:vAlign w:val="bottom"/>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71,076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4</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Triwin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71,075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4</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ind w:left="420"/>
              <w:spacing w:after="0"/>
              <w:rPr>
                <w:sz w:val="20"/>
                <w:szCs w:val="20"/>
                <w:color w:val="auto"/>
              </w:rPr>
            </w:pPr>
            <w:r>
              <w:rPr>
                <w:rFonts w:ascii="Arial" w:cs="Arial" w:eastAsia="Arial" w:hAnsi="Arial"/>
                <w:sz w:val="18"/>
                <w:szCs w:val="18"/>
                <w:color w:val="auto"/>
              </w:rPr>
              <w:t>II-1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 Dollars</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Igomax</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1,496,399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446,604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5</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592,088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5</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632,581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October 14,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9"/>
              </w:rPr>
              <w:t>Shenwan Hongyuan Goldspring Fund I</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December 28, 2016</w:t>
            </w:r>
          </w:p>
        </w:tc>
        <w:tc>
          <w:tcPr>
            <w:tcW w:w="2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1,068,114 series E preferred</w:t>
            </w:r>
          </w:p>
        </w:tc>
        <w:tc>
          <w:tcPr>
            <w:tcW w:w="18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US$20.0 million</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20" w:hanging="452"/>
        <w:spacing w:after="0" w:line="258" w:lineRule="auto"/>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These ordinary shares were issued to Maestro Investment Holdings Limited in consideration for our acquisition of 49% shares in Harmanttan Capital Holdings Corporation.</w:t>
      </w:r>
    </w:p>
    <w:p>
      <w:pPr>
        <w:spacing w:after="0" w:line="1"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These ordinary shares were issued to Blue Tooth Corporation in recognition of Mr. Robert Tran’s consulting services to us.</w:t>
      </w:r>
    </w:p>
    <w:p>
      <w:pPr>
        <w:spacing w:after="0" w:line="9"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These ordinary shares were issued to Igomax Inc., Zaffre Investment, Inc., and BAI GmbH, then-shareholders of OptAim as share consideration for our acquisition of OptAim.</w:t>
      </w: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beginning on page II-7 of this registration statement.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in Hong Kong, on</w:t>
            </w:r>
          </w:p>
        </w:tc>
        <w:tc>
          <w:tcPr>
            <w:tcW w:w="5840" w:type="dxa"/>
            <w:vAlign w:val="bottom"/>
          </w:tcPr>
          <w:p>
            <w:pPr>
              <w:ind w:left="380"/>
              <w:spacing w:after="0"/>
              <w:rPr>
                <w:sz w:val="20"/>
                <w:szCs w:val="20"/>
                <w:color w:val="auto"/>
              </w:rPr>
            </w:pPr>
            <w:r>
              <w:rPr>
                <w:rFonts w:ascii="Arial" w:cs="Arial" w:eastAsia="Arial" w:hAnsi="Arial"/>
                <w:sz w:val="18"/>
                <w:szCs w:val="18"/>
                <w:color w:val="auto"/>
              </w:rPr>
              <w:t>, 2017.</w:t>
            </w:r>
          </w:p>
        </w:tc>
        <w:tc>
          <w:tcPr>
            <w:tcW w:w="388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9720" w:type="dxa"/>
            <w:vAlign w:val="bottom"/>
            <w:gridSpan w:val="2"/>
          </w:tcPr>
          <w:p>
            <w:pPr>
              <w:ind w:left="5160"/>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1700" w:type="dxa"/>
            <w:vAlign w:val="bottom"/>
          </w:tcPr>
          <w:p>
            <w:pPr>
              <w:spacing w:after="0"/>
              <w:rPr>
                <w:sz w:val="24"/>
                <w:szCs w:val="24"/>
                <w:color w:val="auto"/>
              </w:rPr>
            </w:pPr>
          </w:p>
        </w:tc>
        <w:tc>
          <w:tcPr>
            <w:tcW w:w="5840" w:type="dxa"/>
            <w:vAlign w:val="bottom"/>
          </w:tcPr>
          <w:p>
            <w:pPr>
              <w:ind w:left="5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205"/>
        </w:trPr>
        <w:tc>
          <w:tcPr>
            <w:tcW w:w="1700" w:type="dxa"/>
            <w:vAlign w:val="bottom"/>
          </w:tcPr>
          <w:p>
            <w:pPr>
              <w:spacing w:after="0"/>
              <w:rPr>
                <w:sz w:val="17"/>
                <w:szCs w:val="17"/>
                <w:color w:val="auto"/>
              </w:rPr>
            </w:pPr>
          </w:p>
        </w:tc>
        <w:tc>
          <w:tcPr>
            <w:tcW w:w="5840" w:type="dxa"/>
            <w:vAlign w:val="bottom"/>
          </w:tcPr>
          <w:p>
            <w:pPr>
              <w:ind w:left="5160"/>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1700" w:type="dxa"/>
            <w:vAlign w:val="bottom"/>
          </w:tcPr>
          <w:p>
            <w:pPr>
              <w:spacing w:after="0"/>
              <w:rPr>
                <w:sz w:val="18"/>
                <w:szCs w:val="18"/>
                <w:color w:val="auto"/>
              </w:rPr>
            </w:pPr>
          </w:p>
        </w:tc>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17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Each person whose signature appears below constitutes and appoints each of Wing Hong Sammy Hsieh and Jie Jiao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p>
      <w:pPr>
        <w:ind w:left="2240"/>
        <w:spacing w:after="0"/>
        <w:tabs>
          <w:tab w:leader="none" w:pos="6980" w:val="left"/>
          <w:tab w:leader="none" w:pos="102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Wing Hong Sammy Hsieh</w:t>
            </w:r>
          </w:p>
        </w:tc>
        <w:tc>
          <w:tcPr>
            <w:tcW w:w="39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080" w:type="dxa"/>
            <w:vAlign w:val="bottom"/>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5"/>
              </w:rPr>
              <w:t>Jie Jiao</w:t>
            </w: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5"/>
              </w:rPr>
              <w:t>Jian Tang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Yau Ping Ricky 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Francis Hun Ming Wong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Yu Long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Antares Au</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Anmin Pan</w:t>
            </w:r>
          </w:p>
        </w:tc>
        <w:tc>
          <w:tcPr>
            <w:tcW w:w="396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II-5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2017</w:t>
      </w:r>
    </w:p>
    <w:p>
      <w:pPr>
        <w:sectPr>
          <w:pgSz w:w="11900" w:h="16838" w:orient="portrait"/>
          <w:cols w:equalWidth="0" w:num="2">
            <w:col w:w="10250" w:space="720"/>
            <w:col w:w="450"/>
          </w:cols>
          <w:pgMar w:left="240" w:top="459" w:right="239" w:bottom="1440" w:gutter="0" w:footer="0" w:header="0"/>
          <w:type w:val="continuous"/>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Securities Act of 1933, the undersigned, the duly authorized representative in the United States of iClick Interactive Asia Group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1"/>
              </w:rPr>
              <w:t>Limited, has signed this registration statement or amendment thereto in the</w:t>
            </w:r>
          </w:p>
        </w:tc>
        <w:tc>
          <w:tcPr>
            <w:tcW w:w="1120" w:type="dxa"/>
            <w:vAlign w:val="bottom"/>
          </w:tcPr>
          <w:p>
            <w:pPr>
              <w:ind w:left="720"/>
              <w:spacing w:after="0"/>
              <w:rPr>
                <w:sz w:val="20"/>
                <w:szCs w:val="20"/>
                <w:color w:val="auto"/>
              </w:rPr>
            </w:pPr>
            <w:r>
              <w:rPr>
                <w:rFonts w:ascii="Arial" w:cs="Arial" w:eastAsia="Arial" w:hAnsi="Arial"/>
                <w:sz w:val="18"/>
                <w:szCs w:val="18"/>
                <w:color w:val="auto"/>
              </w:rPr>
              <w:t>on</w:t>
            </w:r>
          </w:p>
        </w:tc>
        <w:tc>
          <w:tcPr>
            <w:tcW w:w="1460" w:type="dxa"/>
            <w:vAlign w:val="bottom"/>
          </w:tcPr>
          <w:p>
            <w:pPr>
              <w:ind w:left="540"/>
              <w:spacing w:after="0"/>
              <w:rPr>
                <w:sz w:val="20"/>
                <w:szCs w:val="20"/>
                <w:color w:val="auto"/>
              </w:rPr>
            </w:pPr>
            <w:r>
              <w:rPr>
                <w:rFonts w:ascii="Arial" w:cs="Arial" w:eastAsia="Arial" w:hAnsi="Arial"/>
                <w:sz w:val="18"/>
                <w:szCs w:val="18"/>
                <w:color w:val="auto"/>
              </w:rPr>
              <w:t>, 2017.</w:t>
            </w:r>
          </w:p>
        </w:tc>
        <w:tc>
          <w:tcPr>
            <w:tcW w:w="334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b w:val="1"/>
                <w:bCs w:val="1"/>
                <w:color w:val="auto"/>
              </w:rPr>
              <w:t>Authorized U.S. Representative</w:t>
            </w:r>
          </w:p>
        </w:tc>
      </w:tr>
      <w:tr>
        <w:trPr>
          <w:trHeight w:val="473"/>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By:</w:t>
            </w:r>
          </w:p>
        </w:tc>
      </w:tr>
      <w:tr>
        <w:trPr>
          <w:trHeight w:val="209"/>
        </w:trPr>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Title:</w:t>
            </w:r>
          </w:p>
        </w:tc>
      </w:tr>
      <w:tr>
        <w:trPr>
          <w:trHeight w:val="365"/>
        </w:trPr>
        <w:tc>
          <w:tcPr>
            <w:tcW w:w="55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II-6</w:t>
            </w:r>
          </w:p>
        </w:tc>
        <w:tc>
          <w:tcPr>
            <w:tcW w:w="14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5" w:name="page316"/>
    <w:bookmarkEnd w:id="3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800" w:type="dxa"/>
            <w:vAlign w:val="bottom"/>
          </w:tcPr>
          <w:p>
            <w:pPr>
              <w:spacing w:after="0"/>
              <w:rPr>
                <w:sz w:val="17"/>
                <w:szCs w:val="17"/>
                <w:color w:val="auto"/>
              </w:rPr>
            </w:pPr>
          </w:p>
        </w:tc>
      </w:tr>
      <w:tr>
        <w:trPr>
          <w:trHeight w:val="534"/>
        </w:trPr>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6800" w:type="dxa"/>
            <w:vAlign w:val="bottom"/>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Form of Underwriting Agreement</w:t>
            </w:r>
          </w:p>
        </w:tc>
        <w:tc>
          <w:tcPr>
            <w:tcW w:w="6800" w:type="dxa"/>
            <w:vAlign w:val="bottom"/>
          </w:tcPr>
          <w:p>
            <w:pPr>
              <w:spacing w:after="0"/>
              <w:rPr>
                <w:sz w:val="24"/>
                <w:szCs w:val="24"/>
                <w:color w:val="auto"/>
              </w:rPr>
            </w:pP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Seventh Amended and Restated Memorandum and Articles of Association of the Registrant, as currently in effect</w:t>
            </w: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w w:val="98"/>
              </w:rPr>
              <w:t>Eighth Amended and Restated Memorandum and Articles of Association of the Registrant, effective upon completion of this offering</w:t>
            </w: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Registrant’s Specimen Certificate for Ordinary Shares</w:t>
            </w:r>
          </w:p>
        </w:tc>
      </w:tr>
      <w:tr>
        <w:trPr>
          <w:trHeight w:val="310"/>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Form of Deposit Agreement, dated as of</w:t>
            </w:r>
          </w:p>
        </w:tc>
        <w:tc>
          <w:tcPr>
            <w:tcW w:w="6800" w:type="dxa"/>
            <w:vAlign w:val="bottom"/>
          </w:tcPr>
          <w:p>
            <w:pPr>
              <w:ind w:left="60"/>
              <w:spacing w:after="0"/>
              <w:rPr>
                <w:sz w:val="20"/>
                <w:szCs w:val="20"/>
                <w:color w:val="auto"/>
              </w:rPr>
            </w:pPr>
            <w:r>
              <w:rPr>
                <w:rFonts w:ascii="Arial" w:cs="Arial" w:eastAsia="Arial" w:hAnsi="Arial"/>
                <w:sz w:val="18"/>
                <w:szCs w:val="18"/>
                <w:color w:val="auto"/>
              </w:rPr>
              <w:t>, 2017 among the Registrant, the Depositary and Beneficial Owners of the American</w:t>
            </w:r>
          </w:p>
        </w:tc>
      </w:tr>
      <w:tr>
        <w:trPr>
          <w:trHeight w:val="230"/>
        </w:trPr>
        <w:tc>
          <w:tcPr>
            <w:tcW w:w="740" w:type="dxa"/>
            <w:vAlign w:val="bottom"/>
          </w:tcPr>
          <w:p>
            <w:pPr>
              <w:spacing w:after="0"/>
              <w:rPr>
                <w:sz w:val="20"/>
                <w:szCs w:val="20"/>
                <w:color w:val="auto"/>
              </w:rPr>
            </w:pP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Depositary Receipts</w:t>
            </w:r>
          </w:p>
        </w:tc>
        <w:tc>
          <w:tcPr>
            <w:tcW w:w="6800" w:type="dxa"/>
            <w:vAlign w:val="bottom"/>
          </w:tcPr>
          <w:p>
            <w:pPr>
              <w:spacing w:after="0"/>
              <w:rPr>
                <w:sz w:val="20"/>
                <w:szCs w:val="20"/>
                <w:color w:val="auto"/>
              </w:rPr>
            </w:pPr>
          </w:p>
        </w:tc>
      </w:tr>
      <w:tr>
        <w:trPr>
          <w:trHeight w:val="310"/>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w w:val="96"/>
              </w:rPr>
              <w:t>Opinion of Travers Thorp Alberga Attorneys at Law regarding the validity of the ordinary shares being registered and certain other legal</w:t>
            </w:r>
          </w:p>
        </w:tc>
      </w:tr>
      <w:tr>
        <w:trPr>
          <w:trHeight w:val="230"/>
        </w:trPr>
        <w:tc>
          <w:tcPr>
            <w:tcW w:w="740" w:type="dxa"/>
            <w:vAlign w:val="bottom"/>
          </w:tcPr>
          <w:p>
            <w:pPr>
              <w:spacing w:after="0"/>
              <w:rPr>
                <w:sz w:val="20"/>
                <w:szCs w:val="20"/>
                <w:color w:val="auto"/>
              </w:rPr>
            </w:pP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matters</w:t>
            </w:r>
          </w:p>
        </w:tc>
        <w:tc>
          <w:tcPr>
            <w:tcW w:w="6800" w:type="dxa"/>
            <w:vAlign w:val="bottom"/>
          </w:tcPr>
          <w:p>
            <w:pPr>
              <w:spacing w:after="0"/>
              <w:rPr>
                <w:sz w:val="20"/>
                <w:szCs w:val="20"/>
                <w:color w:val="auto"/>
              </w:rPr>
            </w:pP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Opinion of Travers Thorp Alberga Attorneys at Law regarding certain Cayman Islands tax matters</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8.2</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Opinion of Jingtian &amp; Gongcheng regarding certain PRC tax matters (included in Exhibit 99.2)</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Series E Share Subscription Agreement dated December 19, 2016</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10.2</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Fourth Amended and Restated Shareholders Agreement dated December 28, 2016</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10.3</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w w:val="98"/>
              </w:rPr>
              <w:t>English translation of Exclusive Business Cooperation Agreement between OptAim Beijing, OptAim Network and Zhiyunzhong dated</w:t>
            </w:r>
          </w:p>
        </w:tc>
      </w:tr>
      <w:tr>
        <w:trPr>
          <w:trHeight w:val="230"/>
        </w:trPr>
        <w:tc>
          <w:tcPr>
            <w:tcW w:w="740" w:type="dxa"/>
            <w:vAlign w:val="bottom"/>
          </w:tcPr>
          <w:p>
            <w:pPr>
              <w:spacing w:after="0"/>
              <w:rPr>
                <w:sz w:val="20"/>
                <w:szCs w:val="20"/>
                <w:color w:val="auto"/>
              </w:rPr>
            </w:pP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January 16, 2015</w:t>
            </w:r>
          </w:p>
        </w:tc>
        <w:tc>
          <w:tcPr>
            <w:tcW w:w="6800" w:type="dxa"/>
            <w:vAlign w:val="bottom"/>
          </w:tcPr>
          <w:p>
            <w:pPr>
              <w:spacing w:after="0"/>
              <w:rPr>
                <w:sz w:val="20"/>
                <w:szCs w:val="20"/>
                <w:color w:val="auto"/>
              </w:rPr>
            </w:pP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10.4</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w w:val="95"/>
              </w:rPr>
              <w:t>English translation of Second Amended and Restated Exclusive Call Option Agreement among OptAim Beijing, OptAim Network and the</w:t>
            </w:r>
          </w:p>
        </w:tc>
      </w:tr>
      <w:tr>
        <w:trPr>
          <w:trHeight w:val="230"/>
        </w:trPr>
        <w:tc>
          <w:tcPr>
            <w:tcW w:w="740" w:type="dxa"/>
            <w:vAlign w:val="bottom"/>
          </w:tcPr>
          <w:p>
            <w:pPr>
              <w:spacing w:after="0"/>
              <w:rPr>
                <w:sz w:val="20"/>
                <w:szCs w:val="20"/>
                <w:color w:val="auto"/>
              </w:rPr>
            </w:pP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shareholders of OptAim Network dated May 26, 2017</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10.5</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w w:val="91"/>
              </w:rPr>
              <w:t>English translation of Second Amended and Restated Equity Pledge Agreement among OptAim Beijing, OptAim Network and the shareholders</w:t>
            </w:r>
          </w:p>
        </w:tc>
      </w:tr>
      <w:tr>
        <w:trPr>
          <w:trHeight w:val="230"/>
        </w:trPr>
        <w:tc>
          <w:tcPr>
            <w:tcW w:w="740" w:type="dxa"/>
            <w:vAlign w:val="bottom"/>
          </w:tcPr>
          <w:p>
            <w:pPr>
              <w:spacing w:after="0"/>
              <w:rPr>
                <w:sz w:val="20"/>
                <w:szCs w:val="20"/>
                <w:color w:val="auto"/>
              </w:rPr>
            </w:pP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of OptAim Network dated May 26, 2017</w:t>
            </w:r>
          </w:p>
        </w:tc>
        <w:tc>
          <w:tcPr>
            <w:tcW w:w="6800" w:type="dxa"/>
            <w:vAlign w:val="bottom"/>
          </w:tcPr>
          <w:p>
            <w:pPr>
              <w:spacing w:after="0"/>
              <w:rPr>
                <w:sz w:val="20"/>
                <w:szCs w:val="20"/>
                <w:color w:val="auto"/>
              </w:rPr>
            </w:pP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10.6</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English translation of Irrevocable Powers of Attorney granted by the Jian Tang and Jie Jiao dated May 26, 2017</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10.7</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English translation of Spousal Consents granted by Xinyu Fan dated May 26, 2017</w:t>
            </w: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10.8*</w:t>
            </w: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w w:val="90"/>
              </w:rPr>
              <w:t>Share Option Incentive Scheme of the Registrant</w:t>
            </w:r>
          </w:p>
        </w:tc>
        <w:tc>
          <w:tcPr>
            <w:tcW w:w="6800" w:type="dxa"/>
            <w:vAlign w:val="bottom"/>
          </w:tcPr>
          <w:p>
            <w:pPr>
              <w:spacing w:after="0"/>
              <w:rPr>
                <w:sz w:val="24"/>
                <w:szCs w:val="24"/>
                <w:color w:val="auto"/>
              </w:rPr>
            </w:pP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10.9*</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Form of Indemnification Agreement with Executive Officers and Directors</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Form of Employment Agreement and One Way Non-disclosure Agreement with Executive Officers</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21.1</w:t>
            </w: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List of Subsidiaries of the Registrant</w:t>
            </w:r>
          </w:p>
        </w:tc>
        <w:tc>
          <w:tcPr>
            <w:tcW w:w="6800" w:type="dxa"/>
            <w:vAlign w:val="bottom"/>
          </w:tcPr>
          <w:p>
            <w:pPr>
              <w:spacing w:after="0"/>
              <w:rPr>
                <w:sz w:val="24"/>
                <w:szCs w:val="24"/>
                <w:color w:val="auto"/>
              </w:rPr>
            </w:pP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23.1*</w:t>
            </w: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Consent of PricewaterhouseCoopers</w:t>
            </w:r>
          </w:p>
        </w:tc>
        <w:tc>
          <w:tcPr>
            <w:tcW w:w="6800" w:type="dxa"/>
            <w:vAlign w:val="bottom"/>
          </w:tcPr>
          <w:p>
            <w:pPr>
              <w:spacing w:after="0"/>
              <w:rPr>
                <w:sz w:val="24"/>
                <w:szCs w:val="24"/>
                <w:color w:val="auto"/>
              </w:rPr>
            </w:pP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23.2*</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Consent of Travers Thorp Alberga Attorneys at Law</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23.3</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Consent of Jingtian &amp; Gongcheng (included in Exhibit 99.2)</w:t>
            </w: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24.1*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Powers of Attorney (included on signature page in Part II of the registration statement)</w:t>
            </w:r>
          </w:p>
        </w:tc>
      </w:tr>
      <w:tr>
        <w:trPr>
          <w:trHeight w:val="324"/>
        </w:trPr>
        <w:tc>
          <w:tcPr>
            <w:tcW w:w="740" w:type="dxa"/>
            <w:vAlign w:val="bottom"/>
          </w:tcPr>
          <w:p>
            <w:pPr>
              <w:jc w:val="right"/>
              <w:ind w:right="230"/>
              <w:spacing w:after="0"/>
              <w:rPr>
                <w:sz w:val="20"/>
                <w:szCs w:val="20"/>
                <w:color w:val="auto"/>
              </w:rPr>
            </w:pPr>
            <w:r>
              <w:rPr>
                <w:rFonts w:ascii="Arial" w:cs="Arial" w:eastAsia="Arial" w:hAnsi="Arial"/>
                <w:sz w:val="18"/>
                <w:szCs w:val="18"/>
                <w:color w:val="auto"/>
                <w:w w:val="95"/>
              </w:rPr>
              <w:t>99.1*</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99.2</w:t>
            </w:r>
          </w:p>
        </w:tc>
        <w:tc>
          <w:tcPr>
            <w:tcW w:w="10680" w:type="dxa"/>
            <w:vAlign w:val="bottom"/>
            <w:gridSpan w:val="3"/>
          </w:tcPr>
          <w:p>
            <w:pPr>
              <w:ind w:left="300"/>
              <w:spacing w:after="0"/>
              <w:rPr>
                <w:sz w:val="20"/>
                <w:szCs w:val="20"/>
                <w:color w:val="auto"/>
              </w:rPr>
            </w:pPr>
            <w:r>
              <w:rPr>
                <w:rFonts w:ascii="Arial" w:cs="Arial" w:eastAsia="Arial" w:hAnsi="Arial"/>
                <w:sz w:val="18"/>
                <w:szCs w:val="18"/>
                <w:color w:val="auto"/>
              </w:rPr>
              <w:t>Opinion of Jingtian &amp; Gongcheng regarding certain PRC law matters</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99.3†</w:t>
            </w: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Consent of Frost &amp; Sullivan</w:t>
            </w:r>
          </w:p>
        </w:tc>
        <w:tc>
          <w:tcPr>
            <w:tcW w:w="6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45"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COMPANIES LAW (AS AMENDED)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OPTIMIX MEDIA ASIA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Incorporated on the 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day of February, 2010</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(Amended and restated by Special Resolutions passed on the 28th day of December, 2016)</w:t>
      </w:r>
    </w:p>
    <w:p>
      <w:pPr>
        <w:sectPr>
          <w:pgSz w:w="11900" w:h="16838" w:orient="portrait"/>
          <w:cols w:equalWidth="0" w:num="1">
            <w:col w:w="10220"/>
          </w:cols>
          <w:pgMar w:left="1440" w:top="121" w:right="239" w:bottom="1440" w:gutter="0" w:footer="0" w:header="0"/>
        </w:sectPr>
      </w:pPr>
    </w:p>
    <w:bookmarkStart w:id="317" w:name="page318"/>
    <w:bookmarkEnd w:id="31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(AS AMENDED)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OPTIMIX MEDIA ASIA LIMITED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(As amended and adopted by Special Resolutions passed on the 28th day of December, 2016)</w:t>
      </w:r>
    </w:p>
    <w:p>
      <w:pPr>
        <w:spacing w:after="0" w:line="256" w:lineRule="exact"/>
        <w:rPr>
          <w:sz w:val="20"/>
          <w:szCs w:val="20"/>
          <w:color w:val="auto"/>
        </w:rPr>
      </w:pPr>
    </w:p>
    <w:p>
      <w:pPr>
        <w:ind w:left="672" w:hanging="672"/>
        <w:spacing w:after="0"/>
        <w:tabs>
          <w:tab w:leader="none" w:pos="6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name of the Company is Optimix Media Asia Limited.</w:t>
      </w:r>
    </w:p>
    <w:p>
      <w:pPr>
        <w:spacing w:after="0" w:line="131" w:lineRule="exact"/>
        <w:rPr>
          <w:sz w:val="20"/>
          <w:szCs w:val="20"/>
          <w:color w:val="auto"/>
        </w:rPr>
      </w:pPr>
    </w:p>
    <w:p>
      <w:pPr>
        <w:ind w:left="672" w:right="20" w:hanging="672"/>
        <w:spacing w:after="0" w:line="277" w:lineRule="auto"/>
        <w:tabs>
          <w:tab w:leader="none" w:pos="6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ATC Trustees (Cayman) Limited, Landmark Square, 3</w:t>
      </w:r>
      <w:r>
        <w:rPr>
          <w:rFonts w:ascii="Arial" w:cs="Arial" w:eastAsia="Arial" w:hAnsi="Arial"/>
          <w:sz w:val="15"/>
          <w:szCs w:val="15"/>
          <w:color w:val="auto"/>
        </w:rPr>
        <w:t>rd</w:t>
      </w:r>
      <w:r>
        <w:rPr>
          <w:rFonts w:ascii="Arial" w:cs="Arial" w:eastAsia="Arial" w:hAnsi="Arial"/>
          <w:sz w:val="18"/>
          <w:szCs w:val="18"/>
          <w:color w:val="auto"/>
        </w:rPr>
        <w:t xml:space="preserve"> Floor, 64 Earth Close, Grand Cayman, KY1-1203 Cayman Islands, or at such other place as the Directors may from time to time decide.</w:t>
      </w:r>
    </w:p>
    <w:p>
      <w:pPr>
        <w:spacing w:after="0" w:line="76" w:lineRule="exact"/>
        <w:rPr>
          <w:sz w:val="20"/>
          <w:szCs w:val="20"/>
          <w:color w:val="auto"/>
        </w:rPr>
      </w:pPr>
    </w:p>
    <w:p>
      <w:pPr>
        <w:ind w:left="672" w:right="140" w:hanging="672"/>
        <w:spacing w:after="0" w:line="342" w:lineRule="auto"/>
        <w:tabs>
          <w:tab w:leader="none" w:pos="67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objects for which the Company is established are unrestricted and the Company shall have full power and authority to carry out any object not prohibited by the Companies Law (as amended) or as the same may be revised from time to time, or any other law of the Cayman Islands.</w:t>
      </w:r>
    </w:p>
    <w:p>
      <w:pPr>
        <w:spacing w:after="0" w:line="29" w:lineRule="exact"/>
        <w:rPr>
          <w:sz w:val="20"/>
          <w:szCs w:val="20"/>
          <w:color w:val="auto"/>
        </w:rPr>
      </w:pPr>
    </w:p>
    <w:p>
      <w:pPr>
        <w:ind w:left="672" w:hanging="672"/>
        <w:spacing w:after="0"/>
        <w:tabs>
          <w:tab w:leader="none" w:pos="67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131" w:lineRule="exact"/>
        <w:rPr>
          <w:sz w:val="20"/>
          <w:szCs w:val="20"/>
          <w:color w:val="auto"/>
        </w:rPr>
      </w:pPr>
    </w:p>
    <w:p>
      <w:pPr>
        <w:ind w:left="672" w:right="60" w:hanging="672"/>
        <w:spacing w:after="0" w:line="293" w:lineRule="auto"/>
        <w:tabs>
          <w:tab w:leader="none" w:pos="67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share capital of the Company is US$50,000 divided into 50,000,000 shares of par value of US$0.001 each, of which 37,150,000 are designated Ordinary Shares of par value US$0.001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2,500,000 are designated Series A Preference Shares of par value US$0.001 per share (the “</w:t>
      </w:r>
      <w:r>
        <w:rPr>
          <w:rFonts w:ascii="Arial" w:cs="Arial" w:eastAsia="Arial" w:hAnsi="Arial"/>
          <w:sz w:val="16"/>
          <w:szCs w:val="16"/>
          <w:b w:val="1"/>
          <w:bCs w:val="1"/>
          <w:color w:val="auto"/>
        </w:rPr>
        <w:t>Series A Preference Shares</w:t>
      </w:r>
      <w:r>
        <w:rPr>
          <w:rFonts w:ascii="Arial" w:cs="Arial" w:eastAsia="Arial" w:hAnsi="Arial"/>
          <w:sz w:val="16"/>
          <w:szCs w:val="16"/>
          <w:color w:val="auto"/>
        </w:rPr>
        <w:t>”), 3,000,000 are designated Series B Preference Shares of par value US$0.001 per share (the “</w:t>
      </w:r>
      <w:r>
        <w:rPr>
          <w:rFonts w:ascii="Arial" w:cs="Arial" w:eastAsia="Arial" w:hAnsi="Arial"/>
          <w:sz w:val="16"/>
          <w:szCs w:val="16"/>
          <w:b w:val="1"/>
          <w:bCs w:val="1"/>
          <w:color w:val="auto"/>
        </w:rPr>
        <w:t>Series B Preference Shares</w:t>
      </w:r>
      <w:r>
        <w:rPr>
          <w:rFonts w:ascii="Arial" w:cs="Arial" w:eastAsia="Arial" w:hAnsi="Arial"/>
          <w:sz w:val="16"/>
          <w:szCs w:val="16"/>
          <w:color w:val="auto"/>
        </w:rPr>
        <w:t>”), 1,650,000 are designated Series C Preference Shares of par value US$0.001 per share (the “</w:t>
      </w:r>
      <w:r>
        <w:rPr>
          <w:rFonts w:ascii="Arial" w:cs="Arial" w:eastAsia="Arial" w:hAnsi="Arial"/>
          <w:sz w:val="16"/>
          <w:szCs w:val="16"/>
          <w:b w:val="1"/>
          <w:bCs w:val="1"/>
          <w:color w:val="auto"/>
        </w:rPr>
        <w:t>Series C Preference</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4,500,000 are designated Series D Preference Shares of par value US$0.001 per share (the “</w:t>
      </w:r>
      <w:r>
        <w:rPr>
          <w:rFonts w:ascii="Arial" w:cs="Arial" w:eastAsia="Arial" w:hAnsi="Arial"/>
          <w:sz w:val="16"/>
          <w:szCs w:val="16"/>
          <w:b w:val="1"/>
          <w:bCs w:val="1"/>
          <w:color w:val="auto"/>
        </w:rPr>
        <w:t>Series D Preference Shares</w:t>
      </w:r>
      <w:r>
        <w:rPr>
          <w:rFonts w:ascii="Arial" w:cs="Arial" w:eastAsia="Arial" w:hAnsi="Arial"/>
          <w:sz w:val="16"/>
          <w:szCs w:val="16"/>
          <w:color w:val="auto"/>
        </w:rPr>
        <w:t>”) and 1,200,000</w:t>
      </w:r>
      <w:r>
        <w:rPr>
          <w:rFonts w:ascii="Arial" w:cs="Arial" w:eastAsia="Arial" w:hAnsi="Arial"/>
          <w:sz w:val="16"/>
          <w:szCs w:val="16"/>
          <w:b w:val="1"/>
          <w:bCs w:val="1"/>
          <w:color w:val="auto"/>
        </w:rPr>
        <w:t xml:space="preserve"> </w:t>
      </w:r>
      <w:r>
        <w:rPr>
          <w:rFonts w:ascii="Arial" w:cs="Arial" w:eastAsia="Arial" w:hAnsi="Arial"/>
          <w:sz w:val="16"/>
          <w:szCs w:val="16"/>
          <w:color w:val="auto"/>
        </w:rPr>
        <w:t>are designated Series E Preference Shares of par value US$0.001 per share (the “</w:t>
      </w:r>
      <w:r>
        <w:rPr>
          <w:rFonts w:ascii="Arial" w:cs="Arial" w:eastAsia="Arial" w:hAnsi="Arial"/>
          <w:sz w:val="16"/>
          <w:szCs w:val="16"/>
          <w:b w:val="1"/>
          <w:bCs w:val="1"/>
          <w:color w:val="auto"/>
        </w:rPr>
        <w:t>Series E Preference Shares</w:t>
      </w:r>
      <w:r>
        <w:rPr>
          <w:rFonts w:ascii="Arial" w:cs="Arial" w:eastAsia="Arial" w:hAnsi="Arial"/>
          <w:sz w:val="16"/>
          <w:szCs w:val="16"/>
          <w:color w:val="auto"/>
        </w:rPr>
        <w:t>”).</w:t>
      </w:r>
    </w:p>
    <w:p>
      <w:pPr>
        <w:spacing w:after="0" w:line="70" w:lineRule="exact"/>
        <w:rPr>
          <w:sz w:val="20"/>
          <w:szCs w:val="20"/>
          <w:color w:val="auto"/>
        </w:rPr>
      </w:pPr>
    </w:p>
    <w:p>
      <w:pPr>
        <w:ind w:left="672" w:right="420" w:hanging="672"/>
        <w:spacing w:after="0" w:line="277" w:lineRule="auto"/>
        <w:tabs>
          <w:tab w:leader="none" w:pos="67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76" w:lineRule="exact"/>
        <w:rPr>
          <w:sz w:val="20"/>
          <w:szCs w:val="20"/>
          <w:color w:val="auto"/>
        </w:rPr>
      </w:pPr>
    </w:p>
    <w:p>
      <w:pPr>
        <w:ind w:left="672" w:hanging="672"/>
        <w:spacing w:after="0" w:line="277" w:lineRule="auto"/>
        <w:tabs>
          <w:tab w:leader="none" w:pos="67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same meaning as those given in the Articles of Association of the Company.</w:t>
      </w:r>
    </w:p>
    <w:p>
      <w:pPr>
        <w:sectPr>
          <w:pgSz w:w="11900" w:h="16838" w:orient="portrait"/>
          <w:cols w:equalWidth="0" w:num="1">
            <w:col w:w="11392"/>
          </w:cols>
          <w:pgMar w:left="248" w:top="269" w:right="259" w:bottom="1440" w:gutter="0" w:footer="0" w:header="0"/>
        </w:sectPr>
      </w:pPr>
    </w:p>
    <w:bookmarkStart w:id="318" w:name="page319"/>
    <w:bookmarkEnd w:id="318"/>
    <w:p>
      <w:pPr>
        <w:jc w:val="center"/>
        <w:ind w:right="-4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(AS AMENDED)</w:t>
      </w:r>
    </w:p>
    <w:p>
      <w:pPr>
        <w:spacing w:after="0" w:line="225"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OPTIMIX MEDIA ASIA LIMITED</w:t>
      </w:r>
    </w:p>
    <w:p>
      <w:pPr>
        <w:spacing w:after="0" w:line="225" w:lineRule="exact"/>
        <w:rPr>
          <w:sz w:val="20"/>
          <w:szCs w:val="20"/>
          <w:color w:val="auto"/>
        </w:rPr>
      </w:pPr>
    </w:p>
    <w:p>
      <w:pPr>
        <w:ind w:left="2172"/>
        <w:spacing w:after="0"/>
        <w:rPr>
          <w:sz w:val="20"/>
          <w:szCs w:val="20"/>
          <w:color w:val="auto"/>
        </w:rPr>
      </w:pPr>
      <w:r>
        <w:rPr>
          <w:rFonts w:ascii="Arial" w:cs="Arial" w:eastAsia="Arial" w:hAnsi="Arial"/>
          <w:sz w:val="18"/>
          <w:szCs w:val="18"/>
          <w:b w:val="1"/>
          <w:bCs w:val="1"/>
          <w:color w:val="auto"/>
        </w:rPr>
        <w:t>(As amended and adopted by Special Resolutions passed on the day of December 28th, 2016)</w:t>
      </w:r>
    </w:p>
    <w:p>
      <w:pPr>
        <w:spacing w:after="0" w:line="374" w:lineRule="exact"/>
        <w:rPr>
          <w:sz w:val="20"/>
          <w:szCs w:val="20"/>
          <w:color w:val="auto"/>
        </w:rPr>
      </w:pPr>
    </w:p>
    <w:p>
      <w:pPr>
        <w:ind w:left="672" w:hanging="672"/>
        <w:spacing w:after="0"/>
        <w:tabs>
          <w:tab w:leader="none" w:pos="672"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these Articles Table A in the First Schedule to the Statute does not apply and, unless there is something in the subject or context inconsistent therewith:</w:t>
      </w:r>
    </w:p>
    <w:p>
      <w:pPr>
        <w:sectPr>
          <w:pgSz w:w="11900" w:h="16838" w:orient="portrait"/>
          <w:cols w:equalWidth="0" w:num="1">
            <w:col w:w="10972"/>
          </w:cols>
          <w:pgMar w:left="248" w:top="270" w:right="679" w:bottom="1440" w:gutter="0" w:footer="0" w:header="0"/>
        </w:sectPr>
      </w:pPr>
    </w:p>
    <w:p>
      <w:pPr>
        <w:spacing w:after="0" w:line="193" w:lineRule="exact"/>
        <w:rPr>
          <w:sz w:val="20"/>
          <w:szCs w:val="20"/>
          <w:color w:val="auto"/>
        </w:rPr>
      </w:pPr>
    </w:p>
    <w:p>
      <w:pPr>
        <w:ind w:left="69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2017 Financial Year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ascribed thereto in Section 4.1(e)(ii)(x)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these Articles.</w:t>
      </w:r>
    </w:p>
    <w:p>
      <w:pPr>
        <w:spacing w:after="0" w:line="200" w:lineRule="exact"/>
        <w:rPr>
          <w:sz w:val="20"/>
          <w:szCs w:val="20"/>
          <w:color w:val="auto"/>
        </w:rPr>
      </w:pPr>
    </w:p>
    <w:p>
      <w:pPr>
        <w:sectPr>
          <w:pgSz w:w="11900" w:h="16838" w:orient="portrait"/>
          <w:cols w:equalWidth="0" w:num="2">
            <w:col w:w="5292" w:space="720"/>
            <w:col w:w="4960"/>
          </w:cols>
          <w:pgMar w:left="248" w:top="270" w:right="679" w:bottom="1440" w:gutter="0" w:footer="0" w:header="0"/>
          <w:type w:val="continuous"/>
        </w:sectPr>
      </w:pPr>
    </w:p>
    <w:p>
      <w:pPr>
        <w:spacing w:after="0" w:line="7" w:lineRule="exact"/>
        <w:rPr>
          <w:sz w:val="20"/>
          <w:szCs w:val="20"/>
          <w:color w:val="auto"/>
        </w:rPr>
      </w:pPr>
    </w:p>
    <w:p>
      <w:pPr>
        <w:ind w:left="69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2018 Financial Year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Section 4.1(e)(ii)(y)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these Articles.</w:t>
      </w:r>
    </w:p>
    <w:p>
      <w:pPr>
        <w:spacing w:after="0" w:line="200" w:lineRule="exact"/>
        <w:rPr>
          <w:sz w:val="20"/>
          <w:szCs w:val="20"/>
          <w:color w:val="auto"/>
        </w:rPr>
      </w:pPr>
    </w:p>
    <w:p>
      <w:pPr>
        <w:sectPr>
          <w:pgSz w:w="11900" w:h="16838" w:orient="portrait"/>
          <w:cols w:equalWidth="0" w:num="2">
            <w:col w:w="5292" w:space="720"/>
            <w:col w:w="4960"/>
          </w:cols>
          <w:pgMar w:left="248" w:top="270" w:right="679" w:bottom="1440" w:gutter="0" w:footer="0" w:header="0"/>
          <w:type w:val="continuous"/>
        </w:sectPr>
      </w:pPr>
    </w:p>
    <w:p>
      <w:pPr>
        <w:spacing w:after="0" w:line="7" w:lineRule="exact"/>
        <w:rPr>
          <w:sz w:val="20"/>
          <w:szCs w:val="20"/>
          <w:color w:val="auto"/>
        </w:rPr>
      </w:pPr>
    </w:p>
    <w:p>
      <w:pPr>
        <w:ind w:left="69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 and B Holders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holders of Series A Preference Shares and Series B</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Preference Shares, together with permitted transferees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assigns of such holders who become parties to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Right of First Refusal and Co-Sale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292" w:space="720"/>
            <w:col w:w="4960"/>
          </w:cols>
          <w:pgMar w:left="248" w:top="270" w:right="679" w:bottom="1440" w:gutter="0" w:footer="0" w:header="0"/>
          <w:type w:val="continuous"/>
        </w:sectPr>
      </w:pPr>
    </w:p>
    <w:p>
      <w:pPr>
        <w:spacing w:after="0" w:line="7" w:lineRule="exact"/>
        <w:rPr>
          <w:sz w:val="20"/>
          <w:szCs w:val="20"/>
          <w:color w:val="auto"/>
        </w:rPr>
      </w:pPr>
    </w:p>
    <w:p>
      <w:pPr>
        <w:ind w:left="69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 and B Holders’ Option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has the meaning ascribed thereto in Section 10.5(a) of Schedule 1 to these Articles.</w:t>
      </w:r>
    </w:p>
    <w:p>
      <w:pPr>
        <w:spacing w:after="0" w:line="166" w:lineRule="exact"/>
        <w:rPr>
          <w:sz w:val="20"/>
          <w:szCs w:val="20"/>
          <w:color w:val="auto"/>
        </w:rPr>
      </w:pPr>
    </w:p>
    <w:p>
      <w:pPr>
        <w:sectPr>
          <w:pgSz w:w="11900" w:h="16838" w:orient="portrait"/>
          <w:cols w:equalWidth="0" w:num="2">
            <w:col w:w="5292" w:space="720"/>
            <w:col w:w="4960"/>
          </w:cols>
          <w:pgMar w:left="248" w:top="270" w:right="679" w:bottom="1440" w:gutter="0" w:footer="0" w:header="0"/>
          <w:type w:val="continuous"/>
        </w:sectPr>
      </w:pPr>
    </w:p>
    <w:p>
      <w:pPr>
        <w:ind w:left="69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 and B Co-Sale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has the meaning set forth in Section 11.7 of Schedule 1 to these Articles.</w:t>
      </w:r>
    </w:p>
    <w:p>
      <w:pPr>
        <w:spacing w:after="0" w:line="166" w:lineRule="exact"/>
        <w:rPr>
          <w:sz w:val="20"/>
          <w:szCs w:val="20"/>
          <w:color w:val="auto"/>
        </w:rPr>
      </w:pPr>
    </w:p>
    <w:p>
      <w:pPr>
        <w:sectPr>
          <w:pgSz w:w="11900" w:h="16838" w:orient="portrait"/>
          <w:cols w:equalWidth="0" w:num="2">
            <w:col w:w="5292" w:space="720"/>
            <w:col w:w="4960"/>
          </w:cols>
          <w:pgMar w:left="248" w:top="270" w:right="679" w:bottom="1440" w:gutter="0" w:footer="0" w:header="0"/>
          <w:type w:val="continuous"/>
        </w:sectPr>
      </w:pPr>
    </w:p>
    <w:p>
      <w:pPr>
        <w:ind w:left="69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Ordinary Shares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has the meaning ascribed thereto in Section 1.4(iii) of Schedule 1 to these Articles.</w:t>
      </w:r>
    </w:p>
    <w:p>
      <w:pPr>
        <w:sectPr>
          <w:pgSz w:w="11900" w:h="16838" w:orient="portrait"/>
          <w:cols w:equalWidth="0" w:num="2">
            <w:col w:w="5292" w:space="720"/>
            <w:col w:w="4960"/>
          </w:cols>
          <w:pgMar w:left="248" w:top="270" w:right="679" w:bottom="1440" w:gutter="0" w:footer="0" w:header="0"/>
          <w:type w:val="continuous"/>
        </w:sectPr>
      </w:pPr>
    </w:p>
    <w:bookmarkStart w:id="319" w:name="page320"/>
    <w:bookmarkEnd w:id="319"/>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Ordinary Issue Price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Series D Issue Price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 Shares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Bertelsmann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BF Aggregate Subscription Price</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BF Compensation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360"/>
        <w:spacing w:after="0" w:line="279" w:lineRule="auto"/>
        <w:rPr>
          <w:sz w:val="20"/>
          <w:szCs w:val="20"/>
          <w:color w:val="auto"/>
        </w:rPr>
      </w:pPr>
      <w:r>
        <w:rPr>
          <w:rFonts w:ascii="Arial" w:cs="Arial" w:eastAsia="Arial" w:hAnsi="Arial"/>
          <w:sz w:val="17"/>
          <w:szCs w:val="17"/>
          <w:color w:val="auto"/>
        </w:rPr>
        <w:t>means the BF Aggregate Subscription Price (x) multiplied by the BF Ordinary Percentage, and (y) divided by the total number of Existing Shares and additional Ordinary Shares issued pursuant to Section 7.10 of the Series D SPA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-798830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ind w:left="360"/>
        <w:spacing w:after="0" w:line="257" w:lineRule="auto"/>
        <w:rPr>
          <w:sz w:val="20"/>
          <w:szCs w:val="20"/>
          <w:color w:val="auto"/>
        </w:rPr>
      </w:pPr>
      <w:r>
        <w:rPr>
          <w:rFonts w:ascii="Arial" w:cs="Arial" w:eastAsia="Arial" w:hAnsi="Arial"/>
          <w:sz w:val="18"/>
          <w:szCs w:val="18"/>
          <w:color w:val="auto"/>
        </w:rPr>
        <w:t>means the BF Aggregate Subscription Price (x) multiplied by the BF Series D Percentage, and (y) divided by the total number of New Shares, BF Compensation Shares (if any) and Series D Shares issued pursuant to Section 7.10 of the Series D SPA (if any).</w:t>
      </w:r>
    </w:p>
    <w:p>
      <w:pPr>
        <w:spacing w:after="0" w:line="188" w:lineRule="exact"/>
        <w:rPr>
          <w:sz w:val="20"/>
          <w:szCs w:val="20"/>
          <w:color w:val="auto"/>
        </w:rPr>
      </w:pPr>
    </w:p>
    <w:p>
      <w:pPr>
        <w:ind w:left="360" w:right="180"/>
        <w:spacing w:after="0" w:line="342" w:lineRule="auto"/>
        <w:rPr>
          <w:sz w:val="20"/>
          <w:szCs w:val="20"/>
          <w:color w:val="auto"/>
        </w:rPr>
      </w:pPr>
      <w:r>
        <w:rPr>
          <w:rFonts w:ascii="Arial" w:cs="Arial" w:eastAsia="Arial" w:hAnsi="Arial"/>
          <w:sz w:val="16"/>
          <w:szCs w:val="16"/>
          <w:color w:val="auto"/>
        </w:rPr>
        <w:t>means, any other person that, directly or indirectly, controls, is controlled by or is under common control with such person.</w:t>
      </w:r>
    </w:p>
    <w:p>
      <w:pPr>
        <w:spacing w:after="0" w:line="124"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means these seventh amended and restated Articles of Association of the Company, as amended and restated from time to time.</w:t>
      </w:r>
    </w:p>
    <w:p>
      <w:pPr>
        <w:spacing w:after="0" w:line="181" w:lineRule="exact"/>
        <w:rPr>
          <w:sz w:val="20"/>
          <w:szCs w:val="20"/>
          <w:color w:val="auto"/>
        </w:rPr>
      </w:pPr>
    </w:p>
    <w:p>
      <w:pPr>
        <w:ind w:left="360" w:right="320"/>
        <w:spacing w:after="0" w:line="277" w:lineRule="auto"/>
        <w:rPr>
          <w:sz w:val="20"/>
          <w:szCs w:val="20"/>
          <w:color w:val="auto"/>
        </w:rPr>
      </w:pPr>
      <w:r>
        <w:rPr>
          <w:rFonts w:ascii="Arial" w:cs="Arial" w:eastAsia="Arial" w:hAnsi="Arial"/>
          <w:sz w:val="18"/>
          <w:szCs w:val="18"/>
          <w:color w:val="auto"/>
        </w:rPr>
        <w:t>means the person for the time being performing the duties of auditor of the Company (if any).</w:t>
      </w:r>
    </w:p>
    <w:p>
      <w:pPr>
        <w:spacing w:after="0" w:line="170" w:lineRule="exact"/>
        <w:rPr>
          <w:sz w:val="20"/>
          <w:szCs w:val="20"/>
          <w:color w:val="auto"/>
        </w:rPr>
      </w:pPr>
    </w:p>
    <w:p>
      <w:pPr>
        <w:ind w:left="360" w:right="220"/>
        <w:spacing w:after="0" w:line="277" w:lineRule="auto"/>
        <w:rPr>
          <w:sz w:val="20"/>
          <w:szCs w:val="20"/>
          <w:color w:val="auto"/>
        </w:rPr>
      </w:pPr>
      <w:r>
        <w:rPr>
          <w:rFonts w:ascii="Arial" w:cs="Arial" w:eastAsia="Arial" w:hAnsi="Arial"/>
          <w:sz w:val="18"/>
          <w:szCs w:val="18"/>
          <w:color w:val="auto"/>
        </w:rPr>
        <w:t>means BAI GmbH, a company duly incorporated and existing under the laws of Germany.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means Ordinary Shares held by BAI as of July 24, 2015.</w:t>
      </w:r>
    </w:p>
    <w:p>
      <w:pPr>
        <w:spacing w:after="0" w:line="225" w:lineRule="exact"/>
        <w:rPr>
          <w:sz w:val="20"/>
          <w:szCs w:val="20"/>
          <w:color w:val="auto"/>
        </w:rPr>
      </w:pPr>
    </w:p>
    <w:p>
      <w:pPr>
        <w:ind w:left="360" w:right="440"/>
        <w:spacing w:after="0" w:line="342" w:lineRule="auto"/>
        <w:rPr>
          <w:sz w:val="20"/>
          <w:szCs w:val="20"/>
          <w:color w:val="auto"/>
        </w:rPr>
      </w:pPr>
      <w:r>
        <w:rPr>
          <w:rFonts w:ascii="Arial" w:cs="Arial" w:eastAsia="Arial" w:hAnsi="Arial"/>
          <w:sz w:val="16"/>
          <w:szCs w:val="16"/>
          <w:color w:val="auto"/>
        </w:rPr>
        <w:t>means Bertelsmann Asia Investments AG, a company duly incorporated and existing under the laws of Switzerland.</w:t>
      </w:r>
    </w:p>
    <w:p>
      <w:pPr>
        <w:spacing w:after="0" w:line="124"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means the Aggregate Subscription Price as defined in the Series D SPA.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means the Compensation Shares as defined in the Series D SPA.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240" w:space="720"/>
            <w:col w:w="5040"/>
          </w:cols>
          <w:pgMar w:left="940" w:top="486" w:right="95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BF Ordinary Percentage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means a fraction, the numerator being the Initial Ordinary Issue Price, multiplied by the total number of Existing Shares and additional Ordinary Shares issued pursuant to Section 7.10 of the Series D SPA (if any), and the denominator being the sum of (x) the Initial Ordinary Issue Price multiplied by the total number of Existing Shares and additional Ordinary Shares issued pursuant to Section 7.10 of the Series D SPA (if any), and (y) the Initial Series D Issue Price, multiplied by the total number of New Shares, the BF Compensation Shares (if any) and additional Series D Shares issued pursuant to Section 7.10 of the Series D SPA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-1751965</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600" w:space="720"/>
            <w:col w:w="4680"/>
          </w:cols>
          <w:pgMar w:left="940" w:top="486" w:right="95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BF Purchased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00"/>
        <w:spacing w:after="0" w:line="264" w:lineRule="auto"/>
        <w:rPr>
          <w:sz w:val="20"/>
          <w:szCs w:val="20"/>
          <w:color w:val="auto"/>
        </w:rPr>
      </w:pPr>
      <w:r>
        <w:rPr>
          <w:rFonts w:ascii="Arial" w:cs="Arial" w:eastAsia="Arial" w:hAnsi="Arial"/>
          <w:sz w:val="18"/>
          <w:szCs w:val="18"/>
          <w:color w:val="auto"/>
        </w:rPr>
        <w:t>means the Purchased Shares as defined in the Series D SPA, as well as any additional Shares issued pursuant to Section 7.10 of the Series D SPA.</w:t>
      </w:r>
    </w:p>
    <w:p>
      <w:pPr>
        <w:spacing w:after="0" w:line="177"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BF Redemption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has the meaning ascribed thereto in Section 4.1(d) of Schedule 1 to these Articles.</w:t>
      </w:r>
    </w:p>
    <w:p>
      <w:pPr>
        <w:spacing w:after="0" w:line="166"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BF Series D Percentage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means a fraction, the numerator being the Initial Series D Issue Price, multiplied by the total number of New Shares, the BF Compensation Shares (if any), and additional Series D Shares issued pursuant to Section 7.10 of the Series D SPA (if any), and the denominator being the sum of (x) the Initial Ordinary Issue Price multiplied by the total number of Existing Shares and additional Ordinary Shares issued pursuant to Section 7.10 of the Series D SPA (if any), and (y) the Initial Series D Issue Price, multiplied by the total number of New Shares, the BF Compensation Shares (if any) and additional Series D Shares issued pursuant to Section 7.10 of the Series D SPA (if any).</w:t>
      </w:r>
    </w:p>
    <w:p>
      <w:pPr>
        <w:spacing w:after="0" w:line="169"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BlueFocus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BlueFocus International Limited, a limited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duly incorporated and existing under the Laws of Hong Kong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w:t>
      </w:r>
    </w:p>
    <w:p>
      <w:pPr>
        <w:spacing w:after="0" w:line="200"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and “</w:t>
      </w:r>
      <w:r>
        <w:rPr>
          <w:rFonts w:ascii="Arial" w:cs="Arial" w:eastAsia="Arial" w:hAnsi="Arial"/>
          <w:sz w:val="16"/>
          <w:szCs w:val="16"/>
          <w:b w:val="1"/>
          <w:bCs w:val="1"/>
          <w:color w:val="auto"/>
        </w:rPr>
        <w:t>Board of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board of Directors of the Company.</w:t>
      </w:r>
    </w:p>
    <w:p>
      <w:pPr>
        <w:spacing w:after="0" w:line="181"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000"/>
          </w:cols>
          <w:pgMar w:left="940" w:top="486" w:right="959" w:bottom="1440" w:gutter="0" w:footer="0" w:header="0"/>
          <w:type w:val="continuous"/>
        </w:sectPr>
      </w:pPr>
    </w:p>
    <w:bookmarkStart w:id="321" w:name="page322"/>
    <w:bookmarkEnd w:id="32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Co-Sale Notice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Option Period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Redemption Notice</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w:t>
      </w:r>
      <w:r>
        <w:rPr>
          <w:rFonts w:ascii="Arial" w:cs="Arial" w:eastAsia="Arial" w:hAnsi="Arial"/>
          <w:sz w:val="18"/>
          <w:szCs w:val="18"/>
          <w:color w:val="auto"/>
        </w:rPr>
        <w: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8"/>
          <w:szCs w:val="18"/>
          <w:color w:val="auto"/>
        </w:rPr>
        <w:t>has the meaning set forth in Section 11.1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-353060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has the meaning ascribed thereto in the Series E SPA.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means the above named company.</w:t>
      </w:r>
    </w:p>
    <w:p>
      <w:pPr>
        <w:spacing w:after="0" w:line="225"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has the meaning ascribed thereto in Section 10.2 of Schedule 1 to these Articles.</w:t>
      </w:r>
    </w:p>
    <w:p>
      <w:pPr>
        <w:spacing w:after="0" w:line="170"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has the meaning ascribed thereto in Section 4.2(b) of Schedule 1 to these Articles.</w:t>
      </w:r>
    </w:p>
    <w:p>
      <w:pPr>
        <w:spacing w:after="0" w:line="170" w:lineRule="exact"/>
        <w:rPr>
          <w:sz w:val="20"/>
          <w:szCs w:val="20"/>
          <w:color w:val="auto"/>
        </w:rPr>
      </w:pPr>
    </w:p>
    <w:p>
      <w:pPr>
        <w:ind w:left="360"/>
        <w:spacing w:after="0" w:line="253" w:lineRule="auto"/>
        <w:rPr>
          <w:sz w:val="20"/>
          <w:szCs w:val="20"/>
          <w:color w:val="auto"/>
        </w:rPr>
      </w:pPr>
      <w:r>
        <w:rPr>
          <w:rFonts w:ascii="Arial" w:cs="Arial" w:eastAsia="Arial" w:hAnsi="Arial"/>
          <w:sz w:val="18"/>
          <w:szCs w:val="18"/>
          <w:color w:val="auto"/>
        </w:rPr>
        <w:t>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“Controlled” has the meaning correlative to the foregoing.</w:t>
      </w:r>
    </w:p>
    <w:p>
      <w:pPr>
        <w:spacing w:after="0" w:line="193" w:lineRule="exact"/>
        <w:rPr>
          <w:sz w:val="20"/>
          <w:szCs w:val="20"/>
          <w:color w:val="auto"/>
        </w:rPr>
      </w:pPr>
    </w:p>
    <w:p>
      <w:pPr>
        <w:ind w:left="360" w:right="20"/>
        <w:spacing w:after="0" w:line="272" w:lineRule="auto"/>
        <w:rPr>
          <w:sz w:val="20"/>
          <w:szCs w:val="20"/>
          <w:color w:val="auto"/>
        </w:rPr>
      </w:pPr>
      <w:r>
        <w:rPr>
          <w:rFonts w:ascii="Arial" w:cs="Arial" w:eastAsia="Arial" w:hAnsi="Arial"/>
          <w:sz w:val="17"/>
          <w:szCs w:val="17"/>
          <w:color w:val="auto"/>
        </w:rPr>
        <w:t>means, in respect of the Series A Preference Shares, the Series A Conversion Price, in respect of the Series B Preference Shares, the Series B Conversion Price, in respect of the Series C Preference Shares, the Series C Conversion Price in respect of the Series D Preference Shares, the Series D Conversion Price and, in respect of the Series E Preference Shares, the Series E Conversion Price.</w:t>
      </w:r>
    </w:p>
    <w:p>
      <w:pPr>
        <w:spacing w:after="0" w:line="178" w:lineRule="exact"/>
        <w:rPr>
          <w:sz w:val="20"/>
          <w:szCs w:val="20"/>
          <w:color w:val="auto"/>
        </w:rPr>
      </w:pPr>
    </w:p>
    <w:p>
      <w:pPr>
        <w:ind w:left="360" w:right="680"/>
        <w:spacing w:after="0" w:line="277" w:lineRule="auto"/>
        <w:rPr>
          <w:sz w:val="20"/>
          <w:szCs w:val="20"/>
          <w:color w:val="auto"/>
        </w:rPr>
      </w:pPr>
      <w:r>
        <w:rPr>
          <w:rFonts w:ascii="Arial" w:cs="Arial" w:eastAsia="Arial" w:hAnsi="Arial"/>
          <w:sz w:val="18"/>
          <w:szCs w:val="18"/>
          <w:color w:val="auto"/>
        </w:rPr>
        <w:t>has the meaning ascribed thereto in Section 1.4(a)(ii) of Schedule 1 to these Articles.</w:t>
      </w:r>
    </w:p>
    <w:p>
      <w:pPr>
        <w:spacing w:after="0" w:line="170" w:lineRule="exact"/>
        <w:rPr>
          <w:sz w:val="20"/>
          <w:szCs w:val="20"/>
          <w:color w:val="auto"/>
        </w:rPr>
      </w:pPr>
    </w:p>
    <w:p>
      <w:pPr>
        <w:ind w:left="360" w:right="280"/>
        <w:spacing w:after="0" w:line="277" w:lineRule="auto"/>
        <w:rPr>
          <w:sz w:val="20"/>
          <w:szCs w:val="20"/>
          <w:color w:val="auto"/>
        </w:rPr>
      </w:pPr>
      <w:r>
        <w:rPr>
          <w:rFonts w:ascii="Arial" w:cs="Arial" w:eastAsia="Arial" w:hAnsi="Arial"/>
          <w:sz w:val="18"/>
          <w:szCs w:val="18"/>
          <w:color w:val="auto"/>
        </w:rPr>
        <w:t>means Ordinary Shares issued or issuable upon conversion of Preference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means the directors for the time being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4240" w:space="720"/>
            <w:col w:w="5060"/>
          </w:cols>
          <w:pgMar w:left="940" w:top="486" w:right="939"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an interim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-338455</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4600" w:space="720"/>
            <w:col w:w="4700"/>
          </w:cols>
          <w:pgMar w:left="940" w:top="485" w:right="9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Election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has the meaning ascribed thereto in Section 4.2(a)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Record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360"/>
        <w:spacing w:after="0" w:line="264" w:lineRule="auto"/>
        <w:rPr>
          <w:sz w:val="20"/>
          <w:szCs w:val="20"/>
          <w:color w:val="auto"/>
        </w:rPr>
      </w:pPr>
      <w:r>
        <w:rPr>
          <w:rFonts w:ascii="Arial" w:cs="Arial" w:eastAsia="Arial" w:hAnsi="Arial"/>
          <w:sz w:val="18"/>
          <w:szCs w:val="18"/>
          <w:color w:val="auto"/>
        </w:rPr>
        <w:t>has the same meaning as in the Electronic Transactions Law (2003 Revision) of the Cayman Islands, as may be amended from time to time.</w:t>
      </w:r>
    </w:p>
    <w:p>
      <w:pPr>
        <w:spacing w:after="0" w:line="177"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 and B Holders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forth in Section 11.7 hereof.</w:t>
      </w:r>
    </w:p>
    <w:p>
      <w:pPr>
        <w:spacing w:after="0" w:line="200"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Ordinary Investor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Section 11.9 hereof.</w:t>
      </w:r>
    </w:p>
    <w:p>
      <w:pPr>
        <w:spacing w:after="0" w:line="207"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Securities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means any Ordinary Shares or Ordinary Share Equivalents of the Company.</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ESOP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equity incentive plan of the Company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in 2010, as amended and restated from time to time.</w:t>
      </w:r>
    </w:p>
    <w:p>
      <w:pPr>
        <w:spacing w:after="0" w:line="200"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Exercising Holder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has the meaning ascribed thereto in Section 8.4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Exercising Shareholder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has the meaning ascribed thereto in Section 10.5(c)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Fifth Notice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has the meaning ascribed thereto in Section 10.5(c)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Fifth Pre-emptive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8.6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Fifth Remaining Securities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8.6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Pre-emptive Rights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8.1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Founders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each of Mr. Hsieh Wing Hong Sammy, Ng Yau Ping and O&amp;K Investment Ltd.</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Fourth Notice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has the meaning ascribed thereto in Section 10.4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Fourth Pre-emptive Notice”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8.5 of Schedule 1 to these Articles.</w:t>
      </w:r>
    </w:p>
    <w:p>
      <w:pPr>
        <w:spacing w:after="0" w:line="103"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020"/>
          </w:cols>
          <w:pgMar w:left="940" w:top="485" w:right="939" w:bottom="1440" w:gutter="0" w:footer="0" w:header="0"/>
          <w:type w:val="continuous"/>
        </w:sectPr>
      </w:pPr>
    </w:p>
    <w:bookmarkStart w:id="323" w:name="page324"/>
    <w:bookmarkEnd w:id="323"/>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Fourth Remaining Securities”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Igomax</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Igomax QIPO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Igomax Shares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Ordinary Issue Price</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Series D Issue Price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Price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Liquidating Transaction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left="360" w:right="80"/>
        <w:spacing w:after="0" w:line="277" w:lineRule="auto"/>
        <w:rPr>
          <w:sz w:val="20"/>
          <w:szCs w:val="20"/>
          <w:color w:val="auto"/>
        </w:rPr>
      </w:pPr>
      <w:r>
        <w:rPr>
          <w:rFonts w:ascii="Arial" w:cs="Arial" w:eastAsia="Arial" w:hAnsi="Arial"/>
          <w:sz w:val="18"/>
          <w:szCs w:val="18"/>
          <w:color w:val="auto"/>
        </w:rPr>
        <w:t>has the meaning ascribed thereto in Section 8.5 of Schedule 1 to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-525145</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0" w:lineRule="exact"/>
        <w:rPr>
          <w:sz w:val="20"/>
          <w:szCs w:val="20"/>
          <w:color w:val="auto"/>
        </w:rPr>
      </w:pPr>
    </w:p>
    <w:p>
      <w:pPr>
        <w:jc w:val="both"/>
        <w:ind w:left="360" w:right="100"/>
        <w:spacing w:after="0" w:line="264" w:lineRule="auto"/>
        <w:rPr>
          <w:sz w:val="20"/>
          <w:szCs w:val="20"/>
          <w:color w:val="auto"/>
        </w:rPr>
      </w:pPr>
      <w:r>
        <w:rPr>
          <w:rFonts w:ascii="Arial" w:cs="Arial" w:eastAsia="Arial" w:hAnsi="Arial"/>
          <w:sz w:val="18"/>
          <w:szCs w:val="18"/>
          <w:color w:val="auto"/>
        </w:rPr>
        <w:t>means each of the Company and each of its wholly, directly and indirectly owned Subsidiaries, and “</w:t>
      </w:r>
      <w:r>
        <w:rPr>
          <w:rFonts w:ascii="Arial" w:cs="Arial" w:eastAsia="Arial" w:hAnsi="Arial"/>
          <w:sz w:val="18"/>
          <w:szCs w:val="18"/>
          <w:b w:val="1"/>
          <w:bCs w:val="1"/>
          <w:color w:val="auto"/>
        </w:rPr>
        <w:t>Group</w:t>
      </w:r>
      <w:r>
        <w:rPr>
          <w:rFonts w:ascii="Arial" w:cs="Arial" w:eastAsia="Arial" w:hAnsi="Arial"/>
          <w:sz w:val="18"/>
          <w:szCs w:val="18"/>
          <w:color w:val="auto"/>
        </w:rPr>
        <w:t>” refers to all Group Companies collectively.</w:t>
      </w:r>
    </w:p>
    <w:p>
      <w:pPr>
        <w:spacing w:after="0" w:line="181" w:lineRule="exact"/>
        <w:rPr>
          <w:sz w:val="20"/>
          <w:szCs w:val="20"/>
          <w:color w:val="auto"/>
        </w:rPr>
      </w:pPr>
    </w:p>
    <w:p>
      <w:pPr>
        <w:ind w:left="360" w:right="220"/>
        <w:spacing w:after="0" w:line="277" w:lineRule="auto"/>
        <w:rPr>
          <w:sz w:val="20"/>
          <w:szCs w:val="20"/>
          <w:color w:val="auto"/>
        </w:rPr>
      </w:pPr>
      <w:r>
        <w:rPr>
          <w:rFonts w:ascii="Arial" w:cs="Arial" w:eastAsia="Arial" w:hAnsi="Arial"/>
          <w:sz w:val="18"/>
          <w:szCs w:val="18"/>
          <w:color w:val="auto"/>
        </w:rPr>
        <w:t>means Igomax Inc., a company duly incorporated and existing under the laws of the British Virgin Islands.</w:t>
      </w:r>
    </w:p>
    <w:p>
      <w:pPr>
        <w:spacing w:after="0" w:line="170" w:lineRule="exact"/>
        <w:rPr>
          <w:sz w:val="20"/>
          <w:szCs w:val="20"/>
          <w:color w:val="auto"/>
        </w:rPr>
      </w:pPr>
    </w:p>
    <w:p>
      <w:pPr>
        <w:ind w:left="360" w:right="60"/>
        <w:spacing w:after="0" w:line="297" w:lineRule="auto"/>
        <w:rPr>
          <w:sz w:val="20"/>
          <w:szCs w:val="20"/>
          <w:color w:val="auto"/>
        </w:rPr>
      </w:pPr>
      <w:r>
        <w:rPr>
          <w:rFonts w:ascii="Arial" w:cs="Arial" w:eastAsia="Arial" w:hAnsi="Arial"/>
          <w:sz w:val="16"/>
          <w:szCs w:val="16"/>
          <w:color w:val="auto"/>
        </w:rPr>
        <w:t>means the first firm commitment underwritten registered public offering by the Company of its Ordinary Shares with an offering price (net of underwriting commissions and expenses) that implies a market capitalization of the Company immediately prior to such offering of not less than US$500,000,000.</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means the Ordinary Shares held by Igomax as of July 24, 2015.</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means the Ordinary Share Price referred to in the Series D SPA.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means the Series D Share Price referred to in the Series D SPA.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has the meaning ascribed thereto in the Shareholders Agreement.</w:t>
      </w:r>
    </w:p>
    <w:p>
      <w:pPr>
        <w:spacing w:after="0" w:line="248" w:lineRule="exact"/>
        <w:rPr>
          <w:sz w:val="20"/>
          <w:szCs w:val="20"/>
          <w:color w:val="auto"/>
        </w:rPr>
      </w:pPr>
    </w:p>
    <w:p>
      <w:pPr>
        <w:ind w:left="360" w:right="20"/>
        <w:spacing w:after="0" w:line="264" w:lineRule="auto"/>
        <w:rPr>
          <w:sz w:val="20"/>
          <w:szCs w:val="20"/>
          <w:color w:val="auto"/>
        </w:rPr>
      </w:pPr>
      <w:r>
        <w:rPr>
          <w:rFonts w:ascii="Arial" w:cs="Arial" w:eastAsia="Arial" w:hAnsi="Arial"/>
          <w:sz w:val="18"/>
          <w:szCs w:val="18"/>
          <w:color w:val="auto"/>
        </w:rPr>
        <w:t>means the Series E Issue Price, Series D Issue Price, the Series C Issue Price, the Series B Issue Price or the Series A Issue Price, as applicable.</w:t>
      </w:r>
    </w:p>
    <w:p>
      <w:pPr>
        <w:spacing w:after="0" w:line="181"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has the meaning ascribed thereto in Section 8.1 of Schedule 1 to these Articles.</w:t>
      </w:r>
    </w:p>
    <w:p>
      <w:pPr>
        <w:spacing w:after="0" w:line="170"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has the meaning ascribed thereto in Section 2.1 of Schedule 1 to these Articles.</w:t>
      </w:r>
    </w:p>
    <w:p>
      <w:pPr>
        <w:spacing w:after="0" w:line="170"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 xml:space="preserve">means key management members and officers of the Company and its subsidiaries and any other Affiliates (except the Founders), as set forth in </w:t>
      </w:r>
      <w:r>
        <w:rPr>
          <w:rFonts w:ascii="Arial" w:cs="Arial" w:eastAsia="Arial" w:hAnsi="Arial"/>
          <w:sz w:val="18"/>
          <w:szCs w:val="18"/>
          <w:u w:val="single" w:color="auto"/>
          <w:color w:val="auto"/>
        </w:rPr>
        <w:t>Schedule G</w:t>
      </w:r>
      <w:r>
        <w:rPr>
          <w:rFonts w:ascii="Arial" w:cs="Arial" w:eastAsia="Arial" w:hAnsi="Arial"/>
          <w:sz w:val="18"/>
          <w:szCs w:val="18"/>
          <w:color w:val="auto"/>
        </w:rPr>
        <w:t xml:space="preserve"> of the ROFR and having an interest in the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240" w:space="720"/>
            <w:col w:w="5060"/>
          </w:cols>
          <w:pgMar w:left="940" w:top="486" w:right="9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has the same meaning as in the Statute.</w:t>
            </w: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8"/>
              </w:rPr>
              <w:t>means the seventh amended and restated Memorandum of</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0"/>
              </w:rPr>
              <w:t>Association of the Company, as amended and restated from time</w:t>
            </w:r>
          </w:p>
        </w:tc>
      </w:tr>
      <w:tr>
        <w:trPr>
          <w:trHeight w:val="230"/>
        </w:trPr>
        <w:tc>
          <w:tcPr>
            <w:tcW w:w="3460" w:type="dxa"/>
            <w:vAlign w:val="bottom"/>
          </w:tcPr>
          <w:p>
            <w:pPr>
              <w:spacing w:after="0"/>
              <w:rPr>
                <w:sz w:val="20"/>
                <w:szCs w:val="20"/>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to time in accordance with Article 16 hereof.</w:t>
            </w:r>
          </w:p>
        </w:tc>
      </w:tr>
      <w:tr>
        <w:trPr>
          <w:trHeight w:val="392"/>
        </w:trPr>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Securities</w:t>
            </w:r>
            <w:r>
              <w:rPr>
                <w:rFonts w:ascii="Arial" w:cs="Arial" w:eastAsia="Arial" w:hAnsi="Arial"/>
                <w:sz w:val="18"/>
                <w:szCs w:val="18"/>
                <w:color w:val="auto"/>
              </w:rPr>
              <w:t>”</w:t>
            </w: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5"/>
              </w:rPr>
              <w:t>means subject to the terms of Section 8 of Schedule 1 hereof,</w:t>
            </w:r>
          </w:p>
        </w:tc>
      </w:tr>
      <w:tr>
        <w:trPr>
          <w:trHeight w:val="20"/>
        </w:trPr>
        <w:tc>
          <w:tcPr>
            <w:tcW w:w="3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3460" w:type="dxa"/>
            <w:vAlign w:val="bottom"/>
          </w:tcPr>
          <w:p>
            <w:pPr>
              <w:spacing w:after="0"/>
              <w:rPr>
                <w:sz w:val="19"/>
                <w:szCs w:val="19"/>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4"/>
              </w:rPr>
              <w:t>any newly issued Equity Securities of the Company, except for</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2"/>
              </w:rPr>
              <w:t>(i) any Ordinary Shares, or any option or warrant to acquire any</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4"/>
              </w:rPr>
              <w:t>Ordinary Shares, issued to employees, officers, consultants or</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2"/>
              </w:rPr>
              <w:t>directors of the Company pursuant to a stock option plan, stock</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2"/>
              </w:rPr>
              <w:t>purchase plan, or other equity incentive plan, in any case that is</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7"/>
              </w:rPr>
              <w:t>approved by at least 2/3 of the members of the Board (which</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majority must include the Series D Director, the Series B</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3"/>
              </w:rPr>
              <w:t>Director and the Series A Director); (ii) Equity Securities issued</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1"/>
              </w:rPr>
              <w:t>upon conversion of the Preference Shares; (iii) Equity Securities</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issued in connection with any share split, share dividend,</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4"/>
              </w:rPr>
              <w:t>combination, or similar transaction of the Company; (iv) Equity</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1"/>
              </w:rPr>
              <w:t>Securities issued in a Qualified IPO; (v) Equity Securities issued</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2"/>
              </w:rPr>
              <w:t>upon the conversion of any debenture, warrant, option, or other</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6"/>
              </w:rPr>
              <w:t>convertible securities outstanding prior to the issuance of the</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1"/>
              </w:rPr>
              <w:t>Series B Preference Shares; or (vi) any Equity Securities issued</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or allotted pursuant to Section 10.6 of the Shareholders</w:t>
            </w:r>
          </w:p>
        </w:tc>
      </w:tr>
      <w:tr>
        <w:trPr>
          <w:trHeight w:val="230"/>
        </w:trPr>
        <w:tc>
          <w:tcPr>
            <w:tcW w:w="3460" w:type="dxa"/>
            <w:vAlign w:val="bottom"/>
          </w:tcPr>
          <w:p>
            <w:pPr>
              <w:spacing w:after="0"/>
              <w:rPr>
                <w:sz w:val="20"/>
                <w:szCs w:val="20"/>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Agreement.</w:t>
            </w: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Non-Exercising Holder</w:t>
            </w:r>
            <w:r>
              <w:rPr>
                <w:rFonts w:ascii="Arial" w:cs="Arial" w:eastAsia="Arial" w:hAnsi="Arial"/>
                <w:sz w:val="18"/>
                <w:szCs w:val="18"/>
                <w:color w:val="auto"/>
              </w:rPr>
              <w:t>”</w:t>
            </w: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0"/>
              </w:rPr>
              <w:t>has the meaning ascribed thereto in Section 8.4 of Schedule 1 to</w:t>
            </w:r>
          </w:p>
        </w:tc>
      </w:tr>
      <w:tr>
        <w:trPr>
          <w:trHeight w:val="230"/>
        </w:trPr>
        <w:tc>
          <w:tcPr>
            <w:tcW w:w="3460" w:type="dxa"/>
            <w:vAlign w:val="bottom"/>
          </w:tcPr>
          <w:p>
            <w:pPr>
              <w:spacing w:after="0"/>
              <w:rPr>
                <w:sz w:val="20"/>
                <w:szCs w:val="20"/>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these Articles.</w:t>
            </w: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Non-Liquidation M&amp;A</w:t>
            </w:r>
            <w:r>
              <w:rPr>
                <w:rFonts w:ascii="Arial" w:cs="Arial" w:eastAsia="Arial" w:hAnsi="Arial"/>
                <w:sz w:val="18"/>
                <w:szCs w:val="18"/>
                <w:color w:val="auto"/>
              </w:rPr>
              <w:t>”</w:t>
            </w: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4"/>
              </w:rPr>
              <w:t>means (i) a merger or acquisition of the Company or any of its</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4"/>
              </w:rPr>
              <w:t>Subsidiaries in which the shareholders of the Company do not</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rPr>
              <w:t>directly or indirectly own a majority of thet issued and</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4"/>
              </w:rPr>
              <w:t>outstanding shares of the surviving corporation, or (ii) a sale of</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1"/>
              </w:rPr>
              <w:t>all or substantially all of the assets of the Company or the assets</w:t>
            </w:r>
          </w:p>
        </w:tc>
      </w:tr>
      <w:tr>
        <w:trPr>
          <w:trHeight w:val="216"/>
        </w:trPr>
        <w:tc>
          <w:tcPr>
            <w:tcW w:w="3460" w:type="dxa"/>
            <w:vAlign w:val="bottom"/>
          </w:tcPr>
          <w:p>
            <w:pPr>
              <w:spacing w:after="0"/>
              <w:rPr>
                <w:sz w:val="18"/>
                <w:szCs w:val="18"/>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7"/>
              </w:rPr>
              <w:t>of its Subsidiaries, in each case that implies a valuation on a</w:t>
            </w:r>
          </w:p>
        </w:tc>
      </w:tr>
      <w:tr>
        <w:trPr>
          <w:trHeight w:val="230"/>
        </w:trPr>
        <w:tc>
          <w:tcPr>
            <w:tcW w:w="3460" w:type="dxa"/>
            <w:vAlign w:val="bottom"/>
          </w:tcPr>
          <w:p>
            <w:pPr>
              <w:spacing w:after="0"/>
              <w:rPr>
                <w:sz w:val="20"/>
                <w:szCs w:val="20"/>
                <w:color w:val="auto"/>
              </w:rPr>
            </w:pPr>
          </w:p>
        </w:tc>
        <w:tc>
          <w:tcPr>
            <w:tcW w:w="6560" w:type="dxa"/>
            <w:vAlign w:val="bottom"/>
            <w:gridSpan w:val="3"/>
          </w:tcPr>
          <w:p>
            <w:pPr>
              <w:ind w:left="1860"/>
              <w:spacing w:after="0"/>
              <w:rPr>
                <w:sz w:val="20"/>
                <w:szCs w:val="20"/>
                <w:color w:val="auto"/>
              </w:rPr>
            </w:pPr>
            <w:r>
              <w:rPr>
                <w:rFonts w:ascii="Arial" w:cs="Arial" w:eastAsia="Arial" w:hAnsi="Arial"/>
                <w:sz w:val="18"/>
                <w:szCs w:val="18"/>
                <w:color w:val="auto"/>
                <w:w w:val="91"/>
              </w:rPr>
              <w:t>fully-diluted basis of the Company of US$550,000,000 or higher.</w:t>
            </w:r>
          </w:p>
        </w:tc>
      </w:tr>
      <w:tr>
        <w:trPr>
          <w:trHeight w:val="365"/>
        </w:trPr>
        <w:tc>
          <w:tcPr>
            <w:tcW w:w="3460" w:type="dxa"/>
            <w:vAlign w:val="bottom"/>
          </w:tcPr>
          <w:p>
            <w:pPr>
              <w:spacing w:after="0"/>
              <w:rPr>
                <w:sz w:val="24"/>
                <w:szCs w:val="24"/>
                <w:color w:val="auto"/>
              </w:rPr>
            </w:pPr>
          </w:p>
        </w:tc>
        <w:tc>
          <w:tcPr>
            <w:tcW w:w="4880" w:type="dxa"/>
            <w:vAlign w:val="bottom"/>
          </w:tcPr>
          <w:p>
            <w:pPr>
              <w:ind w:left="150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20"/>
          </w:cols>
          <w:pgMar w:left="940" w:top="486" w:right="9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5" w:name="page326"/>
    <w:bookmarkEnd w:id="325"/>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Shares</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88"/>
              </w:rPr>
              <w:t>has the meaning ascribed thereto in Section 10.1 of Schedule 1 to</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these Articles.</w:t>
            </w:r>
          </w:p>
        </w:tc>
        <w:tc>
          <w:tcPr>
            <w:tcW w:w="34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OptAim Director</w:t>
            </w:r>
            <w:r>
              <w:rPr>
                <w:rFonts w:ascii="Arial" w:cs="Arial" w:eastAsia="Arial" w:hAnsi="Arial"/>
                <w:sz w:val="18"/>
                <w:szCs w:val="18"/>
                <w:color w:val="auto"/>
              </w:rPr>
              <w:t>”</w:t>
            </w:r>
          </w:p>
        </w:tc>
        <w:tc>
          <w:tcPr>
            <w:tcW w:w="5780" w:type="dxa"/>
            <w:vAlign w:val="bottom"/>
          </w:tcPr>
          <w:p>
            <w:pPr>
              <w:ind w:left="1420"/>
              <w:spacing w:after="0"/>
              <w:rPr>
                <w:sz w:val="20"/>
                <w:szCs w:val="20"/>
                <w:color w:val="auto"/>
              </w:rPr>
            </w:pPr>
            <w:r>
              <w:rPr>
                <w:rFonts w:ascii="Arial" w:cs="Arial" w:eastAsia="Arial" w:hAnsi="Arial"/>
                <w:sz w:val="18"/>
                <w:szCs w:val="18"/>
                <w:color w:val="auto"/>
              </w:rPr>
              <w:t>has the meaning ascribed thereto in Article 27.</w:t>
            </w:r>
          </w:p>
        </w:tc>
        <w:tc>
          <w:tcPr>
            <w:tcW w:w="340" w:type="dxa"/>
            <w:vAlign w:val="bottom"/>
          </w:tcPr>
          <w:p>
            <w:pPr>
              <w:spacing w:after="0"/>
              <w:rPr>
                <w:sz w:val="24"/>
                <w:szCs w:val="24"/>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OptAim Subsidiaries</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rPr>
              <w:t>means OptAim (HK) Limited, OptAim (Beijing) Information</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Technology Co., Ltd.</w:t>
            </w:r>
          </w:p>
        </w:tc>
        <w:tc>
          <w:tcPr>
            <w:tcW w:w="340" w:type="dxa"/>
            <w:vAlign w:val="bottom"/>
          </w:tcPr>
          <w:p>
            <w:pPr>
              <w:spacing w:after="0"/>
              <w:rPr>
                <w:sz w:val="20"/>
                <w:szCs w:val="20"/>
                <w:color w:val="auto"/>
              </w:rPr>
            </w:pPr>
          </w:p>
        </w:tc>
      </w:tr>
      <w:tr>
        <w:trPr>
          <w:trHeight w:val="323"/>
        </w:trPr>
        <w:tc>
          <w:tcPr>
            <w:tcW w:w="3900" w:type="dxa"/>
            <w:vAlign w:val="bottom"/>
          </w:tcPr>
          <w:p>
            <w:pPr>
              <w:spacing w:after="0"/>
              <w:rPr>
                <w:sz w:val="24"/>
                <w:szCs w:val="24"/>
                <w:color w:val="auto"/>
              </w:rPr>
            </w:pPr>
          </w:p>
        </w:tc>
        <w:tc>
          <w:tcPr>
            <w:tcW w:w="6120" w:type="dxa"/>
            <w:vAlign w:val="bottom"/>
            <w:gridSpan w:val="2"/>
          </w:tcPr>
          <w:p>
            <w:pPr>
              <w:ind w:left="4640"/>
              <w:spacing w:after="0"/>
              <w:rPr>
                <w:sz w:val="20"/>
                <w:szCs w:val="20"/>
                <w:color w:val="auto"/>
              </w:rPr>
            </w:pPr>
            <w:r>
              <w:rPr>
                <w:rFonts w:ascii="Arial" w:cs="Arial" w:eastAsia="Arial" w:hAnsi="Arial"/>
                <w:sz w:val="18"/>
                <w:szCs w:val="18"/>
                <w:color w:val="auto"/>
              </w:rPr>
              <w:t>, Beijing OptAim</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Network Technology Co., Ltd.</w:t>
            </w:r>
          </w:p>
        </w:tc>
        <w:tc>
          <w:tcPr>
            <w:tcW w:w="340" w:type="dxa"/>
            <w:vAlign w:val="bottom"/>
          </w:tcPr>
          <w:p>
            <w:pPr>
              <w:spacing w:after="0"/>
              <w:rPr>
                <w:sz w:val="20"/>
                <w:szCs w:val="20"/>
                <w:color w:val="auto"/>
              </w:rPr>
            </w:pPr>
          </w:p>
        </w:tc>
      </w:tr>
      <w:tr>
        <w:trPr>
          <w:trHeight w:val="324"/>
        </w:trPr>
        <w:tc>
          <w:tcPr>
            <w:tcW w:w="3900" w:type="dxa"/>
            <w:vAlign w:val="bottom"/>
          </w:tcPr>
          <w:p>
            <w:pPr>
              <w:spacing w:after="0"/>
              <w:rPr>
                <w:sz w:val="24"/>
                <w:szCs w:val="24"/>
                <w:color w:val="auto"/>
              </w:rPr>
            </w:pPr>
          </w:p>
        </w:tc>
        <w:tc>
          <w:tcPr>
            <w:tcW w:w="6120" w:type="dxa"/>
            <w:vAlign w:val="bottom"/>
            <w:gridSpan w:val="2"/>
          </w:tcPr>
          <w:p>
            <w:pPr>
              <w:ind w:left="4240"/>
              <w:spacing w:after="0"/>
              <w:rPr>
                <w:sz w:val="20"/>
                <w:szCs w:val="20"/>
                <w:color w:val="auto"/>
              </w:rPr>
            </w:pPr>
            <w:r>
              <w:rPr>
                <w:rFonts w:ascii="Arial" w:cs="Arial" w:eastAsia="Arial" w:hAnsi="Arial"/>
                <w:sz w:val="18"/>
                <w:szCs w:val="18"/>
                <w:color w:val="auto"/>
                <w:w w:val="90"/>
              </w:rPr>
              <w:t>, Zhiyunzhong (Shanghai)</w:t>
            </w:r>
          </w:p>
        </w:tc>
      </w:tr>
      <w:tr>
        <w:trPr>
          <w:trHeight w:val="323"/>
        </w:trPr>
        <w:tc>
          <w:tcPr>
            <w:tcW w:w="3900" w:type="dxa"/>
            <w:vAlign w:val="bottom"/>
          </w:tcPr>
          <w:p>
            <w:pPr>
              <w:spacing w:after="0"/>
              <w:rPr>
                <w:sz w:val="24"/>
                <w:szCs w:val="24"/>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Technology Co., Ltd.</w:t>
            </w:r>
          </w:p>
        </w:tc>
        <w:tc>
          <w:tcPr>
            <w:tcW w:w="340" w:type="dxa"/>
            <w:vAlign w:val="bottom"/>
          </w:tcPr>
          <w:p>
            <w:pPr>
              <w:ind w:left="20"/>
              <w:spacing w:after="0"/>
              <w:rPr>
                <w:sz w:val="20"/>
                <w:szCs w:val="20"/>
                <w:color w:val="auto"/>
              </w:rPr>
            </w:pPr>
            <w:r>
              <w:rPr>
                <w:rFonts w:ascii="Arial" w:cs="Arial" w:eastAsia="Arial" w:hAnsi="Arial"/>
                <w:sz w:val="18"/>
                <w:szCs w:val="18"/>
                <w:color w:val="auto"/>
                <w:w w:val="99"/>
              </w:rPr>
              <w:t>and</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their successor(s).</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0"/>
              </w:rPr>
              <w:t>has the meaning ascribed thereto in Section 1.4(a)(i) of Schedule</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1 to these Articles.</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Co-Sale Shares</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88"/>
              </w:rPr>
              <w:t>has the meaning ascribed thereto in Section 11.9 of Schedule 1 to</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these Articles.</w:t>
            </w:r>
          </w:p>
        </w:tc>
        <w:tc>
          <w:tcPr>
            <w:tcW w:w="34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Director</w:t>
            </w:r>
            <w:r>
              <w:rPr>
                <w:rFonts w:ascii="Arial" w:cs="Arial" w:eastAsia="Arial" w:hAnsi="Arial"/>
                <w:sz w:val="18"/>
                <w:szCs w:val="18"/>
                <w:color w:val="auto"/>
              </w:rPr>
              <w:t>”</w:t>
            </w:r>
          </w:p>
        </w:tc>
        <w:tc>
          <w:tcPr>
            <w:tcW w:w="5780" w:type="dxa"/>
            <w:vAlign w:val="bottom"/>
          </w:tcPr>
          <w:p>
            <w:pPr>
              <w:ind w:left="1420"/>
              <w:spacing w:after="0"/>
              <w:rPr>
                <w:sz w:val="20"/>
                <w:szCs w:val="20"/>
                <w:color w:val="auto"/>
              </w:rPr>
            </w:pPr>
            <w:r>
              <w:rPr>
                <w:rFonts w:ascii="Arial" w:cs="Arial" w:eastAsia="Arial" w:hAnsi="Arial"/>
                <w:sz w:val="18"/>
                <w:szCs w:val="18"/>
                <w:color w:val="auto"/>
              </w:rPr>
              <w:t>has the meaning ascribed thereto in Article 27.</w:t>
            </w:r>
          </w:p>
        </w:tc>
        <w:tc>
          <w:tcPr>
            <w:tcW w:w="340" w:type="dxa"/>
            <w:vAlign w:val="bottom"/>
          </w:tcPr>
          <w:p>
            <w:pPr>
              <w:spacing w:after="0"/>
              <w:rPr>
                <w:sz w:val="24"/>
                <w:szCs w:val="24"/>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Investors</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1"/>
              </w:rPr>
              <w:t>means SSG I, Bertelsmann and BlueFocus in their capacities as</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holders of Ordinary Shares.</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Investors’ Option Period</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88"/>
              </w:rPr>
              <w:t>has the meaning ascribed thereto in Section 10.7 of Schedule 1 to</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these Articles.</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1"/>
              </w:rPr>
              <w:t>means a resolution passed by a simple majority of the Members</w:t>
            </w:r>
          </w:p>
        </w:tc>
      </w:tr>
      <w:tr>
        <w:trPr>
          <w:trHeight w:val="216"/>
        </w:trPr>
        <w:tc>
          <w:tcPr>
            <w:tcW w:w="3900" w:type="dxa"/>
            <w:vAlign w:val="bottom"/>
          </w:tcPr>
          <w:p>
            <w:pPr>
              <w:spacing w:after="0"/>
              <w:rPr>
                <w:sz w:val="18"/>
                <w:szCs w:val="18"/>
                <w:color w:val="auto"/>
              </w:rPr>
            </w:pP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3"/>
              </w:rPr>
              <w:t>as, being entitled to do so, vote in person or, where proxies are</w:t>
            </w:r>
          </w:p>
        </w:tc>
      </w:tr>
      <w:tr>
        <w:trPr>
          <w:trHeight w:val="216"/>
        </w:trPr>
        <w:tc>
          <w:tcPr>
            <w:tcW w:w="3900" w:type="dxa"/>
            <w:vAlign w:val="bottom"/>
          </w:tcPr>
          <w:p>
            <w:pPr>
              <w:spacing w:after="0"/>
              <w:rPr>
                <w:sz w:val="18"/>
                <w:szCs w:val="18"/>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w w:val="99"/>
              </w:rPr>
              <w:t>allowed, by proxy at a general meeting, and includes a</w:t>
            </w:r>
          </w:p>
        </w:tc>
        <w:tc>
          <w:tcPr>
            <w:tcW w:w="3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2"/>
              </w:rPr>
              <w:t>unanimous written resolution. In computing the majority when a</w:t>
            </w:r>
          </w:p>
        </w:tc>
      </w:tr>
      <w:tr>
        <w:trPr>
          <w:trHeight w:val="216"/>
        </w:trPr>
        <w:tc>
          <w:tcPr>
            <w:tcW w:w="3900" w:type="dxa"/>
            <w:vAlign w:val="bottom"/>
          </w:tcPr>
          <w:p>
            <w:pPr>
              <w:spacing w:after="0"/>
              <w:rPr>
                <w:sz w:val="18"/>
                <w:szCs w:val="18"/>
                <w:color w:val="auto"/>
              </w:rPr>
            </w:pP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1"/>
              </w:rPr>
              <w:t>poll is taken regard shall be had to the number of votes to which</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each Member is entitled by the Articles.</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0"/>
              </w:rPr>
              <w:t>means the ordinary shares, par value US$0.001 per share, in the</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capital of the Company.</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 Equivalents</w:t>
            </w:r>
            <w:r>
              <w:rPr>
                <w:rFonts w:ascii="Arial" w:cs="Arial" w:eastAsia="Arial" w:hAnsi="Arial"/>
                <w:sz w:val="18"/>
                <w:szCs w:val="18"/>
                <w:color w:val="auto"/>
              </w:rPr>
              <w:t>”</w:t>
            </w:r>
          </w:p>
        </w:tc>
        <w:tc>
          <w:tcPr>
            <w:tcW w:w="5780" w:type="dxa"/>
            <w:vAlign w:val="bottom"/>
          </w:tcPr>
          <w:p>
            <w:pPr>
              <w:ind w:left="1420"/>
              <w:spacing w:after="0"/>
              <w:rPr>
                <w:sz w:val="20"/>
                <w:szCs w:val="20"/>
                <w:color w:val="auto"/>
              </w:rPr>
            </w:pPr>
            <w:r>
              <w:rPr>
                <w:rFonts w:ascii="Arial" w:cs="Arial" w:eastAsia="Arial" w:hAnsi="Arial"/>
                <w:sz w:val="18"/>
                <w:szCs w:val="18"/>
                <w:color w:val="auto"/>
                <w:w w:val="91"/>
              </w:rPr>
              <w:t>means warrants, options and rights exercisable for Ordinary</w:t>
            </w:r>
          </w:p>
        </w:tc>
        <w:tc>
          <w:tcPr>
            <w:tcW w:w="34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w w:val="90"/>
              </w:rPr>
              <w:t>Shares and instruments convertible into or exchangeable for</w:t>
            </w:r>
          </w:p>
        </w:tc>
        <w:tc>
          <w:tcPr>
            <w:tcW w:w="3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6"/>
              </w:rPr>
              <w:t>Ordinary Shares, including, without limitation, the Preference</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Overallotment Notice</w:t>
            </w:r>
            <w:r>
              <w:rPr>
                <w:rFonts w:ascii="Arial" w:cs="Arial" w:eastAsia="Arial" w:hAnsi="Arial"/>
                <w:sz w:val="18"/>
                <w:szCs w:val="18"/>
                <w:color w:val="auto"/>
              </w:rPr>
              <w:t>”</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w w:val="90"/>
              </w:rPr>
              <w:t>has the meaning ascribed thereto in Section 8.4 of Schedule 1 of</w:t>
            </w:r>
          </w:p>
        </w:tc>
      </w:tr>
      <w:tr>
        <w:trPr>
          <w:trHeight w:val="230"/>
        </w:trPr>
        <w:tc>
          <w:tcPr>
            <w:tcW w:w="3900" w:type="dxa"/>
            <w:vAlign w:val="bottom"/>
          </w:tcPr>
          <w:p>
            <w:pPr>
              <w:spacing w:after="0"/>
              <w:rPr>
                <w:sz w:val="20"/>
                <w:szCs w:val="20"/>
                <w:color w:val="auto"/>
              </w:rPr>
            </w:pPr>
          </w:p>
        </w:tc>
        <w:tc>
          <w:tcPr>
            <w:tcW w:w="5780" w:type="dxa"/>
            <w:vAlign w:val="bottom"/>
          </w:tcPr>
          <w:p>
            <w:pPr>
              <w:ind w:left="1420"/>
              <w:spacing w:after="0"/>
              <w:rPr>
                <w:sz w:val="20"/>
                <w:szCs w:val="20"/>
                <w:color w:val="auto"/>
              </w:rPr>
            </w:pPr>
            <w:r>
              <w:rPr>
                <w:rFonts w:ascii="Arial" w:cs="Arial" w:eastAsia="Arial" w:hAnsi="Arial"/>
                <w:sz w:val="18"/>
                <w:szCs w:val="18"/>
                <w:color w:val="auto"/>
              </w:rPr>
              <w:t>these Articles.</w:t>
            </w:r>
          </w:p>
        </w:tc>
        <w:tc>
          <w:tcPr>
            <w:tcW w:w="340" w:type="dxa"/>
            <w:vAlign w:val="bottom"/>
          </w:tcPr>
          <w:p>
            <w:pPr>
              <w:spacing w:after="0"/>
              <w:rPr>
                <w:sz w:val="20"/>
                <w:szCs w:val="20"/>
                <w:color w:val="auto"/>
              </w:rPr>
            </w:pPr>
          </w:p>
        </w:tc>
      </w:tr>
      <w:tr>
        <w:trPr>
          <w:trHeight w:val="365"/>
        </w:trPr>
        <w:tc>
          <w:tcPr>
            <w:tcW w:w="3900" w:type="dxa"/>
            <w:vAlign w:val="bottom"/>
          </w:tcPr>
          <w:p>
            <w:pPr>
              <w:spacing w:after="0"/>
              <w:rPr>
                <w:sz w:val="24"/>
                <w:szCs w:val="24"/>
                <w:color w:val="auto"/>
              </w:rPr>
            </w:pPr>
          </w:p>
        </w:tc>
        <w:tc>
          <w:tcPr>
            <w:tcW w:w="5780" w:type="dxa"/>
            <w:vAlign w:val="bottom"/>
          </w:tcPr>
          <w:p>
            <w:pPr>
              <w:ind w:left="10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-5530850</wp:posOffset>
            </wp:positionV>
            <wp:extent cx="2015490" cy="1803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015490" cy="180340"/>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-5179060</wp:posOffset>
            </wp:positionV>
            <wp:extent cx="2761615" cy="3860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61615" cy="386080"/>
                    </a:xfrm>
                    <a:prstGeom prst="rect">
                      <a:avLst/>
                    </a:prstGeom>
                    <a:noFill/>
                  </pic:spPr>
                </pic:pic>
              </a:graphicData>
            </a:graphic>
          </wp:anchor>
        </w:drawing>
      </w:r>
    </w:p>
    <w:p>
      <w:pPr>
        <w:sectPr>
          <w:pgSz w:w="11900" w:h="16838" w:orient="portrait"/>
          <w:cols w:equalWidth="0" w:num="1">
            <w:col w:w="10020"/>
          </w:cols>
          <w:pgMar w:left="940" w:top="486" w:right="939"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and “</w:t>
      </w:r>
      <w:r>
        <w:rPr>
          <w:rFonts w:ascii="Arial" w:cs="Arial" w:eastAsia="Arial" w:hAnsi="Arial"/>
          <w:sz w:val="16"/>
          <w:szCs w:val="16"/>
          <w:b w:val="1"/>
          <w:bCs w:val="1"/>
          <w:color w:val="auto"/>
        </w:rPr>
        <w:t>Permitted Transferees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has the meaning ascribed thereto in Section 13.1 of Schedule 1 to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-525145</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4.5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Preference Amount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2.1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Preference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60"/>
        <w:spacing w:after="0" w:line="312" w:lineRule="auto"/>
        <w:rPr>
          <w:sz w:val="20"/>
          <w:szCs w:val="20"/>
          <w:color w:val="auto"/>
        </w:rPr>
      </w:pPr>
      <w:r>
        <w:rPr>
          <w:rFonts w:ascii="Arial" w:cs="Arial" w:eastAsia="Arial" w:hAnsi="Arial"/>
          <w:sz w:val="16"/>
          <w:szCs w:val="16"/>
          <w:color w:val="auto"/>
        </w:rPr>
        <w:t>means, collectively, the Series E Preference Shares, the Series D Preference Shares, the Series C Preference Shares, the Series B Preference Shares and the Series A Preference Shares.</w:t>
      </w:r>
    </w:p>
    <w:p>
      <w:pPr>
        <w:spacing w:after="0" w:line="143"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93" w:lineRule="auto"/>
        <w:rPr>
          <w:sz w:val="20"/>
          <w:szCs w:val="20"/>
          <w:color w:val="auto"/>
        </w:rPr>
      </w:pPr>
      <w:r>
        <w:rPr>
          <w:rFonts w:ascii="Arial" w:cs="Arial" w:eastAsia="Arial" w:hAnsi="Arial"/>
          <w:sz w:val="16"/>
          <w:szCs w:val="16"/>
          <w:color w:val="auto"/>
        </w:rPr>
        <w:t>means each of the Founders, Mr. Chau Tsun Ming, Jimmy, Arda Holdings, Wong Pi Yan, Selina, Cheng Ka Lar, Cara, Tran Kwok Wai, Robert, Yim Tsz Ling, Sidney, Tang Jian, and Igomax; provided that, if a Qualified IPO has not been consummated by December 31, 2017, each of Tang Jian and Igomax shall cease to be a Principal effective as of January 1, 2018.</w:t>
      </w:r>
    </w:p>
    <w:p>
      <w:pPr>
        <w:spacing w:after="0" w:line="161"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Put Exercise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has the meaning ascribed to it in Section 7.1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Put Option Interest Rate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100"/>
        <w:spacing w:after="0" w:line="264" w:lineRule="auto"/>
        <w:rPr>
          <w:sz w:val="20"/>
          <w:szCs w:val="20"/>
          <w:color w:val="auto"/>
        </w:rPr>
      </w:pPr>
      <w:r>
        <w:rPr>
          <w:rFonts w:ascii="Arial" w:cs="Arial" w:eastAsia="Arial" w:hAnsi="Arial"/>
          <w:sz w:val="18"/>
          <w:szCs w:val="18"/>
          <w:color w:val="auto"/>
        </w:rPr>
        <w:t>means for each of 2015 and 2016, a non-compound interest rate of 18% per annum, and for 2017, a non-compound interest rate of 12% per annum.</w:t>
      </w:r>
    </w:p>
    <w:p>
      <w:pPr>
        <w:spacing w:after="0" w:line="177"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Auditor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any of Deloitte Touche Tohmatsu Limited, PwC, Ernst &amp; Young or KPMG.</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QIPO Put Option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7.1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QIPO Put Price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7.1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QIPO Put Trigger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ascribed thereto in Section 7.1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Auditor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the Series D SPA.</w:t>
      </w:r>
    </w:p>
    <w:p>
      <w:pPr>
        <w:spacing w:after="0" w:line="180"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020"/>
          </w:cols>
          <w:pgMar w:left="940" w:top="486" w:right="939" w:bottom="1440" w:gutter="0" w:footer="0" w:header="0"/>
          <w:type w:val="continuous"/>
        </w:sectPr>
      </w:pPr>
    </w:p>
    <w:bookmarkStart w:id="327" w:name="page328"/>
    <w:bookmarkEnd w:id="327"/>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IPO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means the first firm commitment underwritten registered public offering by the Company of its Ordinary Shares for its own account that results in such securities being listed or registered on NASDAQ Stock Exchange, New York Stock Exchange, Hong Kong Stock Exchange, the Shenzhen Stock Exchange, Shanghai Stock Exchange or such other international recognized stock exchange approved in writing by SWHY, BlueFocus, Bertelsmann and the Majority Series A Holders, (i) with an offering price (net of underwriting commissions and expenses) that implies a market capitalization of the Company immediately prior to such offering of not less than US$600,000,000 (if on or prior to December 31, 2017) or US$650,000,000 (if on or after January 1, 2018); and (ii) which results in aggregate cash proceeds to the Company of not less than US$150,000,000 (or an equivalent amount thereof in another currency) prior to deduction of underwriting discounts, commissions and expenses, except that if such first firm commitment underwritten registered public offering by the Company is on NASDAQ or NYSE, then the aggregate cash proceeds to the Company resulting from such could be less than US$150,000,000 (or an equivalent amount thereof in another currency) prior to deduction of underwriting discounts, commissions and expenses. For the avoidance of doubt, the total amount of deduction in item (ii) shall not exceed US$30,000,000 unless otherwise approved by the Board including the affirmative consent of the Series A Director, the Series B Director and the Series 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-3816350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600" w:space="720"/>
            <w:col w:w="4700"/>
          </w:cols>
          <w:pgMar w:left="940" w:top="485" w:right="939" w:bottom="144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M&amp;A Event 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7"/>
          <w:szCs w:val="17"/>
          <w:color w:val="auto"/>
        </w:rPr>
        <w:t>means (i) a merger or acquisition of the Company or any of its Subsidiaries in which the shareholders of the Company do not directly or indirectly own a majority of the issued and outstanding shares of the surviving corporation or (ii) a sale of all or substantially all of the assets of the Company or the assets of its Subsidiaries, in each case, which implies an equity valuation of the Group of US$300,000,000 or higher.</w:t>
      </w:r>
    </w:p>
    <w:p>
      <w:pPr>
        <w:spacing w:after="0" w:line="110"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20"/>
          </w:cols>
          <w:pgMar w:left="940" w:top="485" w:right="939" w:bottom="1440" w:gutter="0" w:footer="0" w:header="0"/>
          <w:type w:val="continuous"/>
        </w:sectPr>
      </w:pPr>
    </w:p>
    <w:bookmarkStart w:id="328" w:name="page329"/>
    <w:bookmarkEnd w:id="328"/>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M&amp;A Event 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1" w:lineRule="auto"/>
        <w:rPr>
          <w:sz w:val="20"/>
          <w:szCs w:val="20"/>
          <w:color w:val="auto"/>
        </w:rPr>
      </w:pPr>
      <w:r>
        <w:rPr>
          <w:rFonts w:ascii="Arial" w:cs="Arial" w:eastAsia="Arial" w:hAnsi="Arial"/>
          <w:sz w:val="17"/>
          <w:szCs w:val="17"/>
          <w:color w:val="auto"/>
        </w:rPr>
        <w:t>means (i) a merger or acquisition of the Company or any of its Subsidiaries in which the shareholders of the Company do not directly or indirectly own a majority of the issued and outstanding shares of the surviving corporation or (ii) a sale of all or substantially all of the assets of the Company or the assets of its Subsidiaries, in each case, which implies an equity valuation of the Group of US$250,000,000 or higher, but lower than US$300,000,000.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-1343025</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600" w:space="720"/>
            <w:col w:w="4680"/>
          </w:cols>
          <w:pgMar w:left="940" w:top="486" w:right="959" w:bottom="144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Ordinary Investor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has the meaning ascribed thereto in Section 8.6 of Schedule 1 to these Articles.</w:t>
      </w:r>
    </w:p>
    <w:p>
      <w:pPr>
        <w:spacing w:after="0" w:line="166"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has the meaning ascribed thereto in Section 4.2(b) of Schedule 1 to these Articles.</w:t>
      </w:r>
    </w:p>
    <w:p>
      <w:pPr>
        <w:spacing w:after="0" w:line="166"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means, in respect of the Series A Preference Shares, the Series A Redemption Price, in respect of the Series B Preference Shares, the Series B Redemption Price, in respect of the Series C Preference Shares, the Series C Redemption Price, in respect of the Series D Preference Shares, the Series D Redemption Price, and in respect of the Series E Preference Share, the Series E Redemption Price.</w:t>
      </w:r>
    </w:p>
    <w:p>
      <w:pPr>
        <w:spacing w:after="0" w:line="174"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has the meaning ascribed thereto in Section 4.2(c) of Schedule 1 to these Articles.</w:t>
      </w:r>
    </w:p>
    <w:p>
      <w:pPr>
        <w:spacing w:after="0" w:line="166"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 of Members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means the register maintained in accordance with the Statute and includes (except where otherwise stated) any duplicate Register of Members.</w:t>
      </w:r>
    </w:p>
    <w:p>
      <w:pPr>
        <w:spacing w:after="0" w:line="177"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Office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for the time being of the Company.</w:t>
      </w:r>
    </w:p>
    <w:p>
      <w:pPr>
        <w:spacing w:after="0" w:line="200"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Remaining Securities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has the meaning ascribed thereto in Section 8.2 of Schedule 1 to these Articles.</w:t>
      </w:r>
    </w:p>
    <w:p>
      <w:pPr>
        <w:spacing w:after="0" w:line="166"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Residual Amount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the Series D SPA.</w:t>
      </w:r>
    </w:p>
    <w:p>
      <w:pPr>
        <w:spacing w:after="0" w:line="200"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Revenue Target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ascribed thereto in the Series D SPA.</w:t>
      </w:r>
    </w:p>
    <w:p>
      <w:pPr>
        <w:spacing w:after="0" w:line="181" w:lineRule="exact"/>
        <w:rPr>
          <w:sz w:val="20"/>
          <w:szCs w:val="20"/>
          <w:color w:val="auto"/>
        </w:rPr>
      </w:pPr>
    </w:p>
    <w:p>
      <w:pPr>
        <w:sectPr>
          <w:pgSz w:w="11900" w:h="16838" w:orient="portrait"/>
          <w:cols w:equalWidth="0" w:num="2">
            <w:col w:w="4600" w:space="720"/>
            <w:col w:w="4680"/>
          </w:cols>
          <w:pgMar w:left="940" w:top="486" w:right="9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00"/>
          </w:cols>
          <w:pgMar w:left="940" w:top="486" w:right="959" w:bottom="1440" w:gutter="0" w:footer="0" w:header="0"/>
          <w:type w:val="continuous"/>
        </w:sectPr>
      </w:pPr>
    </w:p>
    <w:bookmarkStart w:id="329" w:name="page330"/>
    <w:bookmarkEnd w:id="32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Notice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Pre-emptive Notice</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Pre-emptive Rights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Remaining Securities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Shareholder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Conversion Price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Director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Issue Price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 Preference Amount</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A Preference Shares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A Redemption Price</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SPA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Conversion Price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400" w:right="240"/>
        <w:spacing w:after="0" w:line="308" w:lineRule="auto"/>
        <w:rPr>
          <w:sz w:val="20"/>
          <w:szCs w:val="20"/>
          <w:color w:val="auto"/>
        </w:rPr>
      </w:pPr>
      <w:r>
        <w:rPr>
          <w:rFonts w:ascii="Arial" w:cs="Arial" w:eastAsia="Arial" w:hAnsi="Arial"/>
          <w:sz w:val="17"/>
          <w:szCs w:val="17"/>
          <w:color w:val="auto"/>
        </w:rPr>
        <w:t>means the third amended and restated right of first refusal and co-sale agreement dated December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-540385</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7" w:lineRule="exact"/>
        <w:rPr>
          <w:sz w:val="20"/>
          <w:szCs w:val="20"/>
          <w:color w:val="auto"/>
        </w:rPr>
      </w:pPr>
    </w:p>
    <w:p>
      <w:pPr>
        <w:ind w:left="400" w:right="380"/>
        <w:spacing w:after="0" w:line="277" w:lineRule="auto"/>
        <w:rPr>
          <w:sz w:val="20"/>
          <w:szCs w:val="20"/>
          <w:color w:val="auto"/>
        </w:rPr>
      </w:pPr>
      <w:r>
        <w:rPr>
          <w:rFonts w:ascii="Arial" w:cs="Arial" w:eastAsia="Arial" w:hAnsi="Arial"/>
          <w:sz w:val="18"/>
          <w:szCs w:val="18"/>
          <w:color w:val="auto"/>
        </w:rPr>
        <w:t>means the common seal of the Company and includes every duplicate seal.</w:t>
      </w:r>
    </w:p>
    <w:p>
      <w:pPr>
        <w:spacing w:after="0" w:line="170"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has the meaning ascribed thereto in Section 10.2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8.2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8.2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8.3 of Schedule 1 to these Articles.</w:t>
      </w:r>
    </w:p>
    <w:p>
      <w:pPr>
        <w:spacing w:after="0" w:line="170"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has the meaning ascribed thereto in Section 11.1 of Schedule 1 to these Articles.</w:t>
      </w:r>
    </w:p>
    <w:p>
      <w:pPr>
        <w:spacing w:after="0" w:line="170" w:lineRule="exact"/>
        <w:rPr>
          <w:sz w:val="20"/>
          <w:szCs w:val="20"/>
          <w:color w:val="auto"/>
        </w:rPr>
      </w:pPr>
    </w:p>
    <w:p>
      <w:pPr>
        <w:ind w:left="400" w:right="40"/>
        <w:spacing w:after="0" w:line="277" w:lineRule="auto"/>
        <w:rPr>
          <w:sz w:val="20"/>
          <w:szCs w:val="20"/>
          <w:color w:val="auto"/>
        </w:rPr>
      </w:pPr>
      <w:r>
        <w:rPr>
          <w:rFonts w:ascii="Arial" w:cs="Arial" w:eastAsia="Arial" w:hAnsi="Arial"/>
          <w:sz w:val="18"/>
          <w:szCs w:val="18"/>
          <w:color w:val="auto"/>
        </w:rPr>
        <w:t>has the meaning ascribed thereto in Section 1.1(c)(i) of Schedule 1 to these Articles.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has the meaning ascribed thereto in Article 27.1(a).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means US$1.05 per Series A Preference Share.</w:t>
      </w:r>
    </w:p>
    <w:p>
      <w:pPr>
        <w:spacing w:after="0" w:line="225"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has the meaning ascribed thereto in Section 2.1(e) of Schedule 1 to these Articles.</w:t>
      </w:r>
    </w:p>
    <w:p>
      <w:pPr>
        <w:spacing w:after="0" w:line="170" w:lineRule="exact"/>
        <w:rPr>
          <w:sz w:val="20"/>
          <w:szCs w:val="20"/>
          <w:color w:val="auto"/>
        </w:rPr>
      </w:pPr>
    </w:p>
    <w:p>
      <w:pPr>
        <w:ind w:left="400" w:right="200"/>
        <w:spacing w:after="0" w:line="277" w:lineRule="auto"/>
        <w:rPr>
          <w:sz w:val="20"/>
          <w:szCs w:val="20"/>
          <w:color w:val="auto"/>
        </w:rPr>
      </w:pPr>
      <w:r>
        <w:rPr>
          <w:rFonts w:ascii="Arial" w:cs="Arial" w:eastAsia="Arial" w:hAnsi="Arial"/>
          <w:sz w:val="18"/>
          <w:szCs w:val="18"/>
          <w:color w:val="auto"/>
        </w:rPr>
        <w:t>means the Series A redeemable convertible preferred shares of the Company, par value US$0.001 per share.</w:t>
      </w:r>
    </w:p>
    <w:p>
      <w:pPr>
        <w:spacing w:after="0" w:line="170"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has the meaning ascribed thereto in Section 4.1(b) of Schedule 1 to these Articles.</w:t>
      </w:r>
    </w:p>
    <w:p>
      <w:pPr>
        <w:spacing w:after="0" w:line="170" w:lineRule="exact"/>
        <w:rPr>
          <w:sz w:val="20"/>
          <w:szCs w:val="20"/>
          <w:color w:val="auto"/>
        </w:rPr>
      </w:pPr>
    </w:p>
    <w:p>
      <w:pPr>
        <w:ind w:left="400" w:right="80"/>
        <w:spacing w:after="0" w:line="286" w:lineRule="auto"/>
        <w:rPr>
          <w:sz w:val="20"/>
          <w:szCs w:val="20"/>
          <w:color w:val="auto"/>
        </w:rPr>
      </w:pPr>
      <w:r>
        <w:rPr>
          <w:rFonts w:ascii="Arial" w:cs="Arial" w:eastAsia="Arial" w:hAnsi="Arial"/>
          <w:sz w:val="17"/>
          <w:szCs w:val="17"/>
          <w:color w:val="auto"/>
        </w:rPr>
        <w:t>means the Series A Preference Share and Warrant Purchase Agreement dated February 12, 2010, entered into by and among the Company, Sumitomo, and certain other parties.</w:t>
      </w:r>
    </w:p>
    <w:p>
      <w:pPr>
        <w:spacing w:after="0" w:line="166" w:lineRule="exact"/>
        <w:rPr>
          <w:sz w:val="20"/>
          <w:szCs w:val="20"/>
          <w:color w:val="auto"/>
        </w:rPr>
      </w:pPr>
    </w:p>
    <w:p>
      <w:pPr>
        <w:ind w:left="400" w:right="680"/>
        <w:spacing w:after="0" w:line="277" w:lineRule="auto"/>
        <w:rPr>
          <w:sz w:val="20"/>
          <w:szCs w:val="20"/>
          <w:color w:val="auto"/>
        </w:rPr>
      </w:pPr>
      <w:r>
        <w:rPr>
          <w:rFonts w:ascii="Arial" w:cs="Arial" w:eastAsia="Arial" w:hAnsi="Arial"/>
          <w:sz w:val="18"/>
          <w:szCs w:val="18"/>
          <w:color w:val="auto"/>
        </w:rPr>
        <w:t>has the meaning ascribed thereto in Section 1.1(c)(ii) of Schedule 1 to these Articles.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4200" w:space="720"/>
            <w:col w:w="5100"/>
          </w:cols>
          <w:pgMar w:left="940" w:top="486" w:right="939" w:bottom="1440" w:gutter="0" w:footer="0" w:header="0"/>
        </w:sectPr>
      </w:pPr>
    </w:p>
    <w:bookmarkStart w:id="330" w:name="page331"/>
    <w:bookmarkEnd w:id="330"/>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Article 27.1(a).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-338455</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4700"/>
          </w:cols>
          <w:pgMar w:left="940" w:top="486" w:right="93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Issue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means the per share price for the Series B Preference Shares referred to in the Series B SPA.</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Preference Amount”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has the meaning ascribed thereto in Section 2.1(d)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Preference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the Series B redeemable convertible preferred shares of the Company, par value US$0.001 per share.</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Redemption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has the meaning ascribed thereto in Section 4.1(a)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SPA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Arial" w:cs="Arial" w:eastAsia="Arial" w:hAnsi="Arial"/>
          <w:sz w:val="16"/>
          <w:szCs w:val="16"/>
          <w:color w:val="auto"/>
        </w:rPr>
        <w:t>means the Series B Preference Share and Warrant Purchase Agreement dated February 21, 2011, entered into by and among the Company, Bertelsmann, and certain other parties.</w:t>
      </w:r>
    </w:p>
    <w:p>
      <w:pPr>
        <w:spacing w:after="0" w:line="143"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Conversion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has the meaning ascribed thereto in Section 1.1(c)(iii)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Co-Sale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has the meaning ascribed thereto in Section 11.8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Investor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the Shareholders Agreement.</w:t>
      </w:r>
    </w:p>
    <w:p>
      <w:pPr>
        <w:spacing w:after="0" w:line="200"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Investor’s Option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 the meaning ascribed thereto in Section 10.6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Issue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312" w:lineRule="auto"/>
        <w:rPr>
          <w:sz w:val="20"/>
          <w:szCs w:val="20"/>
          <w:color w:val="auto"/>
        </w:rPr>
      </w:pPr>
      <w:r>
        <w:rPr>
          <w:rFonts w:ascii="Arial" w:cs="Arial" w:eastAsia="Arial" w:hAnsi="Arial"/>
          <w:sz w:val="16"/>
          <w:szCs w:val="16"/>
          <w:color w:val="auto"/>
        </w:rPr>
        <w:t>means (i) the Purchase Price as defined in the Series C Subscription Agreement divided by (ii) the number of Purchased Shares as defined in the Series C Subscription Agreement.</w:t>
      </w:r>
    </w:p>
    <w:p>
      <w:pPr>
        <w:spacing w:after="0" w:line="143"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Preference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the Series C redeemable convertible preferred shares of the Company, par value US$0.001 per share.</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Redemption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has the meaning ascribed thereto in Section 4.1(c)(iv) of Schedule 1 to these Articles.</w:t>
      </w:r>
    </w:p>
    <w:p>
      <w:pPr>
        <w:spacing w:after="0" w:line="103"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20"/>
          </w:cols>
          <w:pgMar w:left="940" w:top="486" w:right="939" w:bottom="1440" w:gutter="0" w:footer="0" w:header="0"/>
          <w:type w:val="continuous"/>
        </w:sectPr>
      </w:pPr>
    </w:p>
    <w:bookmarkStart w:id="331" w:name="page332"/>
    <w:bookmarkEnd w:id="331"/>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Subscription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means the Series C Preference Share Subscription Agreement dated December 16, 2013, entered into by and among the Company, SSG II, and certain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-665480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600" w:space="720"/>
            <w:col w:w="4700"/>
          </w:cols>
          <w:pgMar w:left="940" w:top="486" w:right="9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Co-Sale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has the meaning ascribed thereto in Section 11.6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Conversion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has the meaning ascribed thereto in Section 1.1(c)(iv)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Article 27.1(a).</w:t>
      </w:r>
    </w:p>
    <w:p>
      <w:pPr>
        <w:spacing w:after="0" w:line="200"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Investor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forth in the Shareholders Agreement.</w:t>
      </w:r>
    </w:p>
    <w:p>
      <w:pPr>
        <w:spacing w:after="0" w:line="200"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Investor’s Option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 the meaning ascribed thereto in Section 10.4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Original Issue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means the first date on which any Series D Preference Share is issued by the Company.</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Preference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the Series D redeemable convertible preferred shares of the Company, par value US$0.001 per share.</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Preference Amount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has the meaning ascribed thereto in Section 2.1(c)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Redemption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80"/>
        <w:spacing w:after="0" w:line="277" w:lineRule="auto"/>
        <w:rPr>
          <w:sz w:val="20"/>
          <w:szCs w:val="20"/>
          <w:color w:val="auto"/>
        </w:rPr>
      </w:pPr>
      <w:r>
        <w:rPr>
          <w:rFonts w:ascii="Arial" w:cs="Arial" w:eastAsia="Arial" w:hAnsi="Arial"/>
          <w:sz w:val="18"/>
          <w:szCs w:val="18"/>
          <w:color w:val="auto"/>
        </w:rPr>
        <w:t>has the meaning ascribed thereto in Section 4.1(d)(v)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SPA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342" w:lineRule="auto"/>
        <w:rPr>
          <w:sz w:val="20"/>
          <w:szCs w:val="20"/>
          <w:color w:val="auto"/>
        </w:rPr>
      </w:pPr>
      <w:r>
        <w:rPr>
          <w:rFonts w:ascii="Arial" w:cs="Arial" w:eastAsia="Arial" w:hAnsi="Arial"/>
          <w:sz w:val="16"/>
          <w:szCs w:val="16"/>
          <w:color w:val="auto"/>
        </w:rPr>
        <w:t>means the Share Subscription Agreement dated December 16, 2014, entered into by and among the Company and BlueFocus.</w:t>
      </w:r>
    </w:p>
    <w:p>
      <w:pPr>
        <w:spacing w:after="0" w:line="120"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Investor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forth in the Shareholders Agreement</w:t>
      </w:r>
    </w:p>
    <w:p>
      <w:pPr>
        <w:spacing w:after="0" w:line="200"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Conversion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 the meaning ascribed thereto in Section 1.1(c)(v)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Investor’s Option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has the meaning ascribed thereto in Section 10.3 of Schedule 1 to these Articles.</w:t>
      </w:r>
    </w:p>
    <w:p>
      <w:pPr>
        <w:spacing w:after="0" w:line="103" w:lineRule="exact"/>
        <w:rPr>
          <w:sz w:val="20"/>
          <w:szCs w:val="20"/>
          <w:color w:val="auto"/>
        </w:rPr>
      </w:pPr>
    </w:p>
    <w:p>
      <w:pPr>
        <w:sectPr>
          <w:pgSz w:w="11900" w:h="16838" w:orient="portrait"/>
          <w:cols w:equalWidth="0" w:num="2">
            <w:col w:w="4600" w:space="720"/>
            <w:col w:w="4700"/>
          </w:cols>
          <w:pgMar w:left="940" w:top="486" w:right="9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20"/>
          </w:cols>
          <w:pgMar w:left="940" w:top="486" w:right="939" w:bottom="1440" w:gutter="0" w:footer="0" w:header="0"/>
          <w:type w:val="continuous"/>
        </w:sectPr>
      </w:pPr>
    </w:p>
    <w:bookmarkStart w:id="332" w:name="page333"/>
    <w:bookmarkEnd w:id="332"/>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Issue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312" w:lineRule="auto"/>
        <w:rPr>
          <w:sz w:val="20"/>
          <w:szCs w:val="20"/>
          <w:color w:val="auto"/>
        </w:rPr>
      </w:pPr>
      <w:r>
        <w:rPr>
          <w:rFonts w:ascii="Arial" w:cs="Arial" w:eastAsia="Arial" w:hAnsi="Arial"/>
          <w:sz w:val="16"/>
          <w:szCs w:val="16"/>
          <w:color w:val="auto"/>
        </w:rPr>
        <w:t>means (i) the Purchase Price as defined in the Series E Subscription Agreement divided by (ii) the number of Purchased Shares as defined in the Series 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-676910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4600" w:space="720"/>
            <w:col w:w="4700"/>
          </w:cols>
          <w:pgMar w:left="940" w:top="485" w:right="9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Original Issue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the first date on which any Series E Preference Share is issued by the Company.</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Preference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means the Series E redeemable convertible preferred shares of the Company, par value US$0.001 per share.</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Preference Amount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has the meaning ascribed thereto in Section 2.1(b)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Redemption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has the meaning ascribed thereto in Section 4.1(e)(vi)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SPA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60"/>
        <w:spacing w:after="0" w:line="264" w:lineRule="auto"/>
        <w:rPr>
          <w:sz w:val="20"/>
          <w:szCs w:val="20"/>
          <w:color w:val="auto"/>
        </w:rPr>
      </w:pPr>
      <w:r>
        <w:rPr>
          <w:rFonts w:ascii="Arial" w:cs="Arial" w:eastAsia="Arial" w:hAnsi="Arial"/>
          <w:sz w:val="18"/>
          <w:szCs w:val="18"/>
          <w:color w:val="auto"/>
        </w:rPr>
        <w:t>means Series E Shares Subscription Agreement dated December 19, 2016, entered into by and among the Company, SWHY and other parties named therein.</w:t>
      </w:r>
    </w:p>
    <w:p>
      <w:pPr>
        <w:spacing w:after="0" w:line="177"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Seventh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has the meaning ascribed thereto in Section 10.6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and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means the Ordinary Shares, the Series A Preference Shares, the Series B Preference Shares, the Series C Preference, the Series D Preference Shares, and the Series E Preference Shares and includes a fraction of a share.</w:t>
      </w:r>
    </w:p>
    <w:p>
      <w:pPr>
        <w:spacing w:after="0" w:line="167"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means the fourth amended and restated Shareholders Agreement dated November 28 2016, entered into by and among the Company and all shareholders of the Company, as amended or restated from time to time.</w:t>
      </w:r>
    </w:p>
    <w:p>
      <w:pPr>
        <w:spacing w:after="0" w:line="183"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Sixth Notice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has the meaning ascribed thereto in Section 10.5(e) of Schedule 1 to these Articles.</w:t>
      </w:r>
    </w:p>
    <w:p>
      <w:pPr>
        <w:spacing w:after="0" w:line="166"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Resolution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4" w:lineRule="auto"/>
        <w:rPr>
          <w:sz w:val="20"/>
          <w:szCs w:val="20"/>
          <w:color w:val="auto"/>
        </w:rPr>
      </w:pPr>
      <w:r>
        <w:rPr>
          <w:rFonts w:ascii="Arial" w:cs="Arial" w:eastAsia="Arial" w:hAnsi="Arial"/>
          <w:sz w:val="18"/>
          <w:szCs w:val="18"/>
          <w:color w:val="auto"/>
        </w:rPr>
        <w:t>has the same meaning as in the Statute, and includes a unanimous written resolution, subject to Sections 6.1, 6.1A and 6.1B of Schedule 1 to these Articles.</w:t>
      </w:r>
    </w:p>
    <w:p>
      <w:pPr>
        <w:spacing w:after="0" w:line="114" w:lineRule="exact"/>
        <w:rPr>
          <w:sz w:val="20"/>
          <w:szCs w:val="20"/>
          <w:color w:val="auto"/>
        </w:rPr>
      </w:pPr>
    </w:p>
    <w:p>
      <w:pPr>
        <w:sectPr>
          <w:pgSz w:w="11900" w:h="16838" w:orient="portrait"/>
          <w:cols w:equalWidth="0" w:num="2">
            <w:col w:w="4600" w:space="720"/>
            <w:col w:w="4700"/>
          </w:cols>
          <w:pgMar w:left="940" w:top="485" w:right="9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20"/>
          </w:cols>
          <w:pgMar w:left="940" w:top="485" w:right="939" w:bottom="1440" w:gutter="0" w:footer="0" w:header="0"/>
          <w:type w:val="continuous"/>
        </w:sectPr>
      </w:pPr>
    </w:p>
    <w:bookmarkStart w:id="333" w:name="page334"/>
    <w:bookmarkEnd w:id="33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SSG 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SSG I Ordinary Shares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SSG 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SSG Director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Sumitomo</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SWHY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Notice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Pre-emptive Holders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Pre-emptive Notice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Remaining Securities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400" w:right="620"/>
        <w:spacing w:after="0" w:line="277" w:lineRule="auto"/>
        <w:rPr>
          <w:sz w:val="20"/>
          <w:szCs w:val="20"/>
          <w:color w:val="auto"/>
        </w:rPr>
      </w:pPr>
      <w:r>
        <w:rPr>
          <w:rFonts w:ascii="Arial" w:cs="Arial" w:eastAsia="Arial" w:hAnsi="Arial"/>
          <w:sz w:val="18"/>
          <w:szCs w:val="18"/>
          <w:color w:val="auto"/>
        </w:rPr>
        <w:t>means SSG Capital Partners I, L.P., a limited partnership 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-525145</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0" w:lineRule="exact"/>
        <w:rPr>
          <w:sz w:val="20"/>
          <w:szCs w:val="20"/>
          <w:color w:val="auto"/>
        </w:rPr>
      </w:pPr>
    </w:p>
    <w:p>
      <w:pPr>
        <w:ind w:left="400" w:right="280"/>
        <w:spacing w:after="0" w:line="259" w:lineRule="auto"/>
        <w:rPr>
          <w:sz w:val="20"/>
          <w:szCs w:val="20"/>
          <w:color w:val="auto"/>
        </w:rPr>
      </w:pPr>
      <w:r>
        <w:rPr>
          <w:rFonts w:ascii="Arial" w:cs="Arial" w:eastAsia="Arial" w:hAnsi="Arial"/>
          <w:sz w:val="18"/>
          <w:szCs w:val="18"/>
          <w:color w:val="auto"/>
        </w:rPr>
        <w:t>means the Ordinary Shares acquired by SSG I pursuant to the Ordinary Shares Purchase Agreement dated January 26, 2011 entered into by any among the Company, SSG I, and certain other parties.</w:t>
      </w:r>
    </w:p>
    <w:p>
      <w:pPr>
        <w:spacing w:after="0" w:line="187" w:lineRule="exact"/>
        <w:rPr>
          <w:sz w:val="20"/>
          <w:szCs w:val="20"/>
          <w:color w:val="auto"/>
        </w:rPr>
      </w:pPr>
    </w:p>
    <w:p>
      <w:pPr>
        <w:ind w:left="400" w:right="560"/>
        <w:spacing w:after="0" w:line="277" w:lineRule="auto"/>
        <w:rPr>
          <w:sz w:val="20"/>
          <w:szCs w:val="20"/>
          <w:color w:val="auto"/>
        </w:rPr>
      </w:pPr>
      <w:r>
        <w:rPr>
          <w:rFonts w:ascii="Arial" w:cs="Arial" w:eastAsia="Arial" w:hAnsi="Arial"/>
          <w:sz w:val="18"/>
          <w:szCs w:val="18"/>
          <w:color w:val="auto"/>
        </w:rPr>
        <w:t>means SSG Capital Partners II, L.P., a limited partnership registered in the Cayman Islands.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has the meaning ascribed in Article 27.1.</w:t>
      </w:r>
    </w:p>
    <w:p>
      <w:pPr>
        <w:spacing w:after="0" w:line="225" w:lineRule="exact"/>
        <w:rPr>
          <w:sz w:val="20"/>
          <w:szCs w:val="20"/>
          <w:color w:val="auto"/>
        </w:rPr>
      </w:pPr>
    </w:p>
    <w:p>
      <w:pPr>
        <w:ind w:left="400" w:right="40"/>
        <w:spacing w:after="0" w:line="277" w:lineRule="auto"/>
        <w:rPr>
          <w:sz w:val="20"/>
          <w:szCs w:val="20"/>
          <w:color w:val="auto"/>
        </w:rPr>
      </w:pPr>
      <w:r>
        <w:rPr>
          <w:rFonts w:ascii="Arial" w:cs="Arial" w:eastAsia="Arial" w:hAnsi="Arial"/>
          <w:sz w:val="18"/>
          <w:szCs w:val="18"/>
          <w:color w:val="auto"/>
        </w:rPr>
        <w:t>means the Companies Law (as amended) of the Cayman Islands, as may be amended from time to time.</w:t>
      </w:r>
    </w:p>
    <w:p>
      <w:pPr>
        <w:spacing w:after="0" w:line="170" w:lineRule="exact"/>
        <w:rPr>
          <w:sz w:val="20"/>
          <w:szCs w:val="20"/>
          <w:color w:val="auto"/>
        </w:rPr>
      </w:pPr>
    </w:p>
    <w:p>
      <w:pPr>
        <w:ind w:left="400" w:right="20"/>
        <w:spacing w:after="0" w:line="257" w:lineRule="auto"/>
        <w:rPr>
          <w:sz w:val="20"/>
          <w:szCs w:val="20"/>
          <w:color w:val="auto"/>
        </w:rPr>
      </w:pPr>
      <w:r>
        <w:rPr>
          <w:rFonts w:ascii="Arial" w:cs="Arial" w:eastAsia="Arial" w:hAnsi="Arial"/>
          <w:sz w:val="18"/>
          <w:szCs w:val="18"/>
          <w:color w:val="auto"/>
        </w:rPr>
        <w:t>means, with respect to any specified person, any person of which the specified person, directly or indirectly, owns or Controls more than fifty percent (50%) of the issued and outstanding authorized capital, share capital, voting interests or registered capital.</w:t>
      </w:r>
    </w:p>
    <w:p>
      <w:pPr>
        <w:spacing w:after="0" w:line="188" w:lineRule="exact"/>
        <w:rPr>
          <w:sz w:val="20"/>
          <w:szCs w:val="20"/>
          <w:color w:val="auto"/>
        </w:rPr>
      </w:pPr>
    </w:p>
    <w:p>
      <w:pPr>
        <w:ind w:left="400" w:right="300"/>
        <w:spacing w:after="0" w:line="277" w:lineRule="auto"/>
        <w:rPr>
          <w:sz w:val="20"/>
          <w:szCs w:val="20"/>
          <w:color w:val="auto"/>
        </w:rPr>
      </w:pPr>
      <w:r>
        <w:rPr>
          <w:rFonts w:ascii="Arial" w:cs="Arial" w:eastAsia="Arial" w:hAnsi="Arial"/>
          <w:sz w:val="18"/>
          <w:szCs w:val="18"/>
          <w:color w:val="auto"/>
        </w:rPr>
        <w:t>means Sumitomo Corporation Equity Asia Limited, a limited liability company, incorporated in Hong Kong.</w:t>
      </w:r>
    </w:p>
    <w:p>
      <w:pPr>
        <w:spacing w:after="0" w:line="170" w:lineRule="exact"/>
        <w:rPr>
          <w:sz w:val="20"/>
          <w:szCs w:val="20"/>
          <w:color w:val="auto"/>
        </w:rPr>
      </w:pPr>
    </w:p>
    <w:p>
      <w:pPr>
        <w:ind w:left="400" w:right="40"/>
        <w:spacing w:after="0" w:line="277" w:lineRule="auto"/>
        <w:rPr>
          <w:sz w:val="20"/>
          <w:szCs w:val="20"/>
          <w:color w:val="auto"/>
        </w:rPr>
      </w:pPr>
      <w:r>
        <w:rPr>
          <w:rFonts w:ascii="Arial" w:cs="Arial" w:eastAsia="Arial" w:hAnsi="Arial"/>
          <w:sz w:val="18"/>
          <w:szCs w:val="18"/>
          <w:color w:val="auto"/>
        </w:rPr>
        <w:t>means Shenwan Hongyuan Goldspring Fund I, a limited liability company incorporated in the Cayman Islands.</w:t>
      </w:r>
    </w:p>
    <w:p>
      <w:pPr>
        <w:spacing w:after="0" w:line="170"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has the meaning ascribed thereto in Section 10.3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8.3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8.3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8.4 of Schedule 1 to these Articles.</w:t>
      </w:r>
    </w:p>
    <w:p>
      <w:pPr>
        <w:spacing w:after="0" w:line="170" w:lineRule="exact"/>
        <w:rPr>
          <w:sz w:val="20"/>
          <w:szCs w:val="20"/>
          <w:color w:val="auto"/>
        </w:rPr>
      </w:pPr>
    </w:p>
    <w:p>
      <w:pPr>
        <w:ind w:left="400" w:right="80"/>
        <w:spacing w:after="0" w:line="277" w:lineRule="auto"/>
        <w:rPr>
          <w:sz w:val="20"/>
          <w:szCs w:val="20"/>
          <w:color w:val="auto"/>
        </w:rPr>
      </w:pPr>
      <w:r>
        <w:rPr>
          <w:rFonts w:ascii="Arial" w:cs="Arial" w:eastAsia="Arial" w:hAnsi="Arial"/>
          <w:sz w:val="18"/>
          <w:szCs w:val="18"/>
          <w:color w:val="auto"/>
        </w:rPr>
        <w:t>has the meaning ascribed thereto in Section 9.1 of Schedule 1 to these Articles.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4200" w:space="720"/>
            <w:col w:w="5100"/>
          </w:cols>
          <w:pgMar w:left="940" w:top="485" w:right="939" w:bottom="1440" w:gutter="0" w:footer="0" w:header="0"/>
        </w:sectPr>
      </w:pPr>
    </w:p>
    <w:bookmarkStart w:id="334" w:name="page335"/>
    <w:bookmarkEnd w:id="334"/>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Section Section 10.1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-338455</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these Articles.</w:t>
      </w:r>
    </w:p>
    <w:p>
      <w:pPr>
        <w:spacing w:after="0" w:line="200" w:lineRule="exact"/>
        <w:rPr>
          <w:sz w:val="20"/>
          <w:szCs w:val="20"/>
          <w:color w:val="auto"/>
        </w:rPr>
      </w:pPr>
    </w:p>
    <w:p>
      <w:pPr>
        <w:sectPr>
          <w:pgSz w:w="11900" w:h="16838" w:orient="portrait"/>
          <w:cols w:equalWidth="0" w:num="2">
            <w:col w:w="5300" w:space="720"/>
            <w:col w:w="5340"/>
          </w:cols>
          <w:pgMar w:left="240" w:top="486" w:right="299" w:bottom="1440" w:gutter="0" w:footer="0" w:header="0"/>
        </w:sectPr>
      </w:pP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thereto in Section Section 10.1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these Articles.</w:t>
      </w:r>
    </w:p>
    <w:p>
      <w:pPr>
        <w:spacing w:after="0" w:line="200" w:lineRule="exact"/>
        <w:rPr>
          <w:sz w:val="20"/>
          <w:szCs w:val="20"/>
          <w:color w:val="auto"/>
        </w:rPr>
      </w:pPr>
    </w:p>
    <w:p>
      <w:pPr>
        <w:sectPr>
          <w:pgSz w:w="11900" w:h="16838" w:orient="portrait"/>
          <w:cols w:equalWidth="0" w:num="2">
            <w:col w:w="5300" w:space="720"/>
            <w:col w:w="5340"/>
          </w:cols>
          <w:pgMar w:left="240" w:top="486" w:right="299"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Zaffre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Zaffre Investments, Inc., a company duly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existing under the laws of British Virgin Islands.</w:t>
      </w:r>
    </w:p>
    <w:p>
      <w:pPr>
        <w:spacing w:after="0" w:line="200" w:lineRule="exact"/>
        <w:rPr>
          <w:sz w:val="20"/>
          <w:szCs w:val="20"/>
          <w:color w:val="auto"/>
        </w:rPr>
      </w:pPr>
    </w:p>
    <w:p>
      <w:pPr>
        <w:sectPr>
          <w:pgSz w:w="11900" w:h="16838" w:orient="portrait"/>
          <w:cols w:equalWidth="0" w:num="2">
            <w:col w:w="5300" w:space="720"/>
            <w:col w:w="5340"/>
          </w:cols>
          <w:pgMar w:left="240" w:top="486" w:right="299"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Zaffre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Ordinary Shares held by Zaffre as of July 24, 2015.</w:t>
      </w:r>
    </w:p>
    <w:p>
      <w:pPr>
        <w:spacing w:after="0" w:line="200" w:lineRule="exact"/>
        <w:rPr>
          <w:sz w:val="20"/>
          <w:szCs w:val="20"/>
          <w:color w:val="auto"/>
        </w:rPr>
      </w:pPr>
    </w:p>
    <w:p>
      <w:pPr>
        <w:sectPr>
          <w:pgSz w:w="11900" w:h="16838" w:orient="portrait"/>
          <w:cols w:equalWidth="0" w:num="2">
            <w:col w:w="5300" w:space="720"/>
            <w:col w:w="5340"/>
          </w:cols>
          <w:pgMar w:left="240" w:top="486" w:right="299" w:bottom="1440" w:gutter="0" w:footer="0" w:header="0"/>
          <w:type w:val="continuous"/>
        </w:sectPr>
      </w:pPr>
    </w:p>
    <w:p>
      <w:pPr>
        <w:spacing w:after="0" w:line="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31" w:lineRule="exact"/>
        <w:rPr>
          <w:sz w:val="20"/>
          <w:szCs w:val="20"/>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words importing persons include corporations;</w:t>
      </w:r>
    </w:p>
    <w:p>
      <w:pPr>
        <w:spacing w:after="0" w:line="130" w:lineRule="exact"/>
        <w:rPr>
          <w:rFonts w:ascii="Arial" w:cs="Arial" w:eastAsia="Arial" w:hAnsi="Arial"/>
          <w:sz w:val="18"/>
          <w:szCs w:val="18"/>
          <w:color w:val="auto"/>
        </w:rPr>
      </w:pPr>
    </w:p>
    <w:p>
      <w:pPr>
        <w:ind w:left="1480" w:right="40" w:hanging="797"/>
        <w:spacing w:after="0" w:line="277" w:lineRule="auto"/>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 from time to time;</w:t>
      </w:r>
    </w:p>
    <w:p>
      <w:pPr>
        <w:spacing w:after="0" w:line="75" w:lineRule="exact"/>
        <w:rPr>
          <w:rFonts w:ascii="Arial" w:cs="Arial" w:eastAsia="Arial" w:hAnsi="Arial"/>
          <w:sz w:val="18"/>
          <w:szCs w:val="18"/>
          <w:color w:val="auto"/>
        </w:rPr>
      </w:pPr>
    </w:p>
    <w:p>
      <w:pPr>
        <w:ind w:left="1480" w:right="40" w:hanging="797"/>
        <w:spacing w:after="0" w:line="277" w:lineRule="auto"/>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these Articles;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these Articles Section 8 of the Electronic Transactions Law (2003 Revision) of the Cayman Islands shall not apply.</w:t>
      </w:r>
    </w:p>
    <w:p>
      <w:pPr>
        <w:spacing w:after="0" w:line="370" w:lineRule="exact"/>
        <w:rPr>
          <w:sz w:val="20"/>
          <w:szCs w:val="20"/>
          <w:color w:val="auto"/>
        </w:rPr>
      </w:pPr>
    </w:p>
    <w:p>
      <w:pPr>
        <w:ind w:left="680" w:hanging="672"/>
        <w:spacing w:after="0"/>
        <w:tabs>
          <w:tab w:leader="none" w:pos="68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as the Directors shall see fit.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86" w:right="299" w:bottom="1440" w:gutter="0" w:footer="0" w:header="0"/>
          <w:type w:val="continuous"/>
        </w:sectPr>
      </w:pPr>
    </w:p>
    <w:bookmarkStart w:id="335" w:name="page336"/>
    <w:bookmarkEnd w:id="335"/>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15" w:lineRule="exact"/>
        <w:rPr>
          <w:sz w:val="20"/>
          <w:szCs w:val="20"/>
          <w:color w:val="auto"/>
        </w:rPr>
      </w:pPr>
    </w:p>
    <w:p>
      <w:pPr>
        <w:ind w:left="680" w:hanging="672"/>
        <w:spacing w:after="0"/>
        <w:tabs>
          <w:tab w:leader="none" w:pos="68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135" w:lineRule="exact"/>
        <w:rPr>
          <w:sz w:val="20"/>
          <w:szCs w:val="20"/>
          <w:color w:val="auto"/>
        </w:rPr>
      </w:pPr>
    </w:p>
    <w:p>
      <w:pPr>
        <w:ind w:left="680" w:right="40" w:hanging="674"/>
        <w:spacing w:after="0" w:line="302"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if any, in the Memorandum and these Articles, in particular, Section 6 of Schedule 1 hereto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Dividend, voting, return of capital or otherwise and to such persons, at such times and on such other terms as they think proper.</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The Company shall not issue Shares to bearer.</w:t>
      </w:r>
    </w:p>
    <w:p>
      <w:pPr>
        <w:spacing w:after="0" w:line="131"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The Preference Shares shall carry the rights (preferential or otherwise) set forth in these Articles and, in particular,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For the sake of clarity,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shall form part of the Articles. In the event of conflict between the terms and provisions in the Articles and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terms and provisions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shall prevail.</w:t>
      </w:r>
    </w:p>
    <w:p>
      <w:pPr>
        <w:spacing w:after="0" w:line="326" w:lineRule="exact"/>
        <w:rPr>
          <w:sz w:val="20"/>
          <w:szCs w:val="20"/>
          <w:color w:val="auto"/>
        </w:rPr>
      </w:pPr>
    </w:p>
    <w:p>
      <w:pPr>
        <w:ind w:left="680" w:hanging="672"/>
        <w:spacing w:after="0"/>
        <w:tabs>
          <w:tab w:leader="none" w:pos="68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2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The Company shall maintain or cause to be maintained the Register of Members in accordance with the Statute.</w:t>
      </w:r>
    </w:p>
    <w:p>
      <w:pPr>
        <w:spacing w:after="0" w:line="370" w:lineRule="exact"/>
        <w:rPr>
          <w:sz w:val="20"/>
          <w:szCs w:val="20"/>
          <w:color w:val="auto"/>
        </w:rPr>
      </w:pPr>
    </w:p>
    <w:p>
      <w:pPr>
        <w:ind w:left="680" w:hanging="672"/>
        <w:spacing w:after="0"/>
        <w:tabs>
          <w:tab w:leader="none" w:pos="68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135" w:lineRule="exact"/>
        <w:rPr>
          <w:sz w:val="20"/>
          <w:szCs w:val="20"/>
          <w:color w:val="auto"/>
        </w:rPr>
      </w:pPr>
    </w:p>
    <w:p>
      <w:pPr>
        <w:ind w:left="680" w:right="120" w:hanging="674"/>
        <w:spacing w:after="0" w:line="257"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in order to make a determination of Members for any other purpose, the Directors may provide that the Register of Members shall be closed for transfers for a stated period which shall not in any case exceed forty days. If the Register of Members shall be closed for the purpose of determining Members entitled to notice of, or to vote at, a meeting of Members the Register of Members shall be closed for at least ten days immediately preceding the meeting.</w:t>
      </w:r>
    </w:p>
    <w:p>
      <w:pPr>
        <w:spacing w:after="0" w:line="94" w:lineRule="exact"/>
        <w:rPr>
          <w:sz w:val="20"/>
          <w:szCs w:val="20"/>
          <w:color w:val="auto"/>
        </w:rPr>
      </w:pPr>
    </w:p>
    <w:p>
      <w:pPr>
        <w:ind w:left="680" w:right="500" w:hanging="674"/>
        <w:spacing w:after="0" w:line="312" w:lineRule="auto"/>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in order to make a determination of Members for any other purpose.</w:t>
      </w:r>
    </w:p>
    <w:p>
      <w:pPr>
        <w:spacing w:after="0" w:line="52" w:lineRule="exact"/>
        <w:rPr>
          <w:sz w:val="20"/>
          <w:szCs w:val="20"/>
          <w:color w:val="auto"/>
        </w:rPr>
      </w:pPr>
    </w:p>
    <w:p>
      <w:pPr>
        <w:ind w:left="680" w:right="40" w:hanging="674"/>
        <w:spacing w:after="0" w:line="257" w:lineRule="auto"/>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36" w:name="page337"/>
    <w:bookmarkEnd w:id="336"/>
    <w:p>
      <w:pPr>
        <w:ind w:left="672" w:hanging="672"/>
        <w:spacing w:after="0"/>
        <w:tabs>
          <w:tab w:leader="none" w:pos="672"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 for Shares</w:t>
      </w:r>
    </w:p>
    <w:p>
      <w:pPr>
        <w:spacing w:after="0" w:line="135" w:lineRule="exact"/>
        <w:rPr>
          <w:sz w:val="20"/>
          <w:szCs w:val="20"/>
          <w:color w:val="auto"/>
        </w:rPr>
      </w:pPr>
    </w:p>
    <w:p>
      <w:pPr>
        <w:ind w:left="672" w:hanging="674"/>
        <w:spacing w:after="0" w:line="273" w:lineRule="auto"/>
        <w:tabs>
          <w:tab w:leader="none" w:pos="65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p>
      <w:pPr>
        <w:spacing w:after="0" w:line="84" w:lineRule="exact"/>
        <w:rPr>
          <w:sz w:val="20"/>
          <w:szCs w:val="20"/>
          <w:color w:val="auto"/>
        </w:rPr>
      </w:pPr>
    </w:p>
    <w:p>
      <w:pPr>
        <w:ind w:left="672" w:right="180" w:hanging="674"/>
        <w:spacing w:after="0" w:line="277" w:lineRule="auto"/>
        <w:tabs>
          <w:tab w:leader="none" w:pos="65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jc w:val="both"/>
        <w:ind w:left="672" w:right="500" w:hanging="674"/>
        <w:spacing w:after="0" w:line="264" w:lineRule="auto"/>
        <w:tabs>
          <w:tab w:leader="none" w:pos="65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326" w:lineRule="exact"/>
        <w:rPr>
          <w:sz w:val="20"/>
          <w:szCs w:val="20"/>
          <w:color w:val="auto"/>
        </w:rPr>
      </w:pPr>
    </w:p>
    <w:p>
      <w:pPr>
        <w:ind w:left="672" w:hanging="672"/>
        <w:spacing w:after="0"/>
        <w:tabs>
          <w:tab w:leader="none" w:pos="67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672" w:right="100" w:hanging="674"/>
        <w:spacing w:after="0" w:line="264" w:lineRule="auto"/>
        <w:tabs>
          <w:tab w:leader="none" w:pos="6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Schedule 1 hereto, Shares are transferable subject to the consent of the Directors, who shall register any properly documented transfer of Shares unless such transfer is restricted pursuant to any applicable agreement or, on advice of counsel, applicable law. If the Directors refuse to register a transfer they shall notify the transferee within two months of such refusal.</w:t>
      </w:r>
    </w:p>
    <w:p>
      <w:pPr>
        <w:spacing w:after="0" w:line="87" w:lineRule="exact"/>
        <w:rPr>
          <w:sz w:val="20"/>
          <w:szCs w:val="20"/>
          <w:color w:val="auto"/>
        </w:rPr>
      </w:pPr>
    </w:p>
    <w:p>
      <w:pPr>
        <w:ind w:left="672" w:right="20" w:hanging="674"/>
        <w:spacing w:after="0" w:line="264" w:lineRule="auto"/>
        <w:tabs>
          <w:tab w:leader="none" w:pos="6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the transferee). The transferor shall be deemed to remain the holder of a Share until the name of the transferee is entered in the Register of Members.</w:t>
      </w:r>
    </w:p>
    <w:p>
      <w:pPr>
        <w:spacing w:after="0" w:line="326" w:lineRule="exact"/>
        <w:rPr>
          <w:sz w:val="20"/>
          <w:szCs w:val="20"/>
          <w:color w:val="auto"/>
        </w:rPr>
      </w:pPr>
    </w:p>
    <w:p>
      <w:pPr>
        <w:ind w:left="672" w:hanging="672"/>
        <w:spacing w:after="0"/>
        <w:tabs>
          <w:tab w:leader="none" w:pos="672"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and Repurchase of Shares</w:t>
      </w:r>
    </w:p>
    <w:p>
      <w:pPr>
        <w:spacing w:after="0" w:line="135" w:lineRule="exact"/>
        <w:rPr>
          <w:sz w:val="20"/>
          <w:szCs w:val="20"/>
          <w:color w:val="auto"/>
        </w:rPr>
      </w:pPr>
    </w:p>
    <w:p>
      <w:pPr>
        <w:jc w:val="both"/>
        <w:ind w:left="672" w:right="380" w:hanging="674"/>
        <w:spacing w:after="0" w:line="264" w:lineRule="auto"/>
        <w:tabs>
          <w:tab w:leader="none" w:pos="65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as provided in these Articles (including Schedule 1 hereof) or as the Company may, by Special Resolution, determine before the issue of the Shares.</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70" w:right="279" w:bottom="1440" w:gutter="0" w:footer="0" w:header="0"/>
        </w:sectPr>
      </w:pPr>
    </w:p>
    <w:bookmarkStart w:id="337" w:name="page338"/>
    <w:bookmarkEnd w:id="337"/>
    <w:p>
      <w:pPr>
        <w:ind w:left="672" w:right="140" w:hanging="674"/>
        <w:spacing w:after="0" w:line="277"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Arial" w:cs="Arial" w:eastAsia="Arial" w:hAnsi="Arial"/>
          <w:sz w:val="18"/>
          <w:szCs w:val="18"/>
          <w:color w:val="auto"/>
        </w:rPr>
        <w:t>Subject to the provisions of the Statute and these Articles (including Schedule 1 hereof), the Company may purchase its own Shares (including any redeemable Shares) provided that the Members shall have approved the manner of purchase by Ordinary Resolution.</w:t>
      </w:r>
    </w:p>
    <w:p>
      <w:pPr>
        <w:spacing w:after="0" w:line="76"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315" w:lineRule="exact"/>
        <w:rPr>
          <w:sz w:val="20"/>
          <w:szCs w:val="20"/>
          <w:color w:val="auto"/>
        </w:rPr>
      </w:pPr>
    </w:p>
    <w:p>
      <w:pPr>
        <w:ind w:left="672" w:hanging="672"/>
        <w:spacing w:after="0"/>
        <w:tabs>
          <w:tab w:leader="none" w:pos="672"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 of Shares</w:t>
      </w:r>
    </w:p>
    <w:p>
      <w:pPr>
        <w:spacing w:after="0" w:line="135" w:lineRule="exact"/>
        <w:rPr>
          <w:sz w:val="20"/>
          <w:szCs w:val="20"/>
          <w:color w:val="auto"/>
        </w:rPr>
      </w:pPr>
    </w:p>
    <w:p>
      <w:pPr>
        <w:ind w:left="672" w:right="60" w:hanging="674"/>
        <w:spacing w:after="0" w:line="302" w:lineRule="auto"/>
        <w:tabs>
          <w:tab w:leader="none" w:pos="65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Subject to these Articles (including Schedule 1 hereof), if at any time the share capital of the Company is divided into different classes of Shares, subject to the Memorandum and these Articles, the rights attached to any class (unless otherwise provided by the terms of issue of the Shares of that class) may, whether or not the Company is being wound up, be varied with the consent in writing of the holders of three-quarters of the issued Shares of that class, or with the sanction of a Special Resolution passed at a general meeting of the holders of the Shares of that class.</w:t>
      </w:r>
    </w:p>
    <w:p>
      <w:pPr>
        <w:spacing w:after="0" w:line="60" w:lineRule="exact"/>
        <w:rPr>
          <w:sz w:val="20"/>
          <w:szCs w:val="20"/>
          <w:color w:val="auto"/>
        </w:rPr>
      </w:pPr>
    </w:p>
    <w:p>
      <w:pPr>
        <w:ind w:left="672" w:right="160" w:hanging="674"/>
        <w:spacing w:after="0" w:line="308" w:lineRule="auto"/>
        <w:tabs>
          <w:tab w:leader="none" w:pos="65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provisions of these Articles relating to general meetings shall apply to every class meeting of the holders of one class of Shares except that the necessary quorum shall be one person holding or representing by proxy at least one third of the issued Shares of the class.</w:t>
      </w:r>
    </w:p>
    <w:p>
      <w:pPr>
        <w:spacing w:after="0" w:line="52" w:lineRule="exact"/>
        <w:rPr>
          <w:sz w:val="20"/>
          <w:szCs w:val="20"/>
          <w:color w:val="auto"/>
        </w:rPr>
      </w:pPr>
    </w:p>
    <w:p>
      <w:pPr>
        <w:ind w:left="672" w:right="160" w:hanging="674"/>
        <w:spacing w:after="0" w:line="342" w:lineRule="auto"/>
        <w:tabs>
          <w:tab w:leader="none" w:pos="65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268" w:lineRule="exact"/>
        <w:rPr>
          <w:sz w:val="20"/>
          <w:szCs w:val="20"/>
          <w:color w:val="auto"/>
        </w:rPr>
      </w:pPr>
    </w:p>
    <w:p>
      <w:pPr>
        <w:ind w:left="672" w:hanging="672"/>
        <w:spacing w:after="0"/>
        <w:tabs>
          <w:tab w:leader="none" w:pos="672"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692"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may, in so far as the Statute permits, pay a commission to any person in consideration of his subscribing or agreeing to subscribe whether absolutely or conditionally for any Shares of the Company. Such commissions may be satisfied by the payment of cash and/or the issue of fully or partly paid-up Shares. The Company may also on any issue of Shares pay such brokerage as may be lawful.</w:t>
      </w:r>
    </w:p>
    <w:p>
      <w:pPr>
        <w:spacing w:after="0" w:line="310" w:lineRule="exact"/>
        <w:rPr>
          <w:rFonts w:ascii="Arial" w:cs="Arial" w:eastAsia="Arial" w:hAnsi="Arial"/>
          <w:sz w:val="18"/>
          <w:szCs w:val="18"/>
          <w:b w:val="1"/>
          <w:bCs w:val="1"/>
          <w:color w:val="auto"/>
        </w:rPr>
      </w:pPr>
    </w:p>
    <w:p>
      <w:pPr>
        <w:ind w:left="672" w:hanging="672"/>
        <w:spacing w:after="0"/>
        <w:tabs>
          <w:tab w:leader="none" w:pos="672"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121" w:lineRule="exact"/>
        <w:rPr>
          <w:rFonts w:ascii="Arial" w:cs="Arial" w:eastAsia="Arial" w:hAnsi="Arial"/>
          <w:sz w:val="18"/>
          <w:szCs w:val="18"/>
          <w:b w:val="1"/>
          <w:bCs w:val="1"/>
          <w:color w:val="auto"/>
        </w:rPr>
      </w:pPr>
    </w:p>
    <w:p>
      <w:pPr>
        <w:ind w:left="69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recognize in any way (even when notified) any equitable, contingent, future or partial interest in any Share, or (except only as is otherwise provided by these Articles or the Statute) any other rights in respect of any Share other than an absolute right to the entirety thereof in the registered holder.</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3" w:right="239" w:bottom="1440" w:gutter="0" w:footer="0" w:header="0"/>
        </w:sectPr>
      </w:pPr>
    </w:p>
    <w:bookmarkStart w:id="338" w:name="page339"/>
    <w:bookmarkEnd w:id="33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r>
        <w:rPr>
          <w:sz w:val="20"/>
          <w:szCs w:val="20"/>
          <w:color w:val="auto"/>
        </w:rPr>
        <w:tab/>
      </w:r>
      <w:r>
        <w:rPr>
          <w:rFonts w:ascii="Arial" w:cs="Arial" w:eastAsia="Arial" w:hAnsi="Arial"/>
          <w:sz w:val="18"/>
          <w:szCs w:val="18"/>
          <w:b w:val="1"/>
          <w:bCs w:val="1"/>
          <w:color w:val="auto"/>
        </w:rPr>
        <w:t>Lien on Shares</w:t>
      </w:r>
    </w:p>
    <w:p>
      <w:pPr>
        <w:spacing w:after="0" w:line="135" w:lineRule="exact"/>
        <w:rPr>
          <w:sz w:val="20"/>
          <w:szCs w:val="20"/>
          <w:color w:val="auto"/>
        </w:rPr>
      </w:pPr>
    </w:p>
    <w:p>
      <w:pPr>
        <w:ind w:left="680" w:right="80" w:hanging="674"/>
        <w:spacing w:after="0" w:line="276"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The Company shall have a first and paramount lien on all Shares (whether fully paid-up or not) registered in the name of a Member (whether solely or jointly with others) for all debts, liabilities or engagements, to or with the Company, which are due and payable,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78" w:lineRule="exact"/>
        <w:rPr>
          <w:sz w:val="20"/>
          <w:szCs w:val="20"/>
          <w:color w:val="auto"/>
        </w:rPr>
      </w:pPr>
    </w:p>
    <w:p>
      <w:pPr>
        <w:jc w:val="both"/>
        <w:ind w:left="680" w:right="60" w:hanging="674"/>
        <w:spacing w:after="0" w:line="259" w:lineRule="auto"/>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given to the holder of the Shares, or to the person entitled to it in consequence of the death or bankruptcy of the holder, demanding payment and stating that if the notice is not complied with the Shares may be sold.</w:t>
      </w:r>
    </w:p>
    <w:p>
      <w:pPr>
        <w:spacing w:after="0" w:line="92"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these Articles.</w:t>
      </w:r>
    </w:p>
    <w:p>
      <w:pPr>
        <w:spacing w:after="0" w:line="92"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residue shall (subject to a like lien for sums not presently payable as existed upon the Shares before the sale) be paid to the person entitled to the Shares at the date of the sale.</w:t>
      </w:r>
    </w:p>
    <w:p>
      <w:pPr>
        <w:spacing w:after="0" w:line="3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Call on Shares</w:t>
      </w:r>
    </w:p>
    <w:p>
      <w:pPr>
        <w:spacing w:after="0" w:line="135" w:lineRule="exact"/>
        <w:rPr>
          <w:sz w:val="20"/>
          <w:szCs w:val="20"/>
          <w:color w:val="auto"/>
        </w:rPr>
      </w:pPr>
    </w:p>
    <w:p>
      <w:pPr>
        <w:ind w:left="680" w:right="140" w:hanging="674"/>
        <w:spacing w:after="0" w:line="297" w:lineRule="auto"/>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the terms of the allotment the Directors may from time to time make calls upon the Members in respect of any monies unpaid on their Shares (whether in respect of par value or premium), and each Member shall (subject to receiving at least fourteen days’ notice specifying the time or times of payment) pay to the Company at the time or times so specified the amount called on the Shares. A call may be revoked or postponed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339" w:name="page340"/>
    <w:bookmarkEnd w:id="33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but the Directors may waive payment of the interest wholly or in part.</w:t>
      </w:r>
    </w:p>
    <w:p>
      <w:pPr>
        <w:spacing w:after="0" w:line="87" w:lineRule="exact"/>
        <w:rPr>
          <w:sz w:val="20"/>
          <w:szCs w:val="20"/>
          <w:color w:val="auto"/>
        </w:rPr>
      </w:pPr>
    </w:p>
    <w:p>
      <w:pPr>
        <w:ind w:left="680" w:right="420" w:hanging="674"/>
        <w:spacing w:after="0" w:line="264" w:lineRule="auto"/>
        <w:tabs>
          <w:tab w:leader="none" w:pos="6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An amount payable in respect of a Share on allotment or at any fixed date, whether on account of the par value of the Share or premium or otherwise, shall be deemed to be a call and if it is not paid all the provisions of these Articles shall apply as if that amount had become due and payable by virtue of a call.</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131" w:lineRule="exact"/>
        <w:rPr>
          <w:sz w:val="20"/>
          <w:szCs w:val="20"/>
          <w:color w:val="auto"/>
        </w:rPr>
      </w:pPr>
    </w:p>
    <w:p>
      <w:pPr>
        <w:jc w:val="both"/>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7"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No such amount paid in advance of calls shall entitle the Member paying such amount to any portion of a Dividend declared in respect of any period prior to the date upon which such amount would, but for such payment, become payable.</w:t>
      </w:r>
    </w:p>
    <w:p>
      <w:pPr>
        <w:spacing w:after="0" w:line="3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Forfeiture of Shares</w:t>
      </w:r>
    </w:p>
    <w:p>
      <w:pPr>
        <w:spacing w:after="0" w:line="135" w:lineRule="exact"/>
        <w:rPr>
          <w:sz w:val="20"/>
          <w:szCs w:val="20"/>
          <w:color w:val="auto"/>
        </w:rPr>
      </w:pPr>
    </w:p>
    <w:p>
      <w:pPr>
        <w:ind w:left="680" w:right="20" w:hanging="674"/>
        <w:spacing w:after="0" w:line="312" w:lineRule="auto"/>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a call remains unpaid after it has become due and payable the Directors may give to the person from whom it is due not less than fourteen clear days’ notice requiring payment of the amount unpaid together with any interest, which may have accrued. The notice shall specify where payment is to be made and shall state that if the notice is not complied with the Shares in respect of which the call was made will be liable to be forfeited.</w:t>
      </w:r>
    </w:p>
    <w:p>
      <w:pPr>
        <w:spacing w:after="0" w:line="52" w:lineRule="exact"/>
        <w:rPr>
          <w:sz w:val="20"/>
          <w:szCs w:val="20"/>
          <w:color w:val="auto"/>
        </w:rPr>
      </w:pPr>
    </w:p>
    <w:p>
      <w:pPr>
        <w:jc w:val="both"/>
        <w:ind w:left="680" w:right="360" w:hanging="674"/>
        <w:spacing w:after="0" w:line="264"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or other monies declared payable in respect of the forfeited Share and not paid before the forfeiture.</w:t>
      </w:r>
    </w:p>
    <w:p>
      <w:pPr>
        <w:spacing w:after="0" w:line="87" w:lineRule="exact"/>
        <w:rPr>
          <w:sz w:val="20"/>
          <w:szCs w:val="20"/>
          <w:color w:val="auto"/>
        </w:rPr>
      </w:pPr>
    </w:p>
    <w:p>
      <w:pPr>
        <w:jc w:val="both"/>
        <w:ind w:left="680" w:right="420" w:hanging="674"/>
        <w:spacing w:after="0" w:line="259" w:lineRule="auto"/>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40" w:name="page341"/>
    <w:bookmarkEnd w:id="340"/>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14.4</w:t>
      </w:r>
      <w:r>
        <w:rPr>
          <w:sz w:val="20"/>
          <w:szCs w:val="20"/>
          <w:color w:val="auto"/>
        </w:rPr>
        <w:tab/>
      </w:r>
      <w:r>
        <w:rPr>
          <w:rFonts w:ascii="Arial" w:cs="Arial" w:eastAsia="Arial" w:hAnsi="Arial"/>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but his liability shall cease if and when the Company shall have received payment in full of all monies due and payable by him in respect of those Shares.</w:t>
      </w:r>
    </w:p>
    <w:p>
      <w:pPr>
        <w:spacing w:after="0" w:line="92" w:lineRule="exact"/>
        <w:rPr>
          <w:sz w:val="20"/>
          <w:szCs w:val="20"/>
          <w:color w:val="auto"/>
        </w:rPr>
      </w:pPr>
    </w:p>
    <w:p>
      <w:pPr>
        <w:ind w:left="680" w:right="160" w:hanging="674"/>
        <w:spacing w:after="0" w:line="257" w:lineRule="auto"/>
        <w:tabs>
          <w:tab w:leader="none" w:pos="6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 as against all persons claiming to be entitled to the Share. The certificate shall (subject to the execution of an instrument of transfer) constitute a good title to the Share and the person to whom the Share is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94" w:lineRule="exact"/>
        <w:rPr>
          <w:sz w:val="20"/>
          <w:szCs w:val="20"/>
          <w:color w:val="auto"/>
        </w:rPr>
      </w:pPr>
    </w:p>
    <w:p>
      <w:pPr>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p>
      <w:pPr>
        <w:spacing w:after="0" w:line="3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interest. The estate of a deceased Member is not thereby released from any liability in respect of any Share, which had been jointly held by him.</w:t>
      </w:r>
    </w:p>
    <w:p>
      <w:pPr>
        <w:spacing w:after="0" w:line="87" w:lineRule="exact"/>
        <w:rPr>
          <w:sz w:val="20"/>
          <w:szCs w:val="20"/>
          <w:color w:val="auto"/>
        </w:rPr>
      </w:pPr>
    </w:p>
    <w:p>
      <w:pPr>
        <w:ind w:left="680" w:right="180" w:hanging="674"/>
        <w:spacing w:after="0" w:line="276" w:lineRule="auto"/>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Any person becoming entitled to a Share in consequence of the death or bankruptcy or liquidation or dissolution of a Member (or in any other way than by transfer) may, upon such evidence being produced as may from time to time be required by the Directors, elect, by a notice in writing sent by him, either to become the holder of such Share or to have some person nominated by him become the holder of such Share but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78" w:lineRule="exact"/>
        <w:rPr>
          <w:sz w:val="20"/>
          <w:szCs w:val="20"/>
          <w:color w:val="auto"/>
        </w:rPr>
      </w:pPr>
    </w:p>
    <w:p>
      <w:pPr>
        <w:ind w:left="680" w:right="60" w:hanging="674"/>
        <w:spacing w:after="0" w:line="270" w:lineRule="auto"/>
        <w:tabs>
          <w:tab w:leader="none" w:pos="6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and other advantages to which he would be entitled if he were the registered holder of such Share. However, he shall not, before becoming a Member in respect of a Share, be entitled in respect of it to exercise any right conferred by membership in relation to meetings of the Company and the Directors may at any time give notice requiring any such person to elect either to be registered himself or to have some person nominated by him become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the Directors may thereafter withhold payment of all Dividends, bonuses or other monies payable in respect of the Share until the requirements of the notice have been complied 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41" w:name="page342"/>
    <w:bookmarkEnd w:id="341"/>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Subject to provisions of the Memorandum and these Articles (including Schedule 1 hereof), the Company may by Ordinary Resolution:</w:t>
      </w:r>
    </w:p>
    <w:p>
      <w:pPr>
        <w:spacing w:after="0" w:line="131" w:lineRule="exact"/>
        <w:rPr>
          <w:sz w:val="20"/>
          <w:szCs w:val="20"/>
          <w:color w:val="auto"/>
        </w:rPr>
      </w:pPr>
    </w:p>
    <w:p>
      <w:pPr>
        <w:ind w:left="1480" w:right="80" w:hanging="797"/>
        <w:spacing w:after="0" w:line="277" w:lineRule="auto"/>
        <w:tabs>
          <w:tab w:leader="none" w:pos="14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increase the share capital by such sum as the resolution shall prescribe and with such rights, priorities and privileges annexed thereto, as the Company in general meeting may determine;</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cancel any Shares that at the date of the passing of the resolution have not been taken or agreed to be taken by any person.</w:t>
      </w:r>
    </w:p>
    <w:p>
      <w:pPr>
        <w:spacing w:after="0" w:line="142" w:lineRule="exact"/>
        <w:rPr>
          <w:sz w:val="20"/>
          <w:szCs w:val="20"/>
          <w:color w:val="auto"/>
        </w:rPr>
      </w:pPr>
    </w:p>
    <w:p>
      <w:pPr>
        <w:ind w:left="680" w:right="540" w:hanging="674"/>
        <w:spacing w:after="0" w:line="308" w:lineRule="auto"/>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Subject to the provisions of the Statute and the provisions of these Articles (including Schedule 1 hereof) as regards the matters to be dealt with 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Ordinary Resolution, the Company may by Special Resolution:</w:t>
      </w:r>
    </w:p>
    <w:p>
      <w:pPr>
        <w:spacing w:after="0" w:line="116" w:lineRule="exact"/>
        <w:rPr>
          <w:sz w:val="20"/>
          <w:szCs w:val="20"/>
          <w:color w:val="auto"/>
        </w:rPr>
      </w:pPr>
    </w:p>
    <w:p>
      <w:pPr>
        <w:ind w:left="1480" w:hanging="797"/>
        <w:spacing w:after="0"/>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alter or add to these Articles;</w:t>
      </w:r>
    </w:p>
    <w:p>
      <w:pPr>
        <w:spacing w:after="0" w:line="130" w:lineRule="exact"/>
        <w:rPr>
          <w:rFonts w:ascii="Arial" w:cs="Arial" w:eastAsia="Arial" w:hAnsi="Arial"/>
          <w:sz w:val="18"/>
          <w:szCs w:val="18"/>
          <w:color w:val="auto"/>
        </w:rPr>
      </w:pPr>
    </w:p>
    <w:p>
      <w:pPr>
        <w:ind w:left="5620" w:right="2200" w:hanging="4937"/>
        <w:spacing w:after="0" w:line="449" w:lineRule="auto"/>
        <w:tabs>
          <w:tab w:leader="none" w:pos="147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 24</w:t>
      </w:r>
    </w:p>
    <w:p>
      <w:pPr>
        <w:sectPr>
          <w:pgSz w:w="11900" w:h="16838" w:orient="portrait"/>
          <w:cols w:equalWidth="0" w:num="1">
            <w:col w:w="11360"/>
          </w:cols>
          <w:pgMar w:left="240" w:top="270" w:right="299" w:bottom="1440" w:gutter="0" w:footer="0" w:header="0"/>
        </w:sectPr>
      </w:pPr>
    </w:p>
    <w:bookmarkStart w:id="342" w:name="page343"/>
    <w:bookmarkEnd w:id="342"/>
    <w:p>
      <w:pPr>
        <w:ind w:left="1480" w:hanging="797"/>
        <w:spacing w:after="0"/>
        <w:tabs>
          <w:tab w:leader="none" w:pos="14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its share capital and any capital redemption reserve fund.</w:t>
      </w:r>
    </w:p>
    <w:p>
      <w:pPr>
        <w:spacing w:after="0" w:line="370" w:lineRule="exact"/>
        <w:rPr>
          <w:sz w:val="20"/>
          <w:szCs w:val="20"/>
          <w:color w:val="auto"/>
        </w:rPr>
      </w:pPr>
    </w:p>
    <w:p>
      <w:pPr>
        <w:ind w:left="680" w:hanging="672"/>
        <w:spacing w:after="0"/>
        <w:tabs>
          <w:tab w:leader="none" w:pos="68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Office</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31" w:lineRule="exact"/>
        <w:rPr>
          <w:sz w:val="20"/>
          <w:szCs w:val="20"/>
          <w:color w:val="auto"/>
        </w:rPr>
      </w:pPr>
    </w:p>
    <w:p>
      <w:pPr>
        <w:ind w:left="680" w:right="60" w:hanging="674"/>
        <w:spacing w:after="0" w:line="259" w:lineRule="auto"/>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Company shall, if required by the Statute, in each year hold a general meeting as its annual general meeting, and shall specify the meeting as such in the notices calling it. The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The Company may hold an annual general meeting, but shall not (unless required by Statute) be obliged to hold an annual general meeting.</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The Directors may call general meetings, and they shall on a Members requisition forthwith proceed to convene an extraordinary general meeting of the Company.</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A Members requisition is a requisition of Members of the Company holding at the date of deposit of the requisition not less than ten per cent. in par value of the capital of the Company as at that date carries the right of voting at general meetings of the Company.</w:t>
      </w:r>
    </w:p>
    <w:p>
      <w:pPr>
        <w:spacing w:after="0" w:line="76" w:lineRule="exact"/>
        <w:rPr>
          <w:sz w:val="20"/>
          <w:szCs w:val="20"/>
          <w:color w:val="auto"/>
        </w:rPr>
      </w:pPr>
    </w:p>
    <w:p>
      <w:pPr>
        <w:ind w:left="680" w:right="440" w:hanging="674"/>
        <w:spacing w:after="0" w:line="277" w:lineRule="auto"/>
        <w:tabs>
          <w:tab w:leader="none" w:pos="6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76"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If the Directors do not within twenty-one days from the date of the deposit of the requisition duly proceed to convene a general meeting to be held within a further twenty-one days, the requisitionists, or any of them representing more than one-half of the total voting rights of all of them, may themselves convene a general meeting, but any meeting so convened shall not be held after the expiration of three months after the expiration of the said twenty-one days.</w:t>
      </w:r>
    </w:p>
    <w:p>
      <w:pPr>
        <w:spacing w:after="0" w:line="92" w:lineRule="exact"/>
        <w:rPr>
          <w:sz w:val="20"/>
          <w:szCs w:val="20"/>
          <w:color w:val="auto"/>
        </w:rPr>
      </w:pPr>
    </w:p>
    <w:p>
      <w:pPr>
        <w:ind w:left="680" w:right="380" w:hanging="674"/>
        <w:spacing w:after="0" w:line="277" w:lineRule="auto"/>
        <w:tabs>
          <w:tab w:leader="none" w:pos="66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3" w:right="299" w:bottom="1440" w:gutter="0" w:footer="0" w:header="0"/>
        </w:sectPr>
      </w:pPr>
    </w:p>
    <w:bookmarkStart w:id="343" w:name="page344"/>
    <w:bookmarkEnd w:id="343"/>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w:t>
      </w:r>
      <w:r>
        <w:rPr>
          <w:sz w:val="20"/>
          <w:szCs w:val="20"/>
          <w:color w:val="auto"/>
        </w:rPr>
        <w:tab/>
      </w: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ind w:left="680" w:right="20" w:hanging="674"/>
        <w:spacing w:after="0" w:line="276" w:lineRule="auto"/>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At least five days’ notice shall be given of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the Articles regarding general meetings have been complied with, be deemed to have been duly convened if it is so agreed:</w:t>
      </w:r>
    </w:p>
    <w:p>
      <w:pPr>
        <w:spacing w:after="0" w:line="78" w:lineRule="exact"/>
        <w:rPr>
          <w:sz w:val="20"/>
          <w:szCs w:val="20"/>
          <w:color w:val="auto"/>
        </w:rPr>
      </w:pPr>
    </w:p>
    <w:p>
      <w:pPr>
        <w:ind w:left="1480" w:hanging="797"/>
        <w:spacing w:after="0"/>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Members (or their proxies) entitled to attend and vote thereat; and</w:t>
      </w:r>
    </w:p>
    <w:p>
      <w:pPr>
        <w:spacing w:after="0" w:line="130" w:lineRule="exact"/>
        <w:rPr>
          <w:rFonts w:ascii="Arial" w:cs="Arial" w:eastAsia="Arial" w:hAnsi="Arial"/>
          <w:sz w:val="18"/>
          <w:szCs w:val="18"/>
          <w:color w:val="auto"/>
        </w:rPr>
      </w:pPr>
    </w:p>
    <w:p>
      <w:pPr>
        <w:ind w:left="1480" w:right="220" w:hanging="797"/>
        <w:spacing w:after="0" w:line="264" w:lineRule="auto"/>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(or their proxies) having a right to attend and vote at the meeting, being a majority together holding not less than ninety five per cent in par value of the Shares (including SWHY) giving that right.</w:t>
      </w:r>
    </w:p>
    <w:p>
      <w:pPr>
        <w:spacing w:after="0" w:line="87"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The accidental omission to give notice of a general meeting to, or the non receipt of notice of a meeting by, any person entitled to receive notice shall not invalidate the proceedings of that meeting.</w:t>
      </w:r>
    </w:p>
    <w:p>
      <w:pPr>
        <w:spacing w:after="0" w:line="3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ind w:left="680" w:right="80" w:hanging="674"/>
        <w:spacing w:after="0" w:line="291" w:lineRule="auto"/>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No business shall be transacted at any general meeting unless a quorum is present. At least (i) the Members holding of a majority of the then issued and outstanding Series A Preference Shares, (ii) the Members holding of a majority of the then issued and outstanding Series B Preference Shares,</w:t>
      </w:r>
    </w:p>
    <w:p>
      <w:pPr>
        <w:ind w:left="680" w:firstLine="3"/>
        <w:spacing w:after="0" w:line="271" w:lineRule="auto"/>
        <w:tabs>
          <w:tab w:leader="none" w:pos="99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Members holding of a majority of the then issued and outstanding Series D Preference Shares, (iv) the Members holding of a majority of the then issued and outstanding Series E Preference Shares, and (v) either of SSG I or SSG II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a duly authorised representative or proxy.</w:t>
      </w:r>
    </w:p>
    <w:p>
      <w:pPr>
        <w:spacing w:after="0" w:line="84"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7" w:lineRule="exact"/>
        <w:rPr>
          <w:sz w:val="20"/>
          <w:szCs w:val="20"/>
          <w:color w:val="auto"/>
        </w:rPr>
      </w:pPr>
    </w:p>
    <w:p>
      <w:pPr>
        <w:ind w:left="680" w:right="180" w:hanging="674"/>
        <w:spacing w:after="0" w:line="286" w:lineRule="auto"/>
        <w:tabs>
          <w:tab w:leader="none" w:pos="6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color w:val="auto"/>
        </w:rPr>
        <w:t>A resolution (including a Special Resolution) in writing (in one or more counterparts) signed by all Members for the time being entitled to receive notice of and to attend and vote at general meetings (or, being corporations, signed by their duly authorised representatives) shall be as valid and effective as if the resolution had been passed at a general meeting of the Company duly convened and held.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69" w:right="279" w:bottom="1440" w:gutter="0" w:footer="0" w:header="0"/>
        </w:sectPr>
      </w:pPr>
    </w:p>
    <w:bookmarkStart w:id="344" w:name="page345"/>
    <w:bookmarkEnd w:id="344"/>
    <w:p>
      <w:pPr>
        <w:ind w:left="680" w:hanging="674"/>
        <w:spacing w:after="0" w:line="27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20.4</w:t>
      </w:r>
      <w:r>
        <w:rPr>
          <w:sz w:val="20"/>
          <w:szCs w:val="20"/>
          <w:color w:val="auto"/>
        </w:rPr>
        <w:tab/>
      </w:r>
      <w:r>
        <w:rPr>
          <w:rFonts w:ascii="Arial" w:cs="Arial" w:eastAsia="Arial" w:hAnsi="Arial"/>
          <w:sz w:val="17"/>
          <w:szCs w:val="17"/>
          <w:color w:val="auto"/>
        </w:rPr>
        <w:t xml:space="preserve">If a quorum is not present within half an hour from the time appointed for the meeting or if during such a meeting a quorum ceases to be present, the meeting, if convened upon the requisition of Members, shall be dissolved and in any other case it shall stand adjourned for 48 hours later to the same time and place or to such other day, time or such other place as the Directors may determine, and if at the adjourned meeting a quorum is not present within half an hour from the time appointed for the meeting the Members present shall be a quorum,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matters discussed in such adjourned meeting shall be limited to those stated in the written notices and agendas of such meeting.</w:t>
      </w:r>
    </w:p>
    <w:p>
      <w:pPr>
        <w:spacing w:after="0" w:line="78" w:lineRule="exact"/>
        <w:rPr>
          <w:sz w:val="20"/>
          <w:szCs w:val="20"/>
          <w:color w:val="auto"/>
        </w:rPr>
      </w:pPr>
    </w:p>
    <w:p>
      <w:pPr>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chairman, if any, of the Board of Directors shall preside as chairman at every general meeting of the Company, or if there is no such chairman, or if he shall not be present within fifteen minutes after the time appointed for the holding of the meeting, or is unwilling to act, the Directors present shall elect one of their number to be chairman of the meeting.</w:t>
      </w:r>
    </w:p>
    <w:p>
      <w:pPr>
        <w:spacing w:after="0" w:line="87"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holding the meeting, the Members present shall choose one of their number to be chairman of the meeting.</w:t>
      </w:r>
    </w:p>
    <w:p>
      <w:pPr>
        <w:spacing w:after="0" w:line="76" w:lineRule="exact"/>
        <w:rPr>
          <w:sz w:val="20"/>
          <w:szCs w:val="20"/>
          <w:color w:val="auto"/>
        </w:rPr>
      </w:pPr>
    </w:p>
    <w:p>
      <w:pPr>
        <w:ind w:left="680" w:right="60" w:hanging="674"/>
        <w:spacing w:after="0" w:line="279" w:lineRule="auto"/>
        <w:tabs>
          <w:tab w:leader="none" w:pos="6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7"/>
          <w:szCs w:val="17"/>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general meeting is adjourned for thirty days or more, notice of the adjourned meeting shall be given as in the case of an original meeting. Otherwise it shall not be necessary to give any such notice.</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color w:val="auto"/>
        </w:rPr>
        <w:t>A resolution put to the vote of the meeting shall be decided by a poll.</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color w:val="auto"/>
        </w:rPr>
        <w:t>Except on a poll on the election of a chairman or on a question of adjournment, a poll shall be taken as the chairman directs, and the result of the poll shall be deemed to be the resolution of the general meeting at which the poll was taken.</w:t>
      </w:r>
    </w:p>
    <w:p>
      <w:pPr>
        <w:spacing w:after="0" w:line="76" w:lineRule="exact"/>
        <w:rPr>
          <w:sz w:val="20"/>
          <w:szCs w:val="20"/>
          <w:color w:val="auto"/>
        </w:rPr>
      </w:pPr>
    </w:p>
    <w:p>
      <w:pPr>
        <w:ind w:left="680" w:right="180" w:hanging="674"/>
        <w:spacing w:after="0" w:line="264" w:lineRule="auto"/>
        <w:tabs>
          <w:tab w:leader="none" w:pos="660" w:val="left"/>
        </w:tabs>
        <w:rPr>
          <w:sz w:val="20"/>
          <w:szCs w:val="20"/>
          <w:color w:val="auto"/>
        </w:rPr>
      </w:pPr>
      <w:r>
        <w:rPr>
          <w:rFonts w:ascii="Arial" w:cs="Arial" w:eastAsia="Arial" w:hAnsi="Arial"/>
          <w:sz w:val="18"/>
          <w:szCs w:val="18"/>
          <w:color w:val="auto"/>
        </w:rPr>
        <w:t>20.10</w:t>
        <w:tab/>
        <w:t>A poll on the election of a chairman or on a question of adjournment shall be taken forthwith. A poll on any other question shall be taken at such time as the chairman of the general meeting directs, and any business other than that upon which a poll is contingent thereon may proceed pending the taking of the poll.</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In the case of an equality of votes, the chairman shall not be entitled to a second or casting vote.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45" w:name="page346"/>
    <w:bookmarkEnd w:id="345"/>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w:t>
      </w:r>
      <w:r>
        <w:rPr>
          <w:sz w:val="20"/>
          <w:szCs w:val="20"/>
          <w:color w:val="auto"/>
        </w:rPr>
        <w:tab/>
      </w: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Subject to any rights or restrictions attached to any Shares (including those set out in Schedule 1 hereof), on a poll every Member who (being an individual) is present in person or by proxy or, if a corporation or other non-natural person is present by its duly authorised representative or proxy, shall have one vote for every Share of which he is the holder.</w:t>
      </w:r>
    </w:p>
    <w:p>
      <w:pPr>
        <w:spacing w:after="0" w:line="87" w:lineRule="exact"/>
        <w:rPr>
          <w:sz w:val="20"/>
          <w:szCs w:val="20"/>
          <w:color w:val="auto"/>
        </w:rPr>
      </w:pPr>
    </w:p>
    <w:p>
      <w:pPr>
        <w:jc w:val="both"/>
        <w:ind w:left="680" w:right="580" w:hanging="674"/>
        <w:spacing w:after="0" w:line="264" w:lineRule="auto"/>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In the case of joint holders of record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87"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87" w:lineRule="exact"/>
        <w:rPr>
          <w:sz w:val="20"/>
          <w:szCs w:val="20"/>
          <w:color w:val="auto"/>
        </w:rPr>
      </w:pPr>
    </w:p>
    <w:p>
      <w:pPr>
        <w:ind w:left="680" w:right="220" w:hanging="674"/>
        <w:spacing w:after="0" w:line="342" w:lineRule="auto"/>
        <w:tabs>
          <w:tab w:leader="none" w:pos="6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No person shall be entitled to vote at any general meeting or at any separate meeting of the holders of a class of Shares unless he is registered as a Member on the record date for such meeting nor unless all calls or other monies then payable by him in respect of Shares have been paid.</w:t>
      </w:r>
    </w:p>
    <w:p>
      <w:pPr>
        <w:spacing w:after="0" w:line="29" w:lineRule="exact"/>
        <w:rPr>
          <w:sz w:val="20"/>
          <w:szCs w:val="20"/>
          <w:color w:val="auto"/>
        </w:rPr>
      </w:pPr>
    </w:p>
    <w:p>
      <w:pPr>
        <w:jc w:val="both"/>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No objection shall be raised to the qualification of any voter except at the general meeting or adjourned general meeting at which the vote objected to is given or tendered and every vote not disallowed at the meeting shall be valid. Any objection made in due time shall be referred to the chairman whose decision shall be final and conclusive.</w:t>
      </w:r>
    </w:p>
    <w:p>
      <w:pPr>
        <w:spacing w:after="0" w:line="87" w:lineRule="exact"/>
        <w:rPr>
          <w:sz w:val="20"/>
          <w:szCs w:val="20"/>
          <w:color w:val="auto"/>
        </w:rPr>
      </w:pPr>
    </w:p>
    <w:p>
      <w:pPr>
        <w:ind w:left="680" w:right="540" w:hanging="674"/>
        <w:spacing w:after="0" w:line="277" w:lineRule="auto"/>
        <w:tabs>
          <w:tab w:leader="none" w:pos="6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On a poll votes may be cast either personally or by proxy. A Member may appoint more than one proxy or the same proxy under one or more instruments to attend and vote at a meeting.</w:t>
      </w:r>
    </w:p>
    <w:p>
      <w:pPr>
        <w:spacing w:after="0" w:line="76"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w:t>
      </w:r>
    </w:p>
    <w:p>
      <w:pPr>
        <w:spacing w:after="0" w:line="3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Proxies</w:t>
      </w:r>
    </w:p>
    <w:p>
      <w:pPr>
        <w:spacing w:after="0" w:line="135"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instrument appointing a proxy shall be in writing, be executed under the hand of the appointer or of his attorney duly authorised in writing, or, if the appointer is a corporation under the hand of an officer or attorney duly authorised for that purpose. A proxy need not be a Member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346" w:name="page347"/>
    <w:bookmarkEnd w:id="346"/>
    <w:p>
      <w:pPr>
        <w:jc w:val="both"/>
        <w:ind w:left="672" w:right="320" w:hanging="674"/>
        <w:spacing w:after="0" w:line="257"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w:t>
      </w:r>
      <w:r>
        <w:rPr>
          <w:sz w:val="20"/>
          <w:szCs w:val="20"/>
          <w:color w:val="auto"/>
        </w:rPr>
        <w:tab/>
      </w:r>
      <w:r>
        <w:rPr>
          <w:rFonts w:ascii="Arial" w:cs="Arial" w:eastAsia="Arial" w:hAnsi="Arial"/>
          <w:sz w:val="18"/>
          <w:szCs w:val="18"/>
          <w:color w:val="auto"/>
        </w:rPr>
        <w:t>The instrument appointing a proxy shall be deposited at the Registered Office or at such other place as is specified for that purpose in the notice convening the meeting, or in any instrument of proxy sent out by the Company not less than 48 hours before the time for holding the meeting or adjourned meeting at which the person named in the instrument proposes to vote. The chairman may in any event at his discretion direct that an instrument of proxy shall be deemed to have been duly deposited. An instrument of proxy that is not deposited in the manner permitted shall be invalid.</w:t>
      </w:r>
    </w:p>
    <w:p>
      <w:pPr>
        <w:spacing w:after="0" w:line="94" w:lineRule="exact"/>
        <w:rPr>
          <w:sz w:val="20"/>
          <w:szCs w:val="20"/>
          <w:color w:val="auto"/>
        </w:rPr>
      </w:pPr>
    </w:p>
    <w:p>
      <w:pPr>
        <w:ind w:left="672" w:right="220" w:hanging="674"/>
        <w:spacing w:after="0" w:line="277" w:lineRule="auto"/>
        <w:tabs>
          <w:tab w:leader="none" w:pos="65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instrument appointing a proxy may be in any usual or common form and may be expressed to be for a particular meeting or any adjournment thereof or generally until revoked.</w:t>
      </w:r>
    </w:p>
    <w:p>
      <w:pPr>
        <w:spacing w:after="0" w:line="76" w:lineRule="exact"/>
        <w:rPr>
          <w:sz w:val="20"/>
          <w:szCs w:val="20"/>
          <w:color w:val="auto"/>
        </w:rPr>
      </w:pPr>
    </w:p>
    <w:p>
      <w:pPr>
        <w:ind w:left="672" w:right="140" w:hanging="674"/>
        <w:spacing w:after="0" w:line="259" w:lineRule="auto"/>
        <w:tabs>
          <w:tab w:leader="none" w:pos="652"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31" w:lineRule="exact"/>
        <w:rPr>
          <w:sz w:val="20"/>
          <w:szCs w:val="20"/>
          <w:color w:val="auto"/>
        </w:rPr>
      </w:pPr>
    </w:p>
    <w:p>
      <w:pPr>
        <w:ind w:left="672" w:hanging="672"/>
        <w:spacing w:after="0"/>
        <w:tabs>
          <w:tab w:leader="none" w:pos="672"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Members</w:t>
      </w:r>
    </w:p>
    <w:p>
      <w:pPr>
        <w:spacing w:after="0" w:line="121" w:lineRule="exact"/>
        <w:rPr>
          <w:rFonts w:ascii="Arial" w:cs="Arial" w:eastAsia="Arial" w:hAnsi="Arial"/>
          <w:sz w:val="18"/>
          <w:szCs w:val="18"/>
          <w:b w:val="1"/>
          <w:bCs w:val="1"/>
          <w:color w:val="auto"/>
        </w:rPr>
      </w:pPr>
    </w:p>
    <w:p>
      <w:pPr>
        <w:ind w:left="69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authorize such person as it thinks fit to act as its representative at any meeting of the Company or of any class of Members, and the person so authorized shall be entitled to exercise the same powers on behalf of the corporation which he represents as the corporation could exercise if it were an individual Member.</w:t>
      </w:r>
    </w:p>
    <w:p>
      <w:pPr>
        <w:spacing w:after="0" w:line="331" w:lineRule="exact"/>
        <w:rPr>
          <w:rFonts w:ascii="Arial" w:cs="Arial" w:eastAsia="Arial" w:hAnsi="Arial"/>
          <w:sz w:val="18"/>
          <w:szCs w:val="18"/>
          <w:b w:val="1"/>
          <w:bCs w:val="1"/>
          <w:color w:val="auto"/>
        </w:rPr>
      </w:pPr>
    </w:p>
    <w:p>
      <w:pPr>
        <w:ind w:left="672" w:hanging="672"/>
        <w:spacing w:after="0"/>
        <w:tabs>
          <w:tab w:leader="none" w:pos="672"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ind w:left="69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issued and outstanding Shares at any given time.</w:t>
      </w:r>
    </w:p>
    <w:p>
      <w:pPr>
        <w:spacing w:after="0" w:line="315" w:lineRule="exact"/>
        <w:rPr>
          <w:rFonts w:ascii="Arial" w:cs="Arial" w:eastAsia="Arial" w:hAnsi="Arial"/>
          <w:sz w:val="18"/>
          <w:szCs w:val="18"/>
          <w:b w:val="1"/>
          <w:bCs w:val="1"/>
          <w:color w:val="auto"/>
        </w:rPr>
      </w:pPr>
    </w:p>
    <w:p>
      <w:pPr>
        <w:ind w:left="672" w:hanging="672"/>
        <w:spacing w:after="0"/>
        <w:tabs>
          <w:tab w:leader="none" w:pos="672"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21" w:lineRule="exact"/>
        <w:rPr>
          <w:rFonts w:ascii="Arial" w:cs="Arial" w:eastAsia="Arial" w:hAnsi="Arial"/>
          <w:sz w:val="18"/>
          <w:szCs w:val="18"/>
          <w:b w:val="1"/>
          <w:bCs w:val="1"/>
          <w:color w:val="auto"/>
        </w:rPr>
      </w:pPr>
    </w:p>
    <w:p>
      <w:pPr>
        <w:jc w:val="both"/>
        <w:ind w:left="69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Subject to the Memorandum and these Articles, there shall be a Board of Directors consisting of no more than six (6) persons (exclusive of alternate Directors), provided however that subject to Section 6 of Schedule 1 hereof, the Company may from time to time by Special Resolution increase or reduce the limits in the number of Directors.</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72"/>
          </w:cols>
          <w:pgMar w:left="248" w:top="274" w:right="279" w:bottom="1440" w:gutter="0" w:footer="0" w:header="0"/>
        </w:sectPr>
      </w:pPr>
    </w:p>
    <w:bookmarkStart w:id="347" w:name="page348"/>
    <w:bookmarkEnd w:id="347"/>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w:t>
      </w:r>
      <w:r>
        <w:rPr>
          <w:sz w:val="20"/>
          <w:szCs w:val="20"/>
          <w:color w:val="auto"/>
        </w:rPr>
        <w:tab/>
      </w:r>
      <w:r>
        <w:rPr>
          <w:rFonts w:ascii="Arial" w:cs="Arial" w:eastAsia="Arial" w:hAnsi="Arial"/>
          <w:sz w:val="18"/>
          <w:szCs w:val="18"/>
          <w:b w:val="1"/>
          <w:bCs w:val="1"/>
          <w:color w:val="auto"/>
        </w:rPr>
        <w:t>Powers of Directors</w:t>
      </w:r>
    </w:p>
    <w:p>
      <w:pPr>
        <w:spacing w:after="0" w:line="135" w:lineRule="exact"/>
        <w:rPr>
          <w:sz w:val="20"/>
          <w:szCs w:val="20"/>
          <w:color w:val="auto"/>
        </w:rPr>
      </w:pPr>
    </w:p>
    <w:p>
      <w:pPr>
        <w:ind w:left="680" w:right="120" w:hanging="674"/>
        <w:spacing w:after="0" w:line="257" w:lineRule="auto"/>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Subject to the provisions of the Statute, the Memorandum and the Articles (including Schedule 1 hereof)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94" w:lineRule="exact"/>
        <w:rPr>
          <w:sz w:val="20"/>
          <w:szCs w:val="20"/>
          <w:color w:val="auto"/>
        </w:rPr>
      </w:pPr>
    </w:p>
    <w:p>
      <w:pPr>
        <w:ind w:left="680" w:right="240" w:hanging="674"/>
        <w:spacing w:after="0" w:line="342" w:lineRule="auto"/>
        <w:tabs>
          <w:tab w:leader="none" w:pos="6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All cheques, promissory notes, drafts, bills of exchange and other negotiable instruments and all receipts for monies paid to the Company shall be signed, drawn, accepted, endorsed or otherwise executed as the case may be in such manner as the Directors shall determine by resolution.</w:t>
      </w:r>
    </w:p>
    <w:p>
      <w:pPr>
        <w:spacing w:after="0" w:line="29" w:lineRule="exact"/>
        <w:rPr>
          <w:sz w:val="20"/>
          <w:szCs w:val="20"/>
          <w:color w:val="auto"/>
        </w:rPr>
      </w:pPr>
    </w:p>
    <w:p>
      <w:pPr>
        <w:ind w:left="680" w:right="200" w:hanging="674"/>
        <w:spacing w:after="0" w:line="264" w:lineRule="auto"/>
        <w:tabs>
          <w:tab w:leader="none" w:pos="6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7" w:lineRule="exact"/>
        <w:rPr>
          <w:sz w:val="20"/>
          <w:szCs w:val="20"/>
          <w:color w:val="auto"/>
        </w:rPr>
      </w:pPr>
    </w:p>
    <w:p>
      <w:pPr>
        <w:ind w:left="680" w:right="20" w:hanging="674"/>
        <w:spacing w:after="0" w:line="286" w:lineRule="auto"/>
        <w:tabs>
          <w:tab w:leader="none" w:pos="6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color w:val="auto"/>
        </w:rPr>
        <w:t>Subject to these Articles (including Schedule 1 hereof), the Directors may exercise all the powers of the Company to borrow money and to mortgage or charge its undertaking, property and uncalled capital or any part thereof and to issue debentures, debenture stock, mortgages, bonds and other such securities whether outright or as security for any debt, liability or obligation of the Company or of any third party.</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Appointment and Removal of Directors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color w:val="auto"/>
        </w:rPr>
        <w:t xml:space="preserve">The Company may by Ordinary Resolution appoint any person to be a Director or may by Ordinary Resolution remove any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31" w:lineRule="exact"/>
        <w:rPr>
          <w:sz w:val="20"/>
          <w:szCs w:val="20"/>
          <w:color w:val="auto"/>
        </w:rPr>
      </w:pPr>
    </w:p>
    <w:p>
      <w:pPr>
        <w:ind w:left="1480" w:right="60" w:hanging="797"/>
        <w:spacing w:after="0" w:line="283" w:lineRule="auto"/>
        <w:tabs>
          <w:tab w:leader="none" w:pos="14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 For so long as BlueFocus holds no less than 808,835 Shares (subject to adjustments made for share split, subdivision, consolidation, reorganization and the like events), then BlueFocus has the right but not the obligation to designate one (1) Director (the “</w:t>
      </w:r>
      <w:r>
        <w:rPr>
          <w:rFonts w:ascii="Arial" w:cs="Arial" w:eastAsia="Arial" w:hAnsi="Arial"/>
          <w:sz w:val="16"/>
          <w:szCs w:val="16"/>
          <w:b w:val="1"/>
          <w:bCs w:val="1"/>
          <w:color w:val="auto"/>
        </w:rPr>
        <w:t>Series D</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(ii) for so long as Bertelsmann holds no less than 448,801 Shares (subject to adjustments made for share split, subdivision,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reorganization and the like events), then Bertelsmann has the right but not the obligation to designate one (1) Director (the “</w:t>
      </w:r>
      <w:r>
        <w:rPr>
          <w:rFonts w:ascii="Arial" w:cs="Arial" w:eastAsia="Arial" w:hAnsi="Arial"/>
          <w:sz w:val="16"/>
          <w:szCs w:val="16"/>
          <w:b w:val="1"/>
          <w:bCs w:val="1"/>
          <w:color w:val="auto"/>
        </w:rPr>
        <w:t>Series B Director</w:t>
      </w:r>
      <w:r>
        <w:rPr>
          <w:rFonts w:ascii="Arial" w:cs="Arial" w:eastAsia="Arial" w:hAnsi="Arial"/>
          <w:sz w:val="16"/>
          <w:szCs w:val="16"/>
          <w:color w:val="auto"/>
        </w:rPr>
        <w:t>”); (iii) for so long as Sumitomo holds no less than 437,629 Shares (subject to adjustments made for share split, subdivision, consolidation, reorganization and the like events), Sumitomo has the right but not the obligation to designate one (1) Director (the “</w:t>
      </w:r>
      <w:r>
        <w:rPr>
          <w:rFonts w:ascii="Arial" w:cs="Arial" w:eastAsia="Arial" w:hAnsi="Arial"/>
          <w:sz w:val="16"/>
          <w:szCs w:val="16"/>
          <w:b w:val="1"/>
          <w:bCs w:val="1"/>
          <w:color w:val="auto"/>
        </w:rPr>
        <w:t>Series A Director</w:t>
      </w:r>
      <w:r>
        <w:rPr>
          <w:rFonts w:ascii="Arial" w:cs="Arial" w:eastAsia="Arial" w:hAnsi="Arial"/>
          <w:sz w:val="16"/>
          <w:szCs w:val="16"/>
          <w:color w:val="auto"/>
        </w:rPr>
        <w:t>”); (iv) the holders of at least a majority of the then issued and outstanding Ordinary Shares (excluding any Ordinary Shares issued or issuable upon conversion of Preference Shares), voting separately as a single class, have the right but not the obligation to designate three (3) Directors (the “</w:t>
      </w:r>
      <w:r>
        <w:rPr>
          <w:rFonts w:ascii="Arial" w:cs="Arial" w:eastAsia="Arial" w:hAnsi="Arial"/>
          <w:sz w:val="16"/>
          <w:szCs w:val="16"/>
          <w:b w:val="1"/>
          <w:bCs w:val="1"/>
          <w:color w:val="auto"/>
        </w:rPr>
        <w:t>Ordinary Directors</w:t>
      </w:r>
      <w:r>
        <w:rPr>
          <w:rFonts w:ascii="Arial" w:cs="Arial" w:eastAsia="Arial" w:hAnsi="Arial"/>
          <w:sz w:val="16"/>
          <w:szCs w:val="16"/>
          <w:color w:val="auto"/>
        </w:rPr>
        <w:t>”) of which, (A) for so long as either (x) SSG I holds all the SSG I Ordinary Shares (as adjusted for share dividends, splits, combinations, recapitalisations or similar events) or (y) SSG II or any Person that, directly or indirectly, Controls, is Controlled by or is under common Control with SSG II, in the aggregate, hold no less than</w:t>
      </w:r>
    </w:p>
    <w:p>
      <w:pPr>
        <w:spacing w:after="0" w:line="4" w:lineRule="exact"/>
        <w:rPr>
          <w:rFonts w:ascii="Arial" w:cs="Arial" w:eastAsia="Arial" w:hAnsi="Arial"/>
          <w:sz w:val="16"/>
          <w:szCs w:val="16"/>
          <w:color w:val="auto"/>
        </w:rPr>
      </w:pPr>
    </w:p>
    <w:p>
      <w:pPr>
        <w:ind w:left="1480"/>
        <w:spacing w:after="0" w:line="269" w:lineRule="auto"/>
        <w:rPr>
          <w:rFonts w:ascii="Arial" w:cs="Arial" w:eastAsia="Arial" w:hAnsi="Arial"/>
          <w:sz w:val="16"/>
          <w:szCs w:val="16"/>
          <w:color w:val="auto"/>
        </w:rPr>
      </w:pPr>
      <w:r>
        <w:rPr>
          <w:rFonts w:ascii="Arial" w:cs="Arial" w:eastAsia="Arial" w:hAnsi="Arial"/>
          <w:sz w:val="17"/>
          <w:szCs w:val="17"/>
          <w:color w:val="auto"/>
        </w:rPr>
        <w:t>399,796 Series C Preference Shares (as adjusted for share dividends, splits, combinations, recapitalisations or similar events), SSG I and SSG II shall have the collective right to designate one (1) out of the three (3) Ordinary Directors (the “</w:t>
      </w:r>
      <w:r>
        <w:rPr>
          <w:rFonts w:ascii="Arial" w:cs="Arial" w:eastAsia="Arial" w:hAnsi="Arial"/>
          <w:sz w:val="17"/>
          <w:szCs w:val="17"/>
          <w:b w:val="1"/>
          <w:bCs w:val="1"/>
          <w:color w:val="auto"/>
        </w:rPr>
        <w:t>SSG Director</w:t>
      </w:r>
      <w:r>
        <w:rPr>
          <w:rFonts w:ascii="Arial" w:cs="Arial" w:eastAsia="Arial" w:hAnsi="Arial"/>
          <w:sz w:val="17"/>
          <w:szCs w:val="17"/>
          <w:color w:val="auto"/>
        </w:rPr>
        <w:t>”); and (B) notwithstanding any other provision in these Articles, for so long as Igomax continues to hold no less than 5% of the Igomax Shares (as adjusted for share dividends, splits, combinations, recapitalisations or similar events), (x) Igomax shall have the right but not the obligation to designate one (1) out of the three (3) Ordinary Directors (the “</w:t>
      </w:r>
      <w:r>
        <w:rPr>
          <w:rFonts w:ascii="Arial" w:cs="Arial" w:eastAsia="Arial" w:hAnsi="Arial"/>
          <w:sz w:val="17"/>
          <w:szCs w:val="17"/>
          <w:b w:val="1"/>
          <w:bCs w:val="1"/>
          <w:color w:val="auto"/>
        </w:rPr>
        <w:t>OptAim Director</w:t>
      </w:r>
      <w:r>
        <w:rPr>
          <w:rFonts w:ascii="Arial" w:cs="Arial" w:eastAsia="Arial" w:hAnsi="Arial"/>
          <w:sz w:val="17"/>
          <w:szCs w:val="17"/>
          <w:color w:val="auto"/>
        </w:rPr>
        <w:t>”), and (y) the OptAim Director shall not be removed without the prior written consent of Igomax. Subject to applicable law and listing rules, the right to appoint the OptAim Director by Igomax pursuant to these Articles shall survive the closing of a Qualified IPO.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9" w:right="239" w:bottom="1440" w:gutter="0" w:footer="0" w:header="0"/>
        </w:sectPr>
      </w:pPr>
    </w:p>
    <w:bookmarkStart w:id="348" w:name="page349"/>
    <w:bookmarkEnd w:id="348"/>
    <w:p>
      <w:pPr>
        <w:ind w:left="797" w:right="160" w:hanging="797"/>
        <w:spacing w:after="0" w:line="264" w:lineRule="auto"/>
        <w:tabs>
          <w:tab w:leader="none" w:pos="7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holders of Shares entitled to designate any individual to be elected as a Director of the Board pursuant to this </w:t>
      </w:r>
      <w:r>
        <w:rPr>
          <w:rFonts w:ascii="Arial" w:cs="Arial" w:eastAsia="Arial" w:hAnsi="Arial"/>
          <w:sz w:val="18"/>
          <w:szCs w:val="18"/>
          <w:u w:val="single" w:color="auto"/>
          <w:color w:val="auto"/>
        </w:rPr>
        <w:t>Article 27</w:t>
      </w:r>
      <w:r>
        <w:rPr>
          <w:rFonts w:ascii="Arial" w:cs="Arial" w:eastAsia="Arial" w:hAnsi="Arial"/>
          <w:sz w:val="18"/>
          <w:szCs w:val="18"/>
          <w:color w:val="auto"/>
        </w:rPr>
        <w:t xml:space="preserve"> shall have the right to remove any Director occupying such position and to fill any vacancy caused by the resignation, death or renewal of any Director occupying such position.</w:t>
      </w:r>
    </w:p>
    <w:p>
      <w:pPr>
        <w:spacing w:after="0" w:line="86" w:lineRule="exact"/>
        <w:rPr>
          <w:rFonts w:ascii="Arial" w:cs="Arial" w:eastAsia="Arial" w:hAnsi="Arial"/>
          <w:sz w:val="18"/>
          <w:szCs w:val="18"/>
          <w:color w:val="auto"/>
        </w:rPr>
      </w:pPr>
    </w:p>
    <w:p>
      <w:pPr>
        <w:ind w:left="797" w:hanging="797"/>
        <w:spacing w:after="0" w:line="264" w:lineRule="auto"/>
        <w:tabs>
          <w:tab w:leader="none" w:pos="7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Director not elected in the manner provided in sub-paragraphs (a) or (b) shall be elected by the members at a general meeting, with holders of the Series D Preference Shares, the Series C Preference Shares, the Series B Preference Shares, the Series A Preference Shares and Ordinary Shares voting together on an as-converted basis and not as separate classes.</w:t>
      </w:r>
    </w:p>
    <w:p>
      <w:pPr>
        <w:spacing w:after="0" w:line="86" w:lineRule="exact"/>
        <w:rPr>
          <w:rFonts w:ascii="Arial" w:cs="Arial" w:eastAsia="Arial" w:hAnsi="Arial"/>
          <w:sz w:val="18"/>
          <w:szCs w:val="18"/>
          <w:color w:val="auto"/>
        </w:rPr>
      </w:pPr>
    </w:p>
    <w:p>
      <w:pPr>
        <w:ind w:left="797" w:right="40" w:hanging="797"/>
        <w:spacing w:after="0" w:line="270" w:lineRule="auto"/>
        <w:tabs>
          <w:tab w:leader="none" w:pos="79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For so long as (i) Bertelsmann holds no less than 448,801 Shares (subject to adjustments made for share split, subdivision, consolidation, reorganization and the like events), (ii) Sumitomo hold no less than 437,629 Shares (subject to adjustments made for share split, subdivision, consolidation, reorganization and the like events), (iii) SSG I holds all of the SSG I Ordinary Shares (subject to adjustments made for share split, subdivision, consolidation, reorganization and the like events) or SSG II or any Person that, directly or indirectly, Controls, is Controlled by or is under common Control with SSG II, in the aggregate, hold no less than 399,796 Series C Preference Shares (as adjusted for share dividends, splits, combinations, recapitalisations or similar events), (iv) BlueFocus holds no less than 808,835 Shares (subject to adjustments made for share split, subdivision, consolidation, reorganization and the like events), and (v) SWHY holds any Shares, each of (i) Bertelsmann, (ii) Sumitomo, (iii) SSG I or SSG II (but not both of them), (iv) BlueFocus and (v) SWHY shall be entitled to designate one (1) observer to attend all meetings and receive all notices and materials of the Board or of any committee of the Board in a non-voting observer capacity.</w:t>
      </w:r>
    </w:p>
    <w:p>
      <w:pPr>
        <w:spacing w:after="0" w:line="110"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97"/>
          </w:cols>
          <w:pgMar w:left="923" w:top="274" w:right="279" w:bottom="1440" w:gutter="0" w:footer="0" w:header="0"/>
        </w:sectPr>
      </w:pPr>
    </w:p>
    <w:bookmarkStart w:id="349" w:name="page350"/>
    <w:bookmarkEnd w:id="349"/>
    <w:p>
      <w:pPr>
        <w:ind w:left="672" w:hanging="672"/>
        <w:spacing w:after="0"/>
        <w:tabs>
          <w:tab w:leader="none" w:pos="672"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Vacation of Office of Director</w:t>
      </w:r>
    </w:p>
    <w:p>
      <w:pPr>
        <w:spacing w:after="0" w:line="121"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472" w:hanging="797"/>
        <w:spacing w:after="0"/>
        <w:tabs>
          <w:tab w:leader="none" w:pos="14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he gives notice in writing to the Company that he resigns the office of Director; or</w:t>
      </w:r>
    </w:p>
    <w:p>
      <w:pPr>
        <w:spacing w:after="0" w:line="130" w:lineRule="exact"/>
        <w:rPr>
          <w:rFonts w:ascii="Arial" w:cs="Arial" w:eastAsia="Arial" w:hAnsi="Arial"/>
          <w:sz w:val="18"/>
          <w:szCs w:val="18"/>
          <w:color w:val="auto"/>
        </w:rPr>
      </w:pPr>
    </w:p>
    <w:p>
      <w:pPr>
        <w:ind w:left="1472" w:right="100" w:hanging="797"/>
        <w:spacing w:after="0" w:line="264" w:lineRule="auto"/>
        <w:tabs>
          <w:tab w:leader="none" w:pos="14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he absents himself (without being represented by proxy or an alternate Director appointed by him) from three consecutive meetings of the Board of Directors without special leave of absence from the Directors, and they pass a resolution that he has by reason of such absence vacated office; or</w:t>
      </w:r>
    </w:p>
    <w:p>
      <w:pPr>
        <w:spacing w:after="0" w:line="86" w:lineRule="exact"/>
        <w:rPr>
          <w:rFonts w:ascii="Arial" w:cs="Arial" w:eastAsia="Arial" w:hAnsi="Arial"/>
          <w:sz w:val="18"/>
          <w:szCs w:val="18"/>
          <w:color w:val="auto"/>
        </w:rPr>
      </w:pPr>
    </w:p>
    <w:p>
      <w:pPr>
        <w:ind w:left="1472" w:hanging="797"/>
        <w:spacing w:after="0"/>
        <w:tabs>
          <w:tab w:leader="none" w:pos="14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he dies, becomes bankrupt or makes any arrangement or composition with his creditors generally; or</w:t>
      </w:r>
    </w:p>
    <w:p>
      <w:pPr>
        <w:spacing w:after="0" w:line="130" w:lineRule="exact"/>
        <w:rPr>
          <w:rFonts w:ascii="Arial" w:cs="Arial" w:eastAsia="Arial" w:hAnsi="Arial"/>
          <w:sz w:val="18"/>
          <w:szCs w:val="18"/>
          <w:color w:val="auto"/>
        </w:rPr>
      </w:pPr>
    </w:p>
    <w:p>
      <w:pPr>
        <w:ind w:left="1472" w:hanging="797"/>
        <w:spacing w:after="0"/>
        <w:tabs>
          <w:tab w:leader="none" w:pos="14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he is found to be or becomes of unsound mind; or</w:t>
      </w:r>
    </w:p>
    <w:p>
      <w:pPr>
        <w:spacing w:after="0" w:line="130" w:lineRule="exact"/>
        <w:rPr>
          <w:rFonts w:ascii="Arial" w:cs="Arial" w:eastAsia="Arial" w:hAnsi="Arial"/>
          <w:sz w:val="18"/>
          <w:szCs w:val="18"/>
          <w:color w:val="auto"/>
        </w:rPr>
      </w:pPr>
    </w:p>
    <w:p>
      <w:pPr>
        <w:ind w:left="1472" w:hanging="797"/>
        <w:spacing w:after="0" w:line="312" w:lineRule="auto"/>
        <w:tabs>
          <w:tab w:leader="none" w:pos="1472"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if a Director is determined by at least a majority of the other Directors, upon advice by a third party counsel that the Director to be removed violated any of his or her fiduciary duties to the Company or committed fraud (or its equivalent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any Person(s) that had the right to designate such Director shall have the right to designate a replacement for such Director.</w:t>
      </w:r>
    </w:p>
    <w:p>
      <w:pPr>
        <w:spacing w:after="0" w:line="291" w:lineRule="exact"/>
        <w:rPr>
          <w:rFonts w:ascii="Arial" w:cs="Arial" w:eastAsia="Arial" w:hAnsi="Arial"/>
          <w:sz w:val="16"/>
          <w:szCs w:val="16"/>
          <w:color w:val="auto"/>
        </w:rPr>
      </w:pPr>
    </w:p>
    <w:p>
      <w:pPr>
        <w:ind w:left="672" w:hanging="672"/>
        <w:spacing w:after="0"/>
        <w:tabs>
          <w:tab w:leader="none" w:pos="672"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672" w:hanging="674"/>
        <w:spacing w:after="0" w:line="254" w:lineRule="auto"/>
        <w:tabs>
          <w:tab w:leader="none" w:pos="652"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The Board shall hold no less than one (1) meeting during each fiscal quarter unless otherwise approved by 2/3 of the members of the Board, including the Series D Director, the Series A Director and the Series B Director. The quorum for the transaction of the business of the Directors shall be four, including the Series D Director (where one is appointed), the Series B Director (where one is appointed) and the Series A Director (where one is appointed), the SSG Director or their respective alternates; provided that the presence of the Series D Director is not necessary for a board meeting convened solely for the purpose of considering the paramount lien, the making of a call or forfeiture of that portion of BlueFocus’s Shares representing the unpaid Residual Amount (if any) after 1 July 2015. A person who holds office as an alternate Director shall, if his appointer is not present, be counted in the quorum. A Director who also acts as an alternate Director shall, if his appointer is not present, count once towards the quorum.</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92"/>
          </w:cols>
          <w:pgMar w:left="248" w:top="270" w:right="259" w:bottom="1440" w:gutter="0" w:footer="0" w:header="0"/>
        </w:sectPr>
      </w:pPr>
    </w:p>
    <w:bookmarkStart w:id="350" w:name="page351"/>
    <w:bookmarkEnd w:id="350"/>
    <w:p>
      <w:pPr>
        <w:ind w:left="640" w:right="340" w:hanging="674"/>
        <w:spacing w:after="0" w:line="312"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29.2</w:t>
      </w:r>
      <w:r>
        <w:rPr>
          <w:sz w:val="20"/>
          <w:szCs w:val="20"/>
          <w:color w:val="auto"/>
        </w:rPr>
        <w:tab/>
      </w:r>
      <w:r>
        <w:rPr>
          <w:rFonts w:ascii="Arial" w:cs="Arial" w:eastAsia="Arial" w:hAnsi="Arial"/>
          <w:sz w:val="16"/>
          <w:szCs w:val="16"/>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appointer to a separate vote on behalf of his appointer in addition to his own vote.</w:t>
      </w:r>
    </w:p>
    <w:p>
      <w:pPr>
        <w:spacing w:after="0" w:line="52" w:lineRule="exact"/>
        <w:rPr>
          <w:sz w:val="20"/>
          <w:szCs w:val="20"/>
          <w:color w:val="auto"/>
        </w:rPr>
      </w:pPr>
    </w:p>
    <w:p>
      <w:pPr>
        <w:ind w:left="640" w:hanging="674"/>
        <w:spacing w:after="0" w:line="259" w:lineRule="auto"/>
        <w:tabs>
          <w:tab w:leader="none" w:pos="62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 person may participate in a meeting of the Directors or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at the start of the meeting.</w:t>
      </w:r>
    </w:p>
    <w:p>
      <w:pPr>
        <w:spacing w:after="0" w:line="92" w:lineRule="exact"/>
        <w:rPr>
          <w:sz w:val="20"/>
          <w:szCs w:val="20"/>
          <w:color w:val="auto"/>
        </w:rPr>
      </w:pPr>
    </w:p>
    <w:p>
      <w:pPr>
        <w:ind w:left="640" w:right="140" w:hanging="674"/>
        <w:spacing w:after="0" w:line="259" w:lineRule="auto"/>
        <w:tabs>
          <w:tab w:leader="none" w:pos="62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A resolution in writing (in one or more counterparts) signed by all the Directors or a majority of all the members of a committee of Directors, in each case including the Series D Director, the Series B Director, the Series A Director and the SSG Director (an alternate Director being entitled to sign such a resolution on behalf of his appointer) shall be as valid and effectual as if it had been passed at a meeting of the Directors, or committee of Directors as the case may be, duly convened and held.</w:t>
      </w:r>
    </w:p>
    <w:p>
      <w:pPr>
        <w:spacing w:after="0" w:line="92" w:lineRule="exact"/>
        <w:rPr>
          <w:sz w:val="20"/>
          <w:szCs w:val="20"/>
          <w:color w:val="auto"/>
        </w:rPr>
      </w:pPr>
    </w:p>
    <w:p>
      <w:pPr>
        <w:ind w:left="640" w:right="20" w:hanging="674"/>
        <w:spacing w:after="0" w:line="259" w:lineRule="auto"/>
        <w:tabs>
          <w:tab w:leader="none" w:pos="62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8"/>
          <w:szCs w:val="18"/>
          <w:color w:val="auto"/>
        </w:rPr>
        <w:t>A Director or alternate Director on the requisition of another Director or alternate Director shall, call a meeting of the Directors by at least five days’ notice in writing to every Director, alternate Director and observer designated by BlueFocus, Bertelsmann, Sumitomo, SSG I or SSG II, unless all directors agree to shorter notice, which notice shall set forth the general nature of the business to be considered unless notice is waived by all the Directors (or their alternates) either at, before or after the meeting is held.</w:t>
      </w:r>
    </w:p>
    <w:p>
      <w:pPr>
        <w:spacing w:after="0" w:line="92" w:lineRule="exact"/>
        <w:rPr>
          <w:sz w:val="20"/>
          <w:szCs w:val="20"/>
          <w:color w:val="auto"/>
        </w:rPr>
      </w:pPr>
    </w:p>
    <w:p>
      <w:pPr>
        <w:ind w:left="640" w:right="40" w:hanging="674"/>
        <w:spacing w:after="0" w:line="276" w:lineRule="auto"/>
        <w:tabs>
          <w:tab w:leader="none" w:pos="62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7"/>
          <w:szCs w:val="17"/>
          <w:color w:val="auto"/>
        </w:rPr>
        <w:t>If the SSG Director, the Series A Director, the Series B Director or the Series D Director is not present within half an hour from the time appointed for the meeting or if during such a meeting a quorum ceases to be present, the meeting, shall be dissolved and in any other case it shall stand adjourned for 48 hours later to the same time and place or to such other day, time or such other place as the Directors may determine, and if at the adjourned meeting the SSG Director, the Series A Director, the Series B Director or the Series D Director is not present within half an hour from the time scheduled for the adjourned meeting, the Directors present shall form the quorum.</w:t>
      </w:r>
    </w:p>
    <w:p>
      <w:pPr>
        <w:spacing w:after="0" w:line="78" w:lineRule="exact"/>
        <w:rPr>
          <w:sz w:val="20"/>
          <w:szCs w:val="20"/>
          <w:color w:val="auto"/>
        </w:rPr>
      </w:pPr>
    </w:p>
    <w:p>
      <w:pPr>
        <w:jc w:val="both"/>
        <w:ind w:left="640" w:right="120" w:hanging="674"/>
        <w:spacing w:after="0" w:line="286" w:lineRule="auto"/>
        <w:tabs>
          <w:tab w:leader="none" w:pos="62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7"/>
          <w:szCs w:val="17"/>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80" w:top="274" w:right="259" w:bottom="1440" w:gutter="0" w:footer="0" w:header="0"/>
        </w:sectPr>
      </w:pPr>
    </w:p>
    <w:bookmarkStart w:id="351" w:name="page352"/>
    <w:bookmarkEnd w:id="351"/>
    <w:p>
      <w:pPr>
        <w:jc w:val="both"/>
        <w:ind w:left="672" w:right="120" w:hanging="674"/>
        <w:spacing w:after="0" w:line="264"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29.8</w:t>
      </w:r>
      <w:r>
        <w:rPr>
          <w:sz w:val="20"/>
          <w:szCs w:val="20"/>
          <w:color w:val="auto"/>
        </w:rPr>
        <w:tab/>
      </w:r>
      <w:r>
        <w:rPr>
          <w:rFonts w:ascii="Arial" w:cs="Arial" w:eastAsia="Arial" w:hAnsi="Arial"/>
          <w:sz w:val="18"/>
          <w:szCs w:val="18"/>
          <w:color w:val="auto"/>
        </w:rPr>
        <w:t>The Directors may elect a chairman of the Board and determine the period for which he is to hold office; but if no such chairman is elected, or if at any meeting the chairman is not present within five minutes after the time appointed for holding the same, the Directors present may choose one of their number to be chairman of the meeting.</w:t>
      </w:r>
    </w:p>
    <w:p>
      <w:pPr>
        <w:spacing w:after="0" w:line="87" w:lineRule="exact"/>
        <w:rPr>
          <w:sz w:val="20"/>
          <w:szCs w:val="20"/>
          <w:color w:val="auto"/>
        </w:rPr>
      </w:pPr>
    </w:p>
    <w:p>
      <w:pPr>
        <w:ind w:left="672" w:right="80" w:hanging="674"/>
        <w:spacing w:after="0" w:line="259" w:lineRule="auto"/>
        <w:tabs>
          <w:tab w:leader="none" w:pos="652" w:val="left"/>
        </w:tabs>
        <w:rPr>
          <w:sz w:val="20"/>
          <w:szCs w:val="20"/>
          <w:color w:val="auto"/>
        </w:rPr>
      </w:pPr>
      <w:r>
        <w:rPr>
          <w:rFonts w:ascii="Arial" w:cs="Arial" w:eastAsia="Arial" w:hAnsi="Arial"/>
          <w:sz w:val="18"/>
          <w:szCs w:val="18"/>
          <w:color w:val="auto"/>
        </w:rPr>
        <w:t>29.9</w:t>
      </w:r>
      <w:r>
        <w:rPr>
          <w:sz w:val="20"/>
          <w:szCs w:val="20"/>
          <w:color w:val="auto"/>
        </w:rPr>
        <w:tab/>
      </w:r>
      <w:r>
        <w:rPr>
          <w:rFonts w:ascii="Arial" w:cs="Arial" w:eastAsia="Arial" w:hAnsi="Arial"/>
          <w:sz w:val="18"/>
          <w:szCs w:val="18"/>
          <w:color w:val="auto"/>
        </w:rPr>
        <w:t>All acts done by any meeting of the Directors or of a committee of Directors (including any person acting as an alternate Director) shall, notwithstanding that it be afterwards discovered that there was some defect in the appointment of any Director or alternate Director, or that they or any of them were disqualified, be as valid as if every such person had been duly appointed and qualified to be a Director or alternate Director as the case may be.</w:t>
      </w:r>
    </w:p>
    <w:p>
      <w:pPr>
        <w:spacing w:after="0" w:line="92" w:lineRule="exact"/>
        <w:rPr>
          <w:sz w:val="20"/>
          <w:szCs w:val="20"/>
          <w:color w:val="auto"/>
        </w:rPr>
      </w:pPr>
    </w:p>
    <w:p>
      <w:pPr>
        <w:ind w:left="672" w:right="160" w:hanging="674"/>
        <w:spacing w:after="0" w:line="308" w:lineRule="auto"/>
        <w:tabs>
          <w:tab w:leader="none" w:pos="652" w:val="left"/>
        </w:tabs>
        <w:rPr>
          <w:sz w:val="20"/>
          <w:szCs w:val="20"/>
          <w:color w:val="auto"/>
        </w:rPr>
      </w:pPr>
      <w:r>
        <w:rPr>
          <w:rFonts w:ascii="Arial" w:cs="Arial" w:eastAsia="Arial" w:hAnsi="Arial"/>
          <w:sz w:val="18"/>
          <w:szCs w:val="18"/>
          <w:color w:val="auto"/>
        </w:rPr>
        <w:t>29.10</w:t>
      </w:r>
      <w:r>
        <w:rPr>
          <w:sz w:val="20"/>
          <w:szCs w:val="20"/>
          <w:color w:val="auto"/>
        </w:rPr>
        <w:tab/>
      </w:r>
      <w:r>
        <w:rPr>
          <w:rFonts w:ascii="Arial" w:cs="Arial" w:eastAsia="Arial" w:hAnsi="Arial"/>
          <w:sz w:val="17"/>
          <w:szCs w:val="17"/>
          <w:color w:val="auto"/>
        </w:rPr>
        <w:t>A Director but not an alternate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291" w:lineRule="exact"/>
        <w:rPr>
          <w:sz w:val="20"/>
          <w:szCs w:val="20"/>
          <w:color w:val="auto"/>
        </w:rPr>
      </w:pPr>
    </w:p>
    <w:p>
      <w:pPr>
        <w:ind w:left="672" w:hanging="672"/>
        <w:spacing w:after="0"/>
        <w:tabs>
          <w:tab w:leader="none" w:pos="672"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121" w:lineRule="exact"/>
        <w:rPr>
          <w:rFonts w:ascii="Arial" w:cs="Arial" w:eastAsia="Arial" w:hAnsi="Arial"/>
          <w:sz w:val="18"/>
          <w:szCs w:val="18"/>
          <w:b w:val="1"/>
          <w:bCs w:val="1"/>
          <w:color w:val="auto"/>
        </w:rPr>
      </w:pPr>
    </w:p>
    <w:p>
      <w:pPr>
        <w:ind w:left="69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32" w:lineRule="exact"/>
        <w:rPr>
          <w:rFonts w:ascii="Arial" w:cs="Arial" w:eastAsia="Arial" w:hAnsi="Arial"/>
          <w:sz w:val="18"/>
          <w:szCs w:val="18"/>
          <w:b w:val="1"/>
          <w:bCs w:val="1"/>
          <w:color w:val="auto"/>
        </w:rPr>
      </w:pPr>
    </w:p>
    <w:p>
      <w:pPr>
        <w:ind w:left="672" w:hanging="672"/>
        <w:spacing w:after="0"/>
        <w:tabs>
          <w:tab w:leader="none" w:pos="672"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ind w:left="672" w:right="540" w:hanging="674"/>
        <w:spacing w:after="0" w:line="277" w:lineRule="auto"/>
        <w:tabs>
          <w:tab w:leader="none" w:pos="65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76" w:lineRule="exact"/>
        <w:rPr>
          <w:sz w:val="20"/>
          <w:szCs w:val="20"/>
          <w:color w:val="auto"/>
        </w:rPr>
      </w:pPr>
    </w:p>
    <w:p>
      <w:pPr>
        <w:ind w:left="672" w:right="620" w:hanging="674"/>
        <w:spacing w:after="0" w:line="277" w:lineRule="auto"/>
        <w:tabs>
          <w:tab w:leader="none" w:pos="65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A Director may act by himself or his firm in a professional capacity for the Company and he or his firm shall be entitled to remuneration for professional services as if he were not a Director or alternate Director.</w:t>
      </w:r>
    </w:p>
    <w:p>
      <w:pPr>
        <w:spacing w:after="0" w:line="76" w:lineRule="exact"/>
        <w:rPr>
          <w:sz w:val="20"/>
          <w:szCs w:val="20"/>
          <w:color w:val="auto"/>
        </w:rPr>
      </w:pPr>
    </w:p>
    <w:p>
      <w:pPr>
        <w:ind w:left="672" w:right="200" w:hanging="674"/>
        <w:spacing w:after="0" w:line="259" w:lineRule="auto"/>
        <w:tabs>
          <w:tab w:leader="none" w:pos="652"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 Director or alternate Director of the Company may be or become a director or other officer of or otherwise interested in any company promoted by the Company or in which the Company may be interested as shareholder or otherwise, and no such Director or alternate Director shall be accountable to the Company for any remuneration or other benefits received by him as a director or officer of, or from his interest in, such other company.</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92"/>
          </w:cols>
          <w:pgMar w:left="248" w:top="274" w:right="259" w:bottom="1440" w:gutter="0" w:footer="0" w:header="0"/>
        </w:sectPr>
      </w:pPr>
    </w:p>
    <w:bookmarkStart w:id="352" w:name="page353"/>
    <w:bookmarkEnd w:id="352"/>
    <w:p>
      <w:pPr>
        <w:ind w:left="672" w:right="60" w:hanging="674"/>
        <w:spacing w:after="0" w:line="291"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31.4</w:t>
      </w:r>
      <w:r>
        <w:rPr>
          <w:sz w:val="20"/>
          <w:szCs w:val="20"/>
          <w:color w:val="auto"/>
        </w:rPr>
        <w:tab/>
      </w:r>
      <w:r>
        <w:rPr>
          <w:rFonts w:ascii="Arial" w:cs="Arial" w:eastAsia="Arial" w:hAnsi="Arial"/>
          <w:sz w:val="16"/>
          <w:szCs w:val="16"/>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73" w:lineRule="exact"/>
        <w:rPr>
          <w:sz w:val="20"/>
          <w:szCs w:val="20"/>
          <w:color w:val="auto"/>
        </w:rPr>
      </w:pPr>
    </w:p>
    <w:p>
      <w:pPr>
        <w:ind w:left="672" w:hanging="674"/>
        <w:spacing w:after="0" w:line="259" w:lineRule="auto"/>
        <w:tabs>
          <w:tab w:leader="none" w:pos="652"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331" w:lineRule="exact"/>
        <w:rPr>
          <w:sz w:val="20"/>
          <w:szCs w:val="20"/>
          <w:color w:val="auto"/>
        </w:rPr>
      </w:pPr>
    </w:p>
    <w:p>
      <w:pPr>
        <w:ind w:left="672" w:hanging="672"/>
        <w:spacing w:after="0"/>
        <w:tabs>
          <w:tab w:leader="none" w:pos="672"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b w:val="1"/>
          <w:bCs w:val="1"/>
          <w:color w:val="auto"/>
        </w:rPr>
      </w:pPr>
    </w:p>
    <w:p>
      <w:pPr>
        <w:ind w:left="692"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Directors shall cause minutes to be made in books kept for the purpose of all appointments of officers made by the Directors, all proceedings at meetings of the Company or the holders of any class of Shares and of the Directors, and of committees of Directors including the names of the Directors or alternate Directors present at each meeting. The minutes shall be provided to all the Directors and the observers designated by BlueFocus, Bertelsmann and Sumitomo within seven (7) business days after the holding of such meetings.</w:t>
      </w:r>
    </w:p>
    <w:p>
      <w:pPr>
        <w:spacing w:after="0" w:line="316" w:lineRule="exact"/>
        <w:rPr>
          <w:rFonts w:ascii="Arial" w:cs="Arial" w:eastAsia="Arial" w:hAnsi="Arial"/>
          <w:sz w:val="18"/>
          <w:szCs w:val="18"/>
          <w:b w:val="1"/>
          <w:bCs w:val="1"/>
          <w:color w:val="auto"/>
        </w:rPr>
      </w:pPr>
    </w:p>
    <w:p>
      <w:pPr>
        <w:ind w:left="672" w:hanging="672"/>
        <w:spacing w:after="0"/>
        <w:tabs>
          <w:tab w:leader="none" w:pos="672"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672" w:right="140" w:hanging="674"/>
        <w:spacing w:after="0" w:line="273" w:lineRule="auto"/>
        <w:tabs>
          <w:tab w:leader="none" w:pos="652"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7"/>
          <w:szCs w:val="17"/>
          <w:color w:val="auto"/>
        </w:rPr>
        <w:t>The Directors may delegate any of their powers to any committee consisting of one or more Directors. They may also delegate to any managing director or any Director holding any other executive office such of their powers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may be revoked or altered. Subject to any such conditions, the proceedings of a committee of Directors shall be governed by the Articles regulating the proceedings of Directors, so far as they are capable of applying.</w:t>
      </w:r>
    </w:p>
    <w:p>
      <w:pPr>
        <w:spacing w:after="0" w:line="84" w:lineRule="exact"/>
        <w:rPr>
          <w:sz w:val="20"/>
          <w:szCs w:val="20"/>
          <w:color w:val="auto"/>
        </w:rPr>
      </w:pPr>
    </w:p>
    <w:p>
      <w:pPr>
        <w:ind w:left="672" w:right="20" w:hanging="674"/>
        <w:spacing w:after="0" w:line="273" w:lineRule="auto"/>
        <w:tabs>
          <w:tab w:leader="none" w:pos="652"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or local boards, provided that all of the Series D Director, the Series B Director and the Series A Director shall have the right, but not the obligation, to be a member of any such committee or local board. Any such appointment may be made subject to any conditions the Directors may impose, and either collaterally with or to the exclusion of their own powers and may be revoked or altered. Subject to any such conditions, the proceedings of a committee of Directors shall be governed by the Articles regulating the proceedings of Directors, so far as they are capable of applying.</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92"/>
          </w:cols>
          <w:pgMar w:left="248" w:top="273" w:right="259" w:bottom="1440" w:gutter="0" w:footer="0" w:header="0"/>
        </w:sectPr>
      </w:pPr>
    </w:p>
    <w:bookmarkStart w:id="353" w:name="page354"/>
    <w:bookmarkEnd w:id="353"/>
    <w:p>
      <w:pPr>
        <w:ind w:left="680" w:right="220" w:hanging="674"/>
        <w:spacing w:after="0" w:line="342"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29" w:lineRule="exact"/>
        <w:rPr>
          <w:sz w:val="20"/>
          <w:szCs w:val="20"/>
          <w:color w:val="auto"/>
        </w:rPr>
      </w:pPr>
    </w:p>
    <w:p>
      <w:pPr>
        <w:ind w:left="680" w:hanging="674"/>
        <w:spacing w:after="0" w:line="273" w:lineRule="auto"/>
        <w:tabs>
          <w:tab w:leader="none" w:pos="6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84" w:lineRule="exact"/>
        <w:rPr>
          <w:sz w:val="20"/>
          <w:szCs w:val="20"/>
          <w:color w:val="auto"/>
        </w:rPr>
      </w:pPr>
    </w:p>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w:t>
      </w:r>
    </w:p>
    <w:p>
      <w:pPr>
        <w:spacing w:after="0" w:line="3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Alternate Directors</w:t>
      </w:r>
    </w:p>
    <w:p>
      <w:pPr>
        <w:spacing w:after="0" w:line="135" w:lineRule="exact"/>
        <w:rPr>
          <w:sz w:val="20"/>
          <w:szCs w:val="20"/>
          <w:color w:val="auto"/>
        </w:rPr>
      </w:pPr>
    </w:p>
    <w:p>
      <w:pPr>
        <w:ind w:left="680" w:right="440" w:hanging="674"/>
        <w:spacing w:after="0" w:line="277" w:lineRule="auto"/>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Any Director (other than an alternate Director) may by writing appoint any other Director, or any other person willing to act, to be an alternate Director and by writing may remove from office an alternate Director so appointed by him.</w:t>
      </w:r>
    </w:p>
    <w:p>
      <w:pPr>
        <w:spacing w:after="0" w:line="76" w:lineRule="exact"/>
        <w:rPr>
          <w:sz w:val="20"/>
          <w:szCs w:val="20"/>
          <w:color w:val="auto"/>
        </w:rPr>
      </w:pPr>
    </w:p>
    <w:p>
      <w:pPr>
        <w:jc w:val="both"/>
        <w:ind w:left="680" w:right="340" w:hanging="674"/>
        <w:spacing w:after="0" w:line="264" w:lineRule="auto"/>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An alternate Director shall be entitled to receive notice of all meetings of Directors and of all meetings of committees of Directors of which his appointer is a member, to attend and vote at every such meeting at which the Director appointing him is not personally present, and generally to perform all the functions of his appointer as a Director in his absence.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color w:val="auto"/>
        </w:rPr>
        <w:t>An alternate Director shall cease to be an alternate Director if his appointer ceases to be a Director.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354" w:name="page355"/>
    <w:bookmarkEnd w:id="354"/>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34.4</w:t>
      </w:r>
      <w:r>
        <w:rPr>
          <w:sz w:val="20"/>
          <w:szCs w:val="20"/>
          <w:color w:val="auto"/>
        </w:rPr>
        <w:tab/>
      </w:r>
      <w:r>
        <w:rPr>
          <w:rFonts w:ascii="Arial" w:cs="Arial" w:eastAsia="Arial" w:hAnsi="Arial"/>
          <w:sz w:val="18"/>
          <w:szCs w:val="18"/>
          <w:color w:val="auto"/>
        </w:rPr>
        <w:t>Any appointment or removal of an alternate Director shall be by notice to the Company signed by the Director making or revoking the appointment or in any other manner approved by the Directors.</w:t>
      </w:r>
    </w:p>
    <w:p>
      <w:pPr>
        <w:spacing w:after="0" w:line="76"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An alternate Director shall be deemed for all purposes to be a Director and shall alone be responsible for his own acts and defaults and shall not be deemed to be the agent of the Director appointing him.</w:t>
      </w:r>
    </w:p>
    <w:p>
      <w:pPr>
        <w:spacing w:after="0" w:line="315" w:lineRule="exact"/>
        <w:rPr>
          <w:sz w:val="20"/>
          <w:szCs w:val="20"/>
          <w:color w:val="auto"/>
        </w:rPr>
      </w:pPr>
    </w:p>
    <w:p>
      <w:pPr>
        <w:ind w:left="680" w:hanging="672"/>
        <w:spacing w:after="0"/>
        <w:tabs>
          <w:tab w:leader="none" w:pos="68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70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15" w:lineRule="exact"/>
        <w:rPr>
          <w:rFonts w:ascii="Arial" w:cs="Arial" w:eastAsia="Arial" w:hAnsi="Arial"/>
          <w:sz w:val="18"/>
          <w:szCs w:val="18"/>
          <w:b w:val="1"/>
          <w:bCs w:val="1"/>
          <w:color w:val="auto"/>
        </w:rPr>
      </w:pPr>
    </w:p>
    <w:p>
      <w:pPr>
        <w:ind w:left="680" w:hanging="672"/>
        <w:spacing w:after="0"/>
        <w:tabs>
          <w:tab w:leader="none" w:pos="68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680" w:right="80" w:hanging="674"/>
        <w:spacing w:after="0" w:line="257" w:lineRule="auto"/>
        <w:tabs>
          <w:tab w:leader="none" w:pos="66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to receive a fixed allowance in respect thereof as may be determined by the Directors, or a combination partly of one such method and partly the other.</w:t>
      </w:r>
    </w:p>
    <w:p>
      <w:pPr>
        <w:spacing w:after="0" w:line="94"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The Directors may by resolution approve additional remuneration to any Director for any services other than his ordinary routine work as a Director. Any fees paid to a Director who is also counsel or solicitor to the Company, or otherwise serves it in a professional capacity shall be in addition to his remuneration as a Director.</w:t>
      </w:r>
    </w:p>
    <w:p>
      <w:pPr>
        <w:spacing w:after="0" w:line="3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Seal</w:t>
      </w:r>
    </w:p>
    <w:p>
      <w:pPr>
        <w:spacing w:after="0" w:line="135" w:lineRule="exact"/>
        <w:rPr>
          <w:sz w:val="20"/>
          <w:szCs w:val="20"/>
          <w:color w:val="auto"/>
        </w:rPr>
      </w:pPr>
    </w:p>
    <w:p>
      <w:pPr>
        <w:jc w:val="both"/>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7" w:lineRule="exact"/>
        <w:rPr>
          <w:sz w:val="20"/>
          <w:szCs w:val="20"/>
          <w:color w:val="auto"/>
        </w:rPr>
      </w:pPr>
    </w:p>
    <w:p>
      <w:pPr>
        <w:ind w:left="680" w:right="60" w:hanging="674"/>
        <w:spacing w:after="0" w:line="342" w:lineRule="auto"/>
        <w:tabs>
          <w:tab w:leader="none" w:pos="6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29"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55" w:name="page356"/>
    <w:bookmarkEnd w:id="355"/>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w:t>
      </w:r>
      <w:r>
        <w:rPr>
          <w:sz w:val="20"/>
          <w:szCs w:val="20"/>
          <w:color w:val="auto"/>
        </w:rPr>
        <w:tab/>
      </w:r>
      <w:r>
        <w:rPr>
          <w:rFonts w:ascii="Arial" w:cs="Arial" w:eastAsia="Arial" w:hAnsi="Arial"/>
          <w:sz w:val="18"/>
          <w:szCs w:val="18"/>
          <w:b w:val="1"/>
          <w:bCs w:val="1"/>
          <w:color w:val="auto"/>
        </w:rPr>
        <w:t>Dividends, Distributions and Reserve</w:t>
      </w:r>
    </w:p>
    <w:p>
      <w:pPr>
        <w:spacing w:after="0" w:line="135"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Subject to the Statute and these Articles (including Schedule 1 hereof), the Directors may declare Dividends and distributions on Shares in issue and authorise payment of the Dividends or distributions out of the funds of the Company lawfully available therefor. No Dividend or distribution shall be paid except out of the realised or unrealised profits of the Company or out of the share premium account or as otherwise permitted by the Statute.</w:t>
      </w:r>
    </w:p>
    <w:p>
      <w:pPr>
        <w:spacing w:after="0" w:line="52"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Except as otherwise provided by the rights attached to Shares, all Dividends shall be declared and paid according to the par value of the Shares that a Member holds. If any Share is issued on terms providing that it shall rank for Dividend as from a particular date, that Share shall rank for Dividend accordingly.</w:t>
      </w:r>
    </w:p>
    <w:p>
      <w:pPr>
        <w:spacing w:after="0" w:line="87" w:lineRule="exact"/>
        <w:rPr>
          <w:sz w:val="20"/>
          <w:szCs w:val="20"/>
          <w:color w:val="auto"/>
        </w:rPr>
      </w:pPr>
    </w:p>
    <w:p>
      <w:pPr>
        <w:ind w:left="680" w:right="720" w:hanging="674"/>
        <w:spacing w:after="0" w:line="277" w:lineRule="auto"/>
        <w:tabs>
          <w:tab w:leader="none" w:pos="66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The Directors may deduct from any Dividend or distribution payable to any Member all sums of money (if any) then payable by him to the Company on account of calls or otherwise.</w:t>
      </w:r>
    </w:p>
    <w:p>
      <w:pPr>
        <w:spacing w:after="0" w:line="76" w:lineRule="exact"/>
        <w:rPr>
          <w:sz w:val="20"/>
          <w:szCs w:val="20"/>
          <w:color w:val="auto"/>
        </w:rPr>
      </w:pPr>
    </w:p>
    <w:p>
      <w:pPr>
        <w:ind w:left="680" w:right="60" w:hanging="674"/>
        <w:spacing w:after="0" w:line="297" w:lineRule="auto"/>
        <w:tabs>
          <w:tab w:leader="none" w:pos="66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6"/>
          <w:szCs w:val="16"/>
          <w:color w:val="auto"/>
        </w:rPr>
        <w:t>The Directors may declare that any Dividend or distribution be paid wholly or partly by the distribution of specific assets and in particular of shares, debentures, or securities of any other company or in any one or more of such ways and where any difficulty arises in regard to such distribution,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64" w:lineRule="exact"/>
        <w:rPr>
          <w:sz w:val="20"/>
          <w:szCs w:val="20"/>
          <w:color w:val="auto"/>
        </w:rPr>
      </w:pPr>
    </w:p>
    <w:p>
      <w:pPr>
        <w:ind w:left="680" w:right="80" w:hanging="674"/>
        <w:spacing w:after="0" w:line="297" w:lineRule="auto"/>
        <w:tabs>
          <w:tab w:leader="none" w:pos="66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6"/>
          <w:szCs w:val="16"/>
          <w:color w:val="auto"/>
        </w:rPr>
        <w:t>Any Dividend,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bonuses, or other monies payable in respect of the Share held by them as joint holders.</w:t>
      </w:r>
    </w:p>
    <w:p>
      <w:pPr>
        <w:spacing w:after="0" w:line="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6"/>
          <w:szCs w:val="16"/>
          <w:color w:val="auto"/>
        </w:rPr>
        <w:t>No Dividend or distribution shall bear interest against the Company.</w:t>
      </w:r>
    </w:p>
    <w:p>
      <w:pPr>
        <w:spacing w:after="0" w:line="131" w:lineRule="exact"/>
        <w:rPr>
          <w:sz w:val="20"/>
          <w:szCs w:val="20"/>
          <w:color w:val="auto"/>
        </w:rPr>
      </w:pPr>
    </w:p>
    <w:p>
      <w:pPr>
        <w:ind w:left="680" w:right="320" w:hanging="674"/>
        <w:spacing w:after="0" w:line="302" w:lineRule="auto"/>
        <w:tabs>
          <w:tab w:leader="none" w:pos="66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6"/>
          <w:szCs w:val="16"/>
          <w:color w:val="auto"/>
        </w:rPr>
        <w:t>Any Dividend which cannot be paid to a Member and/or which remains unclaimed after six months from the date of the declaration of such Dividend may, in the discretion of the Directors, be paid into a separate account in the Company’s name, provided that the Company shall not be constituted as a trustee in respect of that account and the Dividend shall remain as a debt due to the Member. Any Dividend which remains unclaimed after a period of six years from the date of the declaration of such dividend shall be forfeited and shall revert to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9" w:right="239" w:bottom="1440" w:gutter="0" w:footer="0" w:header="0"/>
        </w:sectPr>
      </w:pPr>
    </w:p>
    <w:bookmarkStart w:id="356" w:name="page357"/>
    <w:bookmarkEnd w:id="356"/>
    <w:p>
      <w:pPr>
        <w:ind w:left="672" w:hanging="672"/>
        <w:spacing w:after="0"/>
        <w:tabs>
          <w:tab w:leader="none" w:pos="672"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Capitalisation</w:t>
      </w:r>
    </w:p>
    <w:p>
      <w:pPr>
        <w:spacing w:after="0" w:line="121" w:lineRule="exact"/>
        <w:rPr>
          <w:rFonts w:ascii="Arial" w:cs="Arial" w:eastAsia="Arial" w:hAnsi="Arial"/>
          <w:sz w:val="18"/>
          <w:szCs w:val="18"/>
          <w:b w:val="1"/>
          <w:bCs w:val="1"/>
          <w:color w:val="auto"/>
        </w:rPr>
      </w:pPr>
    </w:p>
    <w:p>
      <w:pPr>
        <w:ind w:left="69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Subject to these Articles (including Schedule 1 hereof), the Directors may capitalize any sum standing to the credit of any of the Company’s reserve accounts (including share premium account and capital redemption reserve fund) or any sum standing to the credit of profit and loss account or otherwise available for distribution and to appropriate such sum to Members in the proportions in which such sum would have been divisible amongst them had the same been a distribution of profits by way of Dividend and to apply such sum on their behalf in paying up in full unissued Shares for allotment and distribution credited as fully paid-up to and amongst them in the proportion aforesaid. In such event the Directors shall do all acts and things required to give effect to such capitalization, with full power to the Directors to make such provisions as they think fit for the case of Shares becoming distributable in fractions (including provisions whereby the benefit of fractional entitlements accrue to the Company rather than to the Members concerned). The Directors may authorize any person to enter on behalf of all of the Members interested into an agreement with the Company providing for such capitalization and matters incidental thereto and any agreement made under such authority shall be effective and binding on all concerned.</w:t>
      </w:r>
    </w:p>
    <w:p>
      <w:pPr>
        <w:spacing w:after="0" w:line="322" w:lineRule="exact"/>
        <w:rPr>
          <w:rFonts w:ascii="Arial" w:cs="Arial" w:eastAsia="Arial" w:hAnsi="Arial"/>
          <w:sz w:val="18"/>
          <w:szCs w:val="18"/>
          <w:b w:val="1"/>
          <w:bCs w:val="1"/>
          <w:color w:val="auto"/>
        </w:rPr>
      </w:pPr>
    </w:p>
    <w:p>
      <w:pPr>
        <w:ind w:left="672" w:hanging="672"/>
        <w:spacing w:after="0"/>
        <w:tabs>
          <w:tab w:leader="none" w:pos="672"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135" w:lineRule="exact"/>
        <w:rPr>
          <w:sz w:val="20"/>
          <w:szCs w:val="20"/>
          <w:color w:val="auto"/>
        </w:rPr>
      </w:pPr>
    </w:p>
    <w:p>
      <w:pPr>
        <w:ind w:left="672" w:hanging="674"/>
        <w:spacing w:after="0" w:line="259" w:lineRule="auto"/>
        <w:tabs>
          <w:tab w:leader="none" w:pos="652"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The Directors shall cause proper books of account to be kept with respect to all sums of money received and expended by the Company and the matters in respect of which the receipt or expenditure takes place, all sales and purchases of goods by the Company and the assets and liabilities of the Company. Proper books shall not be deemed to be kept if there are not kept such books of account as are necessary to give a true and fair view of the state of the Company’s affairs and to explain its transactions.</w:t>
      </w:r>
    </w:p>
    <w:p>
      <w:pPr>
        <w:spacing w:after="0" w:line="92" w:lineRule="exact"/>
        <w:rPr>
          <w:sz w:val="20"/>
          <w:szCs w:val="20"/>
          <w:color w:val="auto"/>
        </w:rPr>
      </w:pPr>
    </w:p>
    <w:p>
      <w:pPr>
        <w:ind w:left="672" w:right="60" w:hanging="674"/>
        <w:spacing w:after="0" w:line="259" w:lineRule="auto"/>
        <w:tabs>
          <w:tab w:leader="none" w:pos="652"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sz w:val="20"/>
          <w:szCs w:val="20"/>
          <w:color w:val="auto"/>
        </w:rPr>
      </w:pPr>
    </w:p>
    <w:p>
      <w:pPr>
        <w:ind w:left="672" w:right="240" w:hanging="674"/>
        <w:spacing w:after="0" w:line="277" w:lineRule="auto"/>
        <w:tabs>
          <w:tab w:leader="none" w:pos="652"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The Directors may from time to time cause to be prepared and to be laid before the Company in general meeting profit and loss accounts, balance sheets, group accounts (if any) and such other reports and accounts as may be required by law.</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270" w:right="259" w:bottom="1440" w:gutter="0" w:footer="0" w:header="0"/>
        </w:sectPr>
      </w:pPr>
    </w:p>
    <w:bookmarkStart w:id="357" w:name="page358"/>
    <w:bookmarkEnd w:id="357"/>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w:t>
      </w:r>
      <w:r>
        <w:rPr>
          <w:sz w:val="20"/>
          <w:szCs w:val="20"/>
          <w:color w:val="auto"/>
        </w:rPr>
        <w:tab/>
      </w:r>
      <w:r>
        <w:rPr>
          <w:rFonts w:ascii="Arial" w:cs="Arial" w:eastAsia="Arial" w:hAnsi="Arial"/>
          <w:sz w:val="18"/>
          <w:szCs w:val="18"/>
          <w:b w:val="1"/>
          <w:bCs w:val="1"/>
          <w:color w:val="auto"/>
        </w:rPr>
        <w:t>Audit</w:t>
      </w:r>
    </w:p>
    <w:p>
      <w:pPr>
        <w:spacing w:after="0" w:line="135"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Subject to Section 6.2 of Schedule 1 hereto, the audit committee of the Company may appoint an Auditor of the Company who shall hold office until removed from office by a resolution of the Directors, and may fix his or their remuneration.</w:t>
      </w:r>
    </w:p>
    <w:p>
      <w:pPr>
        <w:spacing w:after="0" w:line="76"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87" w:lineRule="exact"/>
        <w:rPr>
          <w:sz w:val="20"/>
          <w:szCs w:val="20"/>
          <w:color w:val="auto"/>
        </w:rPr>
      </w:pPr>
    </w:p>
    <w:p>
      <w:pPr>
        <w:ind w:left="680" w:right="20" w:hanging="674"/>
        <w:spacing w:after="0" w:line="302" w:lineRule="auto"/>
        <w:tabs>
          <w:tab w:leader="none" w:pos="6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Notices</w:t>
      </w:r>
    </w:p>
    <w:p>
      <w:pPr>
        <w:spacing w:after="0" w:line="135" w:lineRule="exact"/>
        <w:rPr>
          <w:sz w:val="20"/>
          <w:szCs w:val="20"/>
          <w:color w:val="auto"/>
        </w:rPr>
      </w:pPr>
    </w:p>
    <w:p>
      <w:pPr>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airmail.</w:t>
      </w:r>
    </w:p>
    <w:p>
      <w:pPr>
        <w:spacing w:after="0" w:line="87" w:lineRule="exact"/>
        <w:rPr>
          <w:sz w:val="20"/>
          <w:szCs w:val="20"/>
          <w:color w:val="auto"/>
        </w:rPr>
      </w:pPr>
    </w:p>
    <w:p>
      <w:pPr>
        <w:ind w:left="680" w:hanging="674"/>
        <w:spacing w:after="0" w:line="270" w:lineRule="auto"/>
        <w:tabs>
          <w:tab w:leader="none" w:pos="6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87" w:lineRule="exact"/>
        <w:rPr>
          <w:sz w:val="20"/>
          <w:szCs w:val="20"/>
          <w:color w:val="auto"/>
        </w:rPr>
      </w:pPr>
    </w:p>
    <w:p>
      <w:pPr>
        <w:ind w:left="680" w:right="220" w:hanging="674"/>
        <w:spacing w:after="0" w:line="276" w:lineRule="auto"/>
        <w:tabs>
          <w:tab w:leader="none" w:pos="6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these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0" w:right="279" w:bottom="1440" w:gutter="0" w:footer="0" w:header="0"/>
        </w:sectPr>
      </w:pPr>
    </w:p>
    <w:bookmarkStart w:id="358" w:name="page359"/>
    <w:bookmarkEnd w:id="358"/>
    <w:p>
      <w:pPr>
        <w:ind w:left="680" w:right="320" w:hanging="674"/>
        <w:spacing w:after="0" w:line="27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42.4</w:t>
      </w:r>
      <w:r>
        <w:rPr>
          <w:sz w:val="20"/>
          <w:szCs w:val="20"/>
          <w:color w:val="auto"/>
        </w:rPr>
        <w:tab/>
      </w:r>
      <w:r>
        <w:rPr>
          <w:rFonts w:ascii="Arial" w:cs="Arial" w:eastAsia="Arial" w:hAnsi="Arial"/>
          <w:sz w:val="17"/>
          <w:szCs w:val="17"/>
          <w:color w:val="auto"/>
        </w:rPr>
        <w:t>Notice of every general meeting shall be given in any manner hereinbefore authorised to every person shown as a Member in the Register of Members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of record where the Member of record but for his death or bankruptcy would be entitled to receive notice of the meeting, and no other person shall be entitled to receive notices of general meetings.</w:t>
      </w:r>
    </w:p>
    <w:p>
      <w:pPr>
        <w:spacing w:after="0" w:line="3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Winding Up</w:t>
      </w:r>
    </w:p>
    <w:p>
      <w:pPr>
        <w:spacing w:after="0" w:line="135"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Subject to the rights provided by the terms of issue of the Preference Shares, if the Company shall be wound up and the assets available for distribution amongst the Members shall be insufficient to pay the whole of the share capital, such assets shall be distributed so that, as nearly as may be, the losses shall be borne by the Members on a pro-rata basis.</w:t>
      </w:r>
    </w:p>
    <w:p>
      <w:pPr>
        <w:spacing w:after="0" w:line="87" w:lineRule="exact"/>
        <w:rPr>
          <w:sz w:val="20"/>
          <w:szCs w:val="20"/>
          <w:color w:val="auto"/>
        </w:rPr>
      </w:pPr>
    </w:p>
    <w:p>
      <w:pPr>
        <w:ind w:left="680" w:right="300" w:hanging="674"/>
        <w:spacing w:after="0" w:line="279" w:lineRule="auto"/>
        <w:tabs>
          <w:tab w:leader="none" w:pos="6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7"/>
          <w:szCs w:val="17"/>
          <w:color w:val="auto"/>
        </w:rPr>
        <w:t>Subject to the rights provided by the terms of issue of the Preference Shares, if in a winding up the assets available for distribution amongst the Members shall be more than sufficient to repay the whole of the share capital at the commencement of the winding up, the surplus shall be distributed amongst the Members on a pro-rata basis at the time of commencement of the winding up subject to a deduction from those Shares in respect of which there are monies due, of all monies payable to the Company for unpaid calls or otherwise.</w:t>
      </w:r>
    </w:p>
    <w:p>
      <w:pPr>
        <w:spacing w:after="0" w:line="77" w:lineRule="exact"/>
        <w:rPr>
          <w:sz w:val="20"/>
          <w:szCs w:val="20"/>
          <w:color w:val="auto"/>
        </w:rPr>
      </w:pPr>
    </w:p>
    <w:p>
      <w:pPr>
        <w:ind w:left="680" w:hanging="674"/>
        <w:spacing w:after="0" w:line="273" w:lineRule="auto"/>
        <w:tabs>
          <w:tab w:leader="none" w:pos="66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color w:val="auto"/>
        </w:rPr>
        <w:t>Subject to the rights provided by the terms of issue of the Preference Shares, if the Company shall be wound up the liquidator may, with the sanction of a Special Resolution of the Company and any other sanction required by the Statute, divide in kind amongst the Members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59" w:name="page360"/>
    <w:bookmarkEnd w:id="359"/>
    <w:p>
      <w:pPr>
        <w:ind w:left="672" w:hanging="672"/>
        <w:spacing w:after="0"/>
        <w:tabs>
          <w:tab w:leader="none" w:pos="672"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w:t>
      </w:r>
    </w:p>
    <w:p>
      <w:pPr>
        <w:spacing w:after="0" w:line="121" w:lineRule="exact"/>
        <w:rPr>
          <w:rFonts w:ascii="Arial" w:cs="Arial" w:eastAsia="Arial" w:hAnsi="Arial"/>
          <w:sz w:val="18"/>
          <w:szCs w:val="18"/>
          <w:b w:val="1"/>
          <w:bCs w:val="1"/>
          <w:color w:val="auto"/>
        </w:rPr>
      </w:pPr>
    </w:p>
    <w:p>
      <w:pPr>
        <w:jc w:val="both"/>
        <w:ind w:left="69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Subject to the Statute, every Director or officer of the Company shall be indemnified out of the assets of the Company against any liability incurred by him as a result of any act or failure to act in carrying out his functions other than such liability (if any) that he may incur by his own actual fraud or wilful default. No such Director or officer shall be liable to the Company for any loss or damage in carrying out his functions unless that liability arises through the actual fraud or wilful default of such Director or officer. References in this Article to actual fraud or wilful default mean a finding to such effect by a competent court in relation to the conduct of the relevant party.</w:t>
      </w:r>
    </w:p>
    <w:p>
      <w:pPr>
        <w:spacing w:after="0" w:line="317" w:lineRule="exact"/>
        <w:rPr>
          <w:rFonts w:ascii="Arial" w:cs="Arial" w:eastAsia="Arial" w:hAnsi="Arial"/>
          <w:sz w:val="18"/>
          <w:szCs w:val="18"/>
          <w:b w:val="1"/>
          <w:bCs w:val="1"/>
          <w:color w:val="auto"/>
        </w:rPr>
      </w:pPr>
    </w:p>
    <w:p>
      <w:pPr>
        <w:ind w:left="672" w:hanging="672"/>
        <w:spacing w:after="0"/>
        <w:tabs>
          <w:tab w:leader="none" w:pos="672"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69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15" w:lineRule="exact"/>
        <w:rPr>
          <w:rFonts w:ascii="Arial" w:cs="Arial" w:eastAsia="Arial" w:hAnsi="Arial"/>
          <w:sz w:val="18"/>
          <w:szCs w:val="18"/>
          <w:b w:val="1"/>
          <w:bCs w:val="1"/>
          <w:color w:val="auto"/>
        </w:rPr>
      </w:pPr>
    </w:p>
    <w:p>
      <w:pPr>
        <w:ind w:left="672" w:hanging="672"/>
        <w:spacing w:after="0"/>
        <w:tabs>
          <w:tab w:leader="none" w:pos="672"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69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52"/>
          </w:cols>
          <w:pgMar w:left="248" w:top="270" w:right="29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OF PREFERENCE SHARES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respective rights, privileges and restrictions attaching to the Preference Shares shall be as hereinafter specified in this </w:t>
      </w:r>
      <w:r>
        <w:rPr>
          <w:rFonts w:ascii="Arial" w:cs="Arial" w:eastAsia="Arial" w:hAnsi="Arial"/>
          <w:sz w:val="18"/>
          <w:szCs w:val="18"/>
          <w:u w:val="single" w:color="auto"/>
          <w:color w:val="auto"/>
        </w:rPr>
        <w:t>Schedule 1</w:t>
      </w:r>
      <w:r>
        <w:rPr>
          <w:rFonts w:ascii="Arial" w:cs="Arial" w:eastAsia="Arial" w:hAnsi="Arial"/>
          <w:sz w:val="18"/>
          <w:szCs w:val="18"/>
          <w:color w:val="auto"/>
        </w:rPr>
        <w:t>. Unless otherwise specified, the words “</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hereunder</w:t>
      </w:r>
      <w:r>
        <w:rPr>
          <w:rFonts w:ascii="Arial" w:cs="Arial" w:eastAsia="Arial" w:hAnsi="Arial"/>
          <w:sz w:val="18"/>
          <w:szCs w:val="18"/>
          <w:color w:val="auto"/>
        </w:rPr>
        <w:t>” and “</w:t>
      </w:r>
      <w:r>
        <w:rPr>
          <w:rFonts w:ascii="Arial" w:cs="Arial" w:eastAsia="Arial" w:hAnsi="Arial"/>
          <w:sz w:val="18"/>
          <w:szCs w:val="18"/>
          <w:u w:val="single" w:color="auto"/>
          <w:color w:val="auto"/>
        </w:rPr>
        <w:t>hereto</w:t>
      </w:r>
      <w:r>
        <w:rPr>
          <w:rFonts w:ascii="Arial" w:cs="Arial" w:eastAsia="Arial" w:hAnsi="Arial"/>
          <w:sz w:val="18"/>
          <w:szCs w:val="18"/>
          <w:color w:val="auto"/>
        </w:rPr>
        <w:t xml:space="preserve">”, and words of like import used in 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refer to 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reference to a “Section” refers to such Section in this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Conversion Rights</w:t>
      </w:r>
      <w:r>
        <w:rPr>
          <w:rFonts w:ascii="Arial" w:cs="Arial" w:eastAsia="Arial" w:hAnsi="Arial"/>
          <w:sz w:val="16"/>
          <w:szCs w:val="16"/>
          <w:color w:val="auto"/>
        </w:rPr>
        <w:t>.</w:t>
      </w:r>
    </w:p>
    <w:p>
      <w:pPr>
        <w:spacing w:after="0" w:line="225" w:lineRule="exact"/>
        <w:rPr>
          <w:sz w:val="20"/>
          <w:szCs w:val="20"/>
          <w:color w:val="auto"/>
        </w:rPr>
      </w:pPr>
    </w:p>
    <w:p>
      <w:pPr>
        <w:ind w:right="80" w:firstLine="921"/>
        <w:spacing w:after="0" w:line="293" w:lineRule="auto"/>
        <w:tabs>
          <w:tab w:leader="none" w:pos="1293"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Each holder of Preference Shares shall have the right, at such holder’s sole discretion, to convert all or any portion of the Preference Shares into Ordinary Shares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such converted Ordinary Shares cannot be converted into any preferred shares of the Company in the future). The conversion rate for Preference Shares shall be determined by dividing the Issue Price for each of the Preference Shares when they were issued, by the applicable Conversion Price, being no less than par value,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event of any share splits, share combinations, share dividends, recapitalisations and similar events, the initial Series E Conversion Price, Series D Conversion Price, Series C Conversion Price, Series B Conversion Price or Series A Conversion Price shall be adjusted accordingly in accordance with this Section 1.</w:t>
      </w:r>
    </w:p>
    <w:p>
      <w:pPr>
        <w:spacing w:after="0" w:line="164" w:lineRule="exact"/>
        <w:rPr>
          <w:rFonts w:ascii="Arial" w:cs="Arial" w:eastAsia="Arial" w:hAnsi="Arial"/>
          <w:sz w:val="16"/>
          <w:szCs w:val="16"/>
          <w:color w:val="auto"/>
        </w:rPr>
      </w:pPr>
    </w:p>
    <w:p>
      <w:pPr>
        <w:ind w:left="1320" w:hanging="399"/>
        <w:spacing w:after="0"/>
        <w:tabs>
          <w:tab w:leader="none" w:pos="132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right="320" w:firstLine="421"/>
        <w:spacing w:after="0" w:line="279" w:lineRule="auto"/>
        <w:tabs>
          <w:tab w:leader="none" w:pos="1686" w:val="left"/>
        </w:tabs>
        <w:numPr>
          <w:ilvl w:val="1"/>
          <w:numId w:val="338"/>
        </w:numPr>
        <w:rPr>
          <w:rFonts w:ascii="Arial" w:cs="Arial" w:eastAsia="Arial" w:hAnsi="Arial"/>
          <w:sz w:val="17"/>
          <w:szCs w:val="17"/>
          <w:color w:val="auto"/>
        </w:rPr>
      </w:pPr>
      <w:r>
        <w:rPr>
          <w:rFonts w:ascii="Arial" w:cs="Arial" w:eastAsia="Arial" w:hAnsi="Arial"/>
          <w:sz w:val="17"/>
          <w:szCs w:val="17"/>
          <w:color w:val="auto"/>
        </w:rPr>
        <w:t>Without any action being required by the holder of such Preference Share and whether or not the certificates representing such Preference Share are surrendered to the Company or its transfer agent, each Preference Share shall automatically be converted into Ordinary Shares (x) immediately prior to the closing of a Qualified IPO, or (y) upon the election of holders of at least a majority of the then issued and outstanding Preference Shares, voting together as a single class on an as-if-converted basis.</w:t>
      </w:r>
    </w:p>
    <w:p>
      <w:pPr>
        <w:spacing w:after="0" w:line="63" w:lineRule="exact"/>
        <w:rPr>
          <w:rFonts w:ascii="Arial" w:cs="Arial" w:eastAsia="Arial" w:hAnsi="Arial"/>
          <w:sz w:val="17"/>
          <w:szCs w:val="17"/>
          <w:color w:val="auto"/>
        </w:rPr>
      </w:pPr>
    </w:p>
    <w:p>
      <w:pPr>
        <w:ind w:left="920" w:firstLine="421"/>
        <w:spacing w:after="0" w:line="255" w:lineRule="auto"/>
        <w:tabs>
          <w:tab w:leader="none" w:pos="173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Company shall not be obligated to issue certificates for any Ordinary Shares issuable upon the automatic conversion of Preference Shares unless the certificate or certificates evidencing such Preference Shares is either delivered as provided below to the Company or any transfer agent for the Preference Shares, or the holder notifies the Company or its transfer agent that such certificate has been lost, stolen or destroyed and executes an agreement satisfactory to the Company to indemnify the Company from any loss incurred by it in connection with such certificate. The Company shall, as soon as practicable after receipt of certificates for Preference Shares, or satisfactory agreement for indemnification in the case of a lost certificate, promptly issue and deliver at its office to the holder thereof a certificate or certificates for the number of Ordinary Shares to which the holder is entitled.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69" w:right="259" w:bottom="1440" w:gutter="0" w:footer="0" w:header="0"/>
        </w:sectPr>
      </w:pPr>
    </w:p>
    <w:bookmarkStart w:id="361" w:name="page362"/>
    <w:bookmarkEnd w:id="361"/>
    <w:p>
      <w:pPr>
        <w:ind w:left="1300" w:hanging="379"/>
        <w:spacing w:after="0"/>
        <w:tabs>
          <w:tab w:leader="none" w:pos="130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Price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440" w:firstLine="421"/>
        <w:spacing w:after="0" w:line="286" w:lineRule="auto"/>
        <w:tabs>
          <w:tab w:leader="none" w:pos="1686"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conversion price for each of the Series A Preference Shares, subject to adjustments from time to time in accordance with the provisions hereof, is referred hereinafter as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The initial Series A Conversion Price for each of the Series A Preference Shares shall be the Series A Issue Price at the time of issue of the applicable Series A Preference Shares.</w:t>
      </w:r>
    </w:p>
    <w:p>
      <w:pPr>
        <w:spacing w:after="0" w:line="57" w:lineRule="exact"/>
        <w:rPr>
          <w:rFonts w:ascii="Arial" w:cs="Arial" w:eastAsia="Arial" w:hAnsi="Arial"/>
          <w:sz w:val="17"/>
          <w:szCs w:val="17"/>
          <w:color w:val="auto"/>
        </w:rPr>
      </w:pPr>
    </w:p>
    <w:p>
      <w:pPr>
        <w:ind w:left="920" w:right="400" w:firstLine="421"/>
        <w:spacing w:after="0" w:line="286" w:lineRule="auto"/>
        <w:tabs>
          <w:tab w:leader="none" w:pos="1736"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conversion price for each of the Series B Preference Shares, subject to adjustments from time to time in accordance with the provisions hereof, is referred hereinafter as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The initial Series B Conversion Price for each of the Series B Preference Shares shall be the Series B Issue Price at the time of issue of the applicable Series B Preference Shares.</w:t>
      </w:r>
    </w:p>
    <w:p>
      <w:pPr>
        <w:spacing w:after="0" w:line="57" w:lineRule="exact"/>
        <w:rPr>
          <w:rFonts w:ascii="Arial" w:cs="Arial" w:eastAsia="Arial" w:hAnsi="Arial"/>
          <w:sz w:val="17"/>
          <w:szCs w:val="17"/>
          <w:color w:val="auto"/>
        </w:rPr>
      </w:pPr>
    </w:p>
    <w:p>
      <w:pPr>
        <w:ind w:left="920" w:right="340" w:firstLine="421"/>
        <w:spacing w:after="0" w:line="286" w:lineRule="auto"/>
        <w:tabs>
          <w:tab w:leader="none" w:pos="1786"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conversion price for each of the Series C Preference Shares, subject to adjustments from time to time in accordance with the provisions hereof, is referred hereinafter as “</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The initial Series C Conversion Price for each of the Series C Preference Shares shall be the Series C Issue Price at the time of issue of the applicable Series C Preference Shares.</w:t>
      </w:r>
    </w:p>
    <w:p>
      <w:pPr>
        <w:spacing w:after="0" w:line="57" w:lineRule="exact"/>
        <w:rPr>
          <w:rFonts w:ascii="Arial" w:cs="Arial" w:eastAsia="Arial" w:hAnsi="Arial"/>
          <w:sz w:val="17"/>
          <w:szCs w:val="17"/>
          <w:color w:val="auto"/>
        </w:rPr>
      </w:pPr>
    </w:p>
    <w:p>
      <w:pPr>
        <w:ind w:left="920" w:right="340" w:firstLine="421"/>
        <w:spacing w:after="0" w:line="312" w:lineRule="auto"/>
        <w:tabs>
          <w:tab w:leader="none" w:pos="1776"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The conversion price for each of the Series D Preference Shares, subject to adjustments from time to time in accordance with the provisions hereof, is referred hereinafter as “</w:t>
      </w:r>
      <w:r>
        <w:rPr>
          <w:rFonts w:ascii="Arial" w:cs="Arial" w:eastAsia="Arial" w:hAnsi="Arial"/>
          <w:sz w:val="16"/>
          <w:szCs w:val="16"/>
          <w:b w:val="1"/>
          <w:bCs w:val="1"/>
          <w:color w:val="auto"/>
        </w:rPr>
        <w:t>Series D Conversion Price</w:t>
      </w:r>
      <w:r>
        <w:rPr>
          <w:rFonts w:ascii="Arial" w:cs="Arial" w:eastAsia="Arial" w:hAnsi="Arial"/>
          <w:sz w:val="16"/>
          <w:szCs w:val="16"/>
          <w:color w:val="auto"/>
        </w:rPr>
        <w:t>”. The initial Series D Conversion Price for each of the Series D Preference Shares shall be the Adjusted Series D Issue Price at the time of issue of the applicable Series D Preference Shares.</w:t>
      </w:r>
    </w:p>
    <w:p>
      <w:pPr>
        <w:spacing w:after="0" w:line="38" w:lineRule="exact"/>
        <w:rPr>
          <w:rFonts w:ascii="Arial" w:cs="Arial" w:eastAsia="Arial" w:hAnsi="Arial"/>
          <w:sz w:val="16"/>
          <w:szCs w:val="16"/>
          <w:color w:val="auto"/>
        </w:rPr>
      </w:pPr>
    </w:p>
    <w:p>
      <w:pPr>
        <w:ind w:left="920" w:right="420" w:firstLine="421"/>
        <w:spacing w:after="0" w:line="286" w:lineRule="auto"/>
        <w:tabs>
          <w:tab w:leader="none" w:pos="1726"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conversion price for each of the Series E Preference Shares, subject to adjustments from time to time in accordance with the provisions hereof, is referred hereinafter as “</w:t>
      </w:r>
      <w:r>
        <w:rPr>
          <w:rFonts w:ascii="Arial" w:cs="Arial" w:eastAsia="Arial" w:hAnsi="Arial"/>
          <w:sz w:val="17"/>
          <w:szCs w:val="17"/>
          <w:b w:val="1"/>
          <w:bCs w:val="1"/>
          <w:color w:val="auto"/>
        </w:rPr>
        <w:t>Series E Conversion Price</w:t>
      </w:r>
      <w:r>
        <w:rPr>
          <w:rFonts w:ascii="Arial" w:cs="Arial" w:eastAsia="Arial" w:hAnsi="Arial"/>
          <w:sz w:val="17"/>
          <w:szCs w:val="17"/>
          <w:color w:val="auto"/>
        </w:rPr>
        <w:t>”. The initial Series E Conversion Price for each of the Series E Preference Shares shall be the Series E Issue Price at the time of issue of the applicable Series E Preference Shares.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Mechanism of Conversion</w:t>
      </w:r>
      <w:r>
        <w:rPr>
          <w:rFonts w:ascii="Arial" w:cs="Arial" w:eastAsia="Arial" w:hAnsi="Arial"/>
          <w:sz w:val="17"/>
          <w:szCs w:val="17"/>
          <w:color w:val="auto"/>
        </w:rPr>
        <w:t>. No fractional Ordinary Share shall be issued upon conversion of the Preference Shares. In lieu of any fractional shares to which the holder would otherwise be entitled, the Company shall pay cash equal to such fraction multiplied by the then effective respective Conversion Price. Before any holder of Preference Shares shall be entitled to convert the same into full Ordinary Shares and to receive certificates therefor, he shall surrender the certificate or certificates therefor, duly endorsed, at the office of the Company or of any transfer agent for the Preference Shares and shall give written notice to the Company at such office that he elects to convert the same. The Company shall, as soon as practicable thereafter, issue and deliver at such office to such holder of Preference Shares a certificate or certificates for the number of Ordinary Shares to which he shall be entitled as aforesaid and a check payable to the holder in the amount of any cash amounts payable as the result of a conversion into fractional Ordinary Shares. Such conversion shall be deemed to have been made immediately prior to the close of business on the date of such surrender of the Preference Shares to be converted, and the person or persons entitled to receive the Ordinary Shares issuable upon such conversion shall be treated for all purposes as the record holder or holders of such Ordinary Shares on such date. The Directors may effect conversion in any manner permitted by law including, without prejudice to the generality of the foregoing, repurchasing or redeeming the relevant Preference Shares and applying the proceeds towards the issue of the relevant number of new Ordinary Shares.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362" w:name="page363"/>
    <w:bookmarkEnd w:id="362"/>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6"/>
          <w:szCs w:val="16"/>
          <w:u w:val="single" w:color="auto"/>
          <w:color w:val="auto"/>
        </w:rPr>
        <w:t>Reservation of Shares Issuable Upon Conversion</w:t>
      </w:r>
      <w:r>
        <w:rPr>
          <w:rFonts w:ascii="Arial" w:cs="Arial" w:eastAsia="Arial" w:hAnsi="Arial"/>
          <w:sz w:val="16"/>
          <w:szCs w:val="16"/>
          <w:color w:val="auto"/>
        </w:rPr>
        <w:t>. The Company shall at all times reserve and keep available out of its authorized but unissued Ordinary Shares (solely for the purpose of effecting the conversion of the Preference Shares) such number of its Ordinary Shares as shall from time to time be sufficient to effect the conversion of all of the outstanding Preference Shares, and if at any time the number of authorized but unissued Ordinary Shares shall not be sufficient to effect the conversion of all of the then outstanding Preference Shares, in addition to such other remedies as shall be available to the holder of such Preference Shares, the Company will take such corporate action as may, in the opinion of its legal counsel, be necessary to increase its authorized share capital and number of Ordinary Shares to such number of shares as shall be sufficient for such purposes.</w:t>
      </w:r>
    </w:p>
    <w:p>
      <w:pPr>
        <w:spacing w:after="0" w:line="165"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1.3A</w:t>
      </w:r>
      <w:r>
        <w:rPr>
          <w:sz w:val="20"/>
          <w:szCs w:val="20"/>
          <w:color w:val="auto"/>
        </w:rPr>
        <w:tab/>
      </w:r>
      <w:r>
        <w:rPr>
          <w:rFonts w:ascii="Arial" w:cs="Arial" w:eastAsia="Arial" w:hAnsi="Arial"/>
          <w:sz w:val="16"/>
          <w:szCs w:val="16"/>
          <w:u w:val="single" w:color="auto"/>
          <w:color w:val="auto"/>
        </w:rPr>
        <w:t>Adjustment of Conversion Price</w:t>
      </w:r>
      <w:r>
        <w:rPr>
          <w:rFonts w:ascii="Arial" w:cs="Arial" w:eastAsia="Arial" w:hAnsi="Arial"/>
          <w:sz w:val="16"/>
          <w:szCs w:val="16"/>
          <w:color w:val="auto"/>
        </w:rPr>
        <w:t>.</w:t>
      </w:r>
    </w:p>
    <w:p>
      <w:pPr>
        <w:spacing w:after="0" w:line="225" w:lineRule="exact"/>
        <w:rPr>
          <w:sz w:val="20"/>
          <w:szCs w:val="20"/>
          <w:color w:val="auto"/>
        </w:rPr>
      </w:pPr>
    </w:p>
    <w:p>
      <w:pPr>
        <w:ind w:right="260" w:firstLine="921"/>
        <w:spacing w:after="0" w:line="297" w:lineRule="auto"/>
        <w:tabs>
          <w:tab w:leader="none" w:pos="128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Series E Conversion Price, the Series D Conversion Price, the Series B Conversion Price and the Series A Conversion Price shall be subject to adjustment as follows if any of the events listed in Sections 1.4 and 1.5 below occur prior to the conversion of any Series E Preference Shares, Series D Preference Shares, Series B Preference Shares or Series A Preference Shares. The right to adjust any Conversion Price may be waived with the consent of the holders of at least a majority of the then issued and outstanding Series E Preference Shares, Series D Preference Shares, Series B Preference Shares or Series A Preference Shares, as applicable, voting separately as a single class on an as-if-converted basis.</w:t>
      </w:r>
    </w:p>
    <w:p>
      <w:pPr>
        <w:spacing w:after="0" w:line="158" w:lineRule="exact"/>
        <w:rPr>
          <w:rFonts w:ascii="Arial" w:cs="Arial" w:eastAsia="Arial" w:hAnsi="Arial"/>
          <w:sz w:val="16"/>
          <w:szCs w:val="16"/>
          <w:color w:val="auto"/>
        </w:rPr>
      </w:pPr>
    </w:p>
    <w:p>
      <w:pPr>
        <w:ind w:right="40" w:firstLine="921"/>
        <w:spacing w:after="0" w:line="255" w:lineRule="auto"/>
        <w:tabs>
          <w:tab w:leader="none" w:pos="13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Series E Conversion Price, the Series D Conversion Price, the Series C Conversion Price, the Series B Conversion Price and the Series A Conversion Price shall be subject to adjustment as follows if any of the events listed in Sections 1.6, 1.7 and 1.8 below occur prior to the conversion of any Series E Preference Shares, Series D Preference Shares, Series C Preference Shares, Series B Preference Shares or Series A Preference Shares. The right to adjust any Conversion Price may be waived with the consent of the holders of at least a majority of the then issued and outstanding Series E Preference Shares, Series D Preference Shares, Series C Preference Shares, Series B Preference Shares or Series A Preference Shares, as applicable, voting separately as a single class on an as-if-converted basis.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363" w:name="page364"/>
    <w:bookmarkEnd w:id="363"/>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w:t>
      </w:r>
      <w:r>
        <w:rPr>
          <w:sz w:val="20"/>
          <w:szCs w:val="20"/>
          <w:color w:val="auto"/>
        </w:rPr>
        <w:tab/>
      </w:r>
      <w:r>
        <w:rPr>
          <w:rFonts w:ascii="Arial" w:cs="Arial" w:eastAsia="Arial" w:hAnsi="Arial"/>
          <w:sz w:val="16"/>
          <w:szCs w:val="16"/>
          <w:u w:val="single" w:color="auto"/>
          <w:color w:val="auto"/>
        </w:rPr>
        <w:t>Anti-dilution Adjustments of Conversion Price</w:t>
      </w:r>
      <w:r>
        <w:rPr>
          <w:rFonts w:ascii="Arial" w:cs="Arial" w:eastAsia="Arial" w:hAnsi="Arial"/>
          <w:sz w:val="16"/>
          <w:szCs w:val="16"/>
          <w:color w:val="auto"/>
        </w:rPr>
        <w:t>.</w:t>
      </w:r>
    </w:p>
    <w:p>
      <w:pPr>
        <w:spacing w:after="0" w:line="225" w:lineRule="exact"/>
        <w:rPr>
          <w:sz w:val="20"/>
          <w:szCs w:val="20"/>
          <w:color w:val="auto"/>
        </w:rPr>
      </w:pPr>
    </w:p>
    <w:p>
      <w:pPr>
        <w:ind w:left="1280" w:hanging="379"/>
        <w:spacing w:after="0"/>
        <w:tabs>
          <w:tab w:leader="none" w:pos="128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Section 1.4, the following definitions shall apply:</w:t>
      </w:r>
    </w:p>
    <w:p>
      <w:pPr>
        <w:spacing w:after="0" w:line="113" w:lineRule="exact"/>
        <w:rPr>
          <w:rFonts w:ascii="Arial" w:cs="Arial" w:eastAsia="Arial" w:hAnsi="Arial"/>
          <w:sz w:val="18"/>
          <w:szCs w:val="18"/>
          <w:color w:val="auto"/>
        </w:rPr>
      </w:pPr>
    </w:p>
    <w:p>
      <w:pPr>
        <w:ind w:left="1680" w:hanging="359"/>
        <w:spacing w:after="0"/>
        <w:tabs>
          <w:tab w:leader="none" w:pos="168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 rights, options or warrants to subscribe for, purchase or otherwise acquire either Ordinary Shares or Convertible</w:t>
      </w:r>
    </w:p>
    <w:p>
      <w:pPr>
        <w:spacing w:after="0" w:line="38"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98" w:lineRule="exact"/>
        <w:rPr>
          <w:rFonts w:ascii="Arial" w:cs="Arial" w:eastAsia="Arial" w:hAnsi="Arial"/>
          <w:sz w:val="17"/>
          <w:szCs w:val="17"/>
          <w:color w:val="auto"/>
        </w:rPr>
      </w:pPr>
    </w:p>
    <w:p>
      <w:pPr>
        <w:ind w:left="900" w:firstLine="421"/>
        <w:spacing w:after="0" w:line="282" w:lineRule="auto"/>
        <w:tabs>
          <w:tab w:leader="none" w:pos="17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(other than the Preference Shares and Ordinary Shares) or other securities directly or indirectly convertible into or exchangeable for Ordinary Shares.</w:t>
      </w:r>
    </w:p>
    <w:p>
      <w:pPr>
        <w:spacing w:after="0" w:line="53" w:lineRule="exact"/>
        <w:rPr>
          <w:rFonts w:ascii="Arial" w:cs="Arial" w:eastAsia="Arial" w:hAnsi="Arial"/>
          <w:sz w:val="18"/>
          <w:szCs w:val="18"/>
          <w:color w:val="auto"/>
        </w:rPr>
      </w:pPr>
    </w:p>
    <w:p>
      <w:pPr>
        <w:ind w:left="900" w:right="360" w:firstLine="421"/>
        <w:spacing w:after="0" w:line="282" w:lineRule="auto"/>
        <w:tabs>
          <w:tab w:leader="none" w:pos="177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Ordinary Shares</w:t>
      </w:r>
      <w:r>
        <w:rPr>
          <w:rFonts w:ascii="Arial" w:cs="Arial" w:eastAsia="Arial" w:hAnsi="Arial"/>
          <w:sz w:val="18"/>
          <w:szCs w:val="18"/>
          <w:color w:val="auto"/>
        </w:rPr>
        <w:t>” shall mean all Ordinary Shares (including reissued shares) issued (or, pursuant to Section 1.4(c) hereof, deemed to be issued) by the Company after the Series E Original Issue Date, other than:</w:t>
      </w:r>
    </w:p>
    <w:p>
      <w:pPr>
        <w:spacing w:after="0" w:line="165" w:lineRule="exact"/>
        <w:rPr>
          <w:rFonts w:ascii="Arial" w:cs="Arial" w:eastAsia="Arial" w:hAnsi="Arial"/>
          <w:sz w:val="18"/>
          <w:szCs w:val="18"/>
          <w:color w:val="auto"/>
        </w:rPr>
      </w:pPr>
    </w:p>
    <w:p>
      <w:pPr>
        <w:ind w:left="1900" w:hanging="428"/>
        <w:spacing w:after="0"/>
        <w:tabs>
          <w:tab w:leader="none" w:pos="1900" w:val="left"/>
        </w:tabs>
        <w:numPr>
          <w:ilvl w:val="2"/>
          <w:numId w:val="341"/>
        </w:numPr>
        <w:rPr>
          <w:rFonts w:ascii="Arial" w:cs="Arial" w:eastAsia="Arial" w:hAnsi="Arial"/>
          <w:sz w:val="18"/>
          <w:szCs w:val="18"/>
          <w:color w:val="auto"/>
        </w:rPr>
      </w:pPr>
      <w:r>
        <w:rPr>
          <w:rFonts w:ascii="Arial" w:cs="Arial" w:eastAsia="Arial" w:hAnsi="Arial"/>
          <w:sz w:val="18"/>
          <w:szCs w:val="18"/>
          <w:color w:val="auto"/>
        </w:rPr>
        <w:t>Ordinary Shares issued upon conversion of the Preference Shares authorized herein;</w:t>
      </w:r>
    </w:p>
    <w:p>
      <w:pPr>
        <w:spacing w:after="0" w:line="225" w:lineRule="exact"/>
        <w:rPr>
          <w:rFonts w:ascii="Arial" w:cs="Arial" w:eastAsia="Arial" w:hAnsi="Arial"/>
          <w:sz w:val="18"/>
          <w:szCs w:val="18"/>
          <w:color w:val="auto"/>
        </w:rPr>
      </w:pPr>
    </w:p>
    <w:p>
      <w:pPr>
        <w:ind w:left="-20" w:right="420" w:firstLine="1492"/>
        <w:spacing w:after="0" w:line="277" w:lineRule="auto"/>
        <w:tabs>
          <w:tab w:leader="none" w:pos="1883"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any securities issued as a dividend or distribution on Preference Shares or any event for which adjustment is made pursuant to Sections 1.6 or 1.7 or 1.8 hereof; and</w:t>
      </w:r>
    </w:p>
    <w:p>
      <w:pPr>
        <w:spacing w:after="0" w:line="170" w:lineRule="exact"/>
        <w:rPr>
          <w:rFonts w:ascii="Arial" w:cs="Arial" w:eastAsia="Arial" w:hAnsi="Arial"/>
          <w:sz w:val="18"/>
          <w:szCs w:val="18"/>
          <w:color w:val="auto"/>
        </w:rPr>
      </w:pPr>
    </w:p>
    <w:p>
      <w:pPr>
        <w:ind w:left="1900" w:hanging="428"/>
        <w:spacing w:after="0"/>
        <w:tabs>
          <w:tab w:leader="none" w:pos="1900"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any securities issued in a Qualified IPO.</w:t>
      </w:r>
    </w:p>
    <w:p>
      <w:pPr>
        <w:spacing w:after="0" w:line="225" w:lineRule="exact"/>
        <w:rPr>
          <w:rFonts w:ascii="Arial" w:cs="Arial" w:eastAsia="Arial" w:hAnsi="Arial"/>
          <w:sz w:val="18"/>
          <w:szCs w:val="18"/>
          <w:color w:val="auto"/>
        </w:rPr>
      </w:pPr>
    </w:p>
    <w:p>
      <w:pPr>
        <w:ind w:left="1900" w:hanging="428"/>
        <w:spacing w:after="0"/>
        <w:tabs>
          <w:tab w:leader="none" w:pos="1900"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any Securities issued/allotted pursuant to Section 10.5 of the Shareholders Agreement.</w:t>
      </w:r>
    </w:p>
    <w:p>
      <w:pPr>
        <w:spacing w:after="0" w:line="225" w:lineRule="exact"/>
        <w:rPr>
          <w:rFonts w:ascii="Arial" w:cs="Arial" w:eastAsia="Arial" w:hAnsi="Arial"/>
          <w:sz w:val="18"/>
          <w:szCs w:val="18"/>
          <w:color w:val="auto"/>
        </w:rPr>
      </w:pPr>
    </w:p>
    <w:p>
      <w:pPr>
        <w:ind w:left="-20" w:right="40" w:firstLine="921"/>
        <w:spacing w:after="0" w:line="264" w:lineRule="auto"/>
        <w:tabs>
          <w:tab w:leader="none" w:pos="1283"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No Adjustment to Conversion Price</w:t>
      </w:r>
      <w:r>
        <w:rPr>
          <w:rFonts w:ascii="Arial" w:cs="Arial" w:eastAsia="Arial" w:hAnsi="Arial"/>
          <w:sz w:val="18"/>
          <w:szCs w:val="18"/>
          <w:color w:val="auto"/>
        </w:rPr>
        <w:t>. No adjustment in the Conversion Price shall be made in respect of the issuance of Additional Ordinary Shares unless the consideration per share for an Additional Ordinary Share issued or deemed to be issued by the Company is less than the applicable Conversion Price in effect on the date of and immediately prior to such issuance.</w:t>
      </w:r>
    </w:p>
    <w:p>
      <w:pPr>
        <w:spacing w:after="0" w:line="181" w:lineRule="exact"/>
        <w:rPr>
          <w:rFonts w:ascii="Arial" w:cs="Arial" w:eastAsia="Arial" w:hAnsi="Arial"/>
          <w:sz w:val="18"/>
          <w:szCs w:val="18"/>
          <w:color w:val="auto"/>
        </w:rPr>
      </w:pPr>
    </w:p>
    <w:p>
      <w:pPr>
        <w:ind w:left="-20" w:right="20" w:firstLine="921"/>
        <w:spacing w:after="0" w:line="289" w:lineRule="auto"/>
        <w:tabs>
          <w:tab w:leader="none" w:pos="1273"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Deemed Issuance of Additional Ordinary Shares</w:t>
      </w:r>
      <w:r>
        <w:rPr>
          <w:rFonts w:ascii="Arial" w:cs="Arial" w:eastAsia="Arial" w:hAnsi="Arial"/>
          <w:sz w:val="16"/>
          <w:szCs w:val="16"/>
          <w:color w:val="auto"/>
        </w:rPr>
        <w:t xml:space="preserve">. In the event the Company at any time or from time to time after the Series E Original Issue Date shall issue any Options or Convertible Securities or shall fix a record date for the determination of holders of any class of securities entitled to receive any such Options or Convertible Securities, then the maximum number (as set forth in the instrument relating thereto without regard to any provisions contained therein for a subsequent adjustment of such number that would result in an adjustment pursuant to clause (ii) below) of Ordinary Shares issuable upon the exercise of such Options or, in the case of Convertible Securities and Options therefor, the conversion or exchange of such Convertible Securities, shall be deemed to be Additional Ordinary Shares issued as of the time of such issuance or, in case such a record date shall have been fixed, as of the close of business on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Additional Ordinary Shares shall not be deemed to have been issued unless the consideration per share of such Additional Ordinary Shares would be less than the applicable Conversion Price in effect on the date of and immediately prior to such issuance, or such record date, as the case may be,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any such case in which Additional Ordinary Shares are deemed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-4232275</wp:posOffset>
            </wp:positionV>
            <wp:extent cx="2857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60" w:top="274" w:right="259" w:bottom="1440" w:gutter="0" w:footer="0" w:header="0"/>
        </w:sectPr>
      </w:pPr>
    </w:p>
    <w:bookmarkStart w:id="364" w:name="page365"/>
    <w:bookmarkEnd w:id="364"/>
    <w:p>
      <w:pPr>
        <w:ind w:left="920" w:right="580" w:firstLine="421"/>
        <w:spacing w:after="0" w:line="277" w:lineRule="auto"/>
        <w:tabs>
          <w:tab w:leader="none" w:pos="16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further adjustment to the relevant Conversion Price shall be made upon the subsequent issuance of Convertible Securities or Ordinary Shares upon the exercise of such options or conversion or exchange of such Convertible Securities;</w:t>
      </w:r>
    </w:p>
    <w:p>
      <w:pPr>
        <w:spacing w:after="0" w:line="62" w:lineRule="exact"/>
        <w:rPr>
          <w:rFonts w:ascii="Arial" w:cs="Arial" w:eastAsia="Arial" w:hAnsi="Arial"/>
          <w:sz w:val="18"/>
          <w:szCs w:val="18"/>
          <w:color w:val="auto"/>
        </w:rPr>
      </w:pPr>
    </w:p>
    <w:p>
      <w:pPr>
        <w:ind w:left="920" w:right="40" w:firstLine="421"/>
        <w:spacing w:after="0" w:line="297" w:lineRule="auto"/>
        <w:tabs>
          <w:tab w:leader="none" w:pos="17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such Options or Convertible Securities by their terms provide, with the passage of time or otherwise, for any increase or decrease in the consideration payable to the Company, or increase or decrease in the number of Ordinary Shares issuable, upon the exercise, conversion or exchange thereof, the relevant Conversion Price computed upon the original issuance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50" w:lineRule="exact"/>
        <w:rPr>
          <w:rFonts w:ascii="Arial" w:cs="Arial" w:eastAsia="Arial" w:hAnsi="Arial"/>
          <w:sz w:val="16"/>
          <w:szCs w:val="16"/>
          <w:color w:val="auto"/>
        </w:rPr>
      </w:pPr>
    </w:p>
    <w:p>
      <w:pPr>
        <w:ind w:left="920" w:right="220" w:firstLine="421"/>
        <w:spacing w:after="0" w:line="286" w:lineRule="auto"/>
        <w:tabs>
          <w:tab w:leader="none" w:pos="179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upon the expiration of any such Options or any rights of conversion or exchange under such Convertible Securities which shall not have been exercised, the relevant Conversion Price computed upon the original issuance thereof (or upon the occurrence of a record date with respect thereto), and any subsequent adjustments based thereon, shall, upon such expiration be recomputed as if:</w:t>
      </w:r>
    </w:p>
    <w:p>
      <w:pPr>
        <w:spacing w:after="0" w:line="165" w:lineRule="exact"/>
        <w:rPr>
          <w:rFonts w:ascii="Arial" w:cs="Arial" w:eastAsia="Arial" w:hAnsi="Arial"/>
          <w:sz w:val="17"/>
          <w:szCs w:val="17"/>
          <w:color w:val="auto"/>
        </w:rPr>
      </w:pPr>
    </w:p>
    <w:p>
      <w:pPr>
        <w:ind w:firstLine="1492"/>
        <w:spacing w:after="0" w:line="276" w:lineRule="auto"/>
        <w:tabs>
          <w:tab w:leader="none" w:pos="1913" w:val="left"/>
        </w:tabs>
        <w:numPr>
          <w:ilvl w:val="1"/>
          <w:numId w:val="342"/>
        </w:numPr>
        <w:rPr>
          <w:rFonts w:ascii="Arial" w:cs="Arial" w:eastAsia="Arial" w:hAnsi="Arial"/>
          <w:sz w:val="17"/>
          <w:szCs w:val="17"/>
          <w:color w:val="auto"/>
        </w:rPr>
      </w:pPr>
      <w:r>
        <w:rPr>
          <w:rFonts w:ascii="Arial" w:cs="Arial" w:eastAsia="Arial" w:hAnsi="Arial"/>
          <w:sz w:val="17"/>
          <w:szCs w:val="17"/>
          <w:color w:val="auto"/>
        </w:rPr>
        <w:t>in the case of Convertible Securities or Options for Ordinary Shares, the only Additional Ordinary Shares issued were Ordinary Shares, if any, actually issued upon the exercise of such Options or the conversion or exchange of such Convertible Securities and the consideration received therefor was the consideration actually received by the Company for the issuance of all such Options, whether or not exercised, plus the consideration actually received by the Company upon such exercise, or for the issuance of all such Convertible Securities which were actually converted or exchanged, plus the additional consideration, if any, actually received by the Company upon such conversion or exchange, and</w:t>
      </w:r>
    </w:p>
    <w:p>
      <w:pPr>
        <w:spacing w:after="0" w:line="172" w:lineRule="exact"/>
        <w:rPr>
          <w:rFonts w:ascii="Arial" w:cs="Arial" w:eastAsia="Arial" w:hAnsi="Arial"/>
          <w:sz w:val="17"/>
          <w:szCs w:val="17"/>
          <w:color w:val="auto"/>
        </w:rPr>
      </w:pPr>
    </w:p>
    <w:p>
      <w:pPr>
        <w:ind w:right="100" w:firstLine="1492"/>
        <w:spacing w:after="0" w:line="302" w:lineRule="auto"/>
        <w:tabs>
          <w:tab w:leader="none" w:pos="1903" w:val="left"/>
        </w:tabs>
        <w:numPr>
          <w:ilvl w:val="1"/>
          <w:numId w:val="342"/>
        </w:numPr>
        <w:rPr>
          <w:rFonts w:ascii="Arial" w:cs="Arial" w:eastAsia="Arial" w:hAnsi="Arial"/>
          <w:sz w:val="16"/>
          <w:szCs w:val="16"/>
          <w:color w:val="auto"/>
        </w:rPr>
      </w:pPr>
      <w:r>
        <w:rPr>
          <w:rFonts w:ascii="Arial" w:cs="Arial" w:eastAsia="Arial" w:hAnsi="Arial"/>
          <w:sz w:val="16"/>
          <w:szCs w:val="16"/>
          <w:color w:val="auto"/>
        </w:rPr>
        <w:t>in the case of Options for Convertible Securities, only the Convertible Securities, if any, actually issued upon the exercise thereof were issued at the time of issuance of such Options, and the consideration received by the Company for the Additional Ordinary Shares deemed to have been then issued was the consideration actually received by the Company for the issuance of all such Options, whether or not exercised, plus the consideration deemed to have been received by the Company upon the issuance of the Convertible Securities with respect to which such Options were actually exercised;</w:t>
      </w:r>
    </w:p>
    <w:p>
      <w:pPr>
        <w:spacing w:after="0" w:line="46" w:lineRule="exact"/>
        <w:rPr>
          <w:rFonts w:ascii="Arial" w:cs="Arial" w:eastAsia="Arial" w:hAnsi="Arial"/>
          <w:sz w:val="16"/>
          <w:szCs w:val="16"/>
          <w:color w:val="auto"/>
        </w:rPr>
      </w:pPr>
    </w:p>
    <w:p>
      <w:pPr>
        <w:ind w:left="920" w:right="80" w:firstLine="421"/>
        <w:spacing w:after="0" w:line="286" w:lineRule="auto"/>
        <w:tabs>
          <w:tab w:leader="none" w:pos="17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no readjustment pursuant to clause (ii) or (iii) above shall have the effect of increasing the relevant Conversion Price to an amount which exceeds the lower of (x) such Conversion Price on the original adjustment date, or (y) the Conversion Price that would have resulted from any issuance of Additional Ordinary Shares between the original adjustment date and such readjustment date;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365" w:name="page366"/>
    <w:bookmarkEnd w:id="365"/>
    <w:p>
      <w:pPr>
        <w:ind w:left="920" w:right="120" w:firstLine="421"/>
        <w:spacing w:after="0" w:line="264" w:lineRule="auto"/>
        <w:tabs>
          <w:tab w:leader="none" w:pos="1730" w:val="left"/>
        </w:tabs>
        <w:numPr>
          <w:ilvl w:val="1"/>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Options which expire by their terms not more than 30 days after the date of issuance thereof, no adjustment of the relevant Conversion Price shall be made until the expiration or exercise of all such Options, whereupon such adjustment shall be made in the manner provided in clause (iii) above.</w:t>
      </w:r>
    </w:p>
    <w:p>
      <w:pPr>
        <w:spacing w:after="0" w:line="181" w:lineRule="exact"/>
        <w:rPr>
          <w:rFonts w:ascii="Arial" w:cs="Arial" w:eastAsia="Arial" w:hAnsi="Arial"/>
          <w:sz w:val="18"/>
          <w:szCs w:val="18"/>
          <w:color w:val="auto"/>
        </w:rPr>
      </w:pPr>
    </w:p>
    <w:p>
      <w:pPr>
        <w:ind w:right="40" w:firstLine="921"/>
        <w:spacing w:after="0" w:line="297" w:lineRule="auto"/>
        <w:tabs>
          <w:tab w:leader="none" w:pos="1303"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Issuance of Additional Ordinary Shares below Conversion Price</w:t>
      </w:r>
      <w:r>
        <w:rPr>
          <w:rFonts w:ascii="Arial" w:cs="Arial" w:eastAsia="Arial" w:hAnsi="Arial"/>
          <w:sz w:val="16"/>
          <w:szCs w:val="16"/>
          <w:color w:val="auto"/>
        </w:rPr>
        <w:t>. Subject to Sections 1.4(c) and 1.4(d), in the event that the Company shall issue any Additional Ordinary Shares (including those deemed to be issued pursuant to Section 1.4(c)) at a subscription price per Ordinary Share (on an as-converted basis) less than either the Series E Conversion Price, the Series D Conversion Price, the Series B Conversion Price or the Series A Conversion Price (as adjusted from time to time) as in effect on the date of and immediately prior to such issuance, such Conversion Price shall be reduced, concurrently with such issuance, to the price per share received or receivable by the Company for the Additional Ordinary Shares newly issued or sold by the Company.</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Section 1, the consideration received by the Company for the issuance of any Additional Ordinary Shares shall be computed as follows:</w:t>
      </w:r>
    </w:p>
    <w:p>
      <w:pPr>
        <w:spacing w:after="0" w:line="170" w:lineRule="exact"/>
        <w:rPr>
          <w:sz w:val="20"/>
          <w:szCs w:val="20"/>
          <w:color w:val="auto"/>
        </w:rPr>
      </w:pPr>
    </w:p>
    <w:p>
      <w:pPr>
        <w:ind w:left="1300" w:hanging="379"/>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Except as provided in clause (ii) below, such consideration shall:</w:t>
      </w:r>
    </w:p>
    <w:p>
      <w:pPr>
        <w:spacing w:after="0" w:line="117" w:lineRule="exact"/>
        <w:rPr>
          <w:rFonts w:ascii="Arial" w:cs="Arial" w:eastAsia="Arial" w:hAnsi="Arial"/>
          <w:sz w:val="18"/>
          <w:szCs w:val="18"/>
          <w:color w:val="auto"/>
        </w:rPr>
      </w:pPr>
    </w:p>
    <w:p>
      <w:pPr>
        <w:ind w:left="920" w:right="440" w:firstLine="421"/>
        <w:spacing w:after="0" w:line="277" w:lineRule="auto"/>
        <w:tabs>
          <w:tab w:leader="none" w:pos="169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Company excluding amounts paid or payable for accrued interest for accrued dividends;</w:t>
      </w:r>
    </w:p>
    <w:p>
      <w:pPr>
        <w:spacing w:after="0" w:line="62" w:lineRule="exact"/>
        <w:rPr>
          <w:rFonts w:ascii="Arial" w:cs="Arial" w:eastAsia="Arial" w:hAnsi="Arial"/>
          <w:sz w:val="18"/>
          <w:szCs w:val="18"/>
          <w:color w:val="auto"/>
        </w:rPr>
      </w:pPr>
    </w:p>
    <w:p>
      <w:pPr>
        <w:jc w:val="both"/>
        <w:ind w:left="920" w:right="120" w:firstLine="421"/>
        <w:spacing w:after="0" w:line="264" w:lineRule="auto"/>
        <w:tabs>
          <w:tab w:leader="none" w:pos="17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insofar as it consists of property other than cash, be computed at the fair value thereof at the time of such issuance, as determined in good faith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value shall be attributed to any services performed by any employee, officer or Director of the Company; and</w:t>
      </w:r>
    </w:p>
    <w:p>
      <w:pPr>
        <w:spacing w:after="0" w:line="73" w:lineRule="exact"/>
        <w:rPr>
          <w:rFonts w:ascii="Arial" w:cs="Arial" w:eastAsia="Arial" w:hAnsi="Arial"/>
          <w:sz w:val="18"/>
          <w:szCs w:val="18"/>
          <w:color w:val="auto"/>
        </w:rPr>
      </w:pPr>
    </w:p>
    <w:p>
      <w:pPr>
        <w:ind w:left="920" w:firstLine="421"/>
        <w:spacing w:after="0" w:line="264" w:lineRule="auto"/>
        <w:tabs>
          <w:tab w:leader="none" w:pos="179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in the event Additional Ordinary Shares are issued together with other shares or securities or other assets of the Company for consideration which covers both, be the proportion of such consideration so received with respect to such Additional Ordinary Shares, computed as provided in clauses (i) and (ii) above, as determined in good faith by the Board.</w:t>
      </w:r>
    </w:p>
    <w:p>
      <w:pPr>
        <w:spacing w:after="0" w:line="181" w:lineRule="exact"/>
        <w:rPr>
          <w:rFonts w:ascii="Arial" w:cs="Arial" w:eastAsia="Arial" w:hAnsi="Arial"/>
          <w:sz w:val="18"/>
          <w:szCs w:val="18"/>
          <w:color w:val="auto"/>
        </w:rPr>
      </w:pPr>
    </w:p>
    <w:p>
      <w:pPr>
        <w:ind w:right="80" w:firstLine="921"/>
        <w:spacing w:after="0" w:line="277" w:lineRule="auto"/>
        <w:tabs>
          <w:tab w:leader="none" w:pos="1303"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The consideration per share received by the Company for Additional Ordinary Shares deemed to have been issued pursuant to Section 1.4(c), relating to Options and Convertible Securities, shall be determined by dividing</w:t>
      </w:r>
    </w:p>
    <w:p>
      <w:pPr>
        <w:spacing w:after="0" w:line="62" w:lineRule="exact"/>
        <w:rPr>
          <w:rFonts w:ascii="Arial" w:cs="Arial" w:eastAsia="Arial" w:hAnsi="Arial"/>
          <w:sz w:val="18"/>
          <w:szCs w:val="18"/>
          <w:color w:val="auto"/>
        </w:rPr>
      </w:pPr>
    </w:p>
    <w:p>
      <w:pPr>
        <w:ind w:left="920" w:firstLine="421"/>
        <w:spacing w:after="0" w:line="276" w:lineRule="auto"/>
        <w:tabs>
          <w:tab w:leader="none" w:pos="169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Company as consideration for the issuance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73" w:right="319" w:bottom="1440" w:gutter="0" w:footer="0" w:header="0"/>
        </w:sectPr>
      </w:pPr>
    </w:p>
    <w:bookmarkStart w:id="366" w:name="page367"/>
    <w:bookmarkEnd w:id="366"/>
    <w:p>
      <w:pPr>
        <w:ind w:left="920" w:right="120" w:firstLine="421"/>
        <w:spacing w:after="0" w:line="264" w:lineRule="auto"/>
        <w:tabs>
          <w:tab w:leader="none" w:pos="17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number of Ordinary Shares (as set forth in the instruments relating thereto, without regard to any provision contained therein for a subsequent adjustment of such number) issuable upon the exercise of such Options or the conversion exchange of such Convertible Securities.</w:t>
      </w:r>
    </w:p>
    <w:p>
      <w:pPr>
        <w:spacing w:after="0" w:line="18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Adjustments for Share Dividends, Subdivisions, Combinations or Consolidations of Ordinary Shares</w:t>
      </w:r>
      <w:r>
        <w:rPr>
          <w:rFonts w:ascii="Arial" w:cs="Arial" w:eastAsia="Arial" w:hAnsi="Arial"/>
          <w:sz w:val="18"/>
          <w:szCs w:val="18"/>
          <w:color w:val="auto"/>
        </w:rPr>
        <w:t>. In the event the Company pays a dividend or makes a distribution on its Ordinary Shares in Ordinary Shares other than by way of a scrip dividend or if the outstanding Ordinary Shares shall be subdivided into a greater number of Ordinary Shares, the Conversion Price then in effect shall, concurrently with the effectiveness of such subdivision, be proportionately decreased. In the event the outstanding Ordinary Shares shall be combined or consolidated, by reclassification or otherwise, into a lesser number of Ordinary Shares the Conversion Price then in effect shall, concurrently with the effectiveness of such combination or consolidation, be proportionately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-716915</wp:posOffset>
            </wp:positionV>
            <wp:extent cx="285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Adjustments for Other Distributions</w:t>
      </w:r>
      <w:r>
        <w:rPr>
          <w:rFonts w:ascii="Arial" w:cs="Arial" w:eastAsia="Arial" w:hAnsi="Arial"/>
          <w:sz w:val="17"/>
          <w:szCs w:val="17"/>
          <w:color w:val="auto"/>
        </w:rPr>
        <w:t>. In the event the Company at any time or from time to time makes, or files a record date for the determination of holders of Ordinary Shares entitled to receive any distribution payable in securities or assets of the Company other than Ordinary Shares, then and in each such event provision shall be made so that the holders of Preference Shares shall receive upon conversion thereof, in addition to the number of Ordinary Shares receivable thereupon, the amount of securities or assets of the Company which they would have received had their Preference Shares been converted into Ordinary Shares on the date of such event and had they thereafter, during the period from the date of such event to and including the date of conversion, retained such securities or assets receivable by them as aforesaid during such period, subject to all other adjustment called for during such period under this Section 1 with respect to the rights of the holders of the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-863600</wp:posOffset>
            </wp:positionV>
            <wp:extent cx="285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Adjustments for Reclassification, Exchange and Substitution</w:t>
      </w:r>
      <w:r>
        <w:rPr>
          <w:rFonts w:ascii="Arial" w:cs="Arial" w:eastAsia="Arial" w:hAnsi="Arial"/>
          <w:sz w:val="17"/>
          <w:szCs w:val="17"/>
          <w:color w:val="auto"/>
        </w:rPr>
        <w:t>. If the Ordinary Shares issuable upon conversion of the Preference Shares shall be changed into the same or a different number of shares of any other class or classes of shares, whether by capital reorganization, reclassification or otherwise (other than a subdivision or combination of shares provided for above), then and in each such event the holder of each such Preference Shares shall have the right thereafter to convert such share into the kind and amount of shares and other securities and property receivable upon such reorganization or reclassification or other change by holders of the number of Ordinary Shares that would have been subject to receipt by the holders upon conversion of the Preference Shares immediately before that change, all subject to further adjustment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-725805</wp:posOffset>
            </wp:positionV>
            <wp:extent cx="2857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3" w:right="239" w:bottom="1440" w:gutter="0" w:footer="0" w:header="0"/>
        </w:sectPr>
      </w:pPr>
    </w:p>
    <w:bookmarkStart w:id="367" w:name="page368"/>
    <w:bookmarkEnd w:id="367"/>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 </w:t>
      </w: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will not, by the amendment of the Memorandum and Articles or through any reorganization, transfer of assets, consolidation, merger, dissolution, issuance or sale of securities or any other voluntary action, avoid or seek to avoid the observance or performance of any of the terms to be observed or performed hereunder by the Company but will at all times in good faith assist in the carrying out of all the provisions of Section 1 and in the taking of all such action as may be necessary or appropriate in order to protect the conversion rights of the holders of the Preference Shares against impairment.</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the occurrence of each adjustment or readjustment of the Conversion Price pursuant to Section 1, the Company at its expense shall promptly compute such adjustment or readjustment in accordance with the terms hereof and furnish to each holder of Preference Shares a certificate setting forth such adjustment or readjustment and showing in detail the facts upon which such adjustment or readjustment is based. The Company shall furnish or cause to be furnished to such holder a like certificate setting forth (i) such adjustments and readjustments, (ii) the Conversion Price at the time in effect, and (iii) the number of ordinary shares and the amount, if any, of other property which at the time would be received upon the conversion of Preference Shares.</w:t>
      </w:r>
    </w:p>
    <w:p>
      <w:pPr>
        <w:spacing w:after="0" w:line="19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left="920" w:right="460" w:firstLine="421"/>
        <w:spacing w:after="0" w:line="277" w:lineRule="auto"/>
        <w:tabs>
          <w:tab w:leader="none" w:pos="16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All calculations under this Section 1 shall be made to the nearest one hundredth (1/100) of a cent or to the nearest one hundredth (1/100) of a share, as the case may be.</w:t>
      </w:r>
    </w:p>
    <w:p>
      <w:pPr>
        <w:spacing w:after="0" w:line="62" w:lineRule="exact"/>
        <w:rPr>
          <w:rFonts w:ascii="Arial" w:cs="Arial" w:eastAsia="Arial" w:hAnsi="Arial"/>
          <w:sz w:val="18"/>
          <w:szCs w:val="18"/>
          <w:color w:val="auto"/>
        </w:rPr>
      </w:pPr>
    </w:p>
    <w:p>
      <w:pPr>
        <w:ind w:left="920" w:right="20" w:firstLine="421"/>
        <w:spacing w:after="0" w:line="291" w:lineRule="auto"/>
        <w:tabs>
          <w:tab w:leader="none" w:pos="1736"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holders of at least a majority of the then issued and outstanding Series A Preference Shares, the holders of at least a majority of the then issued and outstanding Series B Preference Shares (in relation to determination pursuant to Sections 1.6 – 1.9 only), the holders of at least a majority of the then issued and outstanding Series C Preference Shares, the holders of at least a majority of the then issued and outstanding Series D Preference Shares and the holders of at least a majority of the then issued and outstanding Series E Preference Shares, each voting separately as a single class on an as-if-converted basis, shall have the right to challenge any determination by the Board of fair value pursuant to this Section 1, in which case such determination of fair value shall be made by an independent appraiser selected jointly by the Board and the challenging parties, the cost of such appraisal to be borne equally by the Company and the challenging holders of Preference Shares.</w:t>
      </w:r>
    </w:p>
    <w:p>
      <w:pPr>
        <w:spacing w:after="0" w:line="59" w:lineRule="exact"/>
        <w:rPr>
          <w:rFonts w:ascii="Arial" w:cs="Arial" w:eastAsia="Arial" w:hAnsi="Arial"/>
          <w:sz w:val="16"/>
          <w:szCs w:val="16"/>
          <w:color w:val="auto"/>
        </w:rPr>
      </w:pPr>
    </w:p>
    <w:p>
      <w:pPr>
        <w:ind w:left="920" w:right="100" w:firstLine="421"/>
        <w:spacing w:after="0" w:line="259" w:lineRule="auto"/>
        <w:tabs>
          <w:tab w:leader="none" w:pos="179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 adjustment in the Conversion Price need be made unless such adjustment would require a change of at least one percent (1%) in such Conversion Price. Any adjustment of less than one percent (1%) in the Conversion Price which is not made shall be carried forward and shall be made at the time of and together with any subsequent adjustment which, on a cumulative basis, amounts to one percent (1%) or more in such Conversion Price.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368" w:name="page369"/>
    <w:bookmarkEnd w:id="368"/>
    <w:p>
      <w:pPr>
        <w:ind w:left="920" w:firstLine="421"/>
        <w:spacing w:after="0" w:line="381" w:lineRule="auto"/>
        <w:tabs>
          <w:tab w:leader="none" w:pos="1780" w:val="left"/>
        </w:tabs>
        <w:numPr>
          <w:ilvl w:val="0"/>
          <w:numId w:val="3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conversion of the Preference Shares, the shares so converted shall be cancelled and shall not be reissued, and the Company may from time to time take such appropriate action as may be necessary to diminish the authorized number of Preference Shares accordingly.</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LIQUIDATION, DISSOLUTION OR WINDING UP</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2.1 In the event of (i) a winding up or other dissolution of the Company or any of its Subsidiaries, (ii) a merger or acquisition of the Company or any of its Subsidiaries in which the shareholders of the Company do not directly or indirectly own a majority of the outstanding shares of the surviving corporation, (iii) a sale of all or substantially all of the assets of the Company or the assets of its Subsidiaries, or (iv) government policies promulgated or interpreted after the Closing that prohibit investment or exit of the Company by foreign investors,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case of (ii) and (iii), only when such merger, acquisition or sale implies a valuation of the Company on a fully diluted basis of less than US$550,000,000 (each a “</w:t>
      </w:r>
      <w:r>
        <w:rPr>
          <w:rFonts w:ascii="Arial" w:cs="Arial" w:eastAsia="Arial" w:hAnsi="Arial"/>
          <w:sz w:val="16"/>
          <w:szCs w:val="16"/>
          <w:b w:val="1"/>
          <w:bCs w:val="1"/>
          <w:color w:val="auto"/>
        </w:rPr>
        <w:t>Liquidating Transaction</w:t>
      </w:r>
      <w:r>
        <w:rPr>
          <w:rFonts w:ascii="Arial" w:cs="Arial" w:eastAsia="Arial" w:hAnsi="Arial"/>
          <w:sz w:val="16"/>
          <w:szCs w:val="16"/>
          <w:color w:val="auto"/>
        </w:rPr>
        <w:t>”), either voluntary or involuntary, and subject to Section 4.4, distributions to the Members of the Company shall be made in the following manner:</w:t>
      </w:r>
    </w:p>
    <w:p>
      <w:pPr>
        <w:spacing w:after="0" w:line="165" w:lineRule="exact"/>
        <w:rPr>
          <w:sz w:val="20"/>
          <w:szCs w:val="20"/>
          <w:color w:val="auto"/>
        </w:rPr>
      </w:pPr>
    </w:p>
    <w:p>
      <w:pPr>
        <w:ind w:right="140" w:firstLine="921"/>
        <w:spacing w:after="0" w:line="290" w:lineRule="auto"/>
        <w:tabs>
          <w:tab w:leader="none" w:pos="1289"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holders of the Series E Preference Shares shall be entitled to receive, prior to any distribution to the holders of the Ordinary Shares or any other class or series of shares, an amount per Series E Preference Share equal to (i) 110% of the Series E Issue Price in respect of such Series E Preference Share prior to or on December 31, 2017, or (ii) 120% of the Series E Issue Price in respect of such Series E Preference Share from January 1, 2018, as adjusted for share dividends, splits, combinations, recapitalizations or similar events, and plus all accrued or declared but unpaid dividends thereon minus all paid cash or non-cash dividends and distributions paid thereon since the Series E Original Issue Date (collectively, the “</w:t>
      </w:r>
      <w:r>
        <w:rPr>
          <w:rFonts w:ascii="Arial" w:cs="Arial" w:eastAsia="Arial" w:hAnsi="Arial"/>
          <w:sz w:val="16"/>
          <w:szCs w:val="16"/>
          <w:b w:val="1"/>
          <w:bCs w:val="1"/>
          <w:color w:val="auto"/>
        </w:rPr>
        <w:t>Series E Preference</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If the assets of the Company shall be insufficient to make the payment of the Series E Preference Amount in full to all holders of Series E</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 Shares, then the assets of the company shall be distributable ratably to the holders of the Series E Preference Shares in portion to the Series E Preference Amount to each such holder of Series E Preference Shares would otherwise be entitled to receive.</w:t>
      </w:r>
    </w:p>
    <w:p>
      <w:pPr>
        <w:spacing w:after="0" w:line="166" w:lineRule="exact"/>
        <w:rPr>
          <w:rFonts w:ascii="Arial" w:cs="Arial" w:eastAsia="Arial" w:hAnsi="Arial"/>
          <w:sz w:val="16"/>
          <w:szCs w:val="16"/>
          <w:color w:val="auto"/>
        </w:rPr>
      </w:pPr>
    </w:p>
    <w:p>
      <w:pPr>
        <w:ind w:right="20" w:firstLine="921"/>
        <w:spacing w:after="0" w:line="289" w:lineRule="auto"/>
        <w:tabs>
          <w:tab w:leader="none" w:pos="13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holders of the Series D Preference Shares shall be entitled to receive, after the payment of the Series E Preference Amount has been made in full to all holders of the Series E Preference Shares and prior to any distribution to holders of the Series B Preference Shares, the Series A Preference Shares, the Series C Preference Shares and the Ordinary Shares, an amount per Series D Preference Share (other than any Series D Preference Shares for which the Residual Amount has not been paid to the Company) equal to 150% of the Adjusted Series D Issue Price in respect of such Series D Preference Share, as adjusted for share dividends, splits, combinations, recapitalizations or similar events, and plus all accrued or declared but unpaid dividends thereon minus all paid cash or non-cash dividends and distributions paid thereon since the Series D Original Issue Date (collectively, the “</w:t>
      </w:r>
      <w:r>
        <w:rPr>
          <w:rFonts w:ascii="Arial" w:cs="Arial" w:eastAsia="Arial" w:hAnsi="Arial"/>
          <w:sz w:val="16"/>
          <w:szCs w:val="16"/>
          <w:b w:val="1"/>
          <w:bCs w:val="1"/>
          <w:color w:val="auto"/>
        </w:rPr>
        <w:t>Series D Preference</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If the assets of the Company shall be insufficient to make the payment of the Series D Preference Amount in full to all holders of Series D</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 Shares, then the assets of the Company shall be distributable ratably to the holders of the Series D Preference Shares in portion to the Series D Preference Amount to each such holder of Series D Preference Shares would otherwise be entitled to receive.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369" w:name="page370"/>
    <w:bookmarkEnd w:id="369"/>
    <w:p>
      <w:pPr>
        <w:ind w:left="-20" w:firstLine="921"/>
        <w:spacing w:after="0" w:line="269" w:lineRule="auto"/>
        <w:tabs>
          <w:tab w:leader="none" w:pos="1269" w:val="left"/>
        </w:tabs>
        <w:numPr>
          <w:ilvl w:val="0"/>
          <w:numId w:val="3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the Series B Preference Shares shall be entitled to receive, after the payment of the Series E Preference Amount and Series D Preference Amount has been made in full to all holders of the Series E Preference Shares and Series D Preference Shares and prior to any distribution to the holders of the Series A Preference Shares, the Series C Preference Shares and the Ordinary Shares, an amount per Series B Preference Share equal to 150% of the Series B Issue Price in respect of such Series B Preference Share (provided that (i) if the Liquidating Transaction is a Qualified M&amp;A Event 1, such amount per Series B Preference Share shall be reduced to 0% of the Series B Issue Price and (ii) if the Liquidating Transaction is a Qualified M&amp;A Event 2, such amount per Series B Preference Share shall be reduced to 100% of the Series B Issue Price), as adjusted for share dividends, splits, combinations, recapitalizations or similar events, and plus all accrued or declared but unpaid dividends thereon minus all paid cash or non-cash dividends and distributions paid thereon since the Series B Original Issue Date (collectively, the “</w:t>
      </w:r>
      <w:r>
        <w:rPr>
          <w:rFonts w:ascii="Arial" w:cs="Arial" w:eastAsia="Arial" w:hAnsi="Arial"/>
          <w:sz w:val="17"/>
          <w:szCs w:val="17"/>
          <w:b w:val="1"/>
          <w:bCs w:val="1"/>
          <w:color w:val="auto"/>
        </w:rPr>
        <w:t>Series B Preference Amount</w:t>
      </w:r>
      <w:r>
        <w:rPr>
          <w:rFonts w:ascii="Arial" w:cs="Arial" w:eastAsia="Arial" w:hAnsi="Arial"/>
          <w:sz w:val="17"/>
          <w:szCs w:val="17"/>
          <w:color w:val="auto"/>
        </w:rPr>
        <w:t>”). If the assets of the Company shall be insufficient to make the payment of the Series B Preference Amount in full to all holders of the Series B Preference Shares, then the assets of the company shall be distributable ratably to the holders of the Series B Preference Shares in portion to the Series B Preference Amount to each such holder of the Series B Preference Shares would otherwise be entitled to receive.</w:t>
      </w:r>
    </w:p>
    <w:p>
      <w:pPr>
        <w:spacing w:after="0" w:line="182" w:lineRule="exact"/>
        <w:rPr>
          <w:rFonts w:ascii="Arial" w:cs="Arial" w:eastAsia="Arial" w:hAnsi="Arial"/>
          <w:sz w:val="17"/>
          <w:szCs w:val="17"/>
          <w:color w:val="auto"/>
        </w:rPr>
      </w:pPr>
    </w:p>
    <w:p>
      <w:pPr>
        <w:ind w:left="-20" w:right="40" w:firstLine="921"/>
        <w:spacing w:after="0" w:line="287" w:lineRule="auto"/>
        <w:tabs>
          <w:tab w:leader="none" w:pos="128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holders of the then issued and outstanding Series A Preference Shares shall be entitled to receive, after the payments of the Series E Preference Amount, the Series D Preference Amount and the Series B Preference Amount have been made in full to all holders of the Series E Preference Shares, Series D preference Shares and the Series B Preference Shares and prior to any distribution to the holders of the Series C Preference Shares and the Ordinary Shares, an amount per Series A Preference Share equal to 200% of the Series A Issue Price (provided that (i) if the Liquidating Transaction is a Qualified M&amp;A Event 1, such amount per Series A Preference Share shall be reduced to 0% of the Series A Issue Price and (ii) if the Liquidating Transaction is a Qualified M&amp;A Event 2, such amount per Series A Preference Share shall be reduced to 100% of the Series A Issue Price), as adjusted for share dividends, splits, combinations, recapitalizations or similar events, and plus all accrued or declared but unpaid dividends thereon minus all paid cash or non-cash dividends and distributions paid thereon since the first date on which any Series A Preference Share was issued by the Company (collectively, the “</w:t>
      </w:r>
      <w:r>
        <w:rPr>
          <w:rFonts w:ascii="Arial" w:cs="Arial" w:eastAsia="Arial" w:hAnsi="Arial"/>
          <w:sz w:val="16"/>
          <w:szCs w:val="16"/>
          <w:b w:val="1"/>
          <w:bCs w:val="1"/>
          <w:color w:val="auto"/>
        </w:rPr>
        <w:t>Series A Preference Amount</w:t>
      </w:r>
      <w:r>
        <w:rPr>
          <w:rFonts w:ascii="Arial" w:cs="Arial" w:eastAsia="Arial" w:hAnsi="Arial"/>
          <w:sz w:val="16"/>
          <w:szCs w:val="16"/>
          <w:color w:val="auto"/>
        </w:rPr>
        <w:t>”). If the assets of the Company shall be insufficient to make the payment of the Series A Preference Amount in full to all holders of the Series A Preference Shares, then the assets of the company shall be distributable ratably to the holders of the Series A Preference Shares in portion to the Series A Preference Amount to each such holder of the Series A Preference Shares would otherwise be entitled to receive.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60" w:top="274" w:right="259" w:bottom="1440" w:gutter="0" w:footer="0" w:header="0"/>
        </w:sectPr>
      </w:pPr>
    </w:p>
    <w:bookmarkStart w:id="370" w:name="page371"/>
    <w:bookmarkEnd w:id="370"/>
    <w:p>
      <w:pPr>
        <w:ind w:firstLine="921"/>
        <w:spacing w:after="0" w:line="259" w:lineRule="auto"/>
        <w:tabs>
          <w:tab w:leader="none" w:pos="1283" w:val="left"/>
        </w:tabs>
        <w:numPr>
          <w:ilvl w:val="0"/>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full Series E Preference Amount, Series D Preference Amount, Series B Preference Amount and Series A Preference Amount have been paid (together, the “</w:t>
      </w:r>
      <w:r>
        <w:rPr>
          <w:rFonts w:ascii="Arial" w:cs="Arial" w:eastAsia="Arial" w:hAnsi="Arial"/>
          <w:sz w:val="18"/>
          <w:szCs w:val="18"/>
          <w:b w:val="1"/>
          <w:bCs w:val="1"/>
          <w:color w:val="auto"/>
        </w:rPr>
        <w:t>Preference Amount</w:t>
      </w:r>
      <w:r>
        <w:rPr>
          <w:rFonts w:ascii="Arial" w:cs="Arial" w:eastAsia="Arial" w:hAnsi="Arial"/>
          <w:sz w:val="18"/>
          <w:szCs w:val="18"/>
          <w:color w:val="auto"/>
        </w:rPr>
        <w:t xml:space="preserve">”), any remaining funds or assets of the Company legally available for distribution to shareholders shall be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holders of the Preference Shares (other than any Series D Preference Shares for which the Residual Amount has not been paid to the Company) (on an as-converted basis) together with the holders of the Ordinary Shares.</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2.2 Notwithstanding any other provision of this Section 2, and subject to the consents or approvals required in Section 6, the Company may at any time, out of funds legally available therefor, repurchase options under the ESOP, Ordinary Shares of the Company issued to or held by employees, officers or consultants of the Company or its Subsidiaries, whether upon termination of their employment, services or otherwise, pursuant to any bona fide agreement providing for such right of repurchase, whether or not dividends on the Preference Shares shall have been declared.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2.3 In the event the Company proposes to distribute assets other than cash in connection with any Liquidating Transaction of the Company, the value of the assets to be distributed to the holders of Preference Shares and Ordinary Shares shall be determined in good faith by the liquidator, if one is appointed, or by the Board, if no liquidator is appointed. Any securities not subject to investment letter or similar restrictions on free marketability shall be valued as follows:</w:t>
      </w:r>
    </w:p>
    <w:p>
      <w:pPr>
        <w:spacing w:after="0" w:line="187" w:lineRule="exact"/>
        <w:rPr>
          <w:sz w:val="20"/>
          <w:szCs w:val="20"/>
          <w:color w:val="auto"/>
        </w:rPr>
      </w:pPr>
    </w:p>
    <w:p>
      <w:pPr>
        <w:ind w:right="300" w:firstLine="921"/>
        <w:spacing w:after="0" w:line="277" w:lineRule="auto"/>
        <w:tabs>
          <w:tab w:leader="none" w:pos="129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average of the security’s closing prices on such exchange over the thirty (30) day ending one (1) day prior to the distribution;</w:t>
      </w:r>
    </w:p>
    <w:p>
      <w:pPr>
        <w:spacing w:after="0" w:line="170" w:lineRule="exact"/>
        <w:rPr>
          <w:rFonts w:ascii="Arial" w:cs="Arial" w:eastAsia="Arial" w:hAnsi="Arial"/>
          <w:sz w:val="18"/>
          <w:szCs w:val="18"/>
          <w:color w:val="auto"/>
        </w:rPr>
      </w:pPr>
    </w:p>
    <w:p>
      <w:pPr>
        <w:ind w:right="440" w:firstLine="921"/>
        <w:spacing w:after="0" w:line="277" w:lineRule="auto"/>
        <w:tabs>
          <w:tab w:leader="none" w:pos="130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thirty (30) day period ending three (3) days prior to the distribution; and</w:t>
      </w:r>
    </w:p>
    <w:p>
      <w:pPr>
        <w:spacing w:after="0" w:line="170" w:lineRule="exact"/>
        <w:rPr>
          <w:rFonts w:ascii="Arial" w:cs="Arial" w:eastAsia="Arial" w:hAnsi="Arial"/>
          <w:sz w:val="18"/>
          <w:szCs w:val="18"/>
          <w:color w:val="auto"/>
        </w:rPr>
      </w:pPr>
    </w:p>
    <w:p>
      <w:pPr>
        <w:ind w:right="260" w:firstLine="921"/>
        <w:spacing w:after="0" w:line="308" w:lineRule="auto"/>
        <w:tabs>
          <w:tab w:leader="none" w:pos="129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determined in good faith by the liquidator (or, in the case of any proposed distribution in connection with a transaction which is a deemed liquidation hereunder, by the Board).</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2.4 The method of valuation of securities subject to restrictions on free marketability shall be adjusted to make an appropriate discount from the market value determined as above in Section 2.3 to reflect the fair market value thereof as determined in good faith by the liquidator (or, in the case of any proposed distribution in connection with a Liquidating Transaction, by the Board). The holders of at least a majority of the then issued and outstanding Series E Preference Shares, the holders of at least a majority of the then issued and outstanding Series D Preference Shares, the holders of at least a majority of the then issued and outstanding Series C Preference Shares, the holders of at least a majority of the then issued and outstanding Series B Preference Shares or the holders of at least a majority of the then issued and outstanding Series A Preference Shares, each voting separately as a single class, shall have the right to challenge any determination by the liquidator or the Board, as the case may be, of fair market value pursuant to this Section 2, in which case the determination of fair market value shall be made by an independent appraiser selected jointly by the liquidator or the Board, as the case may be, and the challenging parties, the cost of such appraisal to be borne by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3" w:right="23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3.1 No Dividends shall be made, declared or set aside, whether in cash, in property, or in any other Shares of the Company, with respect to any other class or series of Shares of the Company during any fiscal year, unless and until such distribution is approved and declared by the Board of Directors and at least a majority of all then issued and outstanding Series A Preference Shares, Series B Preference Shares, Series D Preference Shares and Series E Preference Shares, each voting separately as a single class.</w:t>
      </w:r>
    </w:p>
    <w:p>
      <w:pPr>
        <w:spacing w:after="0" w:line="18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3.2 Upon approval and declaration as set forth in Section 3.1, the holders of each Series E Preference Share shall be entitled to receive an amount equal to 8% of the Series E Issue Price payable out of funds or assets when and as such funds or assets become legally therefor on parity with each other, prior to and in preference to any dividend on the Series D Preference Shares, Series B Preference Shares, Series A Preference Shares, Series C Preference Shares and Ordinary Shares or any other class or series of Shares.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3.3 At such time when all accrued dividends in the amounts set forth in Section 3.2 above shall have been paid, the holders of each Series D Preference Share (other than any Series D Preference Shares for which the Residual Amount has not been paid to the Company) shall be entitled to receive an amount equal to 8% of the Adjusted Series D Issue Price, payable out of funds or assets when and as such funds or assets become legally therefor on parity with each other, prior to and in preference to any dividend on the Series B Preference Shares, Series A Preference Shares, Series C Preference Shares and Ordinary Shares or any other class or series of Shares.</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3.4 At such time when all accrued dividends in the amounts set forth in Section 3.3 above shall have been paid, the holders of each Series B Preference Share shall be entitled to receive an amount equal to 8% of the Series B Issue Price, payable out of remaining funds or assets when and as such funds or assets become legally therefor on parity with each other, prior to and in preference to any dividend on the Series A Preference Shares, Series C Preference Shares, Ordinary Shares or any other class or series of Shares.</w:t>
      </w:r>
    </w:p>
    <w:p>
      <w:pPr>
        <w:spacing w:after="0" w:line="18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3.5 At such time when all accrued dividends in the amounts set forth in Section 3.4 above shall have been paid, the holders of each Series A Preference Share shall be entitled to receive an amount equal to 8% of the Series A Issue Price, payable out of remaining funds or assets when and as such funds or assets become legally therefor on parity with each other, prior to and in preference to any dividend on the Series C Preference Shares, Ordinary Shares or any other class or series of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69" w:right="239" w:bottom="1440" w:gutter="0" w:footer="0" w:header="0"/>
        </w:sectPr>
      </w:pPr>
    </w:p>
    <w:bookmarkStart w:id="372" w:name="page373"/>
    <w:bookmarkEnd w:id="372"/>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Following the distribution in full of the amount as set forth in Section 3.5, any remaining Dividends shall be distributed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holders of the Preference Shares and Ordinary Shares on a fully diluted and as-if converted basis.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Preference Shares are redeemable as following</w:t>
      </w:r>
    </w:p>
    <w:p>
      <w:pPr>
        <w:spacing w:after="0" w:line="225" w:lineRule="exact"/>
        <w:rPr>
          <w:sz w:val="20"/>
          <w:szCs w:val="20"/>
          <w:color w:val="auto"/>
        </w:rPr>
      </w:pPr>
    </w:p>
    <w:p>
      <w:pPr>
        <w:ind w:right="20" w:firstLine="921"/>
        <w:spacing w:after="0" w:line="269" w:lineRule="auto"/>
        <w:tabs>
          <w:tab w:leader="none" w:pos="128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At any time and from time to time beginning upon the earlier of (i) the second (2</w:t>
      </w:r>
      <w:r>
        <w:rPr>
          <w:rFonts w:ascii="Arial" w:cs="Arial" w:eastAsia="Arial" w:hAnsi="Arial"/>
          <w:sz w:val="14"/>
          <w:szCs w:val="14"/>
          <w:color w:val="auto"/>
        </w:rPr>
        <w:t>nd</w:t>
      </w:r>
      <w:r>
        <w:rPr>
          <w:rFonts w:ascii="Arial" w:cs="Arial" w:eastAsia="Arial" w:hAnsi="Arial"/>
          <w:sz w:val="17"/>
          <w:szCs w:val="17"/>
          <w:color w:val="auto"/>
        </w:rPr>
        <w:t>) anniversary of the date of the Closing or such earlier date as any other series or class of Shares is redeemable, or (ii) the occurrence of a material breach of any of the warranties or undertakings specified in the Series B SPA, the Shareholders Agreement or the Series A SPA or other transaction documents contemplated therein, any holder of the Series B Preference Shares shall have an option to require the Company to redeem all or a portion of the issued and outstanding Series B Preference Shares held by such holder for a redemption price per Series B Preference Share equal to the greater of (x) 150% of the Series B Issue Price, plus all declared but unpaid dividends thereon to the date of redemption, proportionally adjusted for stock splits, stock dividends, and the like or (y) the fair market value of the Series B Preference Shares subject to redemption (exclusive of liquidity event, fire-sale or minority ownership discounts) as determined by an independent appraiser mutually agreeable to the Company and the holders of the Series B Preference Shares electing for such redemption (the “</w:t>
      </w:r>
      <w:r>
        <w:rPr>
          <w:rFonts w:ascii="Arial" w:cs="Arial" w:eastAsia="Arial" w:hAnsi="Arial"/>
          <w:sz w:val="17"/>
          <w:szCs w:val="17"/>
          <w:b w:val="1"/>
          <w:bCs w:val="1"/>
          <w:color w:val="auto"/>
        </w:rPr>
        <w:t>Series B Redemption Price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and the holders of such Series B Preference Shares cannot agree on an appraiser, the Company and such holders shall each select an appraiser of recognized standing and the two (2) appraisers shall designate a third appraiser of recognized standing, whose appraisal shall be determinative of such fair market value.</w:t>
      </w:r>
    </w:p>
    <w:p>
      <w:pPr>
        <w:spacing w:after="0" w:line="182" w:lineRule="exact"/>
        <w:rPr>
          <w:rFonts w:ascii="Arial" w:cs="Arial" w:eastAsia="Arial" w:hAnsi="Arial"/>
          <w:sz w:val="17"/>
          <w:szCs w:val="17"/>
          <w:color w:val="auto"/>
        </w:rPr>
      </w:pPr>
    </w:p>
    <w:p>
      <w:pPr>
        <w:ind w:firstLine="921"/>
        <w:spacing w:after="0" w:line="270" w:lineRule="auto"/>
        <w:tabs>
          <w:tab w:leader="none" w:pos="129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At any time and from time to time beginning upon the earlier of (i) the second (2</w:t>
      </w:r>
      <w:r>
        <w:rPr>
          <w:rFonts w:ascii="Arial" w:cs="Arial" w:eastAsia="Arial" w:hAnsi="Arial"/>
          <w:sz w:val="14"/>
          <w:szCs w:val="14"/>
          <w:color w:val="auto"/>
        </w:rPr>
        <w:t>nd</w:t>
      </w:r>
      <w:r>
        <w:rPr>
          <w:rFonts w:ascii="Arial" w:cs="Arial" w:eastAsia="Arial" w:hAnsi="Arial"/>
          <w:sz w:val="17"/>
          <w:szCs w:val="17"/>
          <w:color w:val="auto"/>
        </w:rPr>
        <w:t>) anniversary of the date of the Closing, or (ii) the occurrence of a material breach of any of the warranties or undertakings specified in the Series A SPA or other transaction documents contemplated therein, any holder of the Series A Preference Shares shall have an option to require the Company to redeem all or a portion of the issued and outstanding Series A Preference Shares held by such holder for a redemption price per Series A Preference Share equal to the greater of (x) 200% of the Series A Issue Price, plus all declared but unpaid dividends thereon to the date of redemption, proportionally adjusted for stock splits, stock dividends, and the like or (y) the fair market value of the Series A Preference Shares subject to redemption (exclusive of liquidity event, fire-sale or minority ownership discounts) as determined by an independent appraiser mutually agreeable to the Company and the holders of the Series A Preference Shares electing for such redemption (the “</w:t>
      </w:r>
      <w:r>
        <w:rPr>
          <w:rFonts w:ascii="Arial" w:cs="Arial" w:eastAsia="Arial" w:hAnsi="Arial"/>
          <w:sz w:val="17"/>
          <w:szCs w:val="17"/>
          <w:b w:val="1"/>
          <w:b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color w:val="auto"/>
        </w:rPr>
        <w:t>Redemption Price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the Company and the holders of such Series A Preference Shares cannot agree on an appraiser, the Company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shall each select an appraiser of recognized standing and the two (2) appraisers shall designate a third appraiser of recognized standing, whose appraisal shall be determinative of such fair market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373" w:name="page374"/>
    <w:bookmarkEnd w:id="373"/>
    <w:p>
      <w:pPr>
        <w:ind w:left="1300" w:hanging="379"/>
        <w:spacing w:after="0"/>
        <w:tabs>
          <w:tab w:leader="none" w:pos="13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time and from time to time following the occurrence of any of the following:</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on or after the second (2</w:t>
      </w:r>
      <w:r>
        <w:rPr>
          <w:rFonts w:ascii="Arial" w:cs="Arial" w:eastAsia="Arial" w:hAnsi="Arial"/>
          <w:sz w:val="15"/>
          <w:szCs w:val="15"/>
          <w:color w:val="auto"/>
        </w:rPr>
        <w:t>nd</w:t>
      </w:r>
      <w:r>
        <w:rPr>
          <w:rFonts w:ascii="Arial" w:cs="Arial" w:eastAsia="Arial" w:hAnsi="Arial"/>
          <w:sz w:val="18"/>
          <w:szCs w:val="18"/>
          <w:color w:val="auto"/>
        </w:rPr>
        <w:t>) anniversary of the date of the Closing;</w:t>
      </w:r>
    </w:p>
    <w:p>
      <w:pPr>
        <w:spacing w:after="0" w:line="117" w:lineRule="exact"/>
        <w:rPr>
          <w:rFonts w:ascii="Arial" w:cs="Arial" w:eastAsia="Arial" w:hAnsi="Arial"/>
          <w:sz w:val="18"/>
          <w:szCs w:val="18"/>
          <w:color w:val="auto"/>
        </w:rPr>
      </w:pPr>
    </w:p>
    <w:p>
      <w:pPr>
        <w:ind w:left="1740" w:hanging="399"/>
        <w:spacing w:after="0"/>
        <w:tabs>
          <w:tab w:leader="none" w:pos="17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any Liquidating Transaction;</w:t>
      </w:r>
    </w:p>
    <w:p>
      <w:pPr>
        <w:spacing w:after="0" w:line="117" w:lineRule="exact"/>
        <w:rPr>
          <w:rFonts w:ascii="Arial" w:cs="Arial" w:eastAsia="Arial" w:hAnsi="Arial"/>
          <w:sz w:val="18"/>
          <w:szCs w:val="18"/>
          <w:color w:val="auto"/>
        </w:rPr>
      </w:pPr>
    </w:p>
    <w:p>
      <w:pPr>
        <w:ind w:left="920" w:right="40" w:firstLine="421"/>
        <w:spacing w:after="0" w:line="264" w:lineRule="auto"/>
        <w:tabs>
          <w:tab w:leader="none" w:pos="179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Mr. Hsieh, Wing Hong Sammy ceasing to exert day-to-day management and operational control over the Company, Optimix Media Asia Limited, iClick Interactive Asia Limited, Diablo Holdings Corporation, Harmattan Capital Holdings Corporation or China Search (Asia) Limited; or</w:t>
      </w:r>
    </w:p>
    <w:p>
      <w:pPr>
        <w:spacing w:after="0" w:line="73" w:lineRule="exact"/>
        <w:rPr>
          <w:rFonts w:ascii="Arial" w:cs="Arial" w:eastAsia="Arial" w:hAnsi="Arial"/>
          <w:sz w:val="18"/>
          <w:szCs w:val="18"/>
          <w:color w:val="auto"/>
        </w:rPr>
      </w:pPr>
    </w:p>
    <w:p>
      <w:pPr>
        <w:ind w:left="920" w:firstLine="421"/>
        <w:spacing w:after="0" w:line="308" w:lineRule="auto"/>
        <w:tabs>
          <w:tab w:leader="none" w:pos="17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any holder of the Series B Preference Shares or the Series A Preference Shares or Series D Preference Shares or Series E Preference Shares electing for redemption pursuant to Section 4.1(a) or Section 4.1(b) or Section 4.1(d) or Section 4.1(e), respectively,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holders of the Series C Preference Shares shall have an option to require the Company to redeem all (but not only some) of the issued and outstanding Series C Preference Shares held by all such holders for a redemption price per Series C Preference Share equal to 200% of the Series C Issue Price, proportionally adjusted for stock splits, stock dividends (the “</w:t>
      </w:r>
      <w:r>
        <w:rPr>
          <w:rFonts w:ascii="Arial" w:cs="Arial" w:eastAsia="Arial" w:hAnsi="Arial"/>
          <w:sz w:val="18"/>
          <w:szCs w:val="18"/>
          <w:b w:val="1"/>
          <w:bCs w:val="1"/>
          <w:color w:val="auto"/>
        </w:rPr>
        <w:t>Series C Redemption Price</w:t>
      </w:r>
      <w:r>
        <w:rPr>
          <w:rFonts w:ascii="Arial" w:cs="Arial" w:eastAsia="Arial" w:hAnsi="Arial"/>
          <w:sz w:val="18"/>
          <w:szCs w:val="18"/>
          <w:color w:val="auto"/>
        </w:rPr>
        <w:t>”).</w:t>
      </w:r>
    </w:p>
    <w:p>
      <w:pPr>
        <w:spacing w:after="0" w:line="181" w:lineRule="exact"/>
        <w:rPr>
          <w:sz w:val="20"/>
          <w:szCs w:val="20"/>
          <w:color w:val="auto"/>
        </w:rPr>
      </w:pPr>
    </w:p>
    <w:p>
      <w:pPr>
        <w:ind w:left="1300" w:hanging="379"/>
        <w:spacing w:after="0"/>
        <w:tabs>
          <w:tab w:leader="none" w:pos="13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time and from time to time beginning upon the earlier of any of the following:</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on or after the second (2</w:t>
      </w:r>
      <w:r>
        <w:rPr>
          <w:rFonts w:ascii="Arial" w:cs="Arial" w:eastAsia="Arial" w:hAnsi="Arial"/>
          <w:sz w:val="15"/>
          <w:szCs w:val="15"/>
          <w:color w:val="auto"/>
        </w:rPr>
        <w:t>nd</w:t>
      </w:r>
      <w:r>
        <w:rPr>
          <w:rFonts w:ascii="Arial" w:cs="Arial" w:eastAsia="Arial" w:hAnsi="Arial"/>
          <w:sz w:val="18"/>
          <w:szCs w:val="18"/>
          <w:color w:val="auto"/>
        </w:rPr>
        <w:t>) anniversary of the date of the Closing;</w:t>
      </w:r>
    </w:p>
    <w:p>
      <w:pPr>
        <w:spacing w:after="0" w:line="117" w:lineRule="exact"/>
        <w:rPr>
          <w:rFonts w:ascii="Arial" w:cs="Arial" w:eastAsia="Arial" w:hAnsi="Arial"/>
          <w:sz w:val="18"/>
          <w:szCs w:val="18"/>
          <w:color w:val="auto"/>
        </w:rPr>
      </w:pPr>
    </w:p>
    <w:p>
      <w:pPr>
        <w:ind w:left="1740" w:hanging="399"/>
        <w:spacing w:after="0"/>
        <w:tabs>
          <w:tab w:leader="none" w:pos="17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any Liquidating Transaction;</w:t>
      </w:r>
    </w:p>
    <w:p>
      <w:pPr>
        <w:spacing w:after="0" w:line="117" w:lineRule="exact"/>
        <w:rPr>
          <w:rFonts w:ascii="Arial" w:cs="Arial" w:eastAsia="Arial" w:hAnsi="Arial"/>
          <w:sz w:val="18"/>
          <w:szCs w:val="18"/>
          <w:color w:val="auto"/>
        </w:rPr>
      </w:pPr>
    </w:p>
    <w:p>
      <w:pPr>
        <w:ind w:left="920" w:right="40" w:firstLine="421"/>
        <w:spacing w:after="0" w:line="264" w:lineRule="auto"/>
        <w:tabs>
          <w:tab w:leader="none" w:pos="179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Mr. Hsieh, Wing Hong Sammy ceasing to exert day-to-day management and operational control over the Company, Optimix Media Asia Limited, iClick Interactive Asia Limited, Diablo Holdings Corporation, Harmattan Capital Holdings Corporation or China Search (Asia) Limited;</w:t>
      </w:r>
    </w:p>
    <w:p>
      <w:pPr>
        <w:spacing w:after="0" w:line="73" w:lineRule="exact"/>
        <w:rPr>
          <w:rFonts w:ascii="Arial" w:cs="Arial" w:eastAsia="Arial" w:hAnsi="Arial"/>
          <w:sz w:val="18"/>
          <w:szCs w:val="18"/>
          <w:color w:val="auto"/>
        </w:rPr>
      </w:pPr>
    </w:p>
    <w:p>
      <w:pPr>
        <w:ind w:left="920" w:right="660" w:firstLine="421"/>
        <w:spacing w:after="0" w:line="277" w:lineRule="auto"/>
        <w:tabs>
          <w:tab w:leader="none" w:pos="17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occurrence of a material breach of any of the warranties or covenants specified in the Series D SPA or other transaction documents contemplated therein;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274" w:right="359" w:bottom="1440" w:gutter="0" w:footer="0" w:header="0"/>
        </w:sectPr>
      </w:pPr>
    </w:p>
    <w:bookmarkStart w:id="374" w:name="page375"/>
    <w:bookmarkEnd w:id="374"/>
    <w:p>
      <w:pPr>
        <w:ind w:left="920" w:right="840" w:firstLine="421"/>
        <w:spacing w:after="0" w:line="277" w:lineRule="auto"/>
        <w:tabs>
          <w:tab w:leader="none" w:pos="1730"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holder of the Series A Preference Shares, the Series B Preference Shares or the Series C Preference Shares electing for redemption pursuant to Section 4.1(a), 4.1(b) or 4.1(c), respectively;</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holders of the Series D Preference Shares (other than any Series D Preference Shares for which the Residual Amount has not been paid to the Company) shall have an option to require the Company to redeem all (but not only some) of the outstanding BF Purchased Shares and BF Compensation Shares (if any) held by BlueFocus (“</w:t>
      </w:r>
      <w:r>
        <w:rPr>
          <w:rFonts w:ascii="Arial" w:cs="Arial" w:eastAsia="Arial" w:hAnsi="Arial"/>
          <w:sz w:val="16"/>
          <w:szCs w:val="16"/>
          <w:b w:val="1"/>
          <w:bCs w:val="1"/>
          <w:color w:val="auto"/>
        </w:rPr>
        <w:t>BF Redemption Shares</w:t>
      </w:r>
      <w:r>
        <w:rPr>
          <w:rFonts w:ascii="Arial" w:cs="Arial" w:eastAsia="Arial" w:hAnsi="Arial"/>
          <w:sz w:val="16"/>
          <w:szCs w:val="16"/>
          <w:color w:val="auto"/>
        </w:rPr>
        <w:t>”) for a redemption price per Share at the higher of (a) a price reflecting an implied valuation (on a fully-diluted basis) of the Company at US$500 million, (b) the highest redemption price that would have been received by any other shareholder of the Company if their shares have become redeemable, proportionally adjusted for stock splits, stock dividends, and (c) a price reflecting the implied valuation (on a fully-diluted basis) of the Company used in any Liquidating Transaction (if applicable) (the “</w:t>
      </w:r>
      <w:r>
        <w:rPr>
          <w:rFonts w:ascii="Arial" w:cs="Arial" w:eastAsia="Arial" w:hAnsi="Arial"/>
          <w:sz w:val="16"/>
          <w:szCs w:val="16"/>
          <w:b w:val="1"/>
          <w:bCs w:val="1"/>
          <w:color w:val="auto"/>
        </w:rPr>
        <w:t>Series D Redemption Price</w:t>
      </w:r>
      <w:r>
        <w:rPr>
          <w:rFonts w:ascii="Arial" w:cs="Arial" w:eastAsia="Arial" w:hAnsi="Arial"/>
          <w:sz w:val="16"/>
          <w:szCs w:val="16"/>
          <w:color w:val="auto"/>
        </w:rPr>
        <w:t>”).</w:t>
      </w:r>
    </w:p>
    <w:p>
      <w:pPr>
        <w:spacing w:after="0" w:line="165" w:lineRule="exact"/>
        <w:rPr>
          <w:sz w:val="20"/>
          <w:szCs w:val="20"/>
          <w:color w:val="auto"/>
        </w:rPr>
      </w:pPr>
    </w:p>
    <w:p>
      <w:pPr>
        <w:ind w:left="1300" w:hanging="379"/>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time and from time to time beginning upon the earlier of any of the following:</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any Liquidating Transaction;</w:t>
      </w:r>
    </w:p>
    <w:p>
      <w:pPr>
        <w:spacing w:after="0" w:line="117" w:lineRule="exact"/>
        <w:rPr>
          <w:rFonts w:ascii="Arial" w:cs="Arial" w:eastAsia="Arial" w:hAnsi="Arial"/>
          <w:sz w:val="18"/>
          <w:szCs w:val="18"/>
          <w:color w:val="auto"/>
        </w:rPr>
      </w:pPr>
    </w:p>
    <w:p>
      <w:pPr>
        <w:ind w:left="1740" w:hanging="399"/>
        <w:spacing w:after="0"/>
        <w:tabs>
          <w:tab w:leader="none" w:pos="174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failure of the Company to achieve the following targets:</w:t>
      </w:r>
    </w:p>
    <w:p>
      <w:pPr>
        <w:spacing w:after="0" w:line="117" w:lineRule="exact"/>
        <w:rPr>
          <w:rFonts w:ascii="Arial" w:cs="Arial" w:eastAsia="Arial" w:hAnsi="Arial"/>
          <w:sz w:val="18"/>
          <w:szCs w:val="18"/>
          <w:color w:val="auto"/>
        </w:rPr>
      </w:pPr>
    </w:p>
    <w:p>
      <w:pPr>
        <w:ind w:left="1940" w:firstLine="8"/>
        <w:spacing w:after="0" w:line="264" w:lineRule="auto"/>
        <w:tabs>
          <w:tab w:leader="none" w:pos="2330" w:val="left"/>
        </w:tabs>
        <w:numPr>
          <w:ilvl w:val="2"/>
          <w:numId w:val="357"/>
        </w:numPr>
        <w:rPr>
          <w:rFonts w:ascii="Arial" w:cs="Arial" w:eastAsia="Arial" w:hAnsi="Arial"/>
          <w:sz w:val="18"/>
          <w:szCs w:val="18"/>
          <w:color w:val="auto"/>
        </w:rPr>
      </w:pPr>
      <w:r>
        <w:rPr>
          <w:rFonts w:ascii="Arial" w:cs="Arial" w:eastAsia="Arial" w:hAnsi="Arial"/>
          <w:sz w:val="18"/>
          <w:szCs w:val="18"/>
          <w:color w:val="auto"/>
        </w:rPr>
        <w:t>the audited consolidated revenues from the principal business (excluding any non-operating and non-recurring revenue) of the Group as of and for the twelve months ending on December 31, 2017 (the “</w:t>
      </w:r>
      <w:r>
        <w:rPr>
          <w:rFonts w:ascii="Arial" w:cs="Arial" w:eastAsia="Arial" w:hAnsi="Arial"/>
          <w:sz w:val="18"/>
          <w:szCs w:val="18"/>
          <w:b w:val="1"/>
          <w:bCs w:val="1"/>
          <w:color w:val="auto"/>
        </w:rPr>
        <w:t>2017 Financial Year</w:t>
      </w:r>
      <w:r>
        <w:rPr>
          <w:rFonts w:ascii="Arial" w:cs="Arial" w:eastAsia="Arial" w:hAnsi="Arial"/>
          <w:sz w:val="18"/>
          <w:szCs w:val="18"/>
          <w:color w:val="auto"/>
        </w:rPr>
        <w:t>”) being no less than US$200,000,000; and</w:t>
      </w:r>
    </w:p>
    <w:p>
      <w:pPr>
        <w:spacing w:after="0" w:line="73" w:lineRule="exact"/>
        <w:rPr>
          <w:rFonts w:ascii="Arial" w:cs="Arial" w:eastAsia="Arial" w:hAnsi="Arial"/>
          <w:sz w:val="18"/>
          <w:szCs w:val="18"/>
          <w:color w:val="auto"/>
        </w:rPr>
      </w:pPr>
    </w:p>
    <w:p>
      <w:pPr>
        <w:ind w:left="1940" w:firstLine="8"/>
        <w:spacing w:after="0" w:line="264" w:lineRule="auto"/>
        <w:tabs>
          <w:tab w:leader="none" w:pos="2330" w:val="left"/>
        </w:tabs>
        <w:numPr>
          <w:ilvl w:val="2"/>
          <w:numId w:val="357"/>
        </w:numPr>
        <w:rPr>
          <w:rFonts w:ascii="Arial" w:cs="Arial" w:eastAsia="Arial" w:hAnsi="Arial"/>
          <w:sz w:val="18"/>
          <w:szCs w:val="18"/>
          <w:color w:val="auto"/>
        </w:rPr>
      </w:pPr>
      <w:r>
        <w:rPr>
          <w:rFonts w:ascii="Arial" w:cs="Arial" w:eastAsia="Arial" w:hAnsi="Arial"/>
          <w:sz w:val="18"/>
          <w:szCs w:val="18"/>
          <w:color w:val="auto"/>
        </w:rPr>
        <w:t>the audited consolidated revenues from the principal business (excluding any non-operating and non-recurring revenue) of the Group as of and for the twelve months ending on December 31, 2018 (the “</w:t>
      </w:r>
      <w:r>
        <w:rPr>
          <w:rFonts w:ascii="Arial" w:cs="Arial" w:eastAsia="Arial" w:hAnsi="Arial"/>
          <w:sz w:val="18"/>
          <w:szCs w:val="18"/>
          <w:b w:val="1"/>
          <w:bCs w:val="1"/>
          <w:color w:val="auto"/>
        </w:rPr>
        <w:t>2018 Financial Year</w:t>
      </w:r>
      <w:r>
        <w:rPr>
          <w:rFonts w:ascii="Arial" w:cs="Arial" w:eastAsia="Arial" w:hAnsi="Arial"/>
          <w:sz w:val="18"/>
          <w:szCs w:val="18"/>
          <w:color w:val="auto"/>
        </w:rPr>
        <w:t>”) being no less than US$300,000,000.</w:t>
      </w:r>
    </w:p>
    <w:p>
      <w:pPr>
        <w:spacing w:after="0" w:line="73" w:lineRule="exact"/>
        <w:rPr>
          <w:sz w:val="20"/>
          <w:szCs w:val="20"/>
          <w:color w:val="auto"/>
        </w:rPr>
      </w:pPr>
    </w:p>
    <w:p>
      <w:pPr>
        <w:ind w:left="1500" w:right="60"/>
        <w:spacing w:after="0" w:line="286" w:lineRule="auto"/>
        <w:rPr>
          <w:sz w:val="20"/>
          <w:szCs w:val="20"/>
          <w:color w:val="auto"/>
        </w:rPr>
      </w:pPr>
      <w:r>
        <w:rPr>
          <w:rFonts w:ascii="Arial" w:cs="Arial" w:eastAsia="Arial" w:hAnsi="Arial"/>
          <w:sz w:val="17"/>
          <w:szCs w:val="17"/>
          <w:color w:val="auto"/>
        </w:rPr>
        <w:t>For the purpose of assessing the above targets, as soon as practicable but in any event within four (4) months after December 31, 2017 or December 31, 2018, as applicable, the Company shall deliver to the Series E Investor the audited financial statements of the Group for such financial year prepared in accordance with US GAAP and audited by a Qualified Auditor.</w:t>
      </w:r>
    </w:p>
    <w:p>
      <w:pPr>
        <w:spacing w:after="0" w:line="57" w:lineRule="exact"/>
        <w:rPr>
          <w:sz w:val="20"/>
          <w:szCs w:val="20"/>
          <w:color w:val="auto"/>
        </w:rPr>
      </w:pPr>
    </w:p>
    <w:p>
      <w:pPr>
        <w:ind w:left="920" w:right="80" w:firstLine="421"/>
        <w:spacing w:after="0" w:line="277" w:lineRule="auto"/>
        <w:tabs>
          <w:tab w:leader="none" w:pos="179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termination of the employment with the relevant Group Company by Mr. Hsieh, Wing Hong Sammy, TANG Jian or Lee, Yanshu before the consummation of a Qualified IPO;</w:t>
      </w:r>
    </w:p>
    <w:p>
      <w:pPr>
        <w:spacing w:after="0" w:line="62" w:lineRule="exact"/>
        <w:rPr>
          <w:rFonts w:ascii="Arial" w:cs="Arial" w:eastAsia="Arial" w:hAnsi="Arial"/>
          <w:sz w:val="18"/>
          <w:szCs w:val="18"/>
          <w:color w:val="auto"/>
        </w:rPr>
      </w:pPr>
    </w:p>
    <w:p>
      <w:pPr>
        <w:ind w:left="1780" w:hanging="439"/>
        <w:spacing w:after="0"/>
        <w:tabs>
          <w:tab w:leader="none" w:pos="17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failure of the Company to consummate a Qualified IPO prior to or on June 30,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375" w:name="page376"/>
    <w:bookmarkEnd w:id="375"/>
    <w:p>
      <w:pPr>
        <w:ind w:left="920" w:right="680" w:firstLine="421"/>
        <w:spacing w:after="0" w:line="277" w:lineRule="auto"/>
        <w:tabs>
          <w:tab w:leader="none" w:pos="1730"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occurrence of any material breach of any of the warranties or covenants specified in the Series E SPA or other transaction documents contemplated therein; or</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7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holder of the Series A Preference Shares, the Series B Preference Shares, the Series C Preference Shares or Series D Preference Shares electing for redemption pursuant to Sections 4.1(a), 4.1(b), 4.1(c), 4.1(d)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holders of the Series E Preference Shares shall have an option to require the Company to redeem all or a portion of the issued and outstanding Series E Preference Shares held by such holder for a redemption price per Series E Preference Share equal to the greater of (x)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(y) the highest redemption price that would have been received by any other shareholder of the Company if their shares have become redeemable, proportionally adjusted for stock splits, stock dividends, or (z) a price reflecting the implied valuation (on a fully-diluted basis) of the Company used in any Liquidating Transaction (if applicable) (the “</w:t>
      </w:r>
      <w:r>
        <w:rPr>
          <w:rFonts w:ascii="Arial" w:cs="Arial" w:eastAsia="Arial" w:hAnsi="Arial"/>
          <w:sz w:val="18"/>
          <w:szCs w:val="18"/>
          <w:b w:val="1"/>
          <w:bCs w:val="1"/>
          <w:color w:val="auto"/>
        </w:rPr>
        <w:t>Series E Redemption Price</w:t>
      </w:r>
      <w:r>
        <w:rPr>
          <w:rFonts w:ascii="Arial" w:cs="Arial" w:eastAsia="Arial" w:hAnsi="Arial"/>
          <w:sz w:val="18"/>
          <w:szCs w:val="18"/>
          <w:color w:val="auto"/>
        </w:rPr>
        <w:t>”).</w:t>
      </w:r>
    </w:p>
    <w:p>
      <w:pPr>
        <w:spacing w:after="0" w:line="1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Redemption Procedures</w:t>
      </w:r>
      <w:r>
        <w:rPr>
          <w:rFonts w:ascii="Arial" w:cs="Arial" w:eastAsia="Arial" w:hAnsi="Arial"/>
          <w:sz w:val="16"/>
          <w:szCs w:val="16"/>
          <w:color w:val="auto"/>
        </w:rPr>
        <w:t>.</w:t>
      </w:r>
    </w:p>
    <w:p>
      <w:pPr>
        <w:spacing w:after="0" w:line="221" w:lineRule="exact"/>
        <w:rPr>
          <w:sz w:val="20"/>
          <w:szCs w:val="20"/>
          <w:color w:val="auto"/>
        </w:rPr>
      </w:pPr>
    </w:p>
    <w:p>
      <w:pPr>
        <w:ind w:firstLine="921"/>
        <w:spacing w:after="0" w:line="270" w:lineRule="auto"/>
        <w:tabs>
          <w:tab w:leader="none" w:pos="1293" w:val="left"/>
        </w:tabs>
        <w:numPr>
          <w:ilvl w:val="0"/>
          <w:numId w:val="360"/>
        </w:numPr>
        <w:rPr>
          <w:rFonts w:ascii="Arial" w:cs="Arial" w:eastAsia="Arial" w:hAnsi="Arial"/>
          <w:sz w:val="17"/>
          <w:szCs w:val="17"/>
          <w:color w:val="auto"/>
        </w:rPr>
      </w:pPr>
      <w:r>
        <w:rPr>
          <w:rFonts w:ascii="Arial" w:cs="Arial" w:eastAsia="Arial" w:hAnsi="Arial"/>
          <w:sz w:val="17"/>
          <w:szCs w:val="17"/>
          <w:color w:val="auto"/>
        </w:rPr>
        <w:t>In the event of such an election, the electing holder of Preference Shares shall provide a written notice (“</w:t>
      </w:r>
      <w:r>
        <w:rPr>
          <w:rFonts w:ascii="Arial" w:cs="Arial" w:eastAsia="Arial" w:hAnsi="Arial"/>
          <w:sz w:val="17"/>
          <w:szCs w:val="17"/>
          <w:b w:val="1"/>
          <w:bCs w:val="1"/>
          <w:color w:val="auto"/>
        </w:rPr>
        <w:t>Election Notice</w:t>
      </w:r>
      <w:r>
        <w:rPr>
          <w:rFonts w:ascii="Arial" w:cs="Arial" w:eastAsia="Arial" w:hAnsi="Arial"/>
          <w:sz w:val="17"/>
          <w:szCs w:val="17"/>
          <w:color w:val="auto"/>
        </w:rPr>
        <w:t>”) to the Company, upon which, the Company shall within seven (7) days deposit 100% of the total redemption price payable at the Redemption Date, assuming redemption of all then issued and outstanding Preference Shares, into an accredited bank account approved by the holders of majority of Series E Preference Shares (if any holder of the Series E Preference Shares is providing the Election Notice), or Series D Director (if any holder of the Series D Preference Shares is providing the Election Notice and no holder of the Series E Preference Share is providing the Election Notice), the Series B Director (if any holder of the Series B Preference Shares or the Series A Preference Shares is providing the Election Notice and no holder of the Series D Preference Shares or Series E Preference Shares is providing the Election Notice), or the SSG Director (if no holders of the Series E Preference Shares, the Series D Preference Shares, the Series B Preference Shares or the Series A Preference Shares provide an Election Notice). From and after receipt of any Election Notice, the Company shall immediately cease any payment or expenses or any distribution pursuant to Section 2 that may, upon the reasonable judgment of the Series A Director, the Series B Director, the Series D Director, the SSG Director or holders of majority of Series E Preference Shares, as applicable, result in the inability of the Company to meet its obligations at any subsequent Redemption Dates.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3" w:right="239" w:bottom="1440" w:gutter="0" w:footer="0" w:header="0"/>
        </w:sectPr>
      </w:pPr>
    </w:p>
    <w:bookmarkStart w:id="376" w:name="page377"/>
    <w:bookmarkEnd w:id="376"/>
    <w:p>
      <w:pPr>
        <w:ind w:firstLine="921"/>
        <w:spacing w:after="0" w:line="270" w:lineRule="auto"/>
        <w:tabs>
          <w:tab w:leader="none" w:pos="1300" w:val="left"/>
        </w:tabs>
        <w:numPr>
          <w:ilvl w:val="0"/>
          <w:numId w:val="3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three (3) business days of the receipt of the Election Notice, the Company shall give written notice (the “</w:t>
      </w:r>
      <w:r>
        <w:rPr>
          <w:rFonts w:ascii="Arial" w:cs="Arial" w:eastAsia="Arial" w:hAnsi="Arial"/>
          <w:sz w:val="17"/>
          <w:szCs w:val="17"/>
          <w:b w:val="1"/>
          <w:bCs w:val="1"/>
          <w:color w:val="auto"/>
        </w:rPr>
        <w:t>Company Redemption</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to each holder of record (at the close of business on the business day next preceding the day on which notice is given) of Preference Shares,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last shown on the records of the Company for such holder(s). The Company Redemption Notice shall (i) indicate the number of Shares to be submitted for redemption and direct the holders of such Shares to submit their share certificates to the Company on or before the scheduled date for such redemption, (ii) indicate that other holders of Preference Shares may elect to have all or a portion of their Preference Shares redeemed at the Series A Redemption Price, the Series B Redemption Price, the Series C Redemption Price, the Series D Redemption Price or the Series E Redemption Price (provided that, in case of the Series C Preference Shares and BF Redemption Shares, redemption shall be in respect of all (but not only some) of the issued and outstanding Series C Preference Shares or BF Redemption Shares, as the case may be, and (iii) fix a date by which all elections for redemption from such holders must be received by the Company (which shall be not earlier than ten (10) business days after mailing of the Company Redemption Notice). The closing of the redemption of the Shares pursuant to this Section 4.2 (the “</w:t>
      </w:r>
      <w:r>
        <w:rPr>
          <w:rFonts w:ascii="Arial" w:cs="Arial" w:eastAsia="Arial" w:hAnsi="Arial"/>
          <w:sz w:val="17"/>
          <w:szCs w:val="17"/>
          <w:b w:val="1"/>
          <w:bCs w:val="1"/>
          <w:color w:val="auto"/>
        </w:rPr>
        <w:t>Redemption Date</w:t>
      </w:r>
      <w:r>
        <w:rPr>
          <w:rFonts w:ascii="Arial" w:cs="Arial" w:eastAsia="Arial" w:hAnsi="Arial"/>
          <w:sz w:val="17"/>
          <w:szCs w:val="17"/>
          <w:color w:val="auto"/>
        </w:rPr>
        <w:t>”) shall take place no later than thirty (30) days following the date of the relevant Election Notice.</w:t>
      </w:r>
    </w:p>
    <w:p>
      <w:pPr>
        <w:spacing w:after="0" w:line="178" w:lineRule="exact"/>
        <w:rPr>
          <w:rFonts w:ascii="Arial" w:cs="Arial" w:eastAsia="Arial" w:hAnsi="Arial"/>
          <w:sz w:val="17"/>
          <w:szCs w:val="17"/>
          <w:color w:val="auto"/>
        </w:rPr>
      </w:pPr>
    </w:p>
    <w:p>
      <w:pPr>
        <w:ind w:firstLine="921"/>
        <w:spacing w:after="0" w:line="269" w:lineRule="auto"/>
        <w:tabs>
          <w:tab w:leader="none" w:pos="1293"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Except as provided below, on or after the Redemption Date, (x) each holder of the Preference Shares for which an election of redemption has been submitted pursuant to Section 4.2(b) (the “</w:t>
      </w:r>
      <w:r>
        <w:rPr>
          <w:rFonts w:ascii="Arial" w:cs="Arial" w:eastAsia="Arial" w:hAnsi="Arial"/>
          <w:sz w:val="17"/>
          <w:szCs w:val="17"/>
          <w:b w:val="1"/>
          <w:bCs w:val="1"/>
          <w:color w:val="auto"/>
        </w:rPr>
        <w:t>Redemption Shares</w:t>
      </w:r>
      <w:r>
        <w:rPr>
          <w:rFonts w:ascii="Arial" w:cs="Arial" w:eastAsia="Arial" w:hAnsi="Arial"/>
          <w:sz w:val="17"/>
          <w:szCs w:val="17"/>
          <w:color w:val="auto"/>
        </w:rPr>
        <w:t>”) to be redeemed on such date shall surrender to the Company the certificate or certificates representing such Shares, in the manner and at the place designated in the Company Redemption Notice, and thereupon the Series E Redemption Price, the Series D Redemption Price, the Series C Redemption Price, the Series B Redemption Price or the Series A Redemption Price, as applicable, of such Shares shall be payable to the order of the person whose name appears on such certificate or certificates as the owner thereof, or to a holder other than such person, but only if the title of such holder to such certificate or certificates is established to the reasonable satisfaction of the Company, (y) the Company shall cancel each surrendered certificate or certificates, and (z) the Company shall issue a new certificate or certificates to each such holder of Redemption Shares representing the remaining number of unredeemed Shares to be held by such holder, provided that, if no certificate representing such Shares has been issued, the Series E Redemption Price, the Series D Redemption Price, the Series C Redemption Price, the Series B Redemption Price or the Series A Redemption Price, as applicable, shall be due and payable on the Redemption Date to the order of the person registered as the shareholder of such Shares in the Register of Members.</w:t>
      </w:r>
    </w:p>
    <w:p>
      <w:pPr>
        <w:spacing w:after="0" w:line="1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4.3 If the funds of the Company legally available for redemption of Redemption Shares on the Redemption Date are insufficient to redeem the total number of Redemption Shares to be redeemed on such date, those funds which are legally available will be paid (i) first to redeem all Series E Preference Shares requested to be redeemed at the Series E Redemption Price, (ii) second to redeem all BF Redemption Shares entitled and requested to be redeemed at the Series D Redemption Price, and then (iii) any remaining fund shall be paid to redeem the Series C Preference Shares, the Series B Preference Shares and the Series A Preference Shares entitled and requested to be redeemed on a pari passu basis in proportion to the respective full Redemption Price such Redemption Shares would otherwise have been entitled to receive. Redemption Shares not redeemed for lack of funds shall remain outstanding and entitled to all the rights and preferences provided herein. At any time thereafter when additional funds of the Company are legally available for the redemption of Redemption Shares, such funds will immediately be used to pay off, if applicable, first to the holders of the Series E Preference Shares, second to the holders of the Series D Preference Shares, and then to the holders of the Series C Preference Shares, the Series B Preference Shares and the Series A Preference Shares entitled and requested to be redeemed that have not already been redeemed (on a pari passu basis in proportion to the respective full Redemption Price such Redemption Shares would otherwise have been entitled to receive).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0" w:right="259" w:bottom="1440" w:gutter="0" w:footer="0" w:header="0"/>
        </w:sectPr>
      </w:pPr>
    </w:p>
    <w:bookmarkStart w:id="377" w:name="page378"/>
    <w:bookmarkEnd w:id="377"/>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 In the event that the funds of the Company legally available for redemption on the Redemption Date are insufficient to redeem the total number of Redemption Shares to be redeemed on such date, then at the written direction of the majority of the holders of each class of Preference Shares that have elected for redemption but whose Preference Shares have not been redeemed in full (voting separately as a single class) and on an as-if-converted basis), (i) the aggregate Redemption Price that remains outstanding shall be automatically (without requirement for any resolution of the Board or of the Company in general meeting or consent of any Members and notwithstanding any other provisions herein) converted into debt payable by the Company to such holder of Preference Shares over a period of six (6) months or on another payment schedule mutually agreed by the Company and the respective redeeming party(ies), or (ii) the Company shall be liquidated immediately, provided that, in such liquidation:</w:t>
      </w:r>
    </w:p>
    <w:p>
      <w:pPr>
        <w:spacing w:after="0" w:line="178" w:lineRule="exact"/>
        <w:rPr>
          <w:sz w:val="20"/>
          <w:szCs w:val="20"/>
          <w:color w:val="auto"/>
        </w:rPr>
      </w:pPr>
    </w:p>
    <w:p>
      <w:pPr>
        <w:ind w:firstLine="921"/>
        <w:spacing w:after="0" w:line="288" w:lineRule="auto"/>
        <w:tabs>
          <w:tab w:leader="none" w:pos="129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 the holders of the Series A Preference Shares will be entitled to receive the higher of (x) the Series A Preference Amount and (y) (if the relevant Series A Preference Shares have been elected to be redeemed) the aggregate Redemption Price that remains outstanding in respect of such Series A Preference Shares, (ii) the holders of the Series B Preference Shares will be entitled to receive the higher of (x) the Series B Preference Amount and (y) (if the relevant Series B Preference Shares have been elected to be redeemed) the aggregate Redemption Price that remains outstanding in respect of such Series B Preference Shares, (iii) if the Series C Preference Shares have been elected to be redeemed, the holders of the Series C Preference Shares will be entitled to receive the aggregate Redemption Price that remains outstanding in respect of such Series C Preference Shares, (iv) the holders of the Series D Preference Shares will be entitled to receive the higher of (x) the Series D Preference Amount and (y) (if the BF Redemption Shares have been elected to be redeemed,) the aggregate Redemption Price that remains outstanding in respect of such BF Redemption Shares, and (v) the holders of the Series E Preference Shares will be entitled to receive the higher of (x) the Series E Preference Amount and (y) (if the relevant Series E Preference Shares have been elected to be redeemed) the aggregate Redemption Price that remains outstanding in respect of such Series E Preference Shares; and</w:t>
      </w:r>
    </w:p>
    <w:p>
      <w:pPr>
        <w:spacing w:after="0" w:line="169" w:lineRule="exact"/>
        <w:rPr>
          <w:rFonts w:ascii="Arial" w:cs="Arial" w:eastAsia="Arial" w:hAnsi="Arial"/>
          <w:sz w:val="16"/>
          <w:szCs w:val="16"/>
          <w:color w:val="auto"/>
        </w:rPr>
      </w:pPr>
    </w:p>
    <w:p>
      <w:pPr>
        <w:ind w:left="1320" w:hanging="399"/>
        <w:spacing w:after="0"/>
        <w:tabs>
          <w:tab w:leader="none" w:pos="13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distributions to the Members of the Company shall be made in the following order:</w:t>
      </w:r>
    </w:p>
    <w:p>
      <w:pPr>
        <w:spacing w:after="0" w:line="117" w:lineRule="exact"/>
        <w:rPr>
          <w:sz w:val="20"/>
          <w:szCs w:val="20"/>
          <w:color w:val="auto"/>
        </w:rPr>
      </w:pPr>
    </w:p>
    <w:p>
      <w:pPr>
        <w:ind w:left="920" w:right="60" w:firstLine="421"/>
        <w:spacing w:after="0" w:line="257" w:lineRule="auto"/>
        <w:tabs>
          <w:tab w:leader="none" w:pos="169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first, to the holders of the Preference Shares that have elected for redemption pursuant to Sections 4.1(a), 4.1(b), 4.1(c), 4.1(d) or 4.1(e), in such priority and in such proportion set out in Section 4.3, substituting the relevant Redemption Price with such amount they are entitled to pursuant to paragraph (a) above. For the avoidance of doubt, any Shares that have received the full amount to which they are entitled pursuant to paragraph (a) above shall be treated as redeemed and shall not be eligible to participate in any further distributions in the liquidation;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3" w:right="259" w:bottom="1440" w:gutter="0" w:footer="0" w:header="0"/>
        </w:sectPr>
      </w:pPr>
    </w:p>
    <w:bookmarkStart w:id="378" w:name="page379"/>
    <w:bookmarkEnd w:id="378"/>
    <w:p>
      <w:pPr>
        <w:ind w:left="920" w:right="20" w:firstLine="421"/>
        <w:spacing w:after="0" w:line="259" w:lineRule="auto"/>
        <w:tabs>
          <w:tab w:leader="none" w:pos="17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secondly, upon the full payment of the amount payable to the holders of the Preference Shares that have elected for redemption, to the other Members of the Company in accordance with the provisions of Section 2.1, provided that the Preference Amount payable to each Series A Preference Shares, Series B Preference Shares, Series D Preference Shares or Series E Preference Shares shall be substituted by such amount they are entitled to pursuant to paragraph (a) above.</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4.5 For so long any Redemption Price in respect of the Preference Shares that have been elected for redemption remains outstanding, the holders of Ordinary Shares (for purposes of this Section 4.5 the definition of “Ordinary Shares” shall: (a) for so long as SSG I holds any SSG I Ordinary Shares, exclude the SSG I Ordinary Shares; (b) for so long as Igomax holds any Igomax Shares, exclude the Igomax Shares; (c) for so long as Zaffre holds any Zaffre Shares, exclude the Zaffre Shares; and (d) for so long as BAI holds any BAI Shares, exclude the BAI Shares) shall have pledged their Shares in the Company to the holders of the Preference Shares electing for redemption in the amount, based on the fair market value of the Company as determined by an independent appraiser mutually agreeable to the holders of Ordinary Shares and the holders of the Preference Shares electing for redemption, that is equal to the remaining redemption value of the Preference Shares elected to be redeemed (“</w:t>
      </w:r>
      <w:r>
        <w:rPr>
          <w:rFonts w:ascii="Arial" w:cs="Arial" w:eastAsia="Arial" w:hAnsi="Arial"/>
          <w:sz w:val="16"/>
          <w:szCs w:val="16"/>
          <w:b w:val="1"/>
          <w:bCs w:val="1"/>
          <w:color w:val="auto"/>
        </w:rPr>
        <w:t>Pledged Shares</w:t>
      </w:r>
      <w:r>
        <w:rPr>
          <w:rFonts w:ascii="Arial" w:cs="Arial" w:eastAsia="Arial" w:hAnsi="Arial"/>
          <w:sz w:val="16"/>
          <w:szCs w:val="16"/>
          <w:color w:val="auto"/>
        </w:rPr>
        <w:t>”); provided that if the holders of Ordinary Shares and the holders of the Preference Shares cannot agree on an appraiser, the holders of Ordinary Shares and the holders of the Preference Shares shall each select an appraiser of recognized standing and the two (2) appraisers shall designate a third appraiser of recognized standing, whose appraisal shall be determinative of such fair market value. Under such pledge the holders of Ordinary Shares will undertake to purchase such unredeemed Preference Shares within six (6) months after the date of the original redemption request, failing which certain number of the Pledged Shares with fair market value equal to the unredeemed Preference Shares at the end of the six (6)-month period shall be transferred to the holders of Preference Shares electing for redemption. In the event of the transfer of the Pledged Shares to such holders of Preference Shares, the Company shall continue to be obligated to redeem the remaining unpurchased Preference Shares as soon as the Company has legally available funds therefor, and such holders of Preference Shares shall transfer the Pledged Shares back to the holders of Ordinary Shares upon the full redemption of all the Preference Shares such holder elects to be redeemed.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5.1 Each holder of any Preference Shares shall be entitled to the number of votes equal to that number of Ordinary Shares into which such Preference Shares could then be converted, and with respect to such vote, such holder shall have full voting rights and powers equal to the voting rights and powers of the holders of Ordinary Shares, and shall be entitled, notwithstanding any provision hereof, to notice of any shareholders’ meeting in accordance with the Company’s Memorandum and Articles, and shall be entitled to vote, together with holders of Ordinary Shares, with respect to any question upon which holders of Ordinary Shares have the right to vote. Fractional votes shall not, however, be permitted and any fractional voting rights available on an as converted basis (after aggregating all Shares into which the Preference Shares held by each holder could be converted) shall be rounded upward to the nearest whole number.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379" w:name="page380"/>
    <w:bookmarkEnd w:id="37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PROTECTIVE PROVISIONS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Approval of the Series A Preference Shares, the Series B Preference Shares and the Series D Preference Shares</w:t>
      </w:r>
      <w:r>
        <w:rPr>
          <w:rFonts w:ascii="Arial" w:cs="Arial" w:eastAsia="Arial" w:hAnsi="Arial"/>
          <w:sz w:val="17"/>
          <w:szCs w:val="17"/>
          <w:color w:val="auto"/>
        </w:rPr>
        <w:t>. For so long as Bertelsmann, Sumitomo and BlueFocus respectively holds no less than 448,801 Shares, 437,629 Shares and 808,835 Shares (subject to adjustments made for share split, subdivision, consolidation, reorganization and the like events), in addition to any other vote or consent required elsewhere in the Memorandum and these Articles or by the Statute, the Company shall not, and Members of the Company shall procure that the Company and each of its Subsidiaries shall not (directly or by amendment, merger, consolidation, amalgamation, scheme of arrangement or otherwise) take any of the following actions (other than those in connection with a Non-Liquidation M&amp;A) without the prior vote or written consent of the holders of at least 50% of the then issued and outstanding Series D Preference Shares, the holders of at least 50% of the then issued and outstanding Series B Preference Shares and the holders of at least 50% of the then issued and outstanding Series A Preference Shares, each voting separately as a single class.</w:t>
      </w:r>
    </w:p>
    <w:p>
      <w:pPr>
        <w:spacing w:after="0" w:line="179" w:lineRule="exact"/>
        <w:rPr>
          <w:sz w:val="20"/>
          <w:szCs w:val="20"/>
          <w:color w:val="auto"/>
        </w:rPr>
      </w:pPr>
    </w:p>
    <w:p>
      <w:pPr>
        <w:ind w:left="1300" w:hanging="379"/>
        <w:spacing w:after="0"/>
        <w:tabs>
          <w:tab w:leader="none" w:pos="13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to liquidate, dissolve or wind up the affairs of the Company, or effect any Liquidating Transaction;</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to amend, alter, or repeal any provision of the Memorandum and Articles;</w:t>
      </w:r>
    </w:p>
    <w:p>
      <w:pPr>
        <w:spacing w:after="0" w:line="225" w:lineRule="exact"/>
        <w:rPr>
          <w:rFonts w:ascii="Arial" w:cs="Arial" w:eastAsia="Arial" w:hAnsi="Arial"/>
          <w:sz w:val="18"/>
          <w:szCs w:val="18"/>
          <w:color w:val="auto"/>
        </w:rPr>
      </w:pPr>
    </w:p>
    <w:p>
      <w:pPr>
        <w:ind w:right="80" w:firstLine="921"/>
        <w:spacing w:after="0" w:line="255" w:lineRule="auto"/>
        <w:tabs>
          <w:tab w:leader="none" w:pos="129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to create or authorize the creation of or issue any other security convertible into or exercisable for any equity security, having rights, preferences or privileges senior to or on parity with the Series A Preference Shares, the Series B Preference Shares or the Series D Preference Shares, or increase the authorized number of shares of the Series A Preference Shares, the Series B Preference Shares or the Series D Preference Shares or do any act which has the effect of diluting or reducing the effective shareholding of the holders of the Series A Preference Shares, the Series B Preference Shares or the Series D Preference Shares, provided that, no vote or written consent under this Section shall be required from the holders of Series D Shares before the Company may enforce any paramount lien on, make a call on or forfeit any Shares held by BlueFocus representing the unpaid Residual Amount (if any) in accordance with in these Articles after July 1, 2015;</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0" w:right="299" w:bottom="1440" w:gutter="0" w:footer="0" w:header="0"/>
        </w:sectPr>
      </w:pPr>
    </w:p>
    <w:bookmarkStart w:id="380" w:name="page381"/>
    <w:bookmarkEnd w:id="380"/>
    <w:p>
      <w:pPr>
        <w:ind w:right="220" w:firstLine="921"/>
        <w:spacing w:after="0" w:line="264" w:lineRule="auto"/>
        <w:tabs>
          <w:tab w:leader="none" w:pos="1303"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create, or issue of any debenture or any obligation convertible into, any securities convertible into, any option to purchase or subscribe for, or warrants exercisable for, Shares of the Company (other than grant stock options to employees or consultant as ESOP pursuant to the Shareholders Agreement);</w:t>
      </w:r>
    </w:p>
    <w:p>
      <w:pPr>
        <w:spacing w:after="0" w:line="181" w:lineRule="exact"/>
        <w:rPr>
          <w:rFonts w:ascii="Arial" w:cs="Arial" w:eastAsia="Arial" w:hAnsi="Arial"/>
          <w:sz w:val="18"/>
          <w:szCs w:val="18"/>
          <w:color w:val="auto"/>
        </w:rPr>
      </w:pPr>
    </w:p>
    <w:p>
      <w:pPr>
        <w:ind w:right="20" w:firstLine="921"/>
        <w:spacing w:after="0" w:line="257" w:lineRule="auto"/>
        <w:tabs>
          <w:tab w:leader="none" w:pos="129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purchase or redeem or pay any dividend on any capital stock prior to the Series A Preference Shares, the Series B Preference Shares or the Series D Preference Shares (other than stock repurchased from former employees or consultants in connection with the cessation of their employment/services, at the lower of fair market value or cost), provided that, no vote or written consent under this Section shall be required from the holders of Series D Shares before the Company may enforce any paramount lien on, make a call on or forfeit any Shares held by BlueFocus representing the unpaid Residual Amount (if any) in accordance with these Articles after July 1, 2015;</w:t>
      </w:r>
    </w:p>
    <w:p>
      <w:pPr>
        <w:spacing w:after="0" w:line="188" w:lineRule="exact"/>
        <w:rPr>
          <w:rFonts w:ascii="Arial" w:cs="Arial" w:eastAsia="Arial" w:hAnsi="Arial"/>
          <w:sz w:val="18"/>
          <w:szCs w:val="18"/>
          <w:color w:val="auto"/>
        </w:rPr>
      </w:pPr>
    </w:p>
    <w:p>
      <w:pPr>
        <w:ind w:right="320" w:firstLine="921"/>
        <w:spacing w:after="0" w:line="342" w:lineRule="auto"/>
        <w:tabs>
          <w:tab w:leader="none" w:pos="1273"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to create or authorize the creation of any debt security (other than equipment leases or bank lines of credit) unless such debt security has received the prior approval of the Board, including the approval of the Series A Director, the Series B Director and the Series D Director;</w:t>
      </w:r>
    </w:p>
    <w:p>
      <w:pPr>
        <w:spacing w:after="0" w:line="123" w:lineRule="exact"/>
        <w:rPr>
          <w:rFonts w:ascii="Arial" w:cs="Arial" w:eastAsia="Arial" w:hAnsi="Arial"/>
          <w:sz w:val="16"/>
          <w:szCs w:val="16"/>
          <w:color w:val="auto"/>
        </w:rPr>
      </w:pPr>
    </w:p>
    <w:p>
      <w:pPr>
        <w:ind w:left="1320" w:hanging="399"/>
        <w:spacing w:after="0"/>
        <w:tabs>
          <w:tab w:leader="none" w:pos="13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increase or decrease the size of the Board;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approve any change in the business scope or activities of the Company;</w:t>
      </w:r>
    </w:p>
    <w:p>
      <w:pPr>
        <w:spacing w:after="0" w:line="225" w:lineRule="exact"/>
        <w:rPr>
          <w:rFonts w:ascii="Arial" w:cs="Arial" w:eastAsia="Arial" w:hAnsi="Arial"/>
          <w:sz w:val="18"/>
          <w:szCs w:val="18"/>
          <w:color w:val="auto"/>
        </w:rPr>
      </w:pPr>
    </w:p>
    <w:p>
      <w:pPr>
        <w:ind w:right="200" w:firstLine="921"/>
        <w:spacing w:after="0" w:line="277" w:lineRule="auto"/>
        <w:tabs>
          <w:tab w:leader="none" w:pos="126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take actions subject to other protective provisions to be set forth in the definitive agreements in connection with the Series A financing, the Series B financing or the Series D financing;</w:t>
      </w:r>
    </w:p>
    <w:p>
      <w:pPr>
        <w:spacing w:after="0" w:line="170" w:lineRule="exact"/>
        <w:rPr>
          <w:rFonts w:ascii="Arial" w:cs="Arial" w:eastAsia="Arial" w:hAnsi="Arial"/>
          <w:sz w:val="18"/>
          <w:szCs w:val="18"/>
          <w:color w:val="auto"/>
        </w:rPr>
      </w:pPr>
    </w:p>
    <w:p>
      <w:pPr>
        <w:ind w:right="440" w:firstLine="921"/>
        <w:spacing w:after="0" w:line="277" w:lineRule="auto"/>
        <w:tabs>
          <w:tab w:leader="none" w:pos="126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approve and change any compensation package of the management of the Company, including but not limited to the chief executive officer, general manager, and any other key employee; and</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6.1A </w:t>
      </w:r>
      <w:r>
        <w:rPr>
          <w:rFonts w:ascii="Arial" w:cs="Arial" w:eastAsia="Arial" w:hAnsi="Arial"/>
          <w:sz w:val="16"/>
          <w:szCs w:val="16"/>
          <w:u w:val="single" w:color="auto"/>
          <w:color w:val="auto"/>
        </w:rPr>
        <w:t>Approval of Series C Preference Shares</w:t>
      </w:r>
      <w:r>
        <w:rPr>
          <w:rFonts w:ascii="Arial" w:cs="Arial" w:eastAsia="Arial" w:hAnsi="Arial"/>
          <w:sz w:val="16"/>
          <w:szCs w:val="16"/>
          <w:color w:val="auto"/>
        </w:rPr>
        <w:t>. For so long as SSG II holds no less than 399,796 Shares (subject to adjustments made for share split, subdivision, consolidation, reorganization and the like events), in addition to any other vote or consent required elsewhere in the Memorandum and these Articles or by the Statute, the Company shall not, and Members of the Company shall procure that the Company and each of its Subsidiaries shall not take any of the following actions (other than those in connection with an Non-Liquidation M&amp;A) without the prior vote or written consent of the holders of at least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50% of the then issued and outstanding Series C Preference Shares:</w:t>
      </w:r>
    </w:p>
    <w:p>
      <w:pPr>
        <w:spacing w:after="0" w:line="211" w:lineRule="exact"/>
        <w:rPr>
          <w:sz w:val="20"/>
          <w:szCs w:val="20"/>
          <w:color w:val="auto"/>
        </w:rPr>
      </w:pPr>
    </w:p>
    <w:p>
      <w:pPr>
        <w:ind w:left="1300" w:hanging="379"/>
        <w:spacing w:after="0"/>
        <w:tabs>
          <w:tab w:leader="none" w:pos="13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to liquidate, dissolve or wind up the affairs of the Company, or effect any Liquidating Transaction;</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to amend, alter, or repeal any provision of the Memorandum and Articles,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3" w:right="259" w:bottom="1440" w:gutter="0" w:footer="0" w:header="0"/>
        </w:sectPr>
      </w:pPr>
    </w:p>
    <w:bookmarkStart w:id="381" w:name="page382"/>
    <w:bookmarkEnd w:id="381"/>
    <w:p>
      <w:pPr>
        <w:ind w:left="1300" w:hanging="379"/>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increase or decrease the size of the Board; and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5"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 xml:space="preserve">6.1B </w:t>
      </w:r>
      <w:r>
        <w:rPr>
          <w:rFonts w:ascii="Arial" w:cs="Arial" w:eastAsia="Arial" w:hAnsi="Arial"/>
          <w:sz w:val="17"/>
          <w:szCs w:val="17"/>
          <w:u w:val="single" w:color="auto"/>
          <w:color w:val="auto"/>
        </w:rPr>
        <w:t>Approval of Series E Preference Shares</w:t>
      </w:r>
      <w:r>
        <w:rPr>
          <w:rFonts w:ascii="Arial" w:cs="Arial" w:eastAsia="Arial" w:hAnsi="Arial"/>
          <w:sz w:val="17"/>
          <w:szCs w:val="17"/>
          <w:color w:val="auto"/>
        </w:rPr>
        <w:t>. For so long as SWHY holds any Shares, in addition to any other vote or consent required elsewhere in the Memorandum and these Articles or by the Statute, the Company shall not, and Members of the Company shall procure that the Company and each of its Subsidiaries shall not take any of the following actions (other than those in connection with an Non-Liquidation M&amp;A) without the prior affirmative vote or written consent of the holders of at least 50% of the then issued and outstanding Series E Preference Shares:</w:t>
      </w:r>
    </w:p>
    <w:p>
      <w:pPr>
        <w:spacing w:after="0" w:line="171" w:lineRule="exact"/>
        <w:rPr>
          <w:sz w:val="20"/>
          <w:szCs w:val="20"/>
          <w:color w:val="auto"/>
        </w:rPr>
      </w:pPr>
    </w:p>
    <w:p>
      <w:pPr>
        <w:ind w:left="1300" w:hanging="379"/>
        <w:spacing w:after="0"/>
        <w:tabs>
          <w:tab w:leader="none" w:pos="13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liquidate, dissolve or wind up the affairs of the Company, or effect any Liquidating Transaction;</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amend, alter, or repeal any provision of the Memorandum and Articles;</w:t>
      </w:r>
    </w:p>
    <w:p>
      <w:pPr>
        <w:spacing w:after="0" w:line="225" w:lineRule="exact"/>
        <w:rPr>
          <w:rFonts w:ascii="Arial" w:cs="Arial" w:eastAsia="Arial" w:hAnsi="Arial"/>
          <w:sz w:val="18"/>
          <w:szCs w:val="18"/>
          <w:color w:val="auto"/>
        </w:rPr>
      </w:pPr>
    </w:p>
    <w:p>
      <w:pPr>
        <w:ind w:right="160" w:firstLine="921"/>
        <w:spacing w:after="0" w:line="264" w:lineRule="auto"/>
        <w:tabs>
          <w:tab w:leader="none" w:pos="129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create, or issue of any debenture or any obligation convertible into, any securities convertible into, any option to purchase or subscribe for, or warrants exercisable for, Shares of the Company (other than grant stock options to employees or consultant as ESOP pursuant to the Shareholders Agreement);</w:t>
      </w:r>
    </w:p>
    <w:p>
      <w:pPr>
        <w:spacing w:after="0" w:line="181" w:lineRule="exact"/>
        <w:rPr>
          <w:rFonts w:ascii="Arial" w:cs="Arial" w:eastAsia="Arial" w:hAnsi="Arial"/>
          <w:sz w:val="18"/>
          <w:szCs w:val="18"/>
          <w:color w:val="auto"/>
        </w:rPr>
      </w:pPr>
    </w:p>
    <w:p>
      <w:pPr>
        <w:ind w:firstLine="921"/>
        <w:spacing w:after="0" w:line="264" w:lineRule="auto"/>
        <w:tabs>
          <w:tab w:leader="none" w:pos="130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purchase or redeem or pay any dividend on any capital stock prior to the Series A Preference Shares, the Series B Preference Shares, the Series D Preference Shares or the Series E Preference Shares (other than stock repurchased from former employees or consultants in connection with the cessation of their employment/services, at the lower of fair market value or cost);</w:t>
      </w:r>
    </w:p>
    <w:p>
      <w:pPr>
        <w:spacing w:after="0" w:line="181" w:lineRule="exact"/>
        <w:rPr>
          <w:rFonts w:ascii="Arial" w:cs="Arial" w:eastAsia="Arial" w:hAnsi="Arial"/>
          <w:sz w:val="18"/>
          <w:szCs w:val="18"/>
          <w:color w:val="auto"/>
        </w:rPr>
      </w:pPr>
    </w:p>
    <w:p>
      <w:pPr>
        <w:ind w:right="220" w:firstLine="921"/>
        <w:spacing w:after="0" w:line="342" w:lineRule="auto"/>
        <w:tabs>
          <w:tab w:leader="none" w:pos="1293"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to create or authorize the creation of any debt security (other than equipment leases or bank lines of credit) unless such debt security has received the prior approval of the Board, including the approval of the Series A Director, the Series B Director and the Series D Director;</w:t>
      </w:r>
    </w:p>
    <w:p>
      <w:pPr>
        <w:spacing w:after="0" w:line="123" w:lineRule="exact"/>
        <w:rPr>
          <w:rFonts w:ascii="Arial" w:cs="Arial" w:eastAsia="Arial" w:hAnsi="Arial"/>
          <w:sz w:val="16"/>
          <w:szCs w:val="16"/>
          <w:color w:val="auto"/>
        </w:rPr>
      </w:pPr>
    </w:p>
    <w:p>
      <w:pPr>
        <w:ind w:left="1280" w:hanging="359"/>
        <w:spacing w:after="0"/>
        <w:tabs>
          <w:tab w:leader="none" w:pos="12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increase or decrease the size of the Board;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approve any change in the business scope or activities of the Company;</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to take actions subject to other protective provisions to be set forth in the definitive agreements in connection with the Series E financing;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280" w:hanging="359"/>
        <w:spacing w:after="0"/>
        <w:tabs>
          <w:tab w:leader="none" w:pos="12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5"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Approval by the Board</w:t>
      </w:r>
      <w:r>
        <w:rPr>
          <w:rFonts w:ascii="Arial" w:cs="Arial" w:eastAsia="Arial" w:hAnsi="Arial"/>
          <w:sz w:val="18"/>
          <w:szCs w:val="18"/>
          <w:color w:val="auto"/>
        </w:rPr>
        <w:t>. For so long as any Series A Preference Shares, Series Preference B Shares or Series D Preference Shares remain outstanding and Bertelsmann, Sumitomo and BlueFocus respectively holds no less than 448,801 Shares, 437,629 Shares and 808,835 Shares (subject to adjustments made for share split, subdivision, consolidation, reorganization and the like events), the Company shall not take any of the following actions (other than those in connection with a Non-Liquidation M&amp;A) without 2/3 consent of the Board, including consent by the Series A Director, the Series B Director and the Series D Director:</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274" w:right="339" w:bottom="1440" w:gutter="0" w:footer="0" w:header="0"/>
        </w:sectPr>
      </w:pPr>
    </w:p>
    <w:bookmarkStart w:id="382" w:name="page383"/>
    <w:bookmarkEnd w:id="382"/>
    <w:p>
      <w:pPr>
        <w:ind w:right="200" w:firstLine="921"/>
        <w:spacing w:after="0" w:line="312" w:lineRule="auto"/>
        <w:tabs>
          <w:tab w:leader="none" w:pos="1293" w:val="left"/>
        </w:tabs>
        <w:numPr>
          <w:ilvl w:val="0"/>
          <w:numId w:val="3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adopt or amend the Articles of Association or similar constitutive documents of any of the Group Companies, provided that, no vote or written consent under this Section shall be required from the Series D Director before the Company may enforce any paramount lien on, make a call on or forfeit any Shares held by BlueFocus representing the unpaid Residual Amount (if any) in accordance with these Articles after July 1, 2015;</w:t>
      </w:r>
    </w:p>
    <w:p>
      <w:pPr>
        <w:spacing w:after="0" w:line="146" w:lineRule="exact"/>
        <w:rPr>
          <w:rFonts w:ascii="Arial" w:cs="Arial" w:eastAsia="Arial" w:hAnsi="Arial"/>
          <w:sz w:val="16"/>
          <w:szCs w:val="16"/>
          <w:color w:val="auto"/>
        </w:rPr>
      </w:pPr>
    </w:p>
    <w:p>
      <w:pPr>
        <w:ind w:right="120" w:firstLine="921"/>
        <w:spacing w:after="0" w:line="264" w:lineRule="auto"/>
        <w:tabs>
          <w:tab w:leader="none" w:pos="130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make any filing with respect to any of the Group Companies for the appointment of a receiver, administrator or other form of external manager for the winding up, liquidation, bankruptcy or insolvency of any of the Group Companies, or the passing of any resolution in respect of the same or any other forms of voluntary liquidation, dissolution or winding up of any of the Group Companies;</w:t>
      </w:r>
    </w:p>
    <w:p>
      <w:pPr>
        <w:spacing w:after="0" w:line="181" w:lineRule="exact"/>
        <w:rPr>
          <w:rFonts w:ascii="Arial" w:cs="Arial" w:eastAsia="Arial" w:hAnsi="Arial"/>
          <w:sz w:val="18"/>
          <w:szCs w:val="18"/>
          <w:color w:val="auto"/>
        </w:rPr>
      </w:pPr>
    </w:p>
    <w:p>
      <w:pPr>
        <w:ind w:right="120" w:firstLine="921"/>
        <w:spacing w:after="0" w:line="277" w:lineRule="auto"/>
        <w:tabs>
          <w:tab w:leader="none" w:pos="129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effect any merger, spin-off, consolidation, scheme of arrangement, reorganization or sale of all or substantially all of the assets of any of the Group Companies;</w:t>
      </w:r>
    </w:p>
    <w:p>
      <w:pPr>
        <w:spacing w:after="0" w:line="170" w:lineRule="exact"/>
        <w:rPr>
          <w:rFonts w:ascii="Arial" w:cs="Arial" w:eastAsia="Arial" w:hAnsi="Arial"/>
          <w:sz w:val="18"/>
          <w:szCs w:val="18"/>
          <w:color w:val="auto"/>
        </w:rPr>
      </w:pPr>
    </w:p>
    <w:p>
      <w:pPr>
        <w:ind w:right="340" w:firstLine="921"/>
        <w:spacing w:after="0" w:line="277" w:lineRule="auto"/>
        <w:tabs>
          <w:tab w:leader="none" w:pos="130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declare or pay any dividend by, or the making of any distribution on or with respect to the shares or any other share capital of, any of Group Companies;</w:t>
      </w:r>
    </w:p>
    <w:p>
      <w:pPr>
        <w:spacing w:after="0" w:line="170" w:lineRule="exact"/>
        <w:rPr>
          <w:rFonts w:ascii="Arial" w:cs="Arial" w:eastAsia="Arial" w:hAnsi="Arial"/>
          <w:sz w:val="18"/>
          <w:szCs w:val="18"/>
          <w:color w:val="auto"/>
        </w:rPr>
      </w:pPr>
    </w:p>
    <w:p>
      <w:pPr>
        <w:ind w:firstLine="921"/>
        <w:spacing w:after="0" w:line="312" w:lineRule="auto"/>
        <w:tabs>
          <w:tab w:leader="none" w:pos="1293"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to make any increase or decrease in capital, or any purchase or redemption of any shares of any of Group Companies; provided that, no vote or written consent under this Section shall be required from the Series D Director before the Company may enforce any paramount lien on, make a call on or forfeit any Shares held by BlueFocus representing the unpaid Residual Amount (if any) in accordance with these Articles after July 1, 2015;</w:t>
      </w:r>
    </w:p>
    <w:p>
      <w:pPr>
        <w:spacing w:after="0" w:line="146" w:lineRule="exact"/>
        <w:rPr>
          <w:rFonts w:ascii="Arial" w:cs="Arial" w:eastAsia="Arial" w:hAnsi="Arial"/>
          <w:sz w:val="16"/>
          <w:szCs w:val="16"/>
          <w:color w:val="auto"/>
        </w:rPr>
      </w:pPr>
    </w:p>
    <w:p>
      <w:pPr>
        <w:ind w:right="20" w:firstLine="921"/>
        <w:spacing w:after="0" w:line="277" w:lineRule="auto"/>
        <w:tabs>
          <w:tab w:leader="none" w:pos="127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make any investment in excess of HK$3,000,000 (or its equivalent in other currency) in the aggregate in the same financial year or in any non-core business investments, or any acquisition of assets or equity interests inside or outside the PRC and Hong Kong SAR;</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adopt annual budget, or any material change annual budget, or to engage in any new line of business of the Company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280" w:firstLine="921"/>
        <w:spacing w:after="0" w:line="277" w:lineRule="auto"/>
        <w:tabs>
          <w:tab w:leader="none" w:pos="130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appoint and remove the chief executive officer, the chief financial officer, general manager, legal representative, vice-president or any key employee of any Group Company;</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appoint or change of the auditors of any of the Group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3" w:right="259" w:bottom="1440" w:gutter="0" w:footer="0" w:header="0"/>
        </w:sectPr>
      </w:pPr>
    </w:p>
    <w:bookmarkStart w:id="383" w:name="page384"/>
    <w:bookmarkEnd w:id="383"/>
    <w:p>
      <w:pPr>
        <w:jc w:val="both"/>
        <w:ind w:left="-80" w:right="180" w:firstLine="921"/>
        <w:spacing w:after="0" w:line="286" w:lineRule="auto"/>
        <w:tabs>
          <w:tab w:leader="none" w:pos="1183" w:val="left"/>
        </w:tabs>
        <w:numPr>
          <w:ilvl w:val="0"/>
          <w:numId w:val="3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grant any indemnity or guarantee, security, or rights having similar or like economic effect over all or any part of the assets or rights of any of Group Company (or by any Founder of its equity interest in any Group Company), except for the purpose of securing borrowings from banks in the ordinary course of business not exceeding HK$3,000,000 in the aggregate (or its equivalent in other currency);</w:t>
      </w:r>
    </w:p>
    <w:p>
      <w:pPr>
        <w:spacing w:after="0" w:line="165" w:lineRule="exact"/>
        <w:rPr>
          <w:rFonts w:ascii="Arial" w:cs="Arial" w:eastAsia="Arial" w:hAnsi="Arial"/>
          <w:sz w:val="17"/>
          <w:szCs w:val="17"/>
          <w:color w:val="auto"/>
        </w:rPr>
      </w:pPr>
    </w:p>
    <w:p>
      <w:pPr>
        <w:ind w:left="1240" w:hanging="399"/>
        <w:spacing w:after="0"/>
        <w:tabs>
          <w:tab w:leader="none" w:pos="12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change in the business scope or activities of any of any Group Company;</w:t>
      </w:r>
    </w:p>
    <w:p>
      <w:pPr>
        <w:spacing w:after="0" w:line="225" w:lineRule="exact"/>
        <w:rPr>
          <w:rFonts w:ascii="Arial" w:cs="Arial" w:eastAsia="Arial" w:hAnsi="Arial"/>
          <w:sz w:val="18"/>
          <w:szCs w:val="18"/>
          <w:color w:val="auto"/>
        </w:rPr>
      </w:pPr>
    </w:p>
    <w:p>
      <w:pPr>
        <w:ind w:left="1200" w:hanging="359"/>
        <w:spacing w:after="0"/>
        <w:tabs>
          <w:tab w:leader="none" w:pos="12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adopt or amend any terms of, any of stock option or any bonus or profit sharing scheme;</w:t>
      </w:r>
    </w:p>
    <w:p>
      <w:pPr>
        <w:spacing w:after="0" w:line="225" w:lineRule="exact"/>
        <w:rPr>
          <w:rFonts w:ascii="Arial" w:cs="Arial" w:eastAsia="Arial" w:hAnsi="Arial"/>
          <w:sz w:val="18"/>
          <w:szCs w:val="18"/>
          <w:color w:val="auto"/>
        </w:rPr>
      </w:pPr>
    </w:p>
    <w:p>
      <w:pPr>
        <w:ind w:left="-80" w:right="140" w:firstLine="921"/>
        <w:spacing w:after="0" w:line="277" w:lineRule="auto"/>
        <w:tabs>
          <w:tab w:leader="none" w:pos="127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authorize or incur any capital expenditure in excess of HK$5,000,000 for a single purchase or in aggregate more than HK$10,000,000 within the same financial year of the Company;</w:t>
      </w:r>
    </w:p>
    <w:p>
      <w:pPr>
        <w:spacing w:after="0" w:line="170" w:lineRule="exact"/>
        <w:rPr>
          <w:rFonts w:ascii="Arial" w:cs="Arial" w:eastAsia="Arial" w:hAnsi="Arial"/>
          <w:sz w:val="18"/>
          <w:szCs w:val="18"/>
          <w:color w:val="auto"/>
        </w:rPr>
      </w:pPr>
    </w:p>
    <w:p>
      <w:pPr>
        <w:ind w:left="-80" w:right="60" w:firstLine="921"/>
        <w:spacing w:after="0" w:line="308" w:lineRule="auto"/>
        <w:tabs>
          <w:tab w:leader="none" w:pos="1223"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to acquire or form any subsidiary or acquire the whole or any substantial part of the undertakings, assets or business of any other company or any entity or any entry into any joint venture or partnership with any other entity or any enter into any merger, consolidation or restructure;</w:t>
      </w:r>
    </w:p>
    <w:p>
      <w:pPr>
        <w:spacing w:after="0" w:line="38" w:lineRule="exact"/>
        <w:rPr>
          <w:rFonts w:ascii="Arial" w:cs="Arial" w:eastAsia="Arial" w:hAnsi="Arial"/>
          <w:sz w:val="17"/>
          <w:szCs w:val="17"/>
          <w:color w:val="auto"/>
        </w:rPr>
      </w:pPr>
    </w:p>
    <w:p>
      <w:pPr>
        <w:ind w:left="-80" w:right="140" w:firstLine="921"/>
        <w:spacing w:after="0" w:line="259" w:lineRule="auto"/>
        <w:tabs>
          <w:tab w:leader="none" w:pos="122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enter into any contract, agreement or transaction between the Company or any Subsidiary and any of its directors, officers or shareholders (or their respective affiliates), including without limitation, any loans, credits, undertakings and benefits in favour of such persons and any amendment or termination of any contract, agreement or transaction previously approved by the Board or the holders of the Series A Preference Shares and the Series B Preference Shares;</w:t>
      </w:r>
    </w:p>
    <w:p>
      <w:pPr>
        <w:spacing w:after="0" w:line="186" w:lineRule="exact"/>
        <w:rPr>
          <w:rFonts w:ascii="Arial" w:cs="Arial" w:eastAsia="Arial" w:hAnsi="Arial"/>
          <w:sz w:val="18"/>
          <w:szCs w:val="18"/>
          <w:color w:val="auto"/>
        </w:rPr>
      </w:pPr>
    </w:p>
    <w:p>
      <w:pPr>
        <w:ind w:left="1240" w:hanging="399"/>
        <w:spacing w:after="0"/>
        <w:tabs>
          <w:tab w:leader="none" w:pos="12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sell or dispose of the whole or a substantial part of the good will or the assets of the Company and/or any Subsidiary;</w:t>
      </w:r>
    </w:p>
    <w:p>
      <w:pPr>
        <w:spacing w:after="0" w:line="225" w:lineRule="exact"/>
        <w:rPr>
          <w:rFonts w:ascii="Arial" w:cs="Arial" w:eastAsia="Arial" w:hAnsi="Arial"/>
          <w:sz w:val="18"/>
          <w:szCs w:val="18"/>
          <w:color w:val="auto"/>
        </w:rPr>
      </w:pPr>
    </w:p>
    <w:p>
      <w:pPr>
        <w:ind w:left="1240" w:hanging="399"/>
        <w:spacing w:after="0"/>
        <w:tabs>
          <w:tab w:leader="none" w:pos="12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amend or change the existing accounting policies or the financial year of the Company;</w:t>
      </w:r>
    </w:p>
    <w:p>
      <w:pPr>
        <w:spacing w:after="0" w:line="225" w:lineRule="exact"/>
        <w:rPr>
          <w:rFonts w:ascii="Arial" w:cs="Arial" w:eastAsia="Arial" w:hAnsi="Arial"/>
          <w:sz w:val="18"/>
          <w:szCs w:val="18"/>
          <w:color w:val="auto"/>
        </w:rPr>
      </w:pPr>
    </w:p>
    <w:p>
      <w:pPr>
        <w:ind w:left="-80" w:firstLine="921"/>
        <w:spacing w:after="0" w:line="277" w:lineRule="auto"/>
        <w:tabs>
          <w:tab w:leader="none" w:pos="119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increase the aggregate compensation (including all benefits and bonus) of any of the five most highly compensated employees or officers of the Company and any Subsidiary by more than 50% in any twelve-month period;</w:t>
      </w:r>
    </w:p>
    <w:p>
      <w:pPr>
        <w:spacing w:after="0" w:line="170" w:lineRule="exact"/>
        <w:rPr>
          <w:rFonts w:ascii="Arial" w:cs="Arial" w:eastAsia="Arial" w:hAnsi="Arial"/>
          <w:sz w:val="18"/>
          <w:szCs w:val="18"/>
          <w:color w:val="auto"/>
        </w:rPr>
      </w:pPr>
    </w:p>
    <w:p>
      <w:pPr>
        <w:ind w:left="-80" w:right="80" w:firstLine="921"/>
        <w:spacing w:after="0" w:line="277" w:lineRule="auto"/>
        <w:tabs>
          <w:tab w:leader="none" w:pos="120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borrow any money or obtain any financial facilities except pursuant to trade facilities obtained from banks or other financial institutions in the ordinary course of business</w:t>
      </w:r>
    </w:p>
    <w:p>
      <w:pPr>
        <w:spacing w:after="0" w:line="170" w:lineRule="exact"/>
        <w:rPr>
          <w:rFonts w:ascii="Arial" w:cs="Arial" w:eastAsia="Arial" w:hAnsi="Arial"/>
          <w:sz w:val="18"/>
          <w:szCs w:val="18"/>
          <w:color w:val="auto"/>
        </w:rPr>
      </w:pPr>
    </w:p>
    <w:p>
      <w:pPr>
        <w:ind w:left="-80" w:right="360" w:firstLine="921"/>
        <w:spacing w:after="0" w:line="277"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sell, transfer, license, charge, encumber or otherwise dispose of all or substantially all of the trademarks, patents, copyrights or other intellectual property owned by the Company and/or Subsidiary;</w:t>
      </w:r>
    </w:p>
    <w:p>
      <w:pPr>
        <w:spacing w:after="0" w:line="170" w:lineRule="exact"/>
        <w:rPr>
          <w:rFonts w:ascii="Arial" w:cs="Arial" w:eastAsia="Arial" w:hAnsi="Arial"/>
          <w:sz w:val="18"/>
          <w:szCs w:val="18"/>
          <w:color w:val="auto"/>
        </w:rPr>
      </w:pPr>
    </w:p>
    <w:p>
      <w:pPr>
        <w:ind w:left="-80" w:right="500" w:firstLine="921"/>
        <w:spacing w:after="0" w:line="264" w:lineRule="auto"/>
        <w:tabs>
          <w:tab w:leader="none" w:pos="122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transfer any shares in the Company or any of its Subsidiaries; provided that, no vote or written consent under this Section shall be required from the Series D Director before the Company may enforce any paramount lien on, make a call on or forfeit any Shares held by BlueFocus representing the unpaid Residual amount (if any) in accordance with these Articles after July 1,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320" w:top="274" w:right="319" w:bottom="1440" w:gutter="0" w:footer="0" w:header="0"/>
        </w:sectPr>
      </w:pPr>
    </w:p>
    <w:bookmarkStart w:id="384" w:name="page385"/>
    <w:bookmarkEnd w:id="384"/>
    <w:p>
      <w:pPr>
        <w:ind w:left="1320" w:hanging="399"/>
        <w:spacing w:after="0"/>
        <w:tabs>
          <w:tab w:leader="none" w:pos="13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enter into any transaction outside of the Company’s ordinary course of business; and</w:t>
      </w:r>
    </w:p>
    <w:p>
      <w:pPr>
        <w:spacing w:after="0" w:line="225" w:lineRule="exact"/>
        <w:rPr>
          <w:rFonts w:ascii="Arial" w:cs="Arial" w:eastAsia="Arial" w:hAnsi="Arial"/>
          <w:sz w:val="18"/>
          <w:szCs w:val="18"/>
          <w:color w:val="auto"/>
        </w:rPr>
      </w:pPr>
    </w:p>
    <w:p>
      <w:pPr>
        <w:ind w:left="1360" w:hanging="439"/>
        <w:spacing w:after="0"/>
        <w:tabs>
          <w:tab w:leader="none" w:pos="13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 xml:space="preserve">6.2A </w:t>
      </w:r>
      <w:r>
        <w:rPr>
          <w:rFonts w:ascii="Arial" w:cs="Arial" w:eastAsia="Arial" w:hAnsi="Arial"/>
          <w:sz w:val="18"/>
          <w:szCs w:val="18"/>
          <w:u w:val="single" w:color="auto"/>
          <w:color w:val="auto"/>
        </w:rPr>
        <w:t>Approval by the OptAim Director</w:t>
      </w:r>
      <w:r>
        <w:rPr>
          <w:rFonts w:ascii="Arial" w:cs="Arial" w:eastAsia="Arial" w:hAnsi="Arial"/>
          <w:sz w:val="18"/>
          <w:szCs w:val="18"/>
          <w:color w:val="auto"/>
        </w:rPr>
        <w:t>. For so long as any Igomax Shares remain outstanding and Igomax holds no less than 5% of the Igomax Shares (subject to adjustments made for share split, subdivision, consolidation, reorganization and the like events), the Company shall not take any of the following actions without the consent by OptAim Director:</w:t>
      </w:r>
    </w:p>
    <w:p>
      <w:pPr>
        <w:spacing w:after="0" w:line="181" w:lineRule="exact"/>
        <w:rPr>
          <w:sz w:val="20"/>
          <w:szCs w:val="20"/>
          <w:color w:val="auto"/>
        </w:rPr>
      </w:pPr>
    </w:p>
    <w:p>
      <w:pPr>
        <w:ind w:left="1300" w:hanging="379"/>
        <w:spacing w:after="0"/>
        <w:tabs>
          <w:tab w:leader="none" w:pos="130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to adopt or amend the Memorandum and Articles or similar constitutive documents of OptAim Ltd. and any of the OptAim Subsidiaries;</w:t>
      </w:r>
    </w:p>
    <w:p>
      <w:pPr>
        <w:spacing w:after="0" w:line="248" w:lineRule="exact"/>
        <w:rPr>
          <w:rFonts w:ascii="Arial" w:cs="Arial" w:eastAsia="Arial" w:hAnsi="Arial"/>
          <w:sz w:val="16"/>
          <w:szCs w:val="16"/>
          <w:color w:val="auto"/>
        </w:rPr>
      </w:pPr>
    </w:p>
    <w:p>
      <w:pPr>
        <w:ind w:right="560" w:firstLine="921"/>
        <w:spacing w:after="0" w:line="277" w:lineRule="auto"/>
        <w:tabs>
          <w:tab w:leader="none" w:pos="130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effect any merger, spin-off, consolidation, scheme of arrangement, reorganization or sale of all or substantially all of the assets of OptAim Ltd. and/or the OptAim Subsidiaries;</w:t>
      </w:r>
    </w:p>
    <w:p>
      <w:pPr>
        <w:spacing w:after="0" w:line="62" w:lineRule="exact"/>
        <w:rPr>
          <w:rFonts w:ascii="Arial" w:cs="Arial" w:eastAsia="Arial" w:hAnsi="Arial"/>
          <w:sz w:val="18"/>
          <w:szCs w:val="18"/>
          <w:color w:val="auto"/>
        </w:rPr>
      </w:pPr>
    </w:p>
    <w:p>
      <w:pPr>
        <w:ind w:right="60" w:firstLine="921"/>
        <w:spacing w:after="0" w:line="342" w:lineRule="auto"/>
        <w:tabs>
          <w:tab w:leader="none" w:pos="1293"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to transfer any shares in OptAim Ltd. and/or the OptAim Subsidiaries or to sell, transfer, license, charge, encumber or otherwise dispose of all or substantially all of the trademarks, patents, copyrights or other intellectual property owned by OptAim Ltd. and/or the OptAim Subsidiaries;</w:t>
      </w:r>
    </w:p>
    <w:p>
      <w:pPr>
        <w:spacing w:after="0" w:line="123" w:lineRule="exact"/>
        <w:rPr>
          <w:rFonts w:ascii="Arial" w:cs="Arial" w:eastAsia="Arial" w:hAnsi="Arial"/>
          <w:sz w:val="16"/>
          <w:szCs w:val="16"/>
          <w:color w:val="auto"/>
        </w:rPr>
      </w:pPr>
    </w:p>
    <w:p>
      <w:pPr>
        <w:ind w:firstLine="921"/>
        <w:spacing w:after="0" w:line="277" w:lineRule="auto"/>
        <w:tabs>
          <w:tab w:leader="none" w:pos="130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adopt or amend or terminate any terms of, any of stock option or any bonus or profit sharing scheme, which are applied to the employees of OptAim Ltd. and/or the OptAim Subsidiaries;</w:t>
      </w:r>
    </w:p>
    <w:p>
      <w:pPr>
        <w:spacing w:after="0" w:line="170" w:lineRule="exact"/>
        <w:rPr>
          <w:rFonts w:ascii="Arial" w:cs="Arial" w:eastAsia="Arial" w:hAnsi="Arial"/>
          <w:sz w:val="18"/>
          <w:szCs w:val="18"/>
          <w:color w:val="auto"/>
        </w:rPr>
      </w:pPr>
    </w:p>
    <w:p>
      <w:pPr>
        <w:ind w:right="400" w:firstLine="921"/>
        <w:spacing w:after="0" w:line="277" w:lineRule="auto"/>
        <w:tabs>
          <w:tab w:leader="none" w:pos="129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adopt annual budget, or any material change annual budget, or to engage in any new line of business of OptAim Ltd. and any of the OptAim Subsidiaries;</w:t>
      </w:r>
    </w:p>
    <w:p>
      <w:pPr>
        <w:spacing w:after="0" w:line="170" w:lineRule="exact"/>
        <w:rPr>
          <w:rFonts w:ascii="Arial" w:cs="Arial" w:eastAsia="Arial" w:hAnsi="Arial"/>
          <w:sz w:val="18"/>
          <w:szCs w:val="18"/>
          <w:color w:val="auto"/>
        </w:rPr>
      </w:pPr>
    </w:p>
    <w:p>
      <w:pPr>
        <w:ind w:firstLine="921"/>
        <w:spacing w:after="0" w:line="264" w:lineRule="auto"/>
        <w:tabs>
          <w:tab w:leader="none" w:pos="127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grant any indemnity or guarantee, security, or rights having similar or like economic effect over all or any part of the assets or rights of OptAim Ltd. and any of the OptAim Subsidiaries, except for the purpose of securing borrowings from banks in the ordinary course of business not exceeding HK$3,000,000 in the aggregate (or its equivalent in other currency);</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initiate the first firm commitment underwritten registered public offering by the Company which is not an Igomax QIPO;</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remove TANG Jian from the chief executive officer and a director of OptAim Ltd. and any of the OptAim Subsidiaries; and</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274" w:right="299" w:bottom="1440" w:gutter="0" w:footer="0" w:header="0"/>
        </w:sectPr>
      </w:pPr>
    </w:p>
    <w:bookmarkStart w:id="385" w:name="page386"/>
    <w:bookmarkEnd w:id="385"/>
    <w:p>
      <w:pPr>
        <w:ind w:right="30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The powers mandated to the Board of Directors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above are irrevocably mandated by the holders of Shares of the Company to the Board of Directors and shall not be revoked or rescinded in any case unless with the consent of holders of at least a majority of all issued and outstanding Ordinary Shares, holders of at least a majority of all issued and outstanding Series A Preference Shares, holders of at least a majority of all issued and outstanding Series B Preference Shares, holders of at least a majority of all issued and outstanding Series C Preference Shares and holders of at least a majority of all issued and outstanding Series D Preference Shares, each voting separately as a single class. Further, the powers mandated to the OptAim Director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above are irrevocably mandated by the holders of Shares of the Company to the OptAim Director, and shall not be revoked or rescinded in any case unless with the consent of Igomax.</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The protective provisions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apply to all Subsidiaries and Controlled affiliates of the Company with respect to actions listed therein or any equivalent actions.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PUT OPTION</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7.1 If a Qualified IPO has not been consummated by the second (2</w:t>
      </w:r>
      <w:r>
        <w:rPr>
          <w:rFonts w:ascii="Arial" w:cs="Arial" w:eastAsia="Arial" w:hAnsi="Arial"/>
          <w:sz w:val="13"/>
          <w:szCs w:val="13"/>
          <w:color w:val="auto"/>
        </w:rPr>
        <w:t>nd</w:t>
      </w:r>
      <w:r>
        <w:rPr>
          <w:rFonts w:ascii="Arial" w:cs="Arial" w:eastAsia="Arial" w:hAnsi="Arial"/>
          <w:sz w:val="16"/>
          <w:szCs w:val="16"/>
          <w:color w:val="auto"/>
        </w:rPr>
        <w:t>) anniversary of the Closing (the “</w:t>
      </w:r>
      <w:r>
        <w:rPr>
          <w:rFonts w:ascii="Arial" w:cs="Arial" w:eastAsia="Arial" w:hAnsi="Arial"/>
          <w:sz w:val="16"/>
          <w:szCs w:val="16"/>
          <w:b w:val="1"/>
          <w:bCs w:val="1"/>
          <w:color w:val="auto"/>
        </w:rPr>
        <w:t>QIPO Put Trigger Date</w:t>
      </w:r>
      <w:r>
        <w:rPr>
          <w:rFonts w:ascii="Arial" w:cs="Arial" w:eastAsia="Arial" w:hAnsi="Arial"/>
          <w:sz w:val="16"/>
          <w:szCs w:val="16"/>
          <w:color w:val="auto"/>
        </w:rPr>
        <w:t>”), BlueFocus shall have an option (the “</w:t>
      </w:r>
      <w:r>
        <w:rPr>
          <w:rFonts w:ascii="Arial" w:cs="Arial" w:eastAsia="Arial" w:hAnsi="Arial"/>
          <w:sz w:val="16"/>
          <w:szCs w:val="16"/>
          <w:b w:val="1"/>
          <w:bCs w:val="1"/>
          <w:color w:val="auto"/>
        </w:rPr>
        <w:t>QIPO Put Option</w:t>
      </w:r>
      <w:r>
        <w:rPr>
          <w:rFonts w:ascii="Arial" w:cs="Arial" w:eastAsia="Arial" w:hAnsi="Arial"/>
          <w:sz w:val="16"/>
          <w:szCs w:val="16"/>
          <w:color w:val="auto"/>
        </w:rPr>
        <w:t>”), so long as BlueFocus has paid the Residual Amount to the Company by July 1, 2015, exercisable by providing a written notice to the Company (the “</w:t>
      </w:r>
      <w:r>
        <w:rPr>
          <w:rFonts w:ascii="Arial" w:cs="Arial" w:eastAsia="Arial" w:hAnsi="Arial"/>
          <w:sz w:val="16"/>
          <w:szCs w:val="16"/>
          <w:b w:val="1"/>
          <w:bCs w:val="1"/>
          <w:color w:val="auto"/>
        </w:rPr>
        <w:t>Put Exercise Notice</w:t>
      </w:r>
      <w:r>
        <w:rPr>
          <w:rFonts w:ascii="Arial" w:cs="Arial" w:eastAsia="Arial" w:hAnsi="Arial"/>
          <w:sz w:val="16"/>
          <w:szCs w:val="16"/>
          <w:color w:val="auto"/>
        </w:rPr>
        <w:t xml:space="preserve">”), to require the Company to, 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of Schedule 1 hereof, repurchase all (but not only some) of the BF Purchased Shares and BF Compensation Shares (if any) held by BlueFocus (collectively, the “</w:t>
      </w:r>
      <w:r>
        <w:rPr>
          <w:rFonts w:ascii="Arial" w:cs="Arial" w:eastAsia="Arial" w:hAnsi="Arial"/>
          <w:sz w:val="16"/>
          <w:szCs w:val="16"/>
          <w:b w:val="1"/>
          <w:bCs w:val="1"/>
          <w:color w:val="auto"/>
        </w:rPr>
        <w:t>Put Shares</w:t>
      </w:r>
      <w:r>
        <w:rPr>
          <w:rFonts w:ascii="Arial" w:cs="Arial" w:eastAsia="Arial" w:hAnsi="Arial"/>
          <w:sz w:val="16"/>
          <w:szCs w:val="16"/>
          <w:color w:val="auto"/>
        </w:rPr>
        <w:t>”) on or prior to the date of the Put Exercise Notice by paying to BlueFocus a put price per such Put Share (the “</w:t>
      </w:r>
      <w:r>
        <w:rPr>
          <w:rFonts w:ascii="Arial" w:cs="Arial" w:eastAsia="Arial" w:hAnsi="Arial"/>
          <w:sz w:val="16"/>
          <w:szCs w:val="16"/>
          <w:b w:val="1"/>
          <w:bCs w:val="1"/>
          <w:color w:val="auto"/>
        </w:rPr>
        <w:t>QIPO Put Price</w:t>
      </w:r>
      <w:r>
        <w:rPr>
          <w:rFonts w:ascii="Arial" w:cs="Arial" w:eastAsia="Arial" w:hAnsi="Arial"/>
          <w:sz w:val="16"/>
          <w:szCs w:val="16"/>
          <w:color w:val="auto"/>
        </w:rPr>
        <w:t>”) an amount in cash in U.S. dollars equal to the sum of, (i) with respect to each Put Share that is a Series D Preference Share, the Adjusted Series D Issue Price, and with respect to each Put Share that is an Ordinary Share, the Adjusted Ordinary Issue Price, in each case as adjusted for share dividends, splits, combinations, recapitalizations or similar events, and (ii) any accrued interest on the Adjusted Series D Issue Price (with respect to each Put Share that is a Series D Preference Share), or Adjusted Ordinary Issue Price (with respect to each Put Share that is an Ordinary Share), at the Put Option Interest Rate (such interest to be calculated on the basis of the actual number of days elapsed and a 360-day year, to accrue from day to day from the date the subscription price for such Put Share has been paid to the Company in full, and exclude all previous declared or paid dividends on such Put Share). Following the delivery of the Put Exercise Notice, the Company and BlueFocus shall discuss a mutually-acceptable closing date for the sale of the Put Shares, which shall be subject to compliance with Law and in no event be later than ninety</w:t>
      </w:r>
    </w:p>
    <w:p>
      <w:pPr>
        <w:spacing w:after="0" w:line="8" w:lineRule="exact"/>
        <w:rPr>
          <w:sz w:val="20"/>
          <w:szCs w:val="20"/>
          <w:color w:val="auto"/>
        </w:rPr>
      </w:pPr>
    </w:p>
    <w:p>
      <w:pPr>
        <w:ind w:right="20" w:firstLine="8"/>
        <w:spacing w:after="0" w:line="285" w:lineRule="auto"/>
        <w:tabs>
          <w:tab w:leader="none" w:pos="34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days following the date of the delivery of the Put Exercise Notice. If BlueFocus exercises the QIPO Put Option, then on the closing date of the sale of the Put Shares, BlueFocus shall, against payment of the QIPO Put Price, deliver to the Company certificates representing the Put Shares, duly endorsed for transfer to the Company. In connection with the sale of the Put Shares, BlueFocus shall represent and warrant to the Company that (i) it has full power and authority to transfer the Put Shares, (ii) the transfer of the Put Shares has been duly authorized by BlueFocus, (iii) the execution of the documents related to the transfer is enforceable against BlueFocus, and the performance by BlueFocus of its obligations with respect to the transfer of the Put Shares does not conflict with its constitutional documents or applicable Law and (iv) the Put Shares are owned beneficially and of record by BlueFocus and are transferred free from all liens. If the Company fails to close the sale of the Put Shares within ninety (90) days following the date of the delivery of the Put Exercise Notice, BlueFocus may by notice in writing to the Company, initiate a sale of the Company by selecting an international investment bank, which shall be subject to the consent of the Company (which consent shall not be unreasonably withheld, conditioned or delayed), to represent the Members in a sale of the Company on the open market to an independent third party for the highest price reasonably obtainable on normal market terms, and all fees and expenses of such investment bank and other professional advisers shall be shared by the Members on a pro rata basis. Proceeds from such sale shall be distributed (i) first to pay for the Company’s obligation under the Put Exercise Notice and then (ii) any remaining fund shall be paid in accordance with Section 2 if there has been a Liquidating Transaction. After full payment of the QIPO Put Price for all of the Put Shares, BlueFocus shall not be entitled to any further payment under Section 2 or Section 4 of Schedule 1 hereof with respect to the Put Shares.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3" w:right="239" w:bottom="1440" w:gutter="0" w:footer="0" w:header="0"/>
        </w:sectPr>
      </w:pPr>
    </w:p>
    <w:bookmarkStart w:id="386" w:name="page387"/>
    <w:bookmarkEnd w:id="386"/>
    <w:p>
      <w:pPr>
        <w:ind w:left="46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Notwithstanding Section 7.1 of Schedule 1 hereof:</w:t>
      </w:r>
    </w:p>
    <w:p>
      <w:pPr>
        <w:spacing w:after="0" w:line="225"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QIPO Put Option shall terminate upon the earlier of (i) the closing of a QIPO, and (ii) the consummation of a Non-Liquidation M&amp;A;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firstLine="921"/>
        <w:spacing w:after="0" w:line="273" w:lineRule="auto"/>
        <w:tabs>
          <w:tab w:leader="none" w:pos="1303"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QIPO Put Trigger Date shall be automatically extended for an additional one-year period if (i) the Revenue Target for the financial year ended December 31, 2015 has been met; (ii) the consolidated net profit of the Group (before deduction of any expenses relating to an IPO) as shown in the financial statements of the Group for the financial year ended December 31, 2015 prepared in accordance with US GAAP and audited by a Qualified Auditor shall be positive, and (iii) there has been an increase of at least 30% of the consolidated net profit and consolidated revenue of the Group as shown in the financial statements of the Group for the financial year ended December 31, 2016 prepared in accordance with US GAAP and audited by a Qualified Auditor as compared to those for the financial year ended December 31, 2015.</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PRE-EMPTIVE RIGHT</w:t>
      </w:r>
    </w:p>
    <w:p>
      <w:pPr>
        <w:spacing w:after="0" w:line="22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Issuance Notice</w:t>
      </w:r>
      <w:r>
        <w:rPr>
          <w:rFonts w:ascii="Arial" w:cs="Arial" w:eastAsia="Arial" w:hAnsi="Arial"/>
          <w:sz w:val="17"/>
          <w:szCs w:val="17"/>
          <w:color w:val="auto"/>
        </w:rPr>
        <w:t>. In the event the Company proposes to undertake an issuance of New Securities, it shall give Series E Investor a written notice (an “</w:t>
      </w:r>
      <w:r>
        <w:rPr>
          <w:rFonts w:ascii="Arial" w:cs="Arial" w:eastAsia="Arial" w:hAnsi="Arial"/>
          <w:sz w:val="17"/>
          <w:szCs w:val="17"/>
          <w:b w:val="1"/>
          <w:bCs w:val="1"/>
          <w:color w:val="auto"/>
        </w:rPr>
        <w:t>Issuance Notice</w:t>
      </w:r>
      <w:r>
        <w:rPr>
          <w:rFonts w:ascii="Arial" w:cs="Arial" w:eastAsia="Arial" w:hAnsi="Arial"/>
          <w:sz w:val="17"/>
          <w:szCs w:val="17"/>
          <w:color w:val="auto"/>
        </w:rPr>
        <w:t>”) of such intention, describing (i) the type of New Securities, (ii) the identity of the prospective transferee, and (iii) the price and the general terms upon which the Company proposes to issue the same. Series E Investor shall have thirty (30) days after the receipt of the Issuance Notice to agree to purchase all or a portion of such New Securities for the price and upon the terms specified in the Issuance Notice by giving written notice to the Company and stating therein the quantity of New Securities to be purchased (“</w:t>
      </w:r>
      <w:r>
        <w:rPr>
          <w:rFonts w:ascii="Arial" w:cs="Arial" w:eastAsia="Arial" w:hAnsi="Arial"/>
          <w:sz w:val="17"/>
          <w:szCs w:val="17"/>
          <w:b w:val="1"/>
          <w:bCs w:val="1"/>
          <w:color w:val="auto"/>
        </w:rPr>
        <w:t>First Pre-emptive Rights</w:t>
      </w:r>
      <w:r>
        <w:rPr>
          <w:rFonts w:ascii="Arial" w:cs="Arial" w:eastAsia="Arial" w:hAnsi="Arial"/>
          <w:sz w:val="17"/>
          <w:szCs w:val="17"/>
          <w:color w:val="auto"/>
        </w:rPr>
        <w: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274" w:right="319" w:bottom="1440" w:gutter="0" w:footer="0" w:header="0"/>
        </w:sectPr>
      </w:pPr>
    </w:p>
    <w:bookmarkStart w:id="387" w:name="page388"/>
    <w:bookmarkEnd w:id="387"/>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8.2 </w:t>
      </w:r>
      <w:r>
        <w:rPr>
          <w:rFonts w:ascii="Arial" w:cs="Arial" w:eastAsia="Arial" w:hAnsi="Arial"/>
          <w:sz w:val="18"/>
          <w:szCs w:val="18"/>
          <w:u w:val="single" w:color="auto"/>
          <w:color w:val="auto"/>
        </w:rPr>
        <w:t>Second Pre-emptive Notice</w:t>
      </w:r>
      <w:r>
        <w:rPr>
          <w:rFonts w:ascii="Arial" w:cs="Arial" w:eastAsia="Arial" w:hAnsi="Arial"/>
          <w:sz w:val="18"/>
          <w:szCs w:val="18"/>
          <w:color w:val="auto"/>
        </w:rPr>
        <w:t>. If Series E Investor fails to exercise its First Pre-emptive Rights to purchase all of the New Securities specified in the Issuance Notice, the Company shall, within five (5) days after the expiration of the thirty (30) day period described in the Issuance Notice, deliver a written notice (“</w:t>
      </w:r>
      <w:r>
        <w:rPr>
          <w:rFonts w:ascii="Arial" w:cs="Arial" w:eastAsia="Arial" w:hAnsi="Arial"/>
          <w:sz w:val="18"/>
          <w:szCs w:val="18"/>
          <w:b w:val="1"/>
          <w:bCs w:val="1"/>
          <w:color w:val="auto"/>
        </w:rPr>
        <w:t>Second Pre-emptive Notice</w:t>
      </w:r>
      <w:r>
        <w:rPr>
          <w:rFonts w:ascii="Arial" w:cs="Arial" w:eastAsia="Arial" w:hAnsi="Arial"/>
          <w:sz w:val="18"/>
          <w:szCs w:val="18"/>
          <w:color w:val="auto"/>
        </w:rPr>
        <w:t xml:space="preserve">”) specifying the aggregate number of New Securities that remain unpurchased by Series E Investor following the procedures set out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(the “</w:t>
      </w:r>
      <w:r>
        <w:rPr>
          <w:rFonts w:ascii="Arial" w:cs="Arial" w:eastAsia="Arial" w:hAnsi="Arial"/>
          <w:sz w:val="18"/>
          <w:szCs w:val="18"/>
          <w:b w:val="1"/>
          <w:bCs w:val="1"/>
          <w:color w:val="auto"/>
        </w:rPr>
        <w:t>Remaining Securities</w:t>
      </w:r>
      <w:r>
        <w:rPr>
          <w:rFonts w:ascii="Arial" w:cs="Arial" w:eastAsia="Arial" w:hAnsi="Arial"/>
          <w:sz w:val="18"/>
          <w:szCs w:val="18"/>
          <w:color w:val="auto"/>
        </w:rPr>
        <w:t>”) to Series D Investor who shall have a right to purchase all or a portion of the Remaining Securities by notifying the Company in writing within thirty (30) days after receipt of the Second Pre-emptive Notice from the Company (“</w:t>
      </w:r>
      <w:r>
        <w:rPr>
          <w:rFonts w:ascii="Arial" w:cs="Arial" w:eastAsia="Arial" w:hAnsi="Arial"/>
          <w:sz w:val="18"/>
          <w:szCs w:val="18"/>
          <w:b w:val="1"/>
          <w:bCs w:val="1"/>
          <w:color w:val="auto"/>
        </w:rPr>
        <w:t>Second Pre-emptive Rights</w:t>
      </w:r>
      <w:r>
        <w:rPr>
          <w:rFonts w:ascii="Arial" w:cs="Arial" w:eastAsia="Arial" w:hAnsi="Arial"/>
          <w:sz w:val="18"/>
          <w:szCs w:val="18"/>
          <w:color w:val="auto"/>
        </w:rPr>
        <w:t>”).</w:t>
      </w:r>
    </w:p>
    <w:p>
      <w:pPr>
        <w:spacing w:after="0" w:line="19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Third Pre-emptive Notice</w:t>
      </w:r>
      <w:r>
        <w:rPr>
          <w:rFonts w:ascii="Arial" w:cs="Arial" w:eastAsia="Arial" w:hAnsi="Arial"/>
          <w:sz w:val="16"/>
          <w:szCs w:val="16"/>
          <w:color w:val="auto"/>
        </w:rPr>
        <w:t>. If Series D Investor fails to exercise its Second Pre-emptive Rights to purchase all Remaining Securities, the Company shall, within five (5) days after the expiration of the thirty (30) day period described in the Second Pre-emptive Notice, deliver a written notice (“</w:t>
      </w:r>
      <w:r>
        <w:rPr>
          <w:rFonts w:ascii="Arial" w:cs="Arial" w:eastAsia="Arial" w:hAnsi="Arial"/>
          <w:sz w:val="16"/>
          <w:szCs w:val="16"/>
          <w:b w:val="1"/>
          <w:bCs w:val="1"/>
          <w:color w:val="auto"/>
        </w:rPr>
        <w:t>Third Pre-emptive Notice</w:t>
      </w:r>
      <w:r>
        <w:rPr>
          <w:rFonts w:ascii="Arial" w:cs="Arial" w:eastAsia="Arial" w:hAnsi="Arial"/>
          <w:sz w:val="16"/>
          <w:szCs w:val="16"/>
          <w:color w:val="auto"/>
        </w:rPr>
        <w:t>”) specifying the number of Remaining Securities that remain unpurchased by Series D Investor following the procedures set out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p>
    <w:p>
      <w:pPr>
        <w:spacing w:after="0" w:line="252" w:lineRule="auto"/>
        <w:rPr>
          <w:sz w:val="20"/>
          <w:szCs w:val="20"/>
          <w:color w:val="auto"/>
        </w:rPr>
      </w:pPr>
      <w:r>
        <w:rPr>
          <w:rFonts w:ascii="Arial" w:cs="Arial" w:eastAsia="Arial" w:hAnsi="Arial"/>
          <w:sz w:val="18"/>
          <w:szCs w:val="18"/>
          <w:u w:val="single" w:color="auto"/>
          <w:color w:val="auto"/>
        </w:rPr>
        <w:t>8.2</w:t>
      </w:r>
      <w:r>
        <w:rPr>
          <w:rFonts w:ascii="Arial" w:cs="Arial" w:eastAsia="Arial" w:hAnsi="Arial"/>
          <w:sz w:val="18"/>
          <w:szCs w:val="18"/>
          <w:color w:val="auto"/>
        </w:rPr>
        <w:t xml:space="preserve"> (the “</w:t>
      </w:r>
      <w:r>
        <w:rPr>
          <w:rFonts w:ascii="Arial" w:cs="Arial" w:eastAsia="Arial" w:hAnsi="Arial"/>
          <w:sz w:val="18"/>
          <w:szCs w:val="18"/>
          <w:b w:val="1"/>
          <w:bCs w:val="1"/>
          <w:color w:val="auto"/>
        </w:rPr>
        <w:t>Second Remaining Securities</w:t>
      </w:r>
      <w:r>
        <w:rPr>
          <w:rFonts w:ascii="Arial" w:cs="Arial" w:eastAsia="Arial" w:hAnsi="Arial"/>
          <w:sz w:val="18"/>
          <w:szCs w:val="18"/>
          <w:color w:val="auto"/>
        </w:rPr>
        <w:t>”) to each holder of Series A Preference Shares and Series B Preference Shares (“</w:t>
      </w:r>
      <w:r>
        <w:rPr>
          <w:rFonts w:ascii="Arial" w:cs="Arial" w:eastAsia="Arial" w:hAnsi="Arial"/>
          <w:sz w:val="18"/>
          <w:szCs w:val="18"/>
          <w:b w:val="1"/>
          <w:bCs w:val="1"/>
          <w:color w:val="auto"/>
        </w:rPr>
        <w:t>Third Pre-emptive Holders</w:t>
      </w:r>
      <w:r>
        <w:rPr>
          <w:rFonts w:ascii="Arial" w:cs="Arial" w:eastAsia="Arial" w:hAnsi="Arial"/>
          <w:sz w:val="18"/>
          <w:szCs w:val="18"/>
          <w:color w:val="auto"/>
        </w:rPr>
        <w:t xml:space="preserve">”) who shall have a right to purchase up to such Third Pre-emptive Holder’s Pro-Rata Share (and any overallotment, as provided below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of any Second Remaining Securities by giving written notice to the Company within ten (10) days after the receipt of the Third Pre-emptive Notice. Each Third Pre-emptive Holder’s “Pro-Rata Share” for purposes of this </w:t>
      </w:r>
      <w:r>
        <w:rPr>
          <w:rFonts w:ascii="Arial" w:cs="Arial" w:eastAsia="Arial" w:hAnsi="Arial"/>
          <w:sz w:val="18"/>
          <w:szCs w:val="18"/>
          <w:u w:val="single" w:color="auto"/>
          <w:color w:val="auto"/>
        </w:rPr>
        <w:t>Sections 8.3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shall be equal to the Second Remaining Securities multiplied by a fraction, the numerator of which shall be the aggregate number of Ordinary Shares held by such Third Pre-emptive Holder (on a fully diluted and as converted basis) and the denominator of which shall be the total number of Ordinary Shares held by all of the Third Pre-emptive Holders (on a fully diluted and as converted basis), on the date of the Third Pre-emptive Notice.</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Overallotment</w:t>
      </w:r>
      <w:r>
        <w:rPr>
          <w:rFonts w:ascii="Arial" w:cs="Arial" w:eastAsia="Arial" w:hAnsi="Arial"/>
          <w:sz w:val="18"/>
          <w:szCs w:val="18"/>
          <w:color w:val="auto"/>
        </w:rPr>
        <w:t>. If any Third Pre-emptive Holder fails to exercise its right to purchase its full Pro Rata Share of any Second Remaining Securities (each, a “</w:t>
      </w:r>
      <w:r>
        <w:rPr>
          <w:rFonts w:ascii="Arial" w:cs="Arial" w:eastAsia="Arial" w:hAnsi="Arial"/>
          <w:sz w:val="18"/>
          <w:szCs w:val="18"/>
          <w:b w:val="1"/>
          <w:bCs w:val="1"/>
          <w:color w:val="auto"/>
        </w:rPr>
        <w:t>Non-Exercising Holder</w:t>
      </w:r>
      <w:r>
        <w:rPr>
          <w:rFonts w:ascii="Arial" w:cs="Arial" w:eastAsia="Arial" w:hAnsi="Arial"/>
          <w:sz w:val="18"/>
          <w:szCs w:val="18"/>
          <w:color w:val="auto"/>
        </w:rPr>
        <w:t>”), the Company shall, within five (5) days after the expiration of the ten (10) day period described in the Third Pre-emptive Notice, deliver a written notice (“</w:t>
      </w:r>
      <w:r>
        <w:rPr>
          <w:rFonts w:ascii="Arial" w:cs="Arial" w:eastAsia="Arial" w:hAnsi="Arial"/>
          <w:sz w:val="18"/>
          <w:szCs w:val="18"/>
          <w:b w:val="1"/>
          <w:bCs w:val="1"/>
          <w:color w:val="auto"/>
        </w:rPr>
        <w:t>Overallotment Notice</w:t>
      </w:r>
      <w:r>
        <w:rPr>
          <w:rFonts w:ascii="Arial" w:cs="Arial" w:eastAsia="Arial" w:hAnsi="Arial"/>
          <w:sz w:val="18"/>
          <w:szCs w:val="18"/>
          <w:color w:val="auto"/>
        </w:rPr>
        <w:t>”) specifying the aggregate number of unpurchased Second Remaining Securities that were eligible for purchase by all Non-Exercising Holders (the “</w:t>
      </w:r>
      <w:r>
        <w:rPr>
          <w:rFonts w:ascii="Arial" w:cs="Arial" w:eastAsia="Arial" w:hAnsi="Arial"/>
          <w:sz w:val="18"/>
          <w:szCs w:val="18"/>
          <w:b w:val="1"/>
          <w:bCs w:val="1"/>
          <w:color w:val="auto"/>
        </w:rPr>
        <w:t>Third Remaining Securities</w:t>
      </w:r>
      <w:r>
        <w:rPr>
          <w:rFonts w:ascii="Arial" w:cs="Arial" w:eastAsia="Arial" w:hAnsi="Arial"/>
          <w:sz w:val="18"/>
          <w:szCs w:val="18"/>
          <w:color w:val="auto"/>
        </w:rPr>
        <w:t>”) to each Third Pre-emptive Holder that exercised its right to purchase its full Pro Rata Share of the Second Remaining Securities (each, an “</w:t>
      </w:r>
      <w:r>
        <w:rPr>
          <w:rFonts w:ascii="Arial" w:cs="Arial" w:eastAsia="Arial" w:hAnsi="Arial"/>
          <w:sz w:val="18"/>
          <w:szCs w:val="18"/>
          <w:b w:val="1"/>
          <w:bCs w:val="1"/>
          <w:color w:val="auto"/>
        </w:rPr>
        <w:t>Exercising Holder</w:t>
      </w:r>
      <w:r>
        <w:rPr>
          <w:rFonts w:ascii="Arial" w:cs="Arial" w:eastAsia="Arial" w:hAnsi="Arial"/>
          <w:sz w:val="18"/>
          <w:szCs w:val="18"/>
          <w:color w:val="auto"/>
        </w:rPr>
        <w:t>”). Each Exercising Holder shall have a right of overallotment, and may exercise an additional right to purchase the Third Remaining Securities by notifying the Company in writing within ten (10) days after receipt of the Overallotment Notice; provided, however, that if the Exercising Holders desire to purchase in aggregate more than the total number of Third Remaining Securities, then the Third Remaining Securities will be allocated to the extent necessary among such Exercising Holders in accordance with their relative Pro Rata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3" w:right="239" w:bottom="1440" w:gutter="0" w:footer="0" w:header="0"/>
        </w:sectPr>
      </w:pPr>
    </w:p>
    <w:bookmarkStart w:id="388" w:name="page389"/>
    <w:bookmarkEnd w:id="388"/>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7"/>
          <w:szCs w:val="17"/>
          <w:u w:val="single" w:color="auto"/>
          <w:color w:val="auto"/>
        </w:rPr>
        <w:t>Fourth Pre-emptive Notice</w:t>
      </w:r>
      <w:r>
        <w:rPr>
          <w:rFonts w:ascii="Arial" w:cs="Arial" w:eastAsia="Arial" w:hAnsi="Arial"/>
          <w:sz w:val="17"/>
          <w:szCs w:val="17"/>
          <w:color w:val="auto"/>
        </w:rPr>
        <w:t>. Within five (5) days after the expiration of the ten (10) day period described in the Third Pre-emptive Notice or the Overallotment Notice, as applicable, the Company shall deliver a written notice (“</w:t>
      </w:r>
      <w:r>
        <w:rPr>
          <w:rFonts w:ascii="Arial" w:cs="Arial" w:eastAsia="Arial" w:hAnsi="Arial"/>
          <w:sz w:val="17"/>
          <w:szCs w:val="17"/>
          <w:b w:val="1"/>
          <w:bCs w:val="1"/>
          <w:color w:val="auto"/>
        </w:rPr>
        <w:t>Fourth Pre-emptive Notice</w:t>
      </w:r>
      <w:r>
        <w:rPr>
          <w:rFonts w:ascii="Arial" w:cs="Arial" w:eastAsia="Arial" w:hAnsi="Arial"/>
          <w:sz w:val="17"/>
          <w:szCs w:val="17"/>
          <w:color w:val="auto"/>
        </w:rPr>
        <w:t xml:space="preserve">”) specifying the aggregate number of Third Remaining Securities that remain unpurchased by the Third Pre-emptive Holders following the procedures set out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(the “</w:t>
      </w:r>
      <w:r>
        <w:rPr>
          <w:rFonts w:ascii="Arial" w:cs="Arial" w:eastAsia="Arial" w:hAnsi="Arial"/>
          <w:sz w:val="17"/>
          <w:szCs w:val="17"/>
          <w:b w:val="1"/>
          <w:bCs w:val="1"/>
          <w:color w:val="auto"/>
        </w:rPr>
        <w:t>Fourth</w:t>
      </w:r>
      <w:r>
        <w:rPr>
          <w:rFonts w:ascii="Arial" w:cs="Arial" w:eastAsia="Arial" w:hAnsi="Arial"/>
          <w:sz w:val="17"/>
          <w:szCs w:val="17"/>
          <w:color w:val="auto"/>
        </w:rPr>
        <w:t xml:space="preserve"> </w:t>
      </w:r>
      <w:r>
        <w:rPr>
          <w:rFonts w:ascii="Arial" w:cs="Arial" w:eastAsia="Arial" w:hAnsi="Arial"/>
          <w:sz w:val="17"/>
          <w:szCs w:val="17"/>
          <w:b w:val="1"/>
          <w:bCs w:val="1"/>
          <w:color w:val="auto"/>
        </w:rPr>
        <w:t>Remaining Securities</w:t>
      </w:r>
      <w:r>
        <w:rPr>
          <w:rFonts w:ascii="Arial" w:cs="Arial" w:eastAsia="Arial" w:hAnsi="Arial"/>
          <w:sz w:val="17"/>
          <w:szCs w:val="17"/>
          <w:color w:val="auto"/>
        </w:rPr>
        <w:t>”) to Series C Investor who shall have a right to purchase all or a portion of the Fourth Remaining Securities by notifying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within ten (10) days after receipt of the Fourth Pre-emptive Notice from the Company.</w:t>
      </w:r>
    </w:p>
    <w:p>
      <w:pPr>
        <w:spacing w:after="0" w:line="17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Fifth Pre-emptive Notice</w:t>
      </w:r>
      <w:r>
        <w:rPr>
          <w:rFonts w:ascii="Arial" w:cs="Arial" w:eastAsia="Arial" w:hAnsi="Arial"/>
          <w:sz w:val="16"/>
          <w:szCs w:val="16"/>
          <w:color w:val="auto"/>
        </w:rPr>
        <w:t>. Within five (5) days after the expiration of the ten (10) day period described in the Fourth Pre-emptive Notice, the Company shall deliver a written notice (“</w:t>
      </w:r>
      <w:r>
        <w:rPr>
          <w:rFonts w:ascii="Arial" w:cs="Arial" w:eastAsia="Arial" w:hAnsi="Arial"/>
          <w:sz w:val="16"/>
          <w:szCs w:val="16"/>
          <w:b w:val="1"/>
          <w:bCs w:val="1"/>
          <w:color w:val="auto"/>
        </w:rPr>
        <w:t>Fifth Pre-emptive Notice</w:t>
      </w:r>
      <w:r>
        <w:rPr>
          <w:rFonts w:ascii="Arial" w:cs="Arial" w:eastAsia="Arial" w:hAnsi="Arial"/>
          <w:sz w:val="16"/>
          <w:szCs w:val="16"/>
          <w:color w:val="auto"/>
        </w:rPr>
        <w:t xml:space="preserve">”) specifying the aggregate number of Fourth Remaining Securities that remain unpurchased by Series C Investor following the procedures set out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(the “</w:t>
      </w:r>
      <w:r>
        <w:rPr>
          <w:rFonts w:ascii="Arial" w:cs="Arial" w:eastAsia="Arial" w:hAnsi="Arial"/>
          <w:sz w:val="16"/>
          <w:szCs w:val="16"/>
          <w:b w:val="1"/>
          <w:bCs w:val="1"/>
          <w:color w:val="auto"/>
        </w:rPr>
        <w:t>Fifth Remaining Securities</w:t>
      </w:r>
      <w:r>
        <w:rPr>
          <w:rFonts w:ascii="Arial" w:cs="Arial" w:eastAsia="Arial" w:hAnsi="Arial"/>
          <w:sz w:val="16"/>
          <w:szCs w:val="16"/>
          <w:color w:val="auto"/>
        </w:rPr>
        <w:t>”) to the Ordinary Investors (other than any Ordinary Investor who is also the Series D Investor or a Third Pre-emptive Holder) who shall have a right to purchase the Fifth Remaining Securities (“</w:t>
      </w:r>
      <w:r>
        <w:rPr>
          <w:rFonts w:ascii="Arial" w:cs="Arial" w:eastAsia="Arial" w:hAnsi="Arial"/>
          <w:sz w:val="16"/>
          <w:szCs w:val="16"/>
          <w:b w:val="1"/>
          <w:bCs w:val="1"/>
          <w:color w:val="auto"/>
        </w:rPr>
        <w:t>Qualifying Ordinary Investor</w:t>
      </w:r>
      <w:r>
        <w:rPr>
          <w:rFonts w:ascii="Arial" w:cs="Arial" w:eastAsia="Arial" w:hAnsi="Arial"/>
          <w:sz w:val="16"/>
          <w:szCs w:val="16"/>
          <w:color w:val="auto"/>
        </w:rPr>
        <w:t>”), and each Qualifying Ordinary Investor may exercise its right to purchase the Fifth Remaining Securities on a pro-rata basis (based on the aggregate number of Ordinary Shares held by such Qualifying Ordinary Investor (on a fully diluted and as converted basis) in relation to the total number of Ordinary Shares held by all Qualifying Ordinary Investors (on a fully diluted and as converted basis) on the date of the Fifth Pre-emptive Notice by notifying the Company in writing within ten (10) days after receipt of the Fifth Pre-emptive Notice from the Company.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Sales by the Company</w:t>
      </w:r>
      <w:r>
        <w:rPr>
          <w:rFonts w:ascii="Arial" w:cs="Arial" w:eastAsia="Arial" w:hAnsi="Arial"/>
          <w:sz w:val="18"/>
          <w:szCs w:val="18"/>
          <w:color w:val="auto"/>
        </w:rPr>
        <w:t xml:space="preserve">. Within a period of ninety (90) days following the expiration of the last of ten (10) day period as described in the Fifth Pre-emptive Notice, the Company may sell any New Securities with respect to which the Series E Investor’s, the Series D Investor’s, the Third Pre-emptive Holders’, the Series C Investor’s and the Ordinary Investors’ rights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were not exercised, to the purchasers identified in the Issuance Notice and at a price and upon terms not more favorable to the purchasers thereof than specified in the Issuance Notice. In the event the Company has not sold such New Securities within such ninety (90) day period, the Company shall not thereafter issue or sell any New Securities, without first again offering such securities to the Series E Investor, the Series D Investor, the Third Pre-emptive Holders, the Series C Investor and the Ordinary Investors in the manner provided in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Termination of Preemptive Rights</w:t>
      </w:r>
      <w:r>
        <w:rPr>
          <w:rFonts w:ascii="Arial" w:cs="Arial" w:eastAsia="Arial" w:hAnsi="Arial"/>
          <w:sz w:val="18"/>
          <w:szCs w:val="18"/>
          <w:color w:val="auto"/>
        </w:rPr>
        <w:t xml:space="preserve">. The preemptive rights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terminate on the earlier of (i) the closing of the Qualified IPO, (ii) the consummation of a Liquidating Transaction and (iii) the consummation of a Non-Liquidation M&amp;A.</w:t>
      </w:r>
    </w:p>
    <w:p>
      <w:pPr>
        <w:spacing w:after="0" w:line="170" w:lineRule="exact"/>
        <w:rPr>
          <w:sz w:val="20"/>
          <w:szCs w:val="20"/>
          <w:color w:val="auto"/>
        </w:rPr>
      </w:pPr>
    </w:p>
    <w:p>
      <w:pPr>
        <w:jc w:val="center"/>
        <w:ind w:left="340"/>
        <w:spacing w:after="0"/>
        <w:tabs>
          <w:tab w:leader="none" w:pos="1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give any holder of Ordinary Share that is not an Ordinary Investor any preemptive rights over the New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389" w:name="page390"/>
    <w:bookmarkEnd w:id="38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PROHIBITION ON TRANSFER OF SHARES</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9.1 The Founders and the Management shall not directly or indirectly sell, assign, transfer, pledge, hypothecate, or otherwise encumber or dispose of in any way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any Shares owned or held by such Founder or Management, unless otherwise approved in writing by the holders of a majority of then issued and outstanding Series E Preference Shares, the holders of a majority of then issued and outstanding Series D Preference Shares (with respect to any Transfer by the Founders, Mr. Tran Kwok Wai Robert and Big Tooth Corporation only), the holders holding a majority of then issued and outstanding Series B Preference Shares and the holders holding a majority of then issued and outstanding Series A Preference Shares (each voting as a separate class). Upon such approval, such Transfer may be conducted subject to compliance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w:t>
      </w:r>
    </w:p>
    <w:p>
      <w:pPr>
        <w:spacing w:after="0" w:line="165"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 xml:space="preserve">9.2 No Principal, regardless of such Principal’s employment status with the Company, shall Transfer all or any part of any interest in any Shares now or hereafter owned or held by such Principal, unless otherwise approved in writing by the holders holding a majority of then issued and outstanding Series B Preference Shares and the holders holding a majority of then issued and outstanding Series A Preference Shares (each voting as a separate class). Upon such approval, such Transfer may be conducted subject to compliance with </w:t>
      </w:r>
      <w:r>
        <w:rPr>
          <w:rFonts w:ascii="Arial" w:cs="Arial" w:eastAsia="Arial" w:hAnsi="Arial"/>
          <w:sz w:val="17"/>
          <w:szCs w:val="17"/>
          <w:u w:val="single" w:color="auto"/>
          <w:color w:val="auto"/>
        </w:rPr>
        <w:t>Sections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w:t>
      </w:r>
      <w:r>
        <w:rPr>
          <w:rFonts w:ascii="Arial" w:cs="Arial" w:eastAsia="Arial" w:hAnsi="Arial"/>
          <w:sz w:val="17"/>
          <w:szCs w:val="17"/>
          <w:color w:val="auto"/>
        </w:rPr>
        <w:t>.</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9.3 Any Transfer of Shares not made in compliance with this Section or the Shareholders Agreement shall be null and void as against the Company, shall not be recorded on the books of the Company and shall not be recognized by the Company.</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RIGHTS OF FIRST REFUSAL</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Transfer Notice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 if any Principal proposes to make any Transfer of any Equity Securities (such holder, a “</w:t>
      </w:r>
      <w:r>
        <w:rPr>
          <w:rFonts w:ascii="Arial" w:cs="Arial" w:eastAsia="Arial" w:hAnsi="Arial"/>
          <w:sz w:val="17"/>
          <w:szCs w:val="17"/>
          <w:b w:val="1"/>
          <w:bCs w:val="1"/>
          <w:color w:val="auto"/>
        </w:rPr>
        <w:t>Transferor</w:t>
      </w:r>
      <w:r>
        <w:rPr>
          <w:rFonts w:ascii="Arial" w:cs="Arial" w:eastAsia="Arial" w:hAnsi="Arial"/>
          <w:sz w:val="17"/>
          <w:szCs w:val="17"/>
          <w:color w:val="auto"/>
        </w:rPr>
        <w:t>”) to one or more third parties that are not Affiliates of such Transferor (or otherwise related to such Transferor through common ownership or Control), then the Transferor shall give the Company, Series E Investor and Series D Investor written notice of the Transferor’s intention to make such Transfer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which shall include (a) a description of the Equity Securities to be transferred (the “</w:t>
      </w:r>
      <w:r>
        <w:rPr>
          <w:rFonts w:ascii="Arial" w:cs="Arial" w:eastAsia="Arial" w:hAnsi="Arial"/>
          <w:sz w:val="17"/>
          <w:szCs w:val="17"/>
          <w:b w:val="1"/>
          <w:bCs w:val="1"/>
          <w:color w:val="auto"/>
        </w:rPr>
        <w:t>Offered Shares</w:t>
      </w:r>
      <w:r>
        <w:rPr>
          <w:rFonts w:ascii="Arial" w:cs="Arial" w:eastAsia="Arial" w:hAnsi="Arial"/>
          <w:sz w:val="17"/>
          <w:szCs w:val="17"/>
          <w:color w:val="auto"/>
        </w:rPr>
        <w:t>”), (b) the identity of the prospective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and (c) the consideration and the material terms and conditions upon which the proposed Transfer is to be made. The Transfer Notice shall certify that the Transferor has received a definitive offer from the prospective transferee and in good faith believes a binding agreement for the Transfer is obtainable on the terms set forth in the Transfer Notice. The Transfer Notice shall also include a copy of any written proposal, term sheet or letter of intent or other agreement relating to the proposed Transfer.</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270" w:right="319" w:bottom="1440" w:gutter="0" w:footer="0" w:header="0"/>
        </w:sectPr>
      </w:pPr>
    </w:p>
    <w:bookmarkStart w:id="390" w:name="page391"/>
    <w:bookmarkEnd w:id="390"/>
    <w:p>
      <w:pPr>
        <w:ind w:left="460"/>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r>
        <w:rPr>
          <w:sz w:val="20"/>
          <w:szCs w:val="20"/>
          <w:color w:val="auto"/>
        </w:rPr>
        <w:tab/>
      </w:r>
      <w:r>
        <w:rPr>
          <w:rFonts w:ascii="Arial" w:cs="Arial" w:eastAsia="Arial" w:hAnsi="Arial"/>
          <w:sz w:val="16"/>
          <w:szCs w:val="16"/>
          <w:u w:val="single" w:color="auto"/>
          <w:color w:val="auto"/>
        </w:rPr>
        <w:t>Company’s Option</w:t>
      </w:r>
      <w:r>
        <w:rPr>
          <w:rFonts w:ascii="Arial" w:cs="Arial" w:eastAsia="Arial" w:hAnsi="Arial"/>
          <w:sz w:val="16"/>
          <w:szCs w:val="16"/>
          <w:color w:val="auto"/>
        </w:rPr>
        <w:t>. The Company shall have an option for a period of ten (10) days following its receipt of the Transfer Notice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Company’s Option Period</w:t>
      </w:r>
      <w:r>
        <w:rPr>
          <w:rFonts w:ascii="Arial" w:cs="Arial" w:eastAsia="Arial" w:hAnsi="Arial"/>
          <w:sz w:val="17"/>
          <w:szCs w:val="17"/>
          <w:color w:val="auto"/>
        </w:rPr>
        <w:t>”) to elect to purchase all or a portion of the Offered Shares at the same price and subject to the same material terms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conditions as described in the Transfer Notice, by notifying the Transferor and the Series E Investor in writing before the expiration of the Company’s Option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as to the number of such Offered Shares that it wishes to purchase. Within ten (10) days after expiration of the Company’s Option Period,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Transferor shall deliver a written notice to Series E Investor (the “</w:t>
      </w:r>
      <w:r>
        <w:rPr>
          <w:rFonts w:ascii="Arial" w:cs="Arial" w:eastAsia="Arial" w:hAnsi="Arial"/>
          <w:sz w:val="16"/>
          <w:szCs w:val="16"/>
          <w:b w:val="1"/>
          <w:bCs w:val="1"/>
          <w:color w:val="auto"/>
        </w:rPr>
        <w:t>Second Notice</w:t>
      </w:r>
      <w:r>
        <w:rPr>
          <w:rFonts w:ascii="Arial" w:cs="Arial" w:eastAsia="Arial" w:hAnsi="Arial"/>
          <w:sz w:val="16"/>
          <w:szCs w:val="16"/>
          <w:color w:val="auto"/>
        </w:rPr>
        <w:t>”) setting forth the number of Offered Shares, if any, which the Company did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elect to purchase.</w:t>
      </w:r>
    </w:p>
    <w:p>
      <w:pPr>
        <w:spacing w:after="0" w:line="21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Series E Investor’s Option</w:t>
      </w:r>
      <w:r>
        <w:rPr>
          <w:rFonts w:ascii="Arial" w:cs="Arial" w:eastAsia="Arial" w:hAnsi="Arial"/>
          <w:sz w:val="18"/>
          <w:szCs w:val="18"/>
          <w:color w:val="auto"/>
        </w:rPr>
        <w:t>. The Series E Investor shall have an option for a period of ten (10) days following receipt of the Second Notice (the “</w:t>
      </w:r>
      <w:r>
        <w:rPr>
          <w:rFonts w:ascii="Arial" w:cs="Arial" w:eastAsia="Arial" w:hAnsi="Arial"/>
          <w:sz w:val="18"/>
          <w:szCs w:val="18"/>
          <w:b w:val="1"/>
          <w:bCs w:val="1"/>
          <w:color w:val="auto"/>
        </w:rPr>
        <w:t>Series E Investor’s Option Period</w:t>
      </w:r>
      <w:r>
        <w:rPr>
          <w:rFonts w:ascii="Arial" w:cs="Arial" w:eastAsia="Arial" w:hAnsi="Arial"/>
          <w:sz w:val="18"/>
          <w:szCs w:val="18"/>
          <w:color w:val="auto"/>
        </w:rPr>
        <w:t xml:space="preserve">”) to elect to purchase all or any portion of the Offered Shares which the Company did not elect to purchase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at the same price and subject to the same material terms and conditions as described in the Transfer Notice, by notifying the Transferor and the Company in writing before the expiration of the Series E Investor’s Option Period of the number of such Offered Shares that it wishes to purchase. Within three (3) days after expiration of the Series E Investor’s Option Period, the Transferor shall deliver written notice to Series D Investor (the “</w:t>
      </w:r>
      <w:r>
        <w:rPr>
          <w:rFonts w:ascii="Arial" w:cs="Arial" w:eastAsia="Arial" w:hAnsi="Arial"/>
          <w:sz w:val="18"/>
          <w:szCs w:val="18"/>
          <w:b w:val="1"/>
          <w:bCs w:val="1"/>
          <w:color w:val="auto"/>
        </w:rPr>
        <w:t>Third Notice</w:t>
      </w:r>
      <w:r>
        <w:rPr>
          <w:rFonts w:ascii="Arial" w:cs="Arial" w:eastAsia="Arial" w:hAnsi="Arial"/>
          <w:sz w:val="18"/>
          <w:szCs w:val="18"/>
          <w:color w:val="auto"/>
        </w:rPr>
        <w:t xml:space="preserve">”) setting forth the number of Offered Shares, if any, which the Series E Investor did not elect to purchase. Subject to applicable securities Laws, the Series E Investor shall be entitled to apportion Offered Shares to be purchased among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Series E Investor notifies the Company and the Transferor in writing.</w:t>
      </w:r>
    </w:p>
    <w:p>
      <w:pPr>
        <w:spacing w:after="0" w:line="19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Series D Investor’s Option</w:t>
      </w:r>
      <w:r>
        <w:rPr>
          <w:rFonts w:ascii="Arial" w:cs="Arial" w:eastAsia="Arial" w:hAnsi="Arial"/>
          <w:sz w:val="16"/>
          <w:szCs w:val="16"/>
          <w:color w:val="auto"/>
        </w:rPr>
        <w:t>. The Series D Investor shall have an option for a period of ten (10) days following receipt of the Third Notice (the “</w:t>
      </w:r>
      <w:r>
        <w:rPr>
          <w:rFonts w:ascii="Arial" w:cs="Arial" w:eastAsia="Arial" w:hAnsi="Arial"/>
          <w:sz w:val="16"/>
          <w:szCs w:val="16"/>
          <w:b w:val="1"/>
          <w:bCs w:val="1"/>
          <w:color w:val="auto"/>
        </w:rPr>
        <w:t>Series D Investor’s Option Period</w:t>
      </w:r>
      <w:r>
        <w:rPr>
          <w:rFonts w:ascii="Arial" w:cs="Arial" w:eastAsia="Arial" w:hAnsi="Arial"/>
          <w:sz w:val="16"/>
          <w:szCs w:val="16"/>
          <w:color w:val="auto"/>
        </w:rPr>
        <w:t xml:space="preserve">”) to elect to purchase all or any portion of the Offered Shares which the Series E Investor did not elect to purchase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at the same price and subject to the same material terms and conditions as described in the Transfer Notice, by notifying the Transferor and the Company in writing before the expiration of the Series D Investor’s Option Period of the number of such Offered Shares that it wishes to purchase. Within three (3) days after expiration of the Series D Investor’s Option Period, the Transferor shall deliver written notice to the A and B Holders (the “</w:t>
      </w:r>
      <w:r>
        <w:rPr>
          <w:rFonts w:ascii="Arial" w:cs="Arial" w:eastAsia="Arial" w:hAnsi="Arial"/>
          <w:sz w:val="16"/>
          <w:szCs w:val="16"/>
          <w:b w:val="1"/>
          <w:bCs w:val="1"/>
          <w:color w:val="auto"/>
        </w:rPr>
        <w:t>Fourth Notice</w:t>
      </w:r>
      <w:r>
        <w:rPr>
          <w:rFonts w:ascii="Arial" w:cs="Arial" w:eastAsia="Arial" w:hAnsi="Arial"/>
          <w:sz w:val="16"/>
          <w:szCs w:val="16"/>
          <w:color w:val="auto"/>
        </w:rPr>
        <w:t>”) setting forth the number of Offered Shares, if any, which the Series D Investor did not elect to purchase.</w:t>
      </w:r>
    </w:p>
    <w:p>
      <w:pPr>
        <w:spacing w:after="0" w:line="16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A and B Holders’ Option.</w:t>
      </w:r>
    </w:p>
    <w:p>
      <w:pPr>
        <w:spacing w:after="0" w:line="221" w:lineRule="exact"/>
        <w:rPr>
          <w:sz w:val="20"/>
          <w:szCs w:val="20"/>
          <w:color w:val="auto"/>
        </w:rPr>
      </w:pPr>
    </w:p>
    <w:p>
      <w:pPr>
        <w:ind w:firstLine="921"/>
        <w:spacing w:after="0" w:line="258" w:lineRule="auto"/>
        <w:tabs>
          <w:tab w:leader="none" w:pos="129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Each A and B Holder shall have an option for a period of ten (10) days following receipt of the Fourth Notice (the “</w:t>
      </w:r>
      <w:r>
        <w:rPr>
          <w:rFonts w:ascii="Arial" w:cs="Arial" w:eastAsia="Arial" w:hAnsi="Arial"/>
          <w:sz w:val="18"/>
          <w:szCs w:val="18"/>
          <w:b w:val="1"/>
          <w:bCs w:val="1"/>
          <w:color w:val="auto"/>
        </w:rPr>
        <w:t>A and B Holders’</w:t>
      </w:r>
      <w:r>
        <w:rPr>
          <w:rFonts w:ascii="Arial" w:cs="Arial" w:eastAsia="Arial" w:hAnsi="Arial"/>
          <w:sz w:val="18"/>
          <w:szCs w:val="18"/>
          <w:color w:val="auto"/>
        </w:rPr>
        <w:t xml:space="preserve"> </w:t>
      </w:r>
      <w:r>
        <w:rPr>
          <w:rFonts w:ascii="Arial" w:cs="Arial" w:eastAsia="Arial" w:hAnsi="Arial"/>
          <w:sz w:val="18"/>
          <w:szCs w:val="18"/>
          <w:b w:val="1"/>
          <w:bCs w:val="1"/>
          <w:color w:val="auto"/>
        </w:rPr>
        <w:t>Option Period</w:t>
      </w:r>
      <w:r>
        <w:rPr>
          <w:rFonts w:ascii="Arial" w:cs="Arial" w:eastAsia="Arial" w:hAnsi="Arial"/>
          <w:sz w:val="18"/>
          <w:szCs w:val="18"/>
          <w:color w:val="auto"/>
        </w:rPr>
        <w:t>”) to elect to purchase all or any portion of its respective Pro Rata Share of the Offered Shares which the Series D Investor did not elect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at the same price and subject to the same material terms and conditions as described in the Transfer Notice, by notifying the Transferor and the Company in writing before expiration of the A and B Holders’ Option Period as to the number of such Offered Shares that it wishes to purchase.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391" w:name="page392"/>
    <w:bookmarkEnd w:id="391"/>
    <w:p>
      <w:pPr>
        <w:ind w:right="80" w:firstLine="921"/>
        <w:spacing w:after="0" w:line="259" w:lineRule="auto"/>
        <w:tabs>
          <w:tab w:leader="none" w:pos="1303"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purposes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each such A and B Holder’s “Pro Rata Share” of the Offered Shares shall be equal to (i) the total number of Offered Shares which the Series D Investor did not elect to purchase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multiplied by (ii) a fraction, the numerator of which shall be the aggregate number of Conversion Shares held by such A and B Holder on the date of the Fourth Notice and the denominator of which shall be the total number of Conversion Shares held by all A and B Holders on the date of the Fourth Notice.</w:t>
      </w:r>
    </w:p>
    <w:p>
      <w:pPr>
        <w:spacing w:after="0" w:line="186" w:lineRule="exact"/>
        <w:rPr>
          <w:rFonts w:ascii="Arial" w:cs="Arial" w:eastAsia="Arial" w:hAnsi="Arial"/>
          <w:sz w:val="18"/>
          <w:szCs w:val="18"/>
          <w:color w:val="auto"/>
        </w:rPr>
      </w:pPr>
    </w:p>
    <w:p>
      <w:pPr>
        <w:ind w:firstLine="921"/>
        <w:spacing w:after="0" w:line="272" w:lineRule="auto"/>
        <w:tabs>
          <w:tab w:leader="none" w:pos="129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If any such A and B Holder fails to exercise its right to purchase its full Pro Rata Share of the available Offered Shares, the Transferor shall deliver written notice (the “</w:t>
      </w:r>
      <w:r>
        <w:rPr>
          <w:rFonts w:ascii="Arial" w:cs="Arial" w:eastAsia="Arial" w:hAnsi="Arial"/>
          <w:sz w:val="17"/>
          <w:szCs w:val="17"/>
          <w:b w:val="1"/>
          <w:bCs w:val="1"/>
          <w:color w:val="auto"/>
        </w:rPr>
        <w:t>Fifth Notice</w:t>
      </w:r>
      <w:r>
        <w:rPr>
          <w:rFonts w:ascii="Arial" w:cs="Arial" w:eastAsia="Arial" w:hAnsi="Arial"/>
          <w:sz w:val="17"/>
          <w:szCs w:val="17"/>
          <w:color w:val="auto"/>
        </w:rPr>
        <w:t>”) within five (5) days after the expiration of the A and B Holders’ Option Period to the Company and each A and B Holder that elected to purchase its entire Pro Rata Share of the Offered Shares (an “</w:t>
      </w:r>
      <w:r>
        <w:rPr>
          <w:rFonts w:ascii="Arial" w:cs="Arial" w:eastAsia="Arial" w:hAnsi="Arial"/>
          <w:sz w:val="17"/>
          <w:szCs w:val="17"/>
          <w:b w:val="1"/>
          <w:bCs w:val="1"/>
          <w:color w:val="auto"/>
        </w:rPr>
        <w:t>Exercising Shareholder</w:t>
      </w:r>
      <w:r>
        <w:rPr>
          <w:rFonts w:ascii="Arial" w:cs="Arial" w:eastAsia="Arial" w:hAnsi="Arial"/>
          <w:sz w:val="17"/>
          <w:szCs w:val="17"/>
          <w:color w:val="auto"/>
        </w:rPr>
        <w:t xml:space="preserve">”). The Exercising Shareholders shall have a right of re-allotment, and may exercise an additional right to purchase such unpurchased Offered Shares by notifying the Transferor and the Company in writing within ten (10) days after receipt of the Fifth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Exercising Shareholders desire to purchase in aggregate more than the number of such unpurchased Offered Shares, then such unpurchased Offered Shares will be allocated to the extent necessary among the Exercising Shareholders in accordance with their relative Pro Rata Shares.</w:t>
      </w:r>
    </w:p>
    <w:p>
      <w:pPr>
        <w:spacing w:after="0" w:line="177" w:lineRule="exact"/>
        <w:rPr>
          <w:rFonts w:ascii="Arial" w:cs="Arial" w:eastAsia="Arial" w:hAnsi="Arial"/>
          <w:sz w:val="17"/>
          <w:szCs w:val="17"/>
          <w:color w:val="auto"/>
        </w:rPr>
      </w:pPr>
    </w:p>
    <w:p>
      <w:pPr>
        <w:ind w:right="300" w:firstLine="921"/>
        <w:spacing w:after="0" w:line="277" w:lineRule="auto"/>
        <w:tabs>
          <w:tab w:leader="none" w:pos="130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Subject to applicable securities Laws, each such A and B Holder shall be entitled to apportion Offered Shares to be purchased among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 and B Holder notifies the Company and the Transferor in writing.</w:t>
      </w:r>
    </w:p>
    <w:p>
      <w:pPr>
        <w:spacing w:after="0" w:line="170" w:lineRule="exact"/>
        <w:rPr>
          <w:rFonts w:ascii="Arial" w:cs="Arial" w:eastAsia="Arial" w:hAnsi="Arial"/>
          <w:sz w:val="18"/>
          <w:szCs w:val="18"/>
          <w:color w:val="auto"/>
        </w:rPr>
      </w:pPr>
    </w:p>
    <w:p>
      <w:pPr>
        <w:ind w:right="300" w:firstLine="921"/>
        <w:spacing w:after="0" w:line="308" w:lineRule="auto"/>
        <w:tabs>
          <w:tab w:leader="none" w:pos="128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Within three (3) days after expiration of the A and B Holders’ Option Period, the Transferor shall deliver a written notice to the Series C Investor (the “</w:t>
      </w:r>
      <w:r>
        <w:rPr>
          <w:rFonts w:ascii="Arial" w:cs="Arial" w:eastAsia="Arial" w:hAnsi="Arial"/>
          <w:sz w:val="17"/>
          <w:szCs w:val="17"/>
          <w:b w:val="1"/>
          <w:bCs w:val="1"/>
          <w:color w:val="auto"/>
        </w:rPr>
        <w:t>Sixth Notice</w:t>
      </w:r>
      <w:r>
        <w:rPr>
          <w:rFonts w:ascii="Arial" w:cs="Arial" w:eastAsia="Arial" w:hAnsi="Arial"/>
          <w:sz w:val="17"/>
          <w:szCs w:val="17"/>
          <w:color w:val="auto"/>
        </w:rPr>
        <w:t>”) setting forth the number of Offered Shares, if any, which the A and B Holders did not elect to purchase.</w:t>
      </w:r>
    </w:p>
    <w:p>
      <w:pPr>
        <w:spacing w:after="0" w:line="14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Series C Investor’s Option</w:t>
      </w:r>
      <w:r>
        <w:rPr>
          <w:rFonts w:ascii="Arial" w:cs="Arial" w:eastAsia="Arial" w:hAnsi="Arial"/>
          <w:sz w:val="16"/>
          <w:szCs w:val="16"/>
          <w:color w:val="auto"/>
        </w:rPr>
        <w:t>. The Series C Investor shall have an option for a period of ten (10) days following receipt of the Sixth Notice (the “</w:t>
      </w:r>
      <w:r>
        <w:rPr>
          <w:rFonts w:ascii="Arial" w:cs="Arial" w:eastAsia="Arial" w:hAnsi="Arial"/>
          <w:sz w:val="16"/>
          <w:szCs w:val="16"/>
          <w:b w:val="1"/>
          <w:bCs w:val="1"/>
          <w:color w:val="auto"/>
        </w:rPr>
        <w:t>Series C Investor’s Option Period</w:t>
      </w:r>
      <w:r>
        <w:rPr>
          <w:rFonts w:ascii="Arial" w:cs="Arial" w:eastAsia="Arial" w:hAnsi="Arial"/>
          <w:sz w:val="16"/>
          <w:szCs w:val="16"/>
          <w:color w:val="auto"/>
        </w:rPr>
        <w:t xml:space="preserve">”) to elect to purchase all or any portion of the Offered Shares which the the A and B Holders did not elect to purchase pursuant to </w:t>
      </w:r>
      <w:r>
        <w:rPr>
          <w:rFonts w:ascii="Arial" w:cs="Arial" w:eastAsia="Arial" w:hAnsi="Arial"/>
          <w:sz w:val="16"/>
          <w:szCs w:val="16"/>
          <w:u w:val="single" w:color="auto"/>
          <w:color w:val="auto"/>
        </w:rPr>
        <w:t>Section 10.5</w:t>
      </w:r>
      <w:r>
        <w:rPr>
          <w:rFonts w:ascii="Arial" w:cs="Arial" w:eastAsia="Arial" w:hAnsi="Arial"/>
          <w:sz w:val="16"/>
          <w:szCs w:val="16"/>
          <w:color w:val="auto"/>
        </w:rPr>
        <w:t>, at the same price and subject to the same material terms and conditions as described in the Transfer Notice, by notifying the Transferor and the Company in writing before the expiration of the Series C Investor’s Option Period of the number of such Offered Shares that it wishes to purchase. Within three (3) days after expiration of the Series C Investor’s Option Period, the Transferor shall deliver written notice to the Ordinary Investors (the “</w:t>
      </w:r>
      <w:r>
        <w:rPr>
          <w:rFonts w:ascii="Arial" w:cs="Arial" w:eastAsia="Arial" w:hAnsi="Arial"/>
          <w:sz w:val="16"/>
          <w:szCs w:val="16"/>
          <w:b w:val="1"/>
          <w:bCs w:val="1"/>
          <w:color w:val="auto"/>
        </w:rPr>
        <w:t>Seventh Notice</w:t>
      </w:r>
      <w:r>
        <w:rPr>
          <w:rFonts w:ascii="Arial" w:cs="Arial" w:eastAsia="Arial" w:hAnsi="Arial"/>
          <w:sz w:val="16"/>
          <w:szCs w:val="16"/>
          <w:color w:val="auto"/>
        </w:rPr>
        <w:t>”) setting forth the number of Offered Shares, if any, which the Series C Investor did not elect to purchase.</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Ordinary Investors’ Option</w:t>
      </w:r>
      <w:r>
        <w:rPr>
          <w:rFonts w:ascii="Arial" w:cs="Arial" w:eastAsia="Arial" w:hAnsi="Arial"/>
          <w:sz w:val="17"/>
          <w:szCs w:val="17"/>
          <w:color w:val="auto"/>
        </w:rPr>
        <w:t>. Each Ordinary Investor shall have an option for a period of ten (10) days following receipt of the Seventh Notice (the “</w:t>
      </w:r>
      <w:r>
        <w:rPr>
          <w:rFonts w:ascii="Arial" w:cs="Arial" w:eastAsia="Arial" w:hAnsi="Arial"/>
          <w:sz w:val="17"/>
          <w:szCs w:val="17"/>
          <w:b w:val="1"/>
          <w:bCs w:val="1"/>
          <w:color w:val="auto"/>
        </w:rPr>
        <w:t>Ordinary Investors’ Option Period</w:t>
      </w:r>
      <w:r>
        <w:rPr>
          <w:rFonts w:ascii="Arial" w:cs="Arial" w:eastAsia="Arial" w:hAnsi="Arial"/>
          <w:sz w:val="17"/>
          <w:szCs w:val="17"/>
          <w:color w:val="auto"/>
        </w:rPr>
        <w:t xml:space="preserve">”) to elect to purchase all or any portion of its respective Pro Rata Share of the Offered Shares which the Series C Investor did not elect to purchase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at the same price and subject to the same material terms and conditions as described in the Transfer Notice, by notifying the Transferor and the Company in writing before the expiration of the Ordinary Investors’ Option Period of the number of Offered Shares that it wishes to purchase. For the purposes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each Ordinary Investor’s “Pro Rata Share” of the Offered Shares shall be equal to (x) the total number of Offered Shares which the Series C Investor did not elect to purchase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multiplied by (y) a fraction, the numerator of which shall be the aggregate number of Ordinary Shares held by such Ordinary Investor other than any Ordinary Investor who is also the Series D Investor or A and B Holder (on a fully-diluted basis) on the date of the Seventh Notice and the denominator of which shall be the total number of Ordinary Shares held by all such Ordinary Investors (on a fully-diluted basis) on the date of the Seventh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392" w:name="page393"/>
    <w:bookmarkEnd w:id="392"/>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10.8 </w:t>
      </w: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If the Company and/or the Series E Investor and/or the Series D Investor and/or any A and B Holder and/or the Series C Investor and/or any Ordinary Investor gives the Transferor notice that it desires to purchase Offered Shares, and, as the case may be, its re-allotment, then payment for the Offered Shares to be purchased shall be by wire transfer in immediately available funds of the appropriate currency, against allotment of such Offered Shares to be purchased, at a place agreed to by the Transferor, the Company, and all the participating Series E Investor, Series D Investor, A and B Holders and/or Series C Investor and/or Ordinary Investors and at the time of the scheduled closing therefor, no later than thirty (30) days after the expiration of the Company’s Option Period, the Series E Investor’s Option Period, the Series D Investor’s Option Period, the A and B Holders’ Option Period, the Series C Investor’s Option Period and the Ordinary Investors’ Option period, as applicable, unless the Transfer Notice contemplated a later closing with the prospective third party transferee or unless the value of the purchase price has not yet been established pursuant to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The Transferor shall have the right to terminate or withdraw any Transfer Notice and any intent to Transfer Offered Shares at any time, whether or not the Company and/or the Series E Investor and/or the Series D Investor, and/or A and B Holder and/or the Series C Investor and/or any Ordinary Investor has elected to purchase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any Offered Shares offered thereby.</w:t>
      </w:r>
    </w:p>
    <w:p>
      <w:pPr>
        <w:spacing w:after="0" w:line="18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Valuation of Property</w:t>
      </w:r>
      <w:r>
        <w:rPr>
          <w:rFonts w:ascii="Arial" w:cs="Arial" w:eastAsia="Arial" w:hAnsi="Arial"/>
          <w:sz w:val="16"/>
          <w:szCs w:val="16"/>
          <w:color w:val="auto"/>
        </w:rPr>
        <w:t>.</w:t>
      </w:r>
    </w:p>
    <w:p>
      <w:pPr>
        <w:spacing w:after="0" w:line="225" w:lineRule="exact"/>
        <w:rPr>
          <w:sz w:val="20"/>
          <w:szCs w:val="20"/>
          <w:color w:val="auto"/>
        </w:rPr>
      </w:pPr>
    </w:p>
    <w:p>
      <w:pPr>
        <w:ind w:firstLine="921"/>
        <w:spacing w:after="0" w:line="264" w:lineRule="auto"/>
        <w:tabs>
          <w:tab w:leader="none" w:pos="129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Should the purchase price specified in the Transfer Notice be payable in property other than cash or evidences of indebtedness, the Company, the Series E Investor, the Series D Investor, the A and B Holders, the Series C Investor and/or the Ordinary Investors shall have the right to pay the purchase price in the form of cash equal in amount to the fair market value of such property.</w:t>
      </w:r>
    </w:p>
    <w:p>
      <w:pPr>
        <w:spacing w:after="0" w:line="181" w:lineRule="exact"/>
        <w:rPr>
          <w:rFonts w:ascii="Arial" w:cs="Arial" w:eastAsia="Arial" w:hAnsi="Arial"/>
          <w:sz w:val="18"/>
          <w:szCs w:val="18"/>
          <w:color w:val="auto"/>
        </w:rPr>
      </w:pPr>
    </w:p>
    <w:p>
      <w:pPr>
        <w:ind w:right="100" w:firstLine="921"/>
        <w:spacing w:after="0" w:line="273" w:lineRule="auto"/>
        <w:tabs>
          <w:tab w:leader="none" w:pos="1303"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If the Transferor, the Company and the Series E Investor cannot agree on such fair market value within the Series E Investor’s Option Period, the valuation shall be made by an appraiser of internationally recognized standing jointly selected by the Transferor, the Company (if the Company has elected to purchase any Offered Shares), and the Series E Investor (if the Series E Investor has elected to purchase any Offered Shares) or, if they cannot agree on an appraiser within the Company’s Option Period (or the Series E Investor’s Option Period if the Company does not elect to purchase all Offered Shares), each shall select an appraiser of internationally recognized standing and the two appraisers shall designate a third appraiser of internationally recognized standing, whose appraisal shall be determinative of such value.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73" w:right="279" w:bottom="1440" w:gutter="0" w:footer="0" w:header="0"/>
        </w:sectPr>
      </w:pPr>
    </w:p>
    <w:bookmarkStart w:id="393" w:name="page394"/>
    <w:bookmarkEnd w:id="393"/>
    <w:p>
      <w:pPr>
        <w:jc w:val="both"/>
        <w:ind w:left="-8" w:right="80" w:firstLine="921"/>
        <w:spacing w:after="0" w:line="259" w:lineRule="auto"/>
        <w:tabs>
          <w:tab w:leader="none" w:pos="1281" w:val="left"/>
        </w:tabs>
        <w:numPr>
          <w:ilvl w:val="1"/>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cost of such appraisal shall be shared equally by the Transferor, on the one hand, and the Company and the Series E Investor (if Series E Investor has elected to purchase any Offered Shares), on the other hand, with the portion of the cost borne by the Company and the Series E Investor to be borne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by the Company and the Series E Investor based on the number of Offered Shares such Party has elected to purchase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8" w:right="380" w:firstLine="921"/>
        <w:spacing w:after="0" w:line="264" w:lineRule="auto"/>
        <w:tabs>
          <w:tab w:leader="none" w:pos="129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If the value of the purchase price offered by the prospective transferee is not determined within the thirty (30) day period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above, the closing of the purchase of Offered Shares by the Company and/or the Series E Investor shall be held on or prior to the fifth (5th) business day after such valuation shall have been made pursuant to this </w:t>
      </w:r>
      <w:r>
        <w:rPr>
          <w:rFonts w:ascii="Arial" w:cs="Arial" w:eastAsia="Arial" w:hAnsi="Arial"/>
          <w:sz w:val="18"/>
          <w:szCs w:val="18"/>
          <w:u w:val="single" w:color="auto"/>
          <w:color w:val="auto"/>
        </w:rPr>
        <w:t>Section 10.9</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8" w:right="40" w:firstLine="921"/>
        <w:spacing w:after="0" w:line="279" w:lineRule="auto"/>
        <w:tabs>
          <w:tab w:leader="none" w:pos="1285" w:val="left"/>
        </w:tabs>
        <w:numPr>
          <w:ilvl w:val="1"/>
          <w:numId w:val="379"/>
        </w:numPr>
        <w:rPr>
          <w:rFonts w:ascii="Arial" w:cs="Arial" w:eastAsia="Arial" w:hAnsi="Arial"/>
          <w:sz w:val="17"/>
          <w:szCs w:val="17"/>
          <w:color w:val="auto"/>
        </w:rPr>
      </w:pPr>
      <w:r>
        <w:rPr>
          <w:rFonts w:ascii="Arial" w:cs="Arial" w:eastAsia="Arial" w:hAnsi="Arial"/>
          <w:sz w:val="17"/>
          <w:szCs w:val="17"/>
          <w:color w:val="auto"/>
        </w:rPr>
        <w:t xml:space="preserve">If the Third Notice has been issued and the fair market value of such property has not been agreed or determined by the Transferor, the Company and the Series E Investor pursuant to paragraphs (b) to (d) above, the Transferor, the Company and Series D Investor shall agree or determine such fair market value on substantially the same terms as set out in paragraphs (b) to (d) </w:t>
      </w:r>
      <w:r>
        <w:rPr>
          <w:rFonts w:ascii="Arial" w:cs="Arial" w:eastAsia="Arial" w:hAnsi="Arial"/>
          <w:sz w:val="17"/>
          <w:szCs w:val="17"/>
          <w:i w:val="1"/>
          <w:iCs w:val="1"/>
          <w:color w:val="auto"/>
        </w:rPr>
        <w:t>mutatis mutandis</w:t>
      </w:r>
      <w:r>
        <w:rPr>
          <w:rFonts w:ascii="Arial" w:cs="Arial" w:eastAsia="Arial" w:hAnsi="Arial"/>
          <w:sz w:val="17"/>
          <w:szCs w:val="17"/>
          <w:color w:val="auto"/>
        </w:rPr>
        <w:t>, by replacing all references to “Series E Investor” by “Series D Investor” and all references to “Series E Investor’s Option Period” by “Series D Investor’s Option Period”.</w:t>
      </w:r>
    </w:p>
    <w:p>
      <w:pPr>
        <w:spacing w:after="0" w:line="171" w:lineRule="exact"/>
        <w:rPr>
          <w:rFonts w:ascii="Arial" w:cs="Arial" w:eastAsia="Arial" w:hAnsi="Arial"/>
          <w:sz w:val="17"/>
          <w:szCs w:val="17"/>
          <w:color w:val="auto"/>
        </w:rPr>
      </w:pPr>
    </w:p>
    <w:p>
      <w:pPr>
        <w:ind w:left="-8" w:firstLine="921"/>
        <w:spacing w:after="0" w:line="302" w:lineRule="auto"/>
        <w:tabs>
          <w:tab w:leader="none" w:pos="1265" w:val="left"/>
        </w:tabs>
        <w:numPr>
          <w:ilvl w:val="1"/>
          <w:numId w:val="379"/>
        </w:numPr>
        <w:rPr>
          <w:rFonts w:ascii="Arial" w:cs="Arial" w:eastAsia="Arial" w:hAnsi="Arial"/>
          <w:sz w:val="16"/>
          <w:szCs w:val="16"/>
          <w:color w:val="auto"/>
        </w:rPr>
      </w:pPr>
      <w:r>
        <w:rPr>
          <w:rFonts w:ascii="Arial" w:cs="Arial" w:eastAsia="Arial" w:hAnsi="Arial"/>
          <w:sz w:val="16"/>
          <w:szCs w:val="16"/>
          <w:color w:val="auto"/>
        </w:rPr>
        <w:t xml:space="preserve">If the Fourth Notice has been issued and the fair market value of such property has not been agreed or determined by the Transferor, the Company, the Series E Investor and the Series D Investor pursuant to paragraphs (b) to (e) above, the Transferor, the Company and the A and B Holders shall agree or determine such fair market value on substantially the same terms as set out in paragraphs (b) to (d) </w:t>
      </w:r>
      <w:r>
        <w:rPr>
          <w:rFonts w:ascii="Arial" w:cs="Arial" w:eastAsia="Arial" w:hAnsi="Arial"/>
          <w:sz w:val="16"/>
          <w:szCs w:val="16"/>
          <w:i w:val="1"/>
          <w:iCs w:val="1"/>
          <w:color w:val="auto"/>
        </w:rPr>
        <w:t>mutatis mutandis</w:t>
      </w:r>
      <w:r>
        <w:rPr>
          <w:rFonts w:ascii="Arial" w:cs="Arial" w:eastAsia="Arial" w:hAnsi="Arial"/>
          <w:sz w:val="16"/>
          <w:szCs w:val="16"/>
          <w:color w:val="auto"/>
        </w:rPr>
        <w:t>, by replacing all references to “Series E Investor” by “A and B Holders” and all references to “Series E Investor’s Option Period” by “A and B Holders’ Option Period”.</w:t>
      </w:r>
    </w:p>
    <w:p>
      <w:pPr>
        <w:spacing w:after="0" w:line="154" w:lineRule="exact"/>
        <w:rPr>
          <w:rFonts w:ascii="Arial" w:cs="Arial" w:eastAsia="Arial" w:hAnsi="Arial"/>
          <w:sz w:val="16"/>
          <w:szCs w:val="16"/>
          <w:color w:val="auto"/>
        </w:rPr>
      </w:pPr>
    </w:p>
    <w:p>
      <w:pPr>
        <w:ind w:left="-8" w:firstLine="921"/>
        <w:spacing w:after="0" w:line="257" w:lineRule="auto"/>
        <w:tabs>
          <w:tab w:leader="none" w:pos="129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If the Sixth Notice has been issued and the fair market value of such property has not been agreed or determined by the Transferor, the Company, the Series E Investor, the Series D Investor, and the A and B Holders pursuant to paragraphs (b) to (f) above, the Transferor, the Company and Series C Investor shall agree or determine such fair market value on substantially the same terms as set out in paragraphs (b) to (d), </w:t>
      </w:r>
      <w:r>
        <w:rPr>
          <w:rFonts w:ascii="Arial" w:cs="Arial" w:eastAsia="Arial" w:hAnsi="Arial"/>
          <w:sz w:val="18"/>
          <w:szCs w:val="18"/>
          <w:i w:val="1"/>
          <w:iCs w:val="1"/>
          <w:color w:val="auto"/>
        </w:rPr>
        <w:t>mutatis mutandis</w:t>
      </w:r>
      <w:r>
        <w:rPr>
          <w:rFonts w:ascii="Arial" w:cs="Arial" w:eastAsia="Arial" w:hAnsi="Arial"/>
          <w:sz w:val="18"/>
          <w:szCs w:val="18"/>
          <w:color w:val="auto"/>
        </w:rPr>
        <w:t>, by replacing all references to “Series E Investor” by “Series C Investor” and all references to “Series E Investor’s Option Period” by “Series C Investor’s Option Period”.</w:t>
      </w:r>
    </w:p>
    <w:p>
      <w:pPr>
        <w:spacing w:after="0" w:line="188" w:lineRule="exact"/>
        <w:rPr>
          <w:rFonts w:ascii="Arial" w:cs="Arial" w:eastAsia="Arial" w:hAnsi="Arial"/>
          <w:sz w:val="18"/>
          <w:szCs w:val="18"/>
          <w:color w:val="auto"/>
        </w:rPr>
      </w:pPr>
    </w:p>
    <w:p>
      <w:pPr>
        <w:ind w:left="-8" w:right="120" w:firstLine="921"/>
        <w:spacing w:after="0" w:line="288" w:lineRule="auto"/>
        <w:tabs>
          <w:tab w:leader="none" w:pos="1295" w:val="left"/>
        </w:tabs>
        <w:numPr>
          <w:ilvl w:val="1"/>
          <w:numId w:val="379"/>
        </w:numPr>
        <w:rPr>
          <w:rFonts w:ascii="Arial" w:cs="Arial" w:eastAsia="Arial" w:hAnsi="Arial"/>
          <w:sz w:val="16"/>
          <w:szCs w:val="16"/>
          <w:color w:val="auto"/>
        </w:rPr>
      </w:pPr>
      <w:r>
        <w:rPr>
          <w:rFonts w:ascii="Arial" w:cs="Arial" w:eastAsia="Arial" w:hAnsi="Arial"/>
          <w:sz w:val="16"/>
          <w:szCs w:val="16"/>
          <w:color w:val="auto"/>
        </w:rPr>
        <w:t>If the Seventh Notice has been issued and the fair market value of such property has not been agreed or determined by the Transferor, the Company, the Series E Investor, the Series D Investor, the A and B Holders and/or the Series C Investor pursuant to paragraphs (b) to (g) above, the Transferor, the Company and the Ordinary Investors shall agree or determine such fair market value on substantially the same terms as set out in paragraphs</w:t>
      </w:r>
    </w:p>
    <w:p>
      <w:pPr>
        <w:ind w:left="-8" w:right="460" w:firstLine="8"/>
        <w:spacing w:after="0" w:line="261" w:lineRule="auto"/>
        <w:tabs>
          <w:tab w:leader="none" w:pos="2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to (d), </w:t>
      </w:r>
      <w:r>
        <w:rPr>
          <w:rFonts w:ascii="Arial" w:cs="Arial" w:eastAsia="Arial" w:hAnsi="Arial"/>
          <w:sz w:val="18"/>
          <w:szCs w:val="18"/>
          <w:i w:val="1"/>
          <w:iCs w:val="1"/>
          <w:color w:val="auto"/>
        </w:rPr>
        <w:t>mutatis mutandis</w:t>
      </w:r>
      <w:r>
        <w:rPr>
          <w:rFonts w:ascii="Arial" w:cs="Arial" w:eastAsia="Arial" w:hAnsi="Arial"/>
          <w:sz w:val="18"/>
          <w:szCs w:val="18"/>
          <w:color w:val="auto"/>
        </w:rPr>
        <w:t>, by replacing all references to “Series E Investor” by “Ordinary Investors” and all references to “Series E Investor’s Option Period” by “Ordinary Investors’ Option Period”.</w:t>
      </w:r>
    </w:p>
    <w:p>
      <w:pPr>
        <w:spacing w:after="0" w:line="11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52"/>
          </w:cols>
          <w:pgMar w:left="248" w:top="274" w:right="299" w:bottom="1440" w:gutter="0" w:footer="0" w:header="0"/>
        </w:sectPr>
      </w:pPr>
    </w:p>
    <w:bookmarkStart w:id="394" w:name="page395"/>
    <w:bookmarkEnd w:id="394"/>
    <w:p>
      <w:pPr>
        <w:ind w:left="460"/>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10.10</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give an Ordinary Shareholder that is not an Ordinary Investor any right of first-refusal over the Offered Shares.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11 RIGHT OF CO-SALE</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11.1 In the event that the Company and/or the Series E Investor and/or the Series D Investor and/or the A and B Holders and/or the Series C Investor and/or the Ordinary Investors do not exercise their respective rights of first refusal as to all of the Equity Securities proposed to be sold by any Transferor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the Transferor shall within five (5) days upon the expiration of the Ordinary Investors’ Option Period give a written notice (“</w:t>
      </w:r>
      <w:r>
        <w:rPr>
          <w:rFonts w:ascii="Arial" w:cs="Arial" w:eastAsia="Arial" w:hAnsi="Arial"/>
          <w:sz w:val="17"/>
          <w:szCs w:val="17"/>
          <w:b w:val="1"/>
          <w:bCs w:val="1"/>
          <w:color w:val="auto"/>
        </w:rPr>
        <w:t>Co-Sale</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to each of the Series E Investor, Series D Investor, the A and B Holders, the Series C Investor and the Ordinary Investors who did not exercise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 of first refusal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Series E Investor, if it did not exercise its right of first refusal under </w:t>
      </w:r>
      <w:r>
        <w:rPr>
          <w:rFonts w:ascii="Arial" w:cs="Arial" w:eastAsia="Arial" w:hAnsi="Arial"/>
          <w:sz w:val="17"/>
          <w:szCs w:val="17"/>
          <w:u w:val="single" w:color="auto"/>
          <w:color w:val="auto"/>
        </w:rPr>
        <w:t>Section 10.3</w:t>
      </w:r>
      <w:r>
        <w:rPr>
          <w:rFonts w:ascii="Arial" w:cs="Arial" w:eastAsia="Arial" w:hAnsi="Arial"/>
          <w:sz w:val="17"/>
          <w:szCs w:val="17"/>
          <w:color w:val="auto"/>
        </w:rPr>
        <w:t>, shall have a right to participate in the sale of Equity Securities by the Transferor on the same terms and conditions as specified in the Transfer Notice (but in no event less favorable to the Transferor) by notifying the Transferor in writing within ten (10) days following the receipt of the Co-Sale Notice indicating the number of Equity Securities the Selling Shareholder wishes to sell under its right to participate. To the extent the Series E Investor exercises such right of participation (“</w:t>
      </w:r>
      <w:r>
        <w:rPr>
          <w:rFonts w:ascii="Arial" w:cs="Arial" w:eastAsia="Arial" w:hAnsi="Arial"/>
          <w:sz w:val="17"/>
          <w:szCs w:val="17"/>
          <w:b w:val="1"/>
          <w:bCs w:val="1"/>
          <w:color w:val="auto"/>
        </w:rPr>
        <w:t>Selling Shareholder</w:t>
      </w:r>
      <w:r>
        <w:rPr>
          <w:rFonts w:ascii="Arial" w:cs="Arial" w:eastAsia="Arial" w:hAnsi="Arial"/>
          <w:sz w:val="17"/>
          <w:szCs w:val="17"/>
          <w:color w:val="auto"/>
        </w:rPr>
        <w:t>”) in accordance with the terms and conditions set forth below, the number of Equity Securities that the Transferor may sell in the Transfer shall be correspondingly reduced.</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11.2 The total number of Equity Securities that the Selling Shareholder may elect to sell shall be equal to the product of (i) the aggregate number of the Offered Shares not purchased by the Company, Series E Investor, Series D Investor, the A and B Holders, Series C Investor and Ordinary Investors following the exercise or expiration of all rights of first refusal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multiplied by (ii) a fraction, the numerator of which is the number of Ordinary Shares (assuming the exercise, conversion and exchange of any Ordinary Share Equivalents) owned by the Selling Shareholder on the date of the Co-Sale Notice and the denominator of which is the total number of Ordinary Shares (assuming the exercise, conversion and exchange of any Ordinary Share Equivalents) owned by the Transferor and the Selling Shareholder on the date of the Co-Sale Notice.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The Selling Shareholder shall effect its participation in the sale by promptly delivering to the Transferor, for Transfer to the prospective purchaser, a duly executed share transfer form and one or more certificates, which represent the type and number of Equity Securities which the Selling Shareholder elects to sell;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the prospective third party purchaser objects to the delivery of Equity Securities in lieu of Ordinary Shares, the Selling Shareholder shall only allot and deliver Ordinary Shares (and therefore shall convert any such Equity Securities into Ordinary Shares) and certificates corresponding to such Ordinary Shares. The Company agrees to make any such conversion concurrent with the actual Transfer of such shares to the purchaser and contingent on such Transfer.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74" w:right="279" w:bottom="1440" w:gutter="0" w:footer="0" w:header="0"/>
        </w:sectPr>
      </w:pPr>
    </w:p>
    <w:bookmarkStart w:id="395" w:name="page396"/>
    <w:bookmarkEnd w:id="39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11.4 The share certificate or certificates that the Selling Shareholder delivers to the Transferor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be transferred to the prospective purchaser in consummation of the sale of the Equity Securities pursuant to the terms and conditions specified in the Transfer Notice, and the Transferor shall concurrently therewith remit to the Selling Shareholder that portion of the sale proceeds to which the Selling Shareholder is entitled by reason of its participation in such sale.</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11.5 To the extent that any prospective purchaser prohibits the participation of the Selling Shareholder exercising its co-sale rights hereunder in a proposed Transfer or otherwise refuses to purchase shares or other securities from the Selling Shareholder exercising its co-sale rights hereunder, the Transferor shall not sell to such prospective purchaser any Equity Securities unless and until, simultaneously with such sale, the Transferor shall purchase from the Selling Shareholder such shares or other securities that Selling Shareholder would otherwise be entitled to sell to the prospective purchaser pursuant to its co-sale rights for the same consideration and on the same terms and conditions as the proposed transfer described in the Transfer Notice.</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11.6 In the event that the Series E Investor does not exercise its respective rights of co-sale pursuant to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as to the total number of Equity Securities permitted to be sold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the Series D Investor if it did not exercise its right of first refusal under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may then participate in the sale of the balance of such Equity Securities proposed to be sold by the Transferor (the “</w:t>
      </w:r>
      <w:r>
        <w:rPr>
          <w:rFonts w:ascii="Arial" w:cs="Arial" w:eastAsia="Arial" w:hAnsi="Arial"/>
          <w:sz w:val="16"/>
          <w:szCs w:val="16"/>
          <w:b w:val="1"/>
          <w:bCs w:val="1"/>
          <w:color w:val="auto"/>
        </w:rPr>
        <w:t>Series D Co-Sale Shares</w:t>
      </w:r>
      <w:r>
        <w:rPr>
          <w:rFonts w:ascii="Arial" w:cs="Arial" w:eastAsia="Arial" w:hAnsi="Arial"/>
          <w:sz w:val="16"/>
          <w:szCs w:val="16"/>
          <w:color w:val="auto"/>
        </w:rPr>
        <w:t>”). The total number of Equity Securities that the Series D Investor may elect to sell shall be equal to the product of (i) the total number of Series D Co-Sale Shares, multiplied by (ii) a fraction, the numerator of which is the number of Ordinary Shares (assuming the exercise, conversion and exchange of any Ordinary Share Equivalents) owned by the Series D Investor on the date of the Co-Sale Notice and the denominator of which is the total number of Ordinary Shares (assuming the exercise, conversion and exchange of any Ordinary Share Equivalents) owned by the Transferor and the Series D Investor on the date of the Co-Sale Notice.</w:t>
      </w:r>
    </w:p>
    <w:p>
      <w:pPr>
        <w:spacing w:after="0" w:line="167"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 xml:space="preserve">In the event that the Series D Investor does not exercise its respective rights of co-sale pursuant to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as to the total number of Equity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Securities permitted to be sold pursuant to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any of the A and B Holders who did not exercise its right of first refusal under </w:t>
      </w:r>
      <w:r>
        <w:rPr>
          <w:rFonts w:ascii="Arial" w:cs="Arial" w:eastAsia="Arial" w:hAnsi="Arial"/>
          <w:sz w:val="17"/>
          <w:szCs w:val="17"/>
          <w:u w:val="single" w:color="auto"/>
          <w:color w:val="auto"/>
        </w:rPr>
        <w:t>Section 10.5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 and B Holders</w:t>
      </w:r>
      <w:r>
        <w:rPr>
          <w:rFonts w:ascii="Arial" w:cs="Arial" w:eastAsia="Arial" w:hAnsi="Arial"/>
          <w:sz w:val="16"/>
          <w:szCs w:val="16"/>
          <w:color w:val="auto"/>
        </w:rPr>
        <w:t>”) may then participate in the sale of the balance of such Equity Securities proposed to be sold by the Transferor (the “</w:t>
      </w:r>
      <w:r>
        <w:rPr>
          <w:rFonts w:ascii="Arial" w:cs="Arial" w:eastAsia="Arial" w:hAnsi="Arial"/>
          <w:sz w:val="16"/>
          <w:szCs w:val="16"/>
          <w:b w:val="1"/>
          <w:bCs w:val="1"/>
          <w:color w:val="auto"/>
        </w:rPr>
        <w:t>A and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Co-Sale Shares</w:t>
      </w:r>
      <w:r>
        <w:rPr>
          <w:rFonts w:ascii="Arial" w:cs="Arial" w:eastAsia="Arial" w:hAnsi="Arial"/>
          <w:sz w:val="16"/>
          <w:szCs w:val="16"/>
          <w:color w:val="auto"/>
        </w:rPr>
        <w:t>”). The total number of Equity Securities that each A and B Holder may elect to sell shall be equal to the product of (i) the total number of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B Co-Sale Shares, multiplied by (ii) a fraction, the numerator of which is the number of Ordinary Shares (assuming the exercise, conversion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of any Ordinary Share Equivalents) owned by such Eligible A and B Holder on the date of the Co-Sale Notice and the denominator of which is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number of Ordinary Shares (assuming the exercise, conversion and exchange of any Ordinary Share Equivalents) owned by the Transferor and all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Eligible A and B Holders on the date of the Co-Sale Notice.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396" w:name="page397"/>
    <w:bookmarkEnd w:id="396"/>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11.8 In the event that the A and B Holders do not exercise their respective rights of co-sale pursuant to </w:t>
      </w:r>
      <w:r>
        <w:rPr>
          <w:rFonts w:ascii="Arial" w:cs="Arial" w:eastAsia="Arial" w:hAnsi="Arial"/>
          <w:sz w:val="17"/>
          <w:szCs w:val="17"/>
          <w:u w:val="single" w:color="auto"/>
          <w:color w:val="auto"/>
        </w:rPr>
        <w:t>Section 11.7</w:t>
      </w:r>
      <w:r>
        <w:rPr>
          <w:rFonts w:ascii="Arial" w:cs="Arial" w:eastAsia="Arial" w:hAnsi="Arial"/>
          <w:sz w:val="17"/>
          <w:szCs w:val="17"/>
          <w:color w:val="auto"/>
        </w:rPr>
        <w:t xml:space="preserve"> as to the total number of A and B Co-Sale Shares, the Series C Investor if it did not exercise its right of first refusal under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may then participate in the sale of the balance of such Equity Securities proposed to be sold by the Transferor (the “</w:t>
      </w:r>
      <w:r>
        <w:rPr>
          <w:rFonts w:ascii="Arial" w:cs="Arial" w:eastAsia="Arial" w:hAnsi="Arial"/>
          <w:sz w:val="17"/>
          <w:szCs w:val="17"/>
          <w:b w:val="1"/>
          <w:bCs w:val="1"/>
          <w:color w:val="auto"/>
        </w:rPr>
        <w:t>Series C Co-Sale Shares</w:t>
      </w:r>
      <w:r>
        <w:rPr>
          <w:rFonts w:ascii="Arial" w:cs="Arial" w:eastAsia="Arial" w:hAnsi="Arial"/>
          <w:sz w:val="17"/>
          <w:szCs w:val="17"/>
          <w:color w:val="auto"/>
        </w:rPr>
        <w:t>”). The total number of Equity Securities that the Series C Investor may elect to sell shall be equal to the product of (i) the total number of Series C Co-Sale Shares, multiplied by (ii) a fraction, the numerator of which is the number of Ordinary Shares (assuming the exercise, conversion and exchange of any Ordinary Share Equivalents) owned by such Series C Investor on the date of the Co-Sale Notice and the denominator of which is the total number of Ordinary Shares (assuming the exercise, conversion and exchange of any Ordinary Share Equivalents) owned by the Transferor and the Series C Investor on the date of the Co-Sale Notice.</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11.9 In the event that the Series C Investor does not exercise its right of co-sale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as to the total number of Series C Co-Sale Shares, the Ordinary Investors (except for any Ordinary Investor who is also the Series D Investor or A and B Holder) who did not exercise its right of first refusal under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w:t>
      </w:r>
      <w:r>
        <w:rPr>
          <w:rFonts w:ascii="Arial" w:cs="Arial" w:eastAsia="Arial" w:hAnsi="Arial"/>
          <w:sz w:val="17"/>
          <w:szCs w:val="17"/>
          <w:b w:val="1"/>
          <w:bCs w:val="1"/>
          <w:color w:val="auto"/>
        </w:rPr>
        <w:t>Eligible Ordinary Investor</w:t>
      </w:r>
      <w:r>
        <w:rPr>
          <w:rFonts w:ascii="Arial" w:cs="Arial" w:eastAsia="Arial" w:hAnsi="Arial"/>
          <w:sz w:val="17"/>
          <w:szCs w:val="17"/>
          <w:color w:val="auto"/>
        </w:rPr>
        <w:t>”) may then participate in the sale of the balance of such Equity Securities proposed to be sold by the Transferor (the “</w:t>
      </w:r>
      <w:r>
        <w:rPr>
          <w:rFonts w:ascii="Arial" w:cs="Arial" w:eastAsia="Arial" w:hAnsi="Arial"/>
          <w:sz w:val="17"/>
          <w:szCs w:val="17"/>
          <w:b w:val="1"/>
          <w:bCs w:val="1"/>
          <w:color w:val="auto"/>
        </w:rPr>
        <w:t>Ordinary Co-Sale Shares</w:t>
      </w:r>
      <w:r>
        <w:rPr>
          <w:rFonts w:ascii="Arial" w:cs="Arial" w:eastAsia="Arial" w:hAnsi="Arial"/>
          <w:sz w:val="17"/>
          <w:szCs w:val="17"/>
          <w:color w:val="auto"/>
        </w:rPr>
        <w:t>”). The total number of Equity Securities that such Ordinary Investor may elect to sell shall be equal to the product of (i) the total number of Ordinary Co-Sale Shares, multiplied by (ii) a fraction, the numerator of which is the number of Ordinary Shares (assuming the exercise, conversion and exchange of any Ordinary Share Equivalents) owned by such Eligible Ordinary Investor on the date of the Co-Sale Notice and the denominator of which is the total number of Ordinary Shares (assuming the exercise, conversion and exchange of any Ordinary Share Equivalents) owned by the Transferor and all of the Eligible Ordinary Investor on the date of the Co-Sale Notice.</w:t>
      </w:r>
    </w:p>
    <w:p>
      <w:pPr>
        <w:spacing w:after="0" w:line="179"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give an Ordinary Shareholder that is not an Ordinary Investor any right of co-sale over such Offered Shares.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NON-EXERCISE OF RIGHTS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12.1 To the extent that the Company, the Series E Investor, the Series D Investor, the A and B Holders, the Series C Investor and/or the Ordinary Investors have not exercised their rights to purchase all Offered Shares within the time periods specified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subject to the right of the Series E Investor, Series D Investor, A and B Holders, Series C Investor and/or Ordinary Investors to exercise their rights to participate in the sale of Offered Shares within the time periods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Transferor shall have a period of sixty (60) days from the expiration of such rights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in which to sell the remaining Offered Shares to the third party transferee identified in the Transfer Notice upon terms and conditions (including the purchase price) no more favourable to the purchaser than those specified in the Transfer Notice, so long as any such sale is effected in accordance with any applicable securities Laws.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397" w:name="page398"/>
    <w:bookmarkEnd w:id="39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12.2 In the event the Transferor does not consummate the sale or disposition of any Offered Shares within sixty (60) days from the expiration of such rights, rights of the Series E Investor, Series D Investor, A and B Holders, Series C Investor and/or Ordinary Investors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w:t>
      </w:r>
      <w:r>
        <w:rPr>
          <w:rFonts w:ascii="Arial" w:cs="Arial" w:eastAsia="Arial" w:hAnsi="Arial"/>
          <w:sz w:val="18"/>
          <w:szCs w:val="18"/>
          <w:color w:val="auto"/>
        </w:rPr>
        <w:t>, as the case may be, shall be re-invoked and shall be applicable to any subsequent disposition of such Offered Shares by the Transferor until such rights lapse in accordance with the terms of these Articles.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12.3 The exercise or non-exercise of the rights of the Series E Investor, Series D Investor, the A and B Holders, Series C Investor and/or Ordinary Investors under these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to purchase Equity Securities from a Transferor or participate in the sale of Equity Securities by a Transferor shall not adversely affect their rights to make subsequent purchases from the Transferor of Equity Securities or subsequently participate in sales of Equity Securities by the Transferor hereunder.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PERMITTED TRANSFERS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Subject to the requirements of applicable Law, notwithstanding the provisions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any Principal may sell or otherwise assign, with or without consideration, any Equity Securities now or hereafter held by such person, to any spouse, parent, lineal descendants, or to a trust, custodian, trustee, executor, or other fiduciary for the account of any of the foregoing, or to a trust for such holder’s account, or a charitable remainder trust (transferees pursuant to the preceding clause, collectively, the “</w:t>
      </w:r>
      <w:r>
        <w:rPr>
          <w:rFonts w:ascii="Arial" w:cs="Arial" w:eastAsia="Arial" w:hAnsi="Arial"/>
          <w:sz w:val="17"/>
          <w:szCs w:val="17"/>
          <w:b w:val="1"/>
          <w:bCs w:val="1"/>
          <w:color w:val="auto"/>
        </w:rPr>
        <w:t>Permitted Transferees</w:t>
      </w:r>
      <w:r>
        <w:rPr>
          <w:rFonts w:ascii="Arial" w:cs="Arial" w:eastAsia="Arial" w:hAnsi="Arial"/>
          <w:sz w:val="17"/>
          <w:szCs w:val="17"/>
          <w:color w:val="auto"/>
        </w:rPr>
        <w:t>” and each, a “</w:t>
      </w:r>
      <w:r>
        <w:rPr>
          <w:rFonts w:ascii="Arial" w:cs="Arial" w:eastAsia="Arial" w:hAnsi="Arial"/>
          <w:sz w:val="17"/>
          <w:szCs w:val="17"/>
          <w:b w:val="1"/>
          <w:bCs w:val="1"/>
          <w:color w:val="auto"/>
        </w:rPr>
        <w:t>Permitted Transferee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each such Permitted Transferee, prior to the completion of the sale, transfer, or assignment, shall have executed a document in form and substance reasonably satisfactory to the Company, the Series E Investor, the Series D Investor and the A and B Holders assuming the obligations of such Principal under the ROFR as a “Principal”, including but not limited to Section 9 hereof, with respect to the transferred Equity Securities.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 FACTO CONTROL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in connection with a Non-Liquidation M&amp;A, the Control of the Company and the de facto controlling person of the Company shall remain unchanged prior to a Qualified IPO.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3" w:right="25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color w:val="auto"/>
        </w:rPr>
        <w:t>Execution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SERIES E SHARE SUBSCRIPTION AGREEMENT</w:t>
      </w:r>
    </w:p>
    <w:p>
      <w:pPr>
        <w:spacing w:after="0" w:line="23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OPTIMIX MEDIA ASIA LIMITED</w:t>
      </w:r>
    </w:p>
    <w:p>
      <w:pPr>
        <w:sectPr>
          <w:pgSz w:w="11900" w:h="16838" w:orient="portrait"/>
          <w:cols w:equalWidth="0" w:num="1">
            <w:col w:w="10220"/>
          </w:cols>
          <w:pgMar w:left="1440" w:top="125"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780" w:type="dxa"/>
            <w:vAlign w:val="bottom"/>
          </w:tcPr>
          <w:p>
            <w:pPr>
              <w:jc w:val="right"/>
              <w:ind w:right="459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color w:val="auto"/>
              </w:rPr>
              <w:t>1.  Definitions</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2.  Subscription and Issuance of Purchased Shares</w:t>
            </w:r>
          </w:p>
        </w:tc>
        <w:tc>
          <w:tcPr>
            <w:tcW w:w="6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700" w:type="dxa"/>
            <w:vAlign w:val="bottom"/>
          </w:tcPr>
          <w:p>
            <w:pPr>
              <w:ind w:left="300"/>
              <w:spacing w:after="0"/>
              <w:rPr>
                <w:sz w:val="20"/>
                <w:szCs w:val="20"/>
                <w:color w:val="auto"/>
              </w:rPr>
            </w:pPr>
            <w:r>
              <w:rPr>
                <w:rFonts w:ascii="Arial" w:cs="Arial" w:eastAsia="Arial" w:hAnsi="Arial"/>
                <w:sz w:val="18"/>
                <w:szCs w:val="18"/>
                <w:color w:val="auto"/>
              </w:rPr>
              <w:t>2.1.</w:t>
            </w:r>
          </w:p>
        </w:tc>
        <w:tc>
          <w:tcPr>
            <w:tcW w:w="3880" w:type="dxa"/>
            <w:vAlign w:val="bottom"/>
          </w:tcPr>
          <w:p>
            <w:pPr>
              <w:ind w:left="60"/>
              <w:spacing w:after="0"/>
              <w:rPr>
                <w:sz w:val="20"/>
                <w:szCs w:val="20"/>
                <w:color w:val="auto"/>
              </w:rPr>
            </w:pPr>
            <w:r>
              <w:rPr>
                <w:rFonts w:ascii="Arial" w:cs="Arial" w:eastAsia="Arial" w:hAnsi="Arial"/>
                <w:sz w:val="18"/>
                <w:szCs w:val="18"/>
                <w:color w:val="auto"/>
                <w:w w:val="91"/>
              </w:rPr>
              <w:t>Subscription and Issuance of the Purchased Shares</w:t>
            </w:r>
          </w:p>
        </w:tc>
        <w:tc>
          <w:tcPr>
            <w:tcW w:w="6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00" w:type="dxa"/>
            <w:vAlign w:val="bottom"/>
          </w:tcPr>
          <w:p>
            <w:pPr>
              <w:ind w:left="300"/>
              <w:spacing w:after="0"/>
              <w:rPr>
                <w:sz w:val="20"/>
                <w:szCs w:val="20"/>
                <w:color w:val="auto"/>
              </w:rPr>
            </w:pPr>
            <w:r>
              <w:rPr>
                <w:rFonts w:ascii="Arial" w:cs="Arial" w:eastAsia="Arial" w:hAnsi="Arial"/>
                <w:sz w:val="18"/>
                <w:szCs w:val="18"/>
                <w:color w:val="auto"/>
              </w:rPr>
              <w:t>2.2.</w:t>
            </w:r>
          </w:p>
        </w:tc>
        <w:tc>
          <w:tcPr>
            <w:tcW w:w="3880" w:type="dxa"/>
            <w:vAlign w:val="bottom"/>
          </w:tcPr>
          <w:p>
            <w:pPr>
              <w:ind w:left="60"/>
              <w:spacing w:after="0"/>
              <w:rPr>
                <w:sz w:val="20"/>
                <w:szCs w:val="20"/>
                <w:color w:val="auto"/>
              </w:rPr>
            </w:pPr>
            <w:r>
              <w:rPr>
                <w:rFonts w:ascii="Arial" w:cs="Arial" w:eastAsia="Arial" w:hAnsi="Arial"/>
                <w:sz w:val="18"/>
                <w:szCs w:val="18"/>
                <w:color w:val="auto"/>
              </w:rPr>
              <w:t>Closing</w:t>
            </w:r>
          </w:p>
        </w:tc>
        <w:tc>
          <w:tcPr>
            <w:tcW w:w="6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3.  Representations and Warranties of the Warrantors</w:t>
            </w:r>
          </w:p>
        </w:tc>
        <w:tc>
          <w:tcPr>
            <w:tcW w:w="6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700" w:type="dxa"/>
            <w:vAlign w:val="bottom"/>
          </w:tcPr>
          <w:p>
            <w:pPr>
              <w:ind w:left="300"/>
              <w:spacing w:after="0"/>
              <w:rPr>
                <w:sz w:val="20"/>
                <w:szCs w:val="20"/>
                <w:color w:val="auto"/>
              </w:rPr>
            </w:pPr>
            <w:r>
              <w:rPr>
                <w:rFonts w:ascii="Arial" w:cs="Arial" w:eastAsia="Arial" w:hAnsi="Arial"/>
                <w:sz w:val="18"/>
                <w:szCs w:val="18"/>
                <w:color w:val="auto"/>
              </w:rPr>
              <w:t>3.1.</w:t>
            </w:r>
          </w:p>
        </w:tc>
        <w:tc>
          <w:tcPr>
            <w:tcW w:w="3880" w:type="dxa"/>
            <w:vAlign w:val="bottom"/>
          </w:tcPr>
          <w:p>
            <w:pPr>
              <w:ind w:left="60"/>
              <w:spacing w:after="0"/>
              <w:rPr>
                <w:sz w:val="20"/>
                <w:szCs w:val="20"/>
                <w:color w:val="auto"/>
              </w:rPr>
            </w:pPr>
            <w:r>
              <w:rPr>
                <w:rFonts w:ascii="Arial" w:cs="Arial" w:eastAsia="Arial" w:hAnsi="Arial"/>
                <w:sz w:val="18"/>
                <w:szCs w:val="18"/>
                <w:color w:val="auto"/>
              </w:rPr>
              <w:t>Organization, Good Standing and Qualification</w:t>
            </w:r>
          </w:p>
        </w:tc>
        <w:tc>
          <w:tcPr>
            <w:tcW w:w="6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3.2.</w:t>
            </w:r>
          </w:p>
        </w:tc>
        <w:tc>
          <w:tcPr>
            <w:tcW w:w="3880" w:type="dxa"/>
            <w:vAlign w:val="bottom"/>
          </w:tcPr>
          <w:p>
            <w:pPr>
              <w:ind w:left="60"/>
              <w:spacing w:after="0"/>
              <w:rPr>
                <w:sz w:val="20"/>
                <w:szCs w:val="20"/>
                <w:color w:val="auto"/>
              </w:rPr>
            </w:pPr>
            <w:r>
              <w:rPr>
                <w:rFonts w:ascii="Arial" w:cs="Arial" w:eastAsia="Arial" w:hAnsi="Arial"/>
                <w:sz w:val="18"/>
                <w:szCs w:val="18"/>
                <w:color w:val="auto"/>
              </w:rPr>
              <w:t>Capitalization and Voting Rights</w:t>
            </w:r>
          </w:p>
        </w:tc>
        <w:tc>
          <w:tcPr>
            <w:tcW w:w="6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3.3.</w:t>
            </w:r>
          </w:p>
        </w:tc>
        <w:tc>
          <w:tcPr>
            <w:tcW w:w="3880" w:type="dxa"/>
            <w:vAlign w:val="bottom"/>
          </w:tcPr>
          <w:p>
            <w:pPr>
              <w:ind w:left="60"/>
              <w:spacing w:after="0"/>
              <w:rPr>
                <w:sz w:val="20"/>
                <w:szCs w:val="20"/>
                <w:color w:val="auto"/>
              </w:rPr>
            </w:pPr>
            <w:r>
              <w:rPr>
                <w:rFonts w:ascii="Arial" w:cs="Arial" w:eastAsia="Arial" w:hAnsi="Arial"/>
                <w:sz w:val="18"/>
                <w:szCs w:val="18"/>
                <w:color w:val="auto"/>
              </w:rPr>
              <w:t>Corporate Structure; Subsidiaries</w:t>
            </w:r>
          </w:p>
        </w:tc>
        <w:tc>
          <w:tcPr>
            <w:tcW w:w="6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3.4.</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6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3.5.</w:t>
            </w:r>
          </w:p>
        </w:tc>
        <w:tc>
          <w:tcPr>
            <w:tcW w:w="3880" w:type="dxa"/>
            <w:vAlign w:val="bottom"/>
          </w:tcPr>
          <w:p>
            <w:pPr>
              <w:ind w:left="60"/>
              <w:spacing w:after="0"/>
              <w:rPr>
                <w:sz w:val="20"/>
                <w:szCs w:val="20"/>
                <w:color w:val="auto"/>
              </w:rPr>
            </w:pPr>
            <w:r>
              <w:rPr>
                <w:rFonts w:ascii="Arial" w:cs="Arial" w:eastAsia="Arial" w:hAnsi="Arial"/>
                <w:sz w:val="18"/>
                <w:szCs w:val="18"/>
                <w:color w:val="auto"/>
              </w:rPr>
              <w:t>Valid Issuance of Purchased Shares</w:t>
            </w:r>
          </w:p>
        </w:tc>
        <w:tc>
          <w:tcPr>
            <w:tcW w:w="6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3.6.</w:t>
            </w:r>
          </w:p>
        </w:tc>
        <w:tc>
          <w:tcPr>
            <w:tcW w:w="3880" w:type="dxa"/>
            <w:vAlign w:val="bottom"/>
          </w:tcPr>
          <w:p>
            <w:pPr>
              <w:ind w:left="60"/>
              <w:spacing w:after="0"/>
              <w:rPr>
                <w:sz w:val="20"/>
                <w:szCs w:val="20"/>
                <w:color w:val="auto"/>
              </w:rPr>
            </w:pPr>
            <w:r>
              <w:rPr>
                <w:rFonts w:ascii="Arial" w:cs="Arial" w:eastAsia="Arial" w:hAnsi="Arial"/>
                <w:sz w:val="18"/>
                <w:szCs w:val="18"/>
                <w:color w:val="auto"/>
              </w:rPr>
              <w:t>Governmental Consents</w:t>
            </w:r>
          </w:p>
        </w:tc>
        <w:tc>
          <w:tcPr>
            <w:tcW w:w="6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3.7.</w:t>
            </w:r>
          </w:p>
        </w:tc>
        <w:tc>
          <w:tcPr>
            <w:tcW w:w="3880" w:type="dxa"/>
            <w:vAlign w:val="bottom"/>
          </w:tcPr>
          <w:p>
            <w:pPr>
              <w:ind w:left="60"/>
              <w:spacing w:after="0"/>
              <w:rPr>
                <w:sz w:val="20"/>
                <w:szCs w:val="20"/>
                <w:color w:val="auto"/>
              </w:rPr>
            </w:pPr>
            <w:r>
              <w:rPr>
                <w:rFonts w:ascii="Arial" w:cs="Arial" w:eastAsia="Arial" w:hAnsi="Arial"/>
                <w:sz w:val="18"/>
                <w:szCs w:val="18"/>
                <w:color w:val="auto"/>
              </w:rPr>
              <w:t>Offering</w:t>
            </w:r>
          </w:p>
        </w:tc>
        <w:tc>
          <w:tcPr>
            <w:tcW w:w="6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3.8.</w:t>
            </w:r>
          </w:p>
        </w:tc>
        <w:tc>
          <w:tcPr>
            <w:tcW w:w="3880" w:type="dxa"/>
            <w:vAlign w:val="bottom"/>
          </w:tcPr>
          <w:p>
            <w:pPr>
              <w:ind w:left="60"/>
              <w:spacing w:after="0"/>
              <w:rPr>
                <w:sz w:val="20"/>
                <w:szCs w:val="20"/>
                <w:color w:val="auto"/>
              </w:rPr>
            </w:pPr>
            <w:r>
              <w:rPr>
                <w:rFonts w:ascii="Arial" w:cs="Arial" w:eastAsia="Arial" w:hAnsi="Arial"/>
                <w:sz w:val="18"/>
                <w:szCs w:val="18"/>
                <w:color w:val="auto"/>
              </w:rPr>
              <w:t>Certain Regulatory Matters</w:t>
            </w:r>
          </w:p>
        </w:tc>
        <w:tc>
          <w:tcPr>
            <w:tcW w:w="6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3.9.</w:t>
            </w:r>
          </w:p>
        </w:tc>
        <w:tc>
          <w:tcPr>
            <w:tcW w:w="388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6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3.10.</w:t>
            </w:r>
          </w:p>
        </w:tc>
        <w:tc>
          <w:tcPr>
            <w:tcW w:w="3880" w:type="dxa"/>
            <w:vAlign w:val="bottom"/>
          </w:tcPr>
          <w:p>
            <w:pPr>
              <w:ind w:left="60"/>
              <w:spacing w:after="0"/>
              <w:rPr>
                <w:sz w:val="20"/>
                <w:szCs w:val="20"/>
                <w:color w:val="auto"/>
              </w:rPr>
            </w:pPr>
            <w:r>
              <w:rPr>
                <w:rFonts w:ascii="Arial" w:cs="Arial" w:eastAsia="Arial" w:hAnsi="Arial"/>
                <w:sz w:val="18"/>
                <w:szCs w:val="18"/>
                <w:color w:val="auto"/>
              </w:rPr>
              <w:t>Charter Documents; Books and Records</w:t>
            </w:r>
          </w:p>
        </w:tc>
        <w:tc>
          <w:tcPr>
            <w:tcW w:w="6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3.11.</w:t>
            </w:r>
          </w:p>
        </w:tc>
        <w:tc>
          <w:tcPr>
            <w:tcW w:w="388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6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3.12.</w:t>
            </w:r>
          </w:p>
        </w:tc>
        <w:tc>
          <w:tcPr>
            <w:tcW w:w="3880" w:type="dxa"/>
            <w:vAlign w:val="bottom"/>
          </w:tcPr>
          <w:p>
            <w:pPr>
              <w:ind w:left="60"/>
              <w:spacing w:after="0"/>
              <w:rPr>
                <w:sz w:val="20"/>
                <w:szCs w:val="20"/>
                <w:color w:val="auto"/>
              </w:rPr>
            </w:pPr>
            <w:r>
              <w:rPr>
                <w:rFonts w:ascii="Arial" w:cs="Arial" w:eastAsia="Arial" w:hAnsi="Arial"/>
                <w:sz w:val="18"/>
                <w:szCs w:val="18"/>
                <w:color w:val="auto"/>
              </w:rPr>
              <w:t>Changes</w:t>
            </w:r>
          </w:p>
        </w:tc>
        <w:tc>
          <w:tcPr>
            <w:tcW w:w="6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3.13.</w:t>
            </w:r>
          </w:p>
        </w:tc>
        <w:tc>
          <w:tcPr>
            <w:tcW w:w="3880" w:type="dxa"/>
            <w:vAlign w:val="bottom"/>
          </w:tcPr>
          <w:p>
            <w:pPr>
              <w:ind w:left="60"/>
              <w:spacing w:after="0"/>
              <w:rPr>
                <w:sz w:val="20"/>
                <w:szCs w:val="20"/>
                <w:color w:val="auto"/>
              </w:rPr>
            </w:pPr>
            <w:r>
              <w:rPr>
                <w:rFonts w:ascii="Arial" w:cs="Arial" w:eastAsia="Arial" w:hAnsi="Arial"/>
                <w:sz w:val="18"/>
                <w:szCs w:val="18"/>
                <w:color w:val="auto"/>
              </w:rPr>
              <w:t>Actions and Governmental Orders</w:t>
            </w:r>
          </w:p>
        </w:tc>
        <w:tc>
          <w:tcPr>
            <w:tcW w:w="6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3.14.</w:t>
            </w:r>
          </w:p>
        </w:tc>
        <w:tc>
          <w:tcPr>
            <w:tcW w:w="3880" w:type="dxa"/>
            <w:vAlign w:val="bottom"/>
          </w:tcPr>
          <w:p>
            <w:pPr>
              <w:ind w:left="60"/>
              <w:spacing w:after="0"/>
              <w:rPr>
                <w:sz w:val="20"/>
                <w:szCs w:val="20"/>
                <w:color w:val="auto"/>
              </w:rPr>
            </w:pPr>
            <w:r>
              <w:rPr>
                <w:rFonts w:ascii="Arial" w:cs="Arial" w:eastAsia="Arial" w:hAnsi="Arial"/>
                <w:sz w:val="18"/>
                <w:szCs w:val="18"/>
                <w:color w:val="auto"/>
              </w:rPr>
              <w:t>Liabilities</w:t>
            </w:r>
          </w:p>
        </w:tc>
        <w:tc>
          <w:tcPr>
            <w:tcW w:w="6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3.15.</w:t>
            </w:r>
          </w:p>
        </w:tc>
        <w:tc>
          <w:tcPr>
            <w:tcW w:w="3880" w:type="dxa"/>
            <w:vAlign w:val="bottom"/>
          </w:tcPr>
          <w:p>
            <w:pPr>
              <w:ind w:left="60"/>
              <w:spacing w:after="0"/>
              <w:rPr>
                <w:sz w:val="20"/>
                <w:szCs w:val="20"/>
                <w:color w:val="auto"/>
              </w:rPr>
            </w:pPr>
            <w:r>
              <w:rPr>
                <w:rFonts w:ascii="Arial" w:cs="Arial" w:eastAsia="Arial" w:hAnsi="Arial"/>
                <w:sz w:val="18"/>
                <w:szCs w:val="18"/>
                <w:color w:val="auto"/>
              </w:rPr>
              <w:t>Commitments</w:t>
            </w:r>
          </w:p>
        </w:tc>
        <w:tc>
          <w:tcPr>
            <w:tcW w:w="6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3.16.</w:t>
            </w:r>
          </w:p>
        </w:tc>
        <w:tc>
          <w:tcPr>
            <w:tcW w:w="3880" w:type="dxa"/>
            <w:vAlign w:val="bottom"/>
          </w:tcPr>
          <w:p>
            <w:pPr>
              <w:ind w:left="60"/>
              <w:spacing w:after="0"/>
              <w:rPr>
                <w:sz w:val="20"/>
                <w:szCs w:val="20"/>
                <w:color w:val="auto"/>
              </w:rPr>
            </w:pPr>
            <w:r>
              <w:rPr>
                <w:rFonts w:ascii="Arial" w:cs="Arial" w:eastAsia="Arial" w:hAnsi="Arial"/>
                <w:sz w:val="18"/>
                <w:szCs w:val="18"/>
                <w:color w:val="auto"/>
                <w:w w:val="96"/>
              </w:rPr>
              <w:t>Compliance with Laws and Governmental Orders</w:t>
            </w:r>
          </w:p>
        </w:tc>
        <w:tc>
          <w:tcPr>
            <w:tcW w:w="6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3.17.</w:t>
            </w:r>
          </w:p>
        </w:tc>
        <w:tc>
          <w:tcPr>
            <w:tcW w:w="3880" w:type="dxa"/>
            <w:vAlign w:val="bottom"/>
          </w:tcPr>
          <w:p>
            <w:pPr>
              <w:ind w:left="60"/>
              <w:spacing w:after="0"/>
              <w:rPr>
                <w:sz w:val="20"/>
                <w:szCs w:val="20"/>
                <w:color w:val="auto"/>
              </w:rPr>
            </w:pPr>
            <w:r>
              <w:rPr>
                <w:rFonts w:ascii="Arial" w:cs="Arial" w:eastAsia="Arial" w:hAnsi="Arial"/>
                <w:sz w:val="18"/>
                <w:szCs w:val="18"/>
                <w:color w:val="auto"/>
              </w:rPr>
              <w:t>Title; Properties; Permits</w:t>
            </w:r>
          </w:p>
        </w:tc>
        <w:tc>
          <w:tcPr>
            <w:tcW w:w="6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3.18.</w:t>
            </w:r>
          </w:p>
        </w:tc>
        <w:tc>
          <w:tcPr>
            <w:tcW w:w="3880" w:type="dxa"/>
            <w:vAlign w:val="bottom"/>
          </w:tcPr>
          <w:p>
            <w:pPr>
              <w:ind w:left="60"/>
              <w:spacing w:after="0"/>
              <w:rPr>
                <w:sz w:val="20"/>
                <w:szCs w:val="20"/>
                <w:color w:val="auto"/>
              </w:rPr>
            </w:pPr>
            <w:r>
              <w:rPr>
                <w:rFonts w:ascii="Arial" w:cs="Arial" w:eastAsia="Arial" w:hAnsi="Arial"/>
                <w:sz w:val="18"/>
                <w:szCs w:val="18"/>
                <w:color w:val="auto"/>
              </w:rPr>
              <w:t>Compliance with Other Instruments</w:t>
            </w:r>
          </w:p>
        </w:tc>
        <w:tc>
          <w:tcPr>
            <w:tcW w:w="6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3.19.</w:t>
            </w:r>
          </w:p>
        </w:tc>
        <w:tc>
          <w:tcPr>
            <w:tcW w:w="3880" w:type="dxa"/>
            <w:vAlign w:val="bottom"/>
          </w:tcPr>
          <w:p>
            <w:pPr>
              <w:ind w:left="60"/>
              <w:spacing w:after="0"/>
              <w:rPr>
                <w:sz w:val="20"/>
                <w:szCs w:val="20"/>
                <w:color w:val="auto"/>
              </w:rPr>
            </w:pPr>
            <w:r>
              <w:rPr>
                <w:rFonts w:ascii="Arial" w:cs="Arial" w:eastAsia="Arial" w:hAnsi="Arial"/>
                <w:sz w:val="18"/>
                <w:szCs w:val="18"/>
                <w:color w:val="auto"/>
              </w:rPr>
              <w:t>Related Party Transactions</w:t>
            </w:r>
          </w:p>
        </w:tc>
        <w:tc>
          <w:tcPr>
            <w:tcW w:w="6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3.20.</w:t>
            </w:r>
          </w:p>
        </w:tc>
        <w:tc>
          <w:tcPr>
            <w:tcW w:w="3880" w:type="dxa"/>
            <w:vAlign w:val="bottom"/>
          </w:tcPr>
          <w:p>
            <w:pPr>
              <w:ind w:left="60"/>
              <w:spacing w:after="0"/>
              <w:rPr>
                <w:sz w:val="20"/>
                <w:szCs w:val="20"/>
                <w:color w:val="auto"/>
              </w:rPr>
            </w:pPr>
            <w:r>
              <w:rPr>
                <w:rFonts w:ascii="Arial" w:cs="Arial" w:eastAsia="Arial" w:hAnsi="Arial"/>
                <w:sz w:val="18"/>
                <w:szCs w:val="18"/>
                <w:color w:val="auto"/>
              </w:rPr>
              <w:t>Intellectual Property Rights</w:t>
            </w:r>
          </w:p>
        </w:tc>
        <w:tc>
          <w:tcPr>
            <w:tcW w:w="6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3.21.</w:t>
            </w:r>
          </w:p>
        </w:tc>
        <w:tc>
          <w:tcPr>
            <w:tcW w:w="3880" w:type="dxa"/>
            <w:vAlign w:val="bottom"/>
          </w:tcPr>
          <w:p>
            <w:pPr>
              <w:ind w:left="60"/>
              <w:spacing w:after="0"/>
              <w:rPr>
                <w:sz w:val="20"/>
                <w:szCs w:val="20"/>
                <w:color w:val="auto"/>
              </w:rPr>
            </w:pPr>
            <w:r>
              <w:rPr>
                <w:rFonts w:ascii="Arial" w:cs="Arial" w:eastAsia="Arial" w:hAnsi="Arial"/>
                <w:sz w:val="18"/>
                <w:szCs w:val="18"/>
                <w:color w:val="auto"/>
              </w:rPr>
              <w:t>Labor and Employment Matters</w:t>
            </w:r>
          </w:p>
        </w:tc>
        <w:tc>
          <w:tcPr>
            <w:tcW w:w="6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3.22.</w:t>
            </w:r>
          </w:p>
        </w:tc>
        <w:tc>
          <w:tcPr>
            <w:tcW w:w="3880" w:type="dxa"/>
            <w:vAlign w:val="bottom"/>
          </w:tcPr>
          <w:p>
            <w:pPr>
              <w:ind w:left="60"/>
              <w:spacing w:after="0"/>
              <w:rPr>
                <w:sz w:val="20"/>
                <w:szCs w:val="20"/>
                <w:color w:val="auto"/>
              </w:rPr>
            </w:pPr>
            <w:r>
              <w:rPr>
                <w:rFonts w:ascii="Arial" w:cs="Arial" w:eastAsia="Arial" w:hAnsi="Arial"/>
                <w:sz w:val="18"/>
                <w:szCs w:val="18"/>
                <w:color w:val="auto"/>
              </w:rPr>
              <w:t>Employee Benefits</w:t>
            </w:r>
          </w:p>
        </w:tc>
        <w:tc>
          <w:tcPr>
            <w:tcW w:w="6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3.23.</w:t>
            </w:r>
          </w:p>
        </w:tc>
        <w:tc>
          <w:tcPr>
            <w:tcW w:w="3880" w:type="dxa"/>
            <w:vAlign w:val="bottom"/>
          </w:tcPr>
          <w:p>
            <w:pPr>
              <w:ind w:left="60"/>
              <w:spacing w:after="0"/>
              <w:rPr>
                <w:sz w:val="20"/>
                <w:szCs w:val="20"/>
                <w:color w:val="auto"/>
              </w:rPr>
            </w:pPr>
            <w:r>
              <w:rPr>
                <w:rFonts w:ascii="Arial" w:cs="Arial" w:eastAsia="Arial" w:hAnsi="Arial"/>
                <w:sz w:val="18"/>
                <w:szCs w:val="18"/>
                <w:color w:val="auto"/>
              </w:rPr>
              <w:t>Suppliers</w:t>
            </w:r>
          </w:p>
        </w:tc>
        <w:tc>
          <w:tcPr>
            <w:tcW w:w="6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3.24.</w:t>
            </w:r>
          </w:p>
        </w:tc>
        <w:tc>
          <w:tcPr>
            <w:tcW w:w="3880" w:type="dxa"/>
            <w:vAlign w:val="bottom"/>
          </w:tcPr>
          <w:p>
            <w:pPr>
              <w:ind w:left="60"/>
              <w:spacing w:after="0"/>
              <w:rPr>
                <w:sz w:val="20"/>
                <w:szCs w:val="20"/>
                <w:color w:val="auto"/>
              </w:rPr>
            </w:pPr>
            <w:r>
              <w:rPr>
                <w:rFonts w:ascii="Arial" w:cs="Arial" w:eastAsia="Arial" w:hAnsi="Arial"/>
                <w:sz w:val="18"/>
                <w:szCs w:val="18"/>
                <w:color w:val="auto"/>
              </w:rPr>
              <w:t>No Brokers</w:t>
            </w:r>
          </w:p>
        </w:tc>
        <w:tc>
          <w:tcPr>
            <w:tcW w:w="6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00" w:type="dxa"/>
            <w:vAlign w:val="bottom"/>
          </w:tcPr>
          <w:p>
            <w:pPr>
              <w:ind w:left="300"/>
              <w:spacing w:after="0"/>
              <w:rPr>
                <w:sz w:val="20"/>
                <w:szCs w:val="20"/>
                <w:color w:val="auto"/>
              </w:rPr>
            </w:pPr>
            <w:r>
              <w:rPr>
                <w:rFonts w:ascii="Arial" w:cs="Arial" w:eastAsia="Arial" w:hAnsi="Arial"/>
                <w:sz w:val="18"/>
                <w:szCs w:val="18"/>
                <w:color w:val="auto"/>
                <w:w w:val="94"/>
              </w:rPr>
              <w:t>3.25.</w:t>
            </w:r>
          </w:p>
        </w:tc>
        <w:tc>
          <w:tcPr>
            <w:tcW w:w="388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6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4.  Representations and Warranties of the Investor</w:t>
            </w:r>
          </w:p>
        </w:tc>
        <w:tc>
          <w:tcPr>
            <w:tcW w:w="6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700" w:type="dxa"/>
            <w:vAlign w:val="bottom"/>
          </w:tcPr>
          <w:p>
            <w:pPr>
              <w:ind w:left="300"/>
              <w:spacing w:after="0"/>
              <w:rPr>
                <w:sz w:val="20"/>
                <w:szCs w:val="20"/>
                <w:color w:val="auto"/>
              </w:rPr>
            </w:pPr>
            <w:r>
              <w:rPr>
                <w:rFonts w:ascii="Arial" w:cs="Arial" w:eastAsia="Arial" w:hAnsi="Arial"/>
                <w:sz w:val="18"/>
                <w:szCs w:val="18"/>
                <w:color w:val="auto"/>
              </w:rPr>
              <w:t>4.1.</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4.2.</w:t>
            </w:r>
          </w:p>
        </w:tc>
        <w:tc>
          <w:tcPr>
            <w:tcW w:w="3880" w:type="dxa"/>
            <w:vAlign w:val="bottom"/>
          </w:tcPr>
          <w:p>
            <w:pPr>
              <w:ind w:left="60"/>
              <w:spacing w:after="0"/>
              <w:rPr>
                <w:sz w:val="20"/>
                <w:szCs w:val="20"/>
                <w:color w:val="auto"/>
              </w:rPr>
            </w:pPr>
            <w:r>
              <w:rPr>
                <w:rFonts w:ascii="Arial" w:cs="Arial" w:eastAsia="Arial" w:hAnsi="Arial"/>
                <w:sz w:val="18"/>
                <w:szCs w:val="18"/>
                <w:color w:val="auto"/>
              </w:rPr>
              <w:t>Purchase for Own Account</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4.3.</w:t>
            </w:r>
          </w:p>
        </w:tc>
        <w:tc>
          <w:tcPr>
            <w:tcW w:w="3880" w:type="dxa"/>
            <w:vAlign w:val="bottom"/>
          </w:tcPr>
          <w:p>
            <w:pPr>
              <w:ind w:left="60"/>
              <w:spacing w:after="0"/>
              <w:rPr>
                <w:sz w:val="20"/>
                <w:szCs w:val="20"/>
                <w:color w:val="auto"/>
              </w:rPr>
            </w:pPr>
            <w:r>
              <w:rPr>
                <w:rFonts w:ascii="Arial" w:cs="Arial" w:eastAsia="Arial" w:hAnsi="Arial"/>
                <w:sz w:val="18"/>
                <w:szCs w:val="18"/>
                <w:color w:val="auto"/>
              </w:rPr>
              <w:t>Status of Investor</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4.4.</w:t>
            </w:r>
          </w:p>
        </w:tc>
        <w:tc>
          <w:tcPr>
            <w:tcW w:w="3880" w:type="dxa"/>
            <w:vAlign w:val="bottom"/>
          </w:tcPr>
          <w:p>
            <w:pPr>
              <w:ind w:left="60"/>
              <w:spacing w:after="0"/>
              <w:rPr>
                <w:sz w:val="20"/>
                <w:szCs w:val="20"/>
                <w:color w:val="auto"/>
              </w:rPr>
            </w:pPr>
            <w:r>
              <w:rPr>
                <w:rFonts w:ascii="Arial" w:cs="Arial" w:eastAsia="Arial" w:hAnsi="Arial"/>
                <w:sz w:val="18"/>
                <w:szCs w:val="18"/>
                <w:color w:val="auto"/>
              </w:rPr>
              <w:t>Restricted Securities</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4.5.</w:t>
            </w:r>
          </w:p>
        </w:tc>
        <w:tc>
          <w:tcPr>
            <w:tcW w:w="3880" w:type="dxa"/>
            <w:vAlign w:val="bottom"/>
          </w:tcPr>
          <w:p>
            <w:pPr>
              <w:ind w:left="60"/>
              <w:spacing w:after="0"/>
              <w:rPr>
                <w:sz w:val="20"/>
                <w:szCs w:val="20"/>
                <w:color w:val="auto"/>
              </w:rPr>
            </w:pPr>
            <w:r>
              <w:rPr>
                <w:rFonts w:ascii="Arial" w:cs="Arial" w:eastAsia="Arial" w:hAnsi="Arial"/>
                <w:sz w:val="18"/>
                <w:szCs w:val="18"/>
                <w:color w:val="auto"/>
              </w:rPr>
              <w:t>No Conflicts; Consents</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00" w:type="dxa"/>
            <w:vAlign w:val="bottom"/>
          </w:tcPr>
          <w:p>
            <w:pPr>
              <w:ind w:left="300"/>
              <w:spacing w:after="0"/>
              <w:rPr>
                <w:sz w:val="20"/>
                <w:szCs w:val="20"/>
                <w:color w:val="auto"/>
              </w:rPr>
            </w:pPr>
            <w:r>
              <w:rPr>
                <w:rFonts w:ascii="Arial" w:cs="Arial" w:eastAsia="Arial" w:hAnsi="Arial"/>
                <w:sz w:val="18"/>
                <w:szCs w:val="18"/>
                <w:color w:val="auto"/>
              </w:rPr>
              <w:t>4.6.</w:t>
            </w:r>
          </w:p>
        </w:tc>
        <w:tc>
          <w:tcPr>
            <w:tcW w:w="3880" w:type="dxa"/>
            <w:vAlign w:val="bottom"/>
          </w:tcPr>
          <w:p>
            <w:pPr>
              <w:ind w:left="60"/>
              <w:spacing w:after="0"/>
              <w:rPr>
                <w:sz w:val="20"/>
                <w:szCs w:val="20"/>
                <w:color w:val="auto"/>
              </w:rPr>
            </w:pPr>
            <w:r>
              <w:rPr>
                <w:rFonts w:ascii="Arial" w:cs="Arial" w:eastAsia="Arial" w:hAnsi="Arial"/>
                <w:sz w:val="18"/>
                <w:szCs w:val="18"/>
                <w:color w:val="auto"/>
              </w:rPr>
              <w:t>Actions and Government Orders</w:t>
            </w:r>
          </w:p>
        </w:tc>
        <w:tc>
          <w:tcPr>
            <w:tcW w:w="6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5.  Conditions of the Investor’s Obligations at the Closing</w:t>
            </w:r>
          </w:p>
        </w:tc>
        <w:tc>
          <w:tcPr>
            <w:tcW w:w="6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700" w:type="dxa"/>
            <w:vAlign w:val="bottom"/>
          </w:tcPr>
          <w:p>
            <w:pPr>
              <w:ind w:left="300"/>
              <w:spacing w:after="0"/>
              <w:rPr>
                <w:sz w:val="20"/>
                <w:szCs w:val="20"/>
                <w:color w:val="auto"/>
              </w:rPr>
            </w:pPr>
            <w:r>
              <w:rPr>
                <w:rFonts w:ascii="Arial" w:cs="Arial" w:eastAsia="Arial" w:hAnsi="Arial"/>
                <w:sz w:val="18"/>
                <w:szCs w:val="18"/>
                <w:color w:val="auto"/>
              </w:rPr>
              <w:t>5.1.</w:t>
            </w:r>
          </w:p>
        </w:tc>
        <w:tc>
          <w:tcPr>
            <w:tcW w:w="388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6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5.2.</w:t>
            </w:r>
          </w:p>
        </w:tc>
        <w:tc>
          <w:tcPr>
            <w:tcW w:w="388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6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5.3.</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Authorizations</w:t>
            </w:r>
          </w:p>
        </w:tc>
        <w:tc>
          <w:tcPr>
            <w:tcW w:w="6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5.4.</w:t>
            </w:r>
          </w:p>
        </w:tc>
        <w:tc>
          <w:tcPr>
            <w:tcW w:w="3880" w:type="dxa"/>
            <w:vAlign w:val="bottom"/>
          </w:tcPr>
          <w:p>
            <w:pPr>
              <w:ind w:left="60"/>
              <w:spacing w:after="0"/>
              <w:rPr>
                <w:sz w:val="20"/>
                <w:szCs w:val="20"/>
                <w:color w:val="auto"/>
              </w:rPr>
            </w:pPr>
            <w:r>
              <w:rPr>
                <w:rFonts w:ascii="Arial" w:cs="Arial" w:eastAsia="Arial" w:hAnsi="Arial"/>
                <w:sz w:val="18"/>
                <w:szCs w:val="18"/>
                <w:color w:val="auto"/>
              </w:rPr>
              <w:t>Proceedings and Documents</w:t>
            </w:r>
          </w:p>
        </w:tc>
        <w:tc>
          <w:tcPr>
            <w:tcW w:w="6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5.5.</w:t>
            </w:r>
          </w:p>
        </w:tc>
        <w:tc>
          <w:tcPr>
            <w:tcW w:w="3880" w:type="dxa"/>
            <w:vAlign w:val="bottom"/>
          </w:tcPr>
          <w:p>
            <w:pPr>
              <w:ind w:left="60"/>
              <w:spacing w:after="0"/>
              <w:rPr>
                <w:sz w:val="20"/>
                <w:szCs w:val="20"/>
                <w:color w:val="auto"/>
              </w:rPr>
            </w:pPr>
            <w:r>
              <w:rPr>
                <w:rFonts w:ascii="Arial" w:cs="Arial" w:eastAsia="Arial" w:hAnsi="Arial"/>
                <w:sz w:val="18"/>
                <w:szCs w:val="18"/>
                <w:color w:val="auto"/>
              </w:rPr>
              <w:t>Execution of the other Transaction Documents</w:t>
            </w:r>
          </w:p>
        </w:tc>
        <w:tc>
          <w:tcPr>
            <w:tcW w:w="6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5.6.</w:t>
            </w:r>
          </w:p>
        </w:tc>
        <w:tc>
          <w:tcPr>
            <w:tcW w:w="3880" w:type="dxa"/>
            <w:vAlign w:val="bottom"/>
          </w:tcPr>
          <w:p>
            <w:pPr>
              <w:ind w:left="60"/>
              <w:spacing w:after="0"/>
              <w:rPr>
                <w:sz w:val="20"/>
                <w:szCs w:val="20"/>
                <w:color w:val="auto"/>
              </w:rPr>
            </w:pPr>
            <w:r>
              <w:rPr>
                <w:rFonts w:ascii="Arial" w:cs="Arial" w:eastAsia="Arial" w:hAnsi="Arial"/>
                <w:sz w:val="18"/>
                <w:szCs w:val="18"/>
                <w:color w:val="auto"/>
              </w:rPr>
              <w:t>Closing Certificate</w:t>
            </w:r>
          </w:p>
        </w:tc>
        <w:tc>
          <w:tcPr>
            <w:tcW w:w="6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5.7.</w:t>
            </w:r>
          </w:p>
        </w:tc>
        <w:tc>
          <w:tcPr>
            <w:tcW w:w="3880" w:type="dxa"/>
            <w:vAlign w:val="bottom"/>
          </w:tcPr>
          <w:p>
            <w:pPr>
              <w:ind w:left="60"/>
              <w:spacing w:after="0"/>
              <w:rPr>
                <w:sz w:val="20"/>
                <w:szCs w:val="20"/>
                <w:color w:val="auto"/>
              </w:rPr>
            </w:pPr>
            <w:r>
              <w:rPr>
                <w:rFonts w:ascii="Arial" w:cs="Arial" w:eastAsia="Arial" w:hAnsi="Arial"/>
                <w:sz w:val="18"/>
                <w:szCs w:val="18"/>
                <w:color w:val="auto"/>
              </w:rPr>
              <w:t>Business Conditions</w:t>
            </w:r>
          </w:p>
        </w:tc>
        <w:tc>
          <w:tcPr>
            <w:tcW w:w="6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5.8.</w:t>
            </w:r>
          </w:p>
        </w:tc>
        <w:tc>
          <w:tcPr>
            <w:tcW w:w="3880" w:type="dxa"/>
            <w:vAlign w:val="bottom"/>
          </w:tcPr>
          <w:p>
            <w:pPr>
              <w:ind w:left="60"/>
              <w:spacing w:after="0"/>
              <w:rPr>
                <w:sz w:val="20"/>
                <w:szCs w:val="20"/>
                <w:color w:val="auto"/>
              </w:rPr>
            </w:pPr>
            <w:r>
              <w:rPr>
                <w:rFonts w:ascii="Arial" w:cs="Arial" w:eastAsia="Arial" w:hAnsi="Arial"/>
                <w:sz w:val="18"/>
                <w:szCs w:val="18"/>
                <w:color w:val="auto"/>
              </w:rPr>
              <w:t>Non-Compete Agreement</w:t>
            </w:r>
          </w:p>
        </w:tc>
        <w:tc>
          <w:tcPr>
            <w:tcW w:w="6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rPr>
              <w:t>5.9.</w:t>
            </w:r>
          </w:p>
        </w:tc>
        <w:tc>
          <w:tcPr>
            <w:tcW w:w="3880" w:type="dxa"/>
            <w:vAlign w:val="bottom"/>
          </w:tcPr>
          <w:p>
            <w:pPr>
              <w:ind w:left="60"/>
              <w:spacing w:after="0"/>
              <w:rPr>
                <w:sz w:val="20"/>
                <w:szCs w:val="20"/>
                <w:color w:val="auto"/>
              </w:rPr>
            </w:pPr>
            <w:r>
              <w:rPr>
                <w:rFonts w:ascii="Arial" w:cs="Arial" w:eastAsia="Arial" w:hAnsi="Arial"/>
                <w:sz w:val="18"/>
                <w:szCs w:val="18"/>
                <w:color w:val="auto"/>
              </w:rPr>
              <w:t>Due Diligence</w:t>
            </w:r>
          </w:p>
        </w:tc>
        <w:tc>
          <w:tcPr>
            <w:tcW w:w="6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ind w:left="300"/>
              <w:spacing w:after="0"/>
              <w:rPr>
                <w:sz w:val="20"/>
                <w:szCs w:val="20"/>
                <w:color w:val="auto"/>
              </w:rPr>
            </w:pPr>
            <w:r>
              <w:rPr>
                <w:rFonts w:ascii="Arial" w:cs="Arial" w:eastAsia="Arial" w:hAnsi="Arial"/>
                <w:sz w:val="18"/>
                <w:szCs w:val="18"/>
                <w:color w:val="auto"/>
                <w:w w:val="94"/>
              </w:rPr>
              <w:t>5.10.</w:t>
            </w:r>
          </w:p>
        </w:tc>
        <w:tc>
          <w:tcPr>
            <w:tcW w:w="3880" w:type="dxa"/>
            <w:vAlign w:val="bottom"/>
          </w:tcPr>
          <w:p>
            <w:pPr>
              <w:ind w:left="60"/>
              <w:spacing w:after="0"/>
              <w:rPr>
                <w:sz w:val="20"/>
                <w:szCs w:val="20"/>
                <w:color w:val="auto"/>
              </w:rPr>
            </w:pPr>
            <w:r>
              <w:rPr>
                <w:rFonts w:ascii="Arial" w:cs="Arial" w:eastAsia="Arial" w:hAnsi="Arial"/>
                <w:sz w:val="18"/>
                <w:szCs w:val="18"/>
                <w:color w:val="auto"/>
              </w:rPr>
              <w:t>Legal Opinion</w:t>
            </w:r>
          </w:p>
        </w:tc>
        <w:tc>
          <w:tcPr>
            <w:tcW w:w="6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00" w:type="dxa"/>
            <w:vAlign w:val="bottom"/>
          </w:tcPr>
          <w:p>
            <w:pPr>
              <w:ind w:left="300"/>
              <w:spacing w:after="0"/>
              <w:rPr>
                <w:sz w:val="20"/>
                <w:szCs w:val="20"/>
                <w:color w:val="auto"/>
              </w:rPr>
            </w:pPr>
            <w:r>
              <w:rPr>
                <w:rFonts w:ascii="Arial" w:cs="Arial" w:eastAsia="Arial" w:hAnsi="Arial"/>
                <w:sz w:val="18"/>
                <w:szCs w:val="18"/>
                <w:color w:val="auto"/>
                <w:w w:val="94"/>
              </w:rPr>
              <w:t>5.11.</w:t>
            </w:r>
          </w:p>
        </w:tc>
        <w:tc>
          <w:tcPr>
            <w:tcW w:w="3880" w:type="dxa"/>
            <w:vAlign w:val="bottom"/>
          </w:tcPr>
          <w:p>
            <w:pPr>
              <w:ind w:left="60"/>
              <w:spacing w:after="0"/>
              <w:rPr>
                <w:sz w:val="20"/>
                <w:szCs w:val="20"/>
                <w:color w:val="auto"/>
              </w:rPr>
            </w:pPr>
            <w:r>
              <w:rPr>
                <w:rFonts w:ascii="Arial" w:cs="Arial" w:eastAsia="Arial" w:hAnsi="Arial"/>
                <w:sz w:val="18"/>
                <w:szCs w:val="18"/>
                <w:color w:val="auto"/>
              </w:rPr>
              <w:t>Waiver Letter</w:t>
            </w:r>
          </w:p>
        </w:tc>
        <w:tc>
          <w:tcPr>
            <w:tcW w:w="67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840" w:type="dxa"/>
            <w:vAlign w:val="bottom"/>
            <w:gridSpan w:val="2"/>
          </w:tcPr>
          <w:p>
            <w:pPr>
              <w:ind w:left="40"/>
              <w:spacing w:after="0"/>
              <w:rPr>
                <w:sz w:val="20"/>
                <w:szCs w:val="20"/>
                <w:color w:val="auto"/>
              </w:rPr>
            </w:pPr>
            <w:r>
              <w:rPr>
                <w:rFonts w:ascii="Arial" w:cs="Arial" w:eastAsia="Arial" w:hAnsi="Arial"/>
                <w:sz w:val="18"/>
                <w:szCs w:val="18"/>
                <w:color w:val="auto"/>
              </w:rPr>
              <w:t>Conditions of the Company’s Obligations at the Closing</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2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6.1.</w:t>
            </w:r>
          </w:p>
        </w:tc>
        <w:tc>
          <w:tcPr>
            <w:tcW w:w="738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6.2.</w:t>
            </w:r>
          </w:p>
        </w:tc>
        <w:tc>
          <w:tcPr>
            <w:tcW w:w="738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6.3.</w:t>
            </w:r>
          </w:p>
        </w:tc>
        <w:tc>
          <w:tcPr>
            <w:tcW w:w="7380" w:type="dxa"/>
            <w:vAlign w:val="bottom"/>
          </w:tcPr>
          <w:p>
            <w:pPr>
              <w:ind w:left="60"/>
              <w:spacing w:after="0"/>
              <w:rPr>
                <w:sz w:val="20"/>
                <w:szCs w:val="20"/>
                <w:color w:val="auto"/>
              </w:rPr>
            </w:pPr>
            <w:r>
              <w:rPr>
                <w:rFonts w:ascii="Arial" w:cs="Arial" w:eastAsia="Arial" w:hAnsi="Arial"/>
                <w:sz w:val="18"/>
                <w:szCs w:val="18"/>
                <w:color w:val="auto"/>
              </w:rPr>
              <w:t>Execution of the other Transaction Documents</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7840" w:type="dxa"/>
            <w:vAlign w:val="bottom"/>
            <w:gridSpan w:val="2"/>
          </w:tcPr>
          <w:p>
            <w:pPr>
              <w:ind w:left="40"/>
              <w:spacing w:after="0"/>
              <w:rPr>
                <w:sz w:val="20"/>
                <w:szCs w:val="20"/>
                <w:color w:val="auto"/>
              </w:rPr>
            </w:pPr>
            <w:r>
              <w:rPr>
                <w:rFonts w:ascii="Arial" w:cs="Arial" w:eastAsia="Arial" w:hAnsi="Arial"/>
                <w:sz w:val="18"/>
                <w:szCs w:val="18"/>
                <w:color w:val="auto"/>
              </w:rPr>
              <w:t>Covenants and Other Agreements</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2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7.1.</w:t>
            </w:r>
          </w:p>
        </w:tc>
        <w:tc>
          <w:tcPr>
            <w:tcW w:w="738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7.2.</w:t>
            </w:r>
          </w:p>
        </w:tc>
        <w:tc>
          <w:tcPr>
            <w:tcW w:w="7380" w:type="dxa"/>
            <w:vAlign w:val="bottom"/>
          </w:tcPr>
          <w:p>
            <w:pPr>
              <w:ind w:left="60"/>
              <w:spacing w:after="0"/>
              <w:rPr>
                <w:sz w:val="20"/>
                <w:szCs w:val="20"/>
                <w:color w:val="auto"/>
              </w:rPr>
            </w:pPr>
            <w:r>
              <w:rPr>
                <w:rFonts w:ascii="Arial" w:cs="Arial" w:eastAsia="Arial" w:hAnsi="Arial"/>
                <w:sz w:val="18"/>
                <w:szCs w:val="18"/>
                <w:color w:val="auto"/>
              </w:rPr>
              <w:t>Notice of Certain Events</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7.3.</w:t>
            </w:r>
          </w:p>
        </w:tc>
        <w:tc>
          <w:tcPr>
            <w:tcW w:w="7380" w:type="dxa"/>
            <w:vAlign w:val="bottom"/>
          </w:tcPr>
          <w:p>
            <w:pPr>
              <w:ind w:left="60"/>
              <w:spacing w:after="0"/>
              <w:rPr>
                <w:sz w:val="20"/>
                <w:szCs w:val="20"/>
                <w:color w:val="auto"/>
              </w:rPr>
            </w:pPr>
            <w:r>
              <w:rPr>
                <w:rFonts w:ascii="Arial" w:cs="Arial" w:eastAsia="Arial" w:hAnsi="Arial"/>
                <w:sz w:val="18"/>
                <w:szCs w:val="18"/>
                <w:color w:val="auto"/>
              </w:rPr>
              <w:t>Reservation of Ordinary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7.4.</w:t>
            </w:r>
          </w:p>
        </w:tc>
        <w:tc>
          <w:tcPr>
            <w:tcW w:w="7380" w:type="dxa"/>
            <w:vAlign w:val="bottom"/>
          </w:tcPr>
          <w:p>
            <w:pPr>
              <w:ind w:left="60"/>
              <w:spacing w:after="0"/>
              <w:rPr>
                <w:sz w:val="20"/>
                <w:szCs w:val="20"/>
                <w:color w:val="auto"/>
              </w:rPr>
            </w:pPr>
            <w:r>
              <w:rPr>
                <w:rFonts w:ascii="Arial" w:cs="Arial" w:eastAsia="Arial" w:hAnsi="Arial"/>
                <w:sz w:val="18"/>
                <w:szCs w:val="18"/>
                <w:color w:val="auto"/>
              </w:rPr>
              <w:t>Preservation of Redemption Right</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7.5.</w:t>
            </w:r>
          </w:p>
        </w:tc>
        <w:tc>
          <w:tcPr>
            <w:tcW w:w="7380" w:type="dxa"/>
            <w:vAlign w:val="bottom"/>
          </w:tcPr>
          <w:p>
            <w:pPr>
              <w:ind w:left="60"/>
              <w:spacing w:after="0"/>
              <w:rPr>
                <w:sz w:val="20"/>
                <w:szCs w:val="20"/>
                <w:color w:val="auto"/>
              </w:rPr>
            </w:pPr>
            <w:r>
              <w:rPr>
                <w:rFonts w:ascii="Arial" w:cs="Arial" w:eastAsia="Arial" w:hAnsi="Arial"/>
                <w:sz w:val="18"/>
                <w:szCs w:val="18"/>
                <w:color w:val="auto"/>
              </w:rPr>
              <w:t>Compliance with Applicable Laws</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7.6.</w:t>
            </w:r>
          </w:p>
        </w:tc>
        <w:tc>
          <w:tcPr>
            <w:tcW w:w="7380" w:type="dxa"/>
            <w:vAlign w:val="bottom"/>
          </w:tcPr>
          <w:p>
            <w:pPr>
              <w:ind w:left="60"/>
              <w:spacing w:after="0"/>
              <w:rPr>
                <w:sz w:val="20"/>
                <w:szCs w:val="20"/>
                <w:color w:val="auto"/>
              </w:rPr>
            </w:pPr>
            <w:r>
              <w:rPr>
                <w:rFonts w:ascii="Arial" w:cs="Arial" w:eastAsia="Arial" w:hAnsi="Arial"/>
                <w:sz w:val="18"/>
                <w:szCs w:val="18"/>
                <w:color w:val="auto"/>
              </w:rPr>
              <w:t>Efforts to Consummate</w:t>
            </w:r>
          </w:p>
        </w:tc>
        <w:tc>
          <w:tcPr>
            <w:tcW w:w="3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7.7.</w:t>
            </w:r>
          </w:p>
        </w:tc>
        <w:tc>
          <w:tcPr>
            <w:tcW w:w="7380" w:type="dxa"/>
            <w:vAlign w:val="bottom"/>
          </w:tcPr>
          <w:p>
            <w:pPr>
              <w:ind w:left="60"/>
              <w:spacing w:after="0"/>
              <w:rPr>
                <w:sz w:val="20"/>
                <w:szCs w:val="20"/>
                <w:color w:val="auto"/>
              </w:rPr>
            </w:pPr>
            <w:r>
              <w:rPr>
                <w:rFonts w:ascii="Arial" w:cs="Arial" w:eastAsia="Arial" w:hAnsi="Arial"/>
                <w:sz w:val="18"/>
                <w:szCs w:val="18"/>
                <w:color w:val="auto"/>
              </w:rPr>
              <w:t>Other PRC related covenants</w:t>
            </w:r>
          </w:p>
        </w:tc>
        <w:tc>
          <w:tcPr>
            <w:tcW w:w="3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7.8.</w:t>
            </w:r>
          </w:p>
        </w:tc>
        <w:tc>
          <w:tcPr>
            <w:tcW w:w="7380" w:type="dxa"/>
            <w:vAlign w:val="bottom"/>
          </w:tcPr>
          <w:p>
            <w:pPr>
              <w:ind w:left="60"/>
              <w:spacing w:after="0"/>
              <w:rPr>
                <w:sz w:val="20"/>
                <w:szCs w:val="20"/>
                <w:color w:val="auto"/>
              </w:rPr>
            </w:pPr>
            <w:r>
              <w:rPr>
                <w:rFonts w:ascii="Arial" w:cs="Arial" w:eastAsia="Arial" w:hAnsi="Arial"/>
                <w:sz w:val="18"/>
                <w:szCs w:val="18"/>
                <w:color w:val="auto"/>
              </w:rPr>
              <w:t>IP Covenant</w:t>
            </w:r>
          </w:p>
        </w:tc>
        <w:tc>
          <w:tcPr>
            <w:tcW w:w="3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7.9.</w:t>
            </w:r>
          </w:p>
        </w:tc>
        <w:tc>
          <w:tcPr>
            <w:tcW w:w="7380" w:type="dxa"/>
            <w:vAlign w:val="bottom"/>
          </w:tcPr>
          <w:p>
            <w:pPr>
              <w:ind w:left="60"/>
              <w:spacing w:after="0"/>
              <w:rPr>
                <w:sz w:val="20"/>
                <w:szCs w:val="20"/>
                <w:color w:val="auto"/>
              </w:rPr>
            </w:pPr>
            <w:r>
              <w:rPr>
                <w:rFonts w:ascii="Arial" w:cs="Arial" w:eastAsia="Arial" w:hAnsi="Arial"/>
                <w:sz w:val="18"/>
                <w:szCs w:val="18"/>
                <w:color w:val="auto"/>
              </w:rPr>
              <w:t>Other HK related covenants</w:t>
            </w:r>
          </w:p>
        </w:tc>
        <w:tc>
          <w:tcPr>
            <w:tcW w:w="3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7840" w:type="dxa"/>
            <w:vAlign w:val="bottom"/>
            <w:gridSpan w:val="2"/>
          </w:tcPr>
          <w:p>
            <w:pPr>
              <w:ind w:left="40"/>
              <w:spacing w:after="0"/>
              <w:rPr>
                <w:sz w:val="20"/>
                <w:szCs w:val="20"/>
                <w:color w:val="auto"/>
              </w:rPr>
            </w:pPr>
            <w:r>
              <w:rPr>
                <w:rFonts w:ascii="Arial" w:cs="Arial" w:eastAsia="Arial" w:hAnsi="Arial"/>
                <w:sz w:val="18"/>
                <w:szCs w:val="18"/>
                <w:color w:val="auto"/>
              </w:rPr>
              <w:t>Termination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2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8.1.</w:t>
            </w:r>
          </w:p>
        </w:tc>
        <w:tc>
          <w:tcPr>
            <w:tcW w:w="7380" w:type="dxa"/>
            <w:vAlign w:val="bottom"/>
          </w:tcPr>
          <w:p>
            <w:pPr>
              <w:ind w:left="60"/>
              <w:spacing w:after="0"/>
              <w:rPr>
                <w:sz w:val="20"/>
                <w:szCs w:val="20"/>
                <w:color w:val="auto"/>
              </w:rPr>
            </w:pPr>
            <w:r>
              <w:rPr>
                <w:rFonts w:ascii="Arial" w:cs="Arial" w:eastAsia="Arial" w:hAnsi="Arial"/>
                <w:sz w:val="18"/>
                <w:szCs w:val="18"/>
                <w:color w:val="auto"/>
              </w:rPr>
              <w:t>Effective Date; Termination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8.2.</w:t>
            </w:r>
          </w:p>
        </w:tc>
        <w:tc>
          <w:tcPr>
            <w:tcW w:w="7380" w:type="dxa"/>
            <w:vAlign w:val="bottom"/>
          </w:tcPr>
          <w:p>
            <w:pPr>
              <w:ind w:left="60"/>
              <w:spacing w:after="0"/>
              <w:rPr>
                <w:sz w:val="20"/>
                <w:szCs w:val="20"/>
                <w:color w:val="auto"/>
              </w:rPr>
            </w:pPr>
            <w:r>
              <w:rPr>
                <w:rFonts w:ascii="Arial" w:cs="Arial" w:eastAsia="Arial" w:hAnsi="Arial"/>
                <w:sz w:val="18"/>
                <w:szCs w:val="18"/>
                <w:color w:val="auto"/>
              </w:rPr>
              <w:t>Events of Termination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8.3.</w:t>
            </w:r>
          </w:p>
        </w:tc>
        <w:tc>
          <w:tcPr>
            <w:tcW w:w="738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2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9.1.</w:t>
            </w:r>
          </w:p>
        </w:tc>
        <w:tc>
          <w:tcPr>
            <w:tcW w:w="738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9.2.</w:t>
            </w:r>
          </w:p>
        </w:tc>
        <w:tc>
          <w:tcPr>
            <w:tcW w:w="738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9.3.</w:t>
            </w:r>
          </w:p>
        </w:tc>
        <w:tc>
          <w:tcPr>
            <w:tcW w:w="73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9.4.</w:t>
            </w:r>
          </w:p>
        </w:tc>
        <w:tc>
          <w:tcPr>
            <w:tcW w:w="738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9.5.</w:t>
            </w:r>
          </w:p>
        </w:tc>
        <w:tc>
          <w:tcPr>
            <w:tcW w:w="7380" w:type="dxa"/>
            <w:vAlign w:val="bottom"/>
          </w:tcPr>
          <w:p>
            <w:pPr>
              <w:ind w:left="60"/>
              <w:spacing w:after="0"/>
              <w:rPr>
                <w:sz w:val="20"/>
                <w:szCs w:val="20"/>
                <w:color w:val="auto"/>
              </w:rPr>
            </w:pPr>
            <w:r>
              <w:rPr>
                <w:rFonts w:ascii="Arial" w:cs="Arial" w:eastAsia="Arial" w:hAnsi="Arial"/>
                <w:sz w:val="18"/>
                <w:szCs w:val="18"/>
                <w:color w:val="auto"/>
              </w:rPr>
              <w:t>Notices</w:t>
            </w:r>
          </w:p>
        </w:tc>
        <w:tc>
          <w:tcPr>
            <w:tcW w:w="3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9.6.</w:t>
            </w:r>
          </w:p>
        </w:tc>
        <w:tc>
          <w:tcPr>
            <w:tcW w:w="7380" w:type="dxa"/>
            <w:vAlign w:val="bottom"/>
          </w:tcPr>
          <w:p>
            <w:pPr>
              <w:ind w:left="60"/>
              <w:spacing w:after="0"/>
              <w:rPr>
                <w:sz w:val="20"/>
                <w:szCs w:val="20"/>
                <w:color w:val="auto"/>
              </w:rPr>
            </w:pPr>
            <w:r>
              <w:rPr>
                <w:rFonts w:ascii="Arial" w:cs="Arial" w:eastAsia="Arial" w:hAnsi="Arial"/>
                <w:sz w:val="18"/>
                <w:szCs w:val="18"/>
                <w:color w:val="auto"/>
              </w:rPr>
              <w:t>Indemnity</w:t>
            </w:r>
          </w:p>
        </w:tc>
        <w:tc>
          <w:tcPr>
            <w:tcW w:w="3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9.7.</w:t>
            </w:r>
          </w:p>
        </w:tc>
        <w:tc>
          <w:tcPr>
            <w:tcW w:w="7380" w:type="dxa"/>
            <w:vAlign w:val="bottom"/>
          </w:tcPr>
          <w:p>
            <w:pPr>
              <w:ind w:left="60"/>
              <w:spacing w:after="0"/>
              <w:rPr>
                <w:sz w:val="20"/>
                <w:szCs w:val="20"/>
                <w:color w:val="auto"/>
              </w:rPr>
            </w:pPr>
            <w:r>
              <w:rPr>
                <w:rFonts w:ascii="Arial" w:cs="Arial" w:eastAsia="Arial" w:hAnsi="Arial"/>
                <w:sz w:val="18"/>
                <w:szCs w:val="18"/>
                <w:color w:val="auto"/>
              </w:rPr>
              <w:t>Limitations and Other Matters Relating to Indemnification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9.8.</w:t>
            </w:r>
          </w:p>
        </w:tc>
        <w:tc>
          <w:tcPr>
            <w:tcW w:w="73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3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9.9.</w:t>
            </w:r>
          </w:p>
        </w:tc>
        <w:tc>
          <w:tcPr>
            <w:tcW w:w="7380" w:type="dxa"/>
            <w:vAlign w:val="bottom"/>
          </w:tcPr>
          <w:p>
            <w:pPr>
              <w:ind w:left="60"/>
              <w:spacing w:after="0"/>
              <w:rPr>
                <w:sz w:val="20"/>
                <w:szCs w:val="20"/>
                <w:color w:val="auto"/>
              </w:rPr>
            </w:pPr>
            <w:r>
              <w:rPr>
                <w:rFonts w:ascii="Arial" w:cs="Arial" w:eastAsia="Arial" w:hAnsi="Arial"/>
                <w:sz w:val="18"/>
                <w:szCs w:val="18"/>
                <w:color w:val="auto"/>
              </w:rPr>
              <w:t>Publicity</w:t>
            </w:r>
          </w:p>
        </w:tc>
        <w:tc>
          <w:tcPr>
            <w:tcW w:w="3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9.10.</w:t>
            </w:r>
          </w:p>
        </w:tc>
        <w:tc>
          <w:tcPr>
            <w:tcW w:w="7380" w:type="dxa"/>
            <w:vAlign w:val="bottom"/>
          </w:tcPr>
          <w:p>
            <w:pPr>
              <w:ind w:left="60"/>
              <w:spacing w:after="0"/>
              <w:rPr>
                <w:sz w:val="20"/>
                <w:szCs w:val="20"/>
                <w:color w:val="auto"/>
              </w:rPr>
            </w:pPr>
            <w:r>
              <w:rPr>
                <w:rFonts w:ascii="Arial" w:cs="Arial" w:eastAsia="Arial" w:hAnsi="Arial"/>
                <w:sz w:val="18"/>
                <w:szCs w:val="18"/>
                <w:color w:val="auto"/>
              </w:rPr>
              <w:t>Rights Cumulative</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9.11.</w:t>
            </w:r>
          </w:p>
        </w:tc>
        <w:tc>
          <w:tcPr>
            <w:tcW w:w="738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9.12.</w:t>
            </w:r>
          </w:p>
        </w:tc>
        <w:tc>
          <w:tcPr>
            <w:tcW w:w="73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9.13.</w:t>
            </w:r>
          </w:p>
        </w:tc>
        <w:tc>
          <w:tcPr>
            <w:tcW w:w="738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9.14.</w:t>
            </w:r>
          </w:p>
        </w:tc>
        <w:tc>
          <w:tcPr>
            <w:tcW w:w="7380" w:type="dxa"/>
            <w:vAlign w:val="bottom"/>
          </w:tcPr>
          <w:p>
            <w:pPr>
              <w:ind w:left="60"/>
              <w:spacing w:after="0"/>
              <w:rPr>
                <w:sz w:val="20"/>
                <w:szCs w:val="20"/>
                <w:color w:val="auto"/>
              </w:rPr>
            </w:pPr>
            <w:r>
              <w:rPr>
                <w:rFonts w:ascii="Arial" w:cs="Arial" w:eastAsia="Arial" w:hAnsi="Arial"/>
                <w:sz w:val="18"/>
                <w:szCs w:val="18"/>
                <w:color w:val="auto"/>
              </w:rPr>
              <w:t>No Waiver</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9.15.</w:t>
            </w:r>
          </w:p>
        </w:tc>
        <w:tc>
          <w:tcPr>
            <w:tcW w:w="738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9.16.</w:t>
            </w:r>
          </w:p>
        </w:tc>
        <w:tc>
          <w:tcPr>
            <w:tcW w:w="7380" w:type="dxa"/>
            <w:vAlign w:val="bottom"/>
          </w:tcPr>
          <w:p>
            <w:pPr>
              <w:ind w:left="60"/>
              <w:spacing w:after="0"/>
              <w:rPr>
                <w:sz w:val="20"/>
                <w:szCs w:val="20"/>
                <w:color w:val="auto"/>
              </w:rPr>
            </w:pPr>
            <w:r>
              <w:rPr>
                <w:rFonts w:ascii="Arial" w:cs="Arial" w:eastAsia="Arial" w:hAnsi="Arial"/>
                <w:sz w:val="18"/>
                <w:szCs w:val="18"/>
                <w:color w:val="auto"/>
              </w:rPr>
              <w:t>No Presumption</w:t>
            </w:r>
          </w:p>
        </w:tc>
        <w:tc>
          <w:tcPr>
            <w:tcW w:w="3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9.17.</w:t>
            </w:r>
          </w:p>
        </w:tc>
        <w:tc>
          <w:tcPr>
            <w:tcW w:w="7380" w:type="dxa"/>
            <w:vAlign w:val="bottom"/>
          </w:tcPr>
          <w:p>
            <w:pPr>
              <w:ind w:left="60"/>
              <w:spacing w:after="0"/>
              <w:rPr>
                <w:sz w:val="20"/>
                <w:szCs w:val="20"/>
                <w:color w:val="auto"/>
              </w:rPr>
            </w:pPr>
            <w:r>
              <w:rPr>
                <w:rFonts w:ascii="Arial" w:cs="Arial" w:eastAsia="Arial" w:hAnsi="Arial"/>
                <w:sz w:val="18"/>
                <w:szCs w:val="18"/>
                <w:color w:val="auto"/>
              </w:rPr>
              <w:t>Headings and Subtitles; Interpretation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9.18.</w:t>
            </w:r>
          </w:p>
        </w:tc>
        <w:tc>
          <w:tcPr>
            <w:tcW w:w="738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9"/>
              </w:rPr>
              <w:t>9.19.</w:t>
            </w:r>
          </w:p>
        </w:tc>
        <w:tc>
          <w:tcPr>
            <w:tcW w:w="73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3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A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B -1 PARTICULARS OF GROUP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B -2 SENIOR MANAGEMENT TEAM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C DISCLOSURE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D FORM OF AMENDED AND RESTATED MEMORANDUM AND ARTICLES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E FORM OF AMENDED AND RESTATED RIGHT OF FIRST REFUSAL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F FORM OF AMENDED AND RESTATED SHAREHOLDERS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G FORM OF DEEDS OF GUARANTEE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H FORM OF non-compete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401" w:name="page402"/>
    <w:bookmarkEnd w:id="40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E SHARE SUBSCRIPTION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SERIES E SHARE SUBSCRIPTION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December 19, 2016, by and among Optimix</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Media Asia Limited, a company duly incorporated and existing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Mr. Hsieh, Wing Hong Sammy,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Hong Kong S.A.R. citizen whose ID No. is K096776(9) (“</w:t>
      </w:r>
      <w:r>
        <w:rPr>
          <w:rFonts w:ascii="Arial" w:cs="Arial" w:eastAsia="Arial" w:hAnsi="Arial"/>
          <w:sz w:val="17"/>
          <w:szCs w:val="17"/>
          <w:b w:val="1"/>
          <w:bCs w:val="1"/>
          <w:color w:val="auto"/>
        </w:rPr>
        <w:t>Founder 1</w:t>
      </w:r>
      <w:r>
        <w:rPr>
          <w:rFonts w:ascii="Arial" w:cs="Arial" w:eastAsia="Arial" w:hAnsi="Arial"/>
          <w:sz w:val="17"/>
          <w:szCs w:val="17"/>
          <w:color w:val="auto"/>
        </w:rPr>
        <w:t>”), Mr. Ng, Yau Ping, a Hong Kong S.A.R. citizen whose ID No. is V029871(9)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Founder 2</w:t>
      </w:r>
      <w:r>
        <w:rPr>
          <w:rFonts w:ascii="Arial" w:cs="Arial" w:eastAsia="Arial" w:hAnsi="Arial"/>
          <w:sz w:val="16"/>
          <w:szCs w:val="16"/>
          <w:color w:val="auto"/>
        </w:rPr>
        <w:t>” and, together with Founder 1, the “</w:t>
      </w:r>
      <w:r>
        <w:rPr>
          <w:rFonts w:ascii="Arial" w:cs="Arial" w:eastAsia="Arial" w:hAnsi="Arial"/>
          <w:sz w:val="16"/>
          <w:szCs w:val="16"/>
          <w:b w:val="1"/>
          <w:bCs w:val="1"/>
          <w:color w:val="auto"/>
        </w:rPr>
        <w:t>Founders</w:t>
      </w:r>
      <w:r>
        <w:rPr>
          <w:rFonts w:ascii="Arial" w:cs="Arial" w:eastAsia="Arial" w:hAnsi="Arial"/>
          <w:sz w:val="16"/>
          <w:szCs w:val="16"/>
          <w:color w:val="auto"/>
        </w:rPr>
        <w:t>”, and each, a “</w:t>
      </w:r>
      <w:r>
        <w:rPr>
          <w:rFonts w:ascii="Arial" w:cs="Arial" w:eastAsia="Arial" w:hAnsi="Arial"/>
          <w:sz w:val="16"/>
          <w:szCs w:val="16"/>
          <w:b w:val="1"/>
          <w:bCs w:val="1"/>
          <w:color w:val="auto"/>
        </w:rPr>
        <w:t>Founder</w:t>
      </w:r>
      <w:r>
        <w:rPr>
          <w:rFonts w:ascii="Arial" w:cs="Arial" w:eastAsia="Arial" w:hAnsi="Arial"/>
          <w:sz w:val="16"/>
          <w:szCs w:val="16"/>
          <w:color w:val="auto"/>
        </w:rPr>
        <w:t>”), and Shenwan Hongyuan Goldspring Fund I, (the “</w:t>
      </w:r>
      <w:r>
        <w:rPr>
          <w:rFonts w:ascii="Arial" w:cs="Arial" w:eastAsia="Arial" w:hAnsi="Arial"/>
          <w:sz w:val="16"/>
          <w:szCs w:val="16"/>
          <w:b w:val="1"/>
          <w:bCs w:val="1"/>
          <w:color w:val="auto"/>
        </w:rPr>
        <w:t>Investor</w:t>
      </w:r>
      <w:r>
        <w:rPr>
          <w:rFonts w:ascii="Arial" w:cs="Arial" w:eastAsia="Arial" w:hAnsi="Arial"/>
          <w:sz w:val="16"/>
          <w:szCs w:val="16"/>
          <w:color w:val="auto"/>
        </w:rPr>
        <w:t>”,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 and the Founders,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Conditioned upon the satisfaction of all applicable conditions set forth herein, the Investor wishes to subscribe for certain number of Series E Preference Shares (as defined below) of the Company, and the Company wishes to issue such number of Series E Preference Shares to the Investor upon payment of the Subscription Price (as defined below) at the Closing, on the terms and conditions set forth in this Agreement.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The Parties desire to enter into this Agreement and make the respective representations, warranties, covenants and agreements set forth herein on the terms and conditions set forth herein.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spacing w:after="0" w:line="268"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terms shall have the meanings ascribed to them below:</w:t>
      </w:r>
    </w:p>
    <w:p>
      <w:pPr>
        <w:spacing w:after="0" w:line="113"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notice, charge, claim, action, complaint, petition, investigation, suit or other proceeding, whether administrative, civil or criminal, whether at Law or in equity, and whether or not before any mediator, arbitrator or Governmental Authority.</w:t>
      </w:r>
    </w:p>
    <w:p>
      <w:pPr>
        <w:spacing w:after="0" w:line="16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that, directly or indirectly, Controls, is Controlled by or is under common Control with such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Amended and Restated Memorandum and Articles</w:t>
      </w:r>
      <w:r>
        <w:rPr>
          <w:rFonts w:ascii="Arial" w:cs="Arial" w:eastAsia="Arial" w:hAnsi="Arial"/>
          <w:sz w:val="17"/>
          <w:szCs w:val="17"/>
          <w:color w:val="auto"/>
        </w:rPr>
        <w:t xml:space="preserve">” means the seventh amended and restated memorandum and articles of association of the Company to be adopted pursuant to the terms of this Agreement, the agreed form of which is attached hereto in </w:t>
      </w:r>
      <w:r>
        <w:rPr>
          <w:rFonts w:ascii="Arial" w:cs="Arial" w:eastAsia="Arial" w:hAnsi="Arial"/>
          <w:sz w:val="17"/>
          <w:szCs w:val="17"/>
          <w:u w:val="single" w:color="auto"/>
          <w:color w:val="auto"/>
        </w:rPr>
        <w:t>Schedule D</w:t>
      </w:r>
      <w:r>
        <w:rPr>
          <w:rFonts w:ascii="Arial" w:cs="Arial" w:eastAsia="Arial" w:hAnsi="Arial"/>
          <w:sz w:val="17"/>
          <w:szCs w:val="17"/>
          <w:color w:val="auto"/>
        </w:rPr>
        <w:t>.</w:t>
      </w:r>
    </w:p>
    <w:p>
      <w:pPr>
        <w:spacing w:after="0" w:line="13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and Restated Right of First Refusal Agreement</w:t>
      </w:r>
      <w:r>
        <w:rPr>
          <w:rFonts w:ascii="Arial" w:cs="Arial" w:eastAsia="Arial" w:hAnsi="Arial"/>
          <w:sz w:val="18"/>
          <w:szCs w:val="18"/>
          <w:color w:val="auto"/>
        </w:rPr>
        <w:t xml:space="preserve">” means the third amended and restated right of first refusal agreement to be entered into pursuant to the terms of this Agreement, the agreed form of which is attached hereto in </w:t>
      </w:r>
      <w:r>
        <w:rPr>
          <w:rFonts w:ascii="Arial" w:cs="Arial" w:eastAsia="Arial" w:hAnsi="Arial"/>
          <w:sz w:val="18"/>
          <w:szCs w:val="18"/>
          <w:u w:val="single" w:color="auto"/>
          <w:color w:val="auto"/>
        </w:rPr>
        <w:t>Schedule E</w:t>
      </w:r>
      <w:r>
        <w:rPr>
          <w:rFonts w:ascii="Arial" w:cs="Arial" w:eastAsia="Arial" w:hAnsi="Arial"/>
          <w:sz w:val="18"/>
          <w:szCs w:val="18"/>
          <w:color w:val="auto"/>
        </w:rPr>
        <w:t>.</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and Restated Shareholders Agreement</w:t>
      </w:r>
      <w:r>
        <w:rPr>
          <w:rFonts w:ascii="Arial" w:cs="Arial" w:eastAsia="Arial" w:hAnsi="Arial"/>
          <w:sz w:val="18"/>
          <w:szCs w:val="18"/>
          <w:color w:val="auto"/>
        </w:rPr>
        <w:t xml:space="preserve">” means the fourth amended and restated shareholders agreement to be entered into pursuant to the terms of this Agreement, the agreed form of which is attached hereto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402" w:name="page403"/>
    <w:bookmarkEnd w:id="402"/>
    <w:p>
      <w:pPr>
        <w:ind w:right="46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Announcement 7</w:t>
      </w:r>
      <w:r>
        <w:rPr>
          <w:rFonts w:ascii="Arial" w:cs="Arial" w:eastAsia="Arial" w:hAnsi="Arial"/>
          <w:sz w:val="18"/>
          <w:szCs w:val="18"/>
          <w:color w:val="auto"/>
        </w:rPr>
        <w:t>” means the “Notice Regarding Certain Corporate Income Tax Matters on Indirect Transfer of Properties by Non-Tax Resident Enterprises (Public Notice [2015] No.7)” issued by the State Administration of Taxation of the People’s Republic of China</w:t>
      </w:r>
    </w:p>
    <w:p>
      <w:pPr>
        <w:spacing w:after="0" w:line="1" w:lineRule="exact"/>
        <w:rPr>
          <w:sz w:val="20"/>
          <w:szCs w:val="20"/>
          <w:color w:val="auto"/>
        </w:rPr>
      </w:pPr>
    </w:p>
    <w:p>
      <w:pPr>
        <w:ind w:right="200"/>
        <w:spacing w:after="0" w:line="270" w:lineRule="auto"/>
        <w:rPr>
          <w:sz w:val="20"/>
          <w:szCs w:val="20"/>
          <w:color w:val="auto"/>
        </w:rPr>
      </w:pPr>
      <w:r>
        <w:rPr>
          <w:sz w:val="1"/>
          <w:szCs w:val="1"/>
          <w:color w:val="auto"/>
        </w:rPr>
        <w:drawing>
          <wp:inline distT="0" distB="0" distL="0" distR="0">
            <wp:extent cx="1646555" cy="120015"/>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646555" cy="120015"/>
                    </a:xfrm>
                    <a:prstGeom prst="rect">
                      <a:avLst/>
                    </a:prstGeom>
                    <a:noFill/>
                    <a:ln>
                      <a:noFill/>
                    </a:ln>
                  </pic:spPr>
                </pic:pic>
              </a:graphicData>
            </a:graphic>
          </wp:inline>
        </w:drawing>
        <w:drawing>
          <wp:inline distT="0" distB="0" distL="0" distR="0">
            <wp:extent cx="1758315" cy="12890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58315" cy="128905"/>
                    </a:xfrm>
                    <a:prstGeom prst="rect">
                      <a:avLst/>
                    </a:prstGeom>
                    <a:noFill/>
                    <a:ln>
                      <a:noFill/>
                    </a:ln>
                  </pic:spPr>
                </pic:pic>
              </a:graphicData>
            </a:graphic>
          </wp:inline>
        </w:drawing>
      </w:r>
      <w:r>
        <w:rPr>
          <w:rFonts w:ascii="Arial" w:cs="Arial" w:eastAsia="Arial" w:hAnsi="Arial"/>
          <w:sz w:val="18"/>
          <w:szCs w:val="18"/>
          <w:color w:val="auto"/>
        </w:rPr>
        <w:t xml:space="preserve"> , effective as of February 3, 2015 (including subsequent amending provisions, if any).</w:t>
      </w:r>
    </w:p>
    <w:p>
      <w:pPr>
        <w:spacing w:after="0" w:line="17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any approval, authorization, release, order, or consent required to be obtained from, or any registration, qualification, designation, declaration, filing, notice, statement or other communication required to be filed with or delivered to, any Governmental Authority or any other Person, or any waiver of any of the foregoing.</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hereof.</w:t>
      </w:r>
    </w:p>
    <w:p>
      <w:pPr>
        <w:spacing w:after="0" w:line="244" w:lineRule="exact"/>
        <w:rPr>
          <w:sz w:val="20"/>
          <w:szCs w:val="20"/>
          <w:color w:val="auto"/>
        </w:rPr>
      </w:pPr>
    </w:p>
    <w:p>
      <w:pPr>
        <w:ind w:right="20" w:firstLine="45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Beijing OptAim</w:t>
      </w:r>
      <w:r>
        <w:rPr>
          <w:rFonts w:ascii="Arial" w:cs="Arial" w:eastAsia="Arial" w:hAnsi="Arial"/>
          <w:sz w:val="18"/>
          <w:szCs w:val="18"/>
          <w:color w:val="auto"/>
        </w:rPr>
        <w:t xml:space="preserve">” means Beijing Zhiyunzhong Internet Technology Limited </w:t>
      </w:r>
      <w:r>
        <w:rPr>
          <w:sz w:val="1"/>
          <w:szCs w:val="1"/>
          <w:color w:val="auto"/>
        </w:rPr>
        <w:drawing>
          <wp:inline distT="0" distB="0" distL="0" distR="0">
            <wp:extent cx="909320" cy="120015"/>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09320" cy="120015"/>
                    </a:xfrm>
                    <a:prstGeom prst="rect">
                      <a:avLst/>
                    </a:prstGeom>
                    <a:noFill/>
                    <a:ln>
                      <a:noFill/>
                    </a:ln>
                  </pic:spPr>
                </pic:pic>
              </a:graphicData>
            </a:graphic>
          </wp:inline>
        </w:drawing>
        <w:drawing>
          <wp:inline distT="0" distB="0" distL="0" distR="0">
            <wp:extent cx="368935" cy="12890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8935" cy="128905"/>
                    </a:xfrm>
                    <a:prstGeom prst="rect">
                      <a:avLst/>
                    </a:prstGeom>
                    <a:noFill/>
                    <a:ln>
                      <a:noFill/>
                    </a:ln>
                  </pic:spPr>
                </pic:pic>
              </a:graphicData>
            </a:graphic>
          </wp:inline>
        </w:drawing>
      </w:r>
      <w:r>
        <w:rPr>
          <w:rFonts w:ascii="Arial" w:cs="Arial" w:eastAsia="Arial" w:hAnsi="Arial"/>
          <w:sz w:val="18"/>
          <w:szCs w:val="18"/>
          <w:color w:val="auto"/>
        </w:rPr>
        <w:t xml:space="preserve"> , a company incorporated and existing under the Laws of the PRC.</w:t>
      </w:r>
    </w:p>
    <w:p>
      <w:pPr>
        <w:spacing w:after="0" w:line="171"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employment contract, deferred compensation agreement, bonus plan, incentive plan, profit sharing plan, retirement agreement or other employment compensation agreement or any other plan established or maintained by any Group Company (or any predecessor or Affiliate of a Group Company) which provides or provided benefits for any employee of any Group Company or with respect to which contributions are or have been made by any Group Company on account of an employee of any Group Company.</w:t>
      </w:r>
    </w:p>
    <w:p>
      <w:pPr>
        <w:spacing w:after="0" w:line="180"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Bridge Loan</w:t>
      </w:r>
      <w:r>
        <w:rPr>
          <w:rFonts w:ascii="Arial" w:cs="Arial" w:eastAsia="Arial" w:hAnsi="Arial"/>
          <w:sz w:val="17"/>
          <w:szCs w:val="17"/>
          <w:color w:val="auto"/>
        </w:rPr>
        <w:t>” means the loan provided by Harmony Way International Limited to the Company, with a principal amount of US$10,000,000 pursuant to a loan agreement by and between Harmony Way International Limited and the Company dated November 4, 2016.</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or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(excluding Saturday, Sunday or public holiday) on which commercial banks in the British Virgin Islands, Cayman Islands, Hong Kong S.A.R. and PRC are open for business to the general public.</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Buzzinate</w:t>
      </w:r>
      <w:r>
        <w:rPr>
          <w:rFonts w:ascii="Arial" w:cs="Arial" w:eastAsia="Arial" w:hAnsi="Arial"/>
          <w:sz w:val="18"/>
          <w:szCs w:val="18"/>
          <w:color w:val="auto"/>
        </w:rPr>
        <w:t>” means Buzzinate Company Limited, a company incorporated in Hong Kong with registered number 1323609, whose registered office is at Room 1501, 15/F, SPA Centre, 53-55 Lockhart Road, Wanchai, Hong Kong.</w:t>
      </w:r>
    </w:p>
    <w:p>
      <w:pPr>
        <w:spacing w:after="0" w:line="180" w:lineRule="exact"/>
        <w:rPr>
          <w:sz w:val="20"/>
          <w:szCs w:val="20"/>
          <w:color w:val="auto"/>
        </w:rPr>
      </w:pPr>
    </w:p>
    <w:p>
      <w:pPr>
        <w:ind w:right="380" w:firstLine="456"/>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Buzzinate Shanghai</w:t>
      </w:r>
      <w:r>
        <w:rPr>
          <w:rFonts w:ascii="Arial" w:cs="Arial" w:eastAsia="Arial" w:hAnsi="Arial"/>
          <w:sz w:val="17"/>
          <w:szCs w:val="17"/>
          <w:color w:val="auto"/>
        </w:rPr>
        <w:t xml:space="preserve">” means </w:t>
      </w:r>
      <w:r>
        <w:rPr>
          <w:sz w:val="1"/>
          <w:szCs w:val="1"/>
          <w:color w:val="auto"/>
        </w:rPr>
        <w:drawing>
          <wp:inline distT="0" distB="0" distL="0" distR="0">
            <wp:extent cx="1311910" cy="12001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11910" cy="120015"/>
                    </a:xfrm>
                    <a:prstGeom prst="rect">
                      <a:avLst/>
                    </a:prstGeom>
                    <a:noFill/>
                    <a:ln>
                      <a:noFill/>
                    </a:ln>
                  </pic:spPr>
                </pic:pic>
              </a:graphicData>
            </a:graphic>
          </wp:inline>
        </w:drawing>
      </w:r>
      <w:r>
        <w:rPr>
          <w:rFonts w:ascii="Arial" w:cs="Arial" w:eastAsia="Arial" w:hAnsi="Arial"/>
          <w:sz w:val="17"/>
          <w:szCs w:val="17"/>
          <w:color w:val="auto"/>
        </w:rPr>
        <w:t xml:space="preserve"> , a wholly foreign owned enterprise with limited liability incorporated in the PRC with company number 69157656-9, whose legal address is Room 103/105, Block 1, No. 498, Guo Shou Jing Rd, Pudong, Shanghai, P.R.C.</w:t>
      </w:r>
    </w:p>
    <w:p>
      <w:pPr>
        <w:spacing w:after="0" w:line="173" w:lineRule="exact"/>
        <w:rPr>
          <w:sz w:val="20"/>
          <w:szCs w:val="20"/>
          <w:color w:val="auto"/>
        </w:rPr>
      </w:pPr>
    </w:p>
    <w:p>
      <w:pPr>
        <w:ind w:right="240" w:firstLine="45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Buzzinate TW</w:t>
      </w:r>
      <w:r>
        <w:rPr>
          <w:rFonts w:ascii="Arial" w:cs="Arial" w:eastAsia="Arial" w:hAnsi="Arial"/>
          <w:sz w:val="18"/>
          <w:szCs w:val="18"/>
          <w:color w:val="auto"/>
        </w:rPr>
        <w:t xml:space="preserve">” means </w:t>
      </w:r>
      <w:r>
        <w:rPr>
          <w:sz w:val="1"/>
          <w:szCs w:val="1"/>
          <w:color w:val="auto"/>
        </w:rPr>
        <w:drawing>
          <wp:inline distT="0" distB="0" distL="0" distR="0">
            <wp:extent cx="1269365" cy="12001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69365" cy="120015"/>
                    </a:xfrm>
                    <a:prstGeom prst="rect">
                      <a:avLst/>
                    </a:prstGeom>
                    <a:noFill/>
                    <a:ln>
                      <a:noFill/>
                    </a:ln>
                  </pic:spPr>
                </pic:pic>
              </a:graphicData>
            </a:graphic>
          </wp:inline>
        </w:drawing>
      </w:r>
      <w:r>
        <w:rPr>
          <w:rFonts w:ascii="Arial" w:cs="Arial" w:eastAsia="Arial" w:hAnsi="Arial"/>
          <w:sz w:val="18"/>
          <w:szCs w:val="18"/>
          <w:color w:val="auto"/>
        </w:rPr>
        <w:t xml:space="preserve"> , a wholly foreign owned enterprise with limited liability incorporated in Taiwan with company number 25103545, whose legal address is 8F, No. 37, Section 4, Muzha Rd, 116, Taipei City, Taiwan.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BVI Companies</w:t>
      </w:r>
      <w:r>
        <w:rPr>
          <w:rFonts w:ascii="Arial" w:cs="Arial" w:eastAsia="Arial" w:hAnsi="Arial"/>
          <w:sz w:val="18"/>
          <w:szCs w:val="18"/>
          <w:color w:val="auto"/>
        </w:rPr>
        <w:t>” means Diablo Holdings Corporation and Harmattan Capital Holdings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as defined in the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403" w:name="page404"/>
    <w:bookmarkEnd w:id="403"/>
    <w:p>
      <w:pPr>
        <w:ind w:right="80" w:firstLine="456"/>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Charter Documents</w:t>
      </w:r>
      <w:r>
        <w:rPr>
          <w:rFonts w:ascii="Arial" w:cs="Arial" w:eastAsia="Arial" w:hAnsi="Arial"/>
          <w:sz w:val="16"/>
          <w:szCs w:val="16"/>
          <w:color w:val="auto"/>
        </w:rPr>
        <w:t>” means, as to a Person, such Person’s certificate of incorporation, formation or registration (including, if relevant, certificates of change of name), memorandum of association, articles of association or incorporation, charter, by-laws, trust deed, trust instrument, partnership, operating agreement, limited liability company, joint venture or shareholders agreement or equivalent documents, and business license, in each case as amended.</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China Search (HK)</w:t>
      </w:r>
      <w:r>
        <w:rPr>
          <w:rFonts w:ascii="Arial" w:cs="Arial" w:eastAsia="Arial" w:hAnsi="Arial"/>
          <w:sz w:val="18"/>
          <w:szCs w:val="18"/>
          <w:color w:val="auto"/>
        </w:rPr>
        <w:t>” means China Search (Asia) Limited, a corporation incorporated and existing under the Laws of Hong Kong.</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 698</w:t>
      </w:r>
      <w:r>
        <w:rPr>
          <w:rFonts w:ascii="Arial" w:cs="Arial" w:eastAsia="Arial" w:hAnsi="Arial"/>
          <w:sz w:val="18"/>
          <w:szCs w:val="18"/>
          <w:color w:val="auto"/>
        </w:rPr>
        <w:t xml:space="preserve">” means the “Notice on Strengthening the Management of Enterprise Income Tax Collection of Proceeds from Equity Transfers by Non-Resident Enterprises (Guoshihan [2009] 698)” issued by the State Administration of Taxation of the PRC on December 11, 2009 </w:t>
      </w:r>
      <w:r>
        <w:rPr>
          <w:sz w:val="1"/>
          <w:szCs w:val="1"/>
          <w:color w:val="auto"/>
        </w:rPr>
        <w:drawing>
          <wp:inline distT="0" distB="0" distL="0" distR="0">
            <wp:extent cx="1329055" cy="120015"/>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29055" cy="120015"/>
                    </a:xfrm>
                    <a:prstGeom prst="rect">
                      <a:avLst/>
                    </a:prstGeom>
                    <a:noFill/>
                    <a:ln>
                      <a:noFill/>
                    </a:ln>
                  </pic:spPr>
                </pic:pic>
              </a:graphicData>
            </a:graphic>
          </wp:inline>
        </w:drawing>
        <w:drawing>
          <wp:inline distT="0" distB="0" distL="0" distR="0">
            <wp:extent cx="1431925" cy="120015"/>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431925" cy="120015"/>
                    </a:xfrm>
                    <a:prstGeom prst="rect">
                      <a:avLst/>
                    </a:prstGeom>
                    <a:noFill/>
                    <a:ln>
                      <a:noFill/>
                    </a:ln>
                  </pic:spPr>
                </pic:pic>
              </a:graphicData>
            </a:graphic>
          </wp:inline>
        </w:drawing>
      </w:r>
      <w:r>
        <w:rPr>
          <w:rFonts w:ascii="Arial" w:cs="Arial" w:eastAsia="Arial" w:hAnsi="Arial"/>
          <w:sz w:val="18"/>
          <w:szCs w:val="18"/>
          <w:color w:val="auto"/>
        </w:rPr>
        <w:t xml:space="preserve"> and any subsequent similar notices, rules, amendments or supplements.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Officials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3.16(v)</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Owned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Registered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3.16(iv)</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hereof.</w:t>
      </w:r>
    </w:p>
    <w:p>
      <w:pPr>
        <w:spacing w:after="0" w:line="225"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w:t>
      </w:r>
      <w:r>
        <w:rPr>
          <w:rFonts w:ascii="Arial" w:cs="Arial" w:eastAsia="Arial" w:hAnsi="Arial"/>
          <w:sz w:val="17"/>
          <w:szCs w:val="17"/>
          <w:color w:val="auto"/>
        </w:rPr>
        <w:t>” means, as to any Person, any contract, agreement, undertaking, indenture, note, bond, loan, instrument, lease, mortgage, deed of trust, franchise, or license to which such Person is a party or by which such Person or any of its property is bound, whether oral or written.</w:t>
      </w:r>
    </w:p>
    <w:p>
      <w:pPr>
        <w:spacing w:after="0" w:line="13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w:t>
      </w:r>
      <w:r>
        <w:rPr>
          <w:rFonts w:ascii="Arial" w:cs="Arial" w:eastAsia="Arial" w:hAnsi="Arial"/>
          <w:sz w:val="18"/>
          <w:szCs w:val="18"/>
          <w:b w:val="1"/>
          <w:bCs w:val="1"/>
          <w:color w:val="auto"/>
        </w:rPr>
        <w:t>Controlled</w:t>
      </w:r>
      <w:r>
        <w:rPr>
          <w:rFonts w:ascii="Arial" w:cs="Arial" w:eastAsia="Arial" w:hAnsi="Arial"/>
          <w:sz w:val="18"/>
          <w:szCs w:val="18"/>
          <w:color w:val="auto"/>
        </w:rPr>
        <w:t>” has the meaning correlative to the foregoing.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Shares</w:t>
      </w:r>
      <w:r>
        <w:rPr>
          <w:rFonts w:ascii="Arial" w:cs="Arial" w:eastAsia="Arial" w:hAnsi="Arial"/>
          <w:sz w:val="18"/>
          <w:szCs w:val="18"/>
          <w:color w:val="auto"/>
        </w:rPr>
        <w:t>” means the Ordinary Shares issuable upon conversion of the Series E Preference Shares.</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Deeds of Guarantee</w:t>
      </w:r>
      <w:r>
        <w:rPr>
          <w:rFonts w:ascii="Arial" w:cs="Arial" w:eastAsia="Arial" w:hAnsi="Arial"/>
          <w:sz w:val="18"/>
          <w:szCs w:val="18"/>
          <w:color w:val="auto"/>
        </w:rPr>
        <w:t xml:space="preserve">” means the deeds of guarantee to be entered into by the Guarantors pursuant to the terms of this Agreement, the agreed form of which is attached hereto in </w:t>
      </w:r>
      <w:r>
        <w:rPr>
          <w:rFonts w:ascii="Arial" w:cs="Arial" w:eastAsia="Arial" w:hAnsi="Arial"/>
          <w:sz w:val="18"/>
          <w:szCs w:val="18"/>
          <w:u w:val="single" w:color="auto"/>
          <w:color w:val="auto"/>
        </w:rPr>
        <w:t>Schedule G</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9.4(i)</w:t>
      </w:r>
      <w:r>
        <w:rPr>
          <w:rFonts w:ascii="Arial" w:cs="Arial" w:eastAsia="Arial" w:hAnsi="Arial"/>
          <w:sz w:val="18"/>
          <w:szCs w:val="18"/>
          <w:color w:val="auto"/>
        </w:rPr>
        <w:t xml:space="preserve"> 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404" w:name="page405"/>
    <w:bookmarkEnd w:id="4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DMG HK</w:t>
      </w:r>
      <w:r>
        <w:rPr>
          <w:rFonts w:ascii="Arial" w:cs="Arial" w:eastAsia="Arial" w:hAnsi="Arial"/>
          <w:sz w:val="18"/>
          <w:szCs w:val="18"/>
          <w:color w:val="auto"/>
        </w:rPr>
        <w:t>” means Digital Marketing Group Limited, a company incorporated and existing under the Laws of Hong Kong.</w:t>
      </w:r>
    </w:p>
    <w:p>
      <w:pPr>
        <w:spacing w:after="0" w:line="225"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Securities</w:t>
      </w:r>
      <w:r>
        <w:rPr>
          <w:rFonts w:ascii="Arial" w:cs="Arial" w:eastAsia="Arial" w:hAnsi="Arial"/>
          <w:sz w:val="16"/>
          <w:szCs w:val="16"/>
          <w:color w:val="auto"/>
        </w:rPr>
        <w:t>” means, with respect to a Person, any shares, share capital, registered capital, ownership interest, equity interest, or other securities of such Person, and any option, warrant, or right to subscribe for, acquire or purchase any of the foregoing, or any other security or instrument convertible into or exercisable or exchangeable for any of the foregoing, or any equity appreciation, phantom equity, equity plans or similar rights with respect to such Person, or any Contract of any kind for the purchase or acquisition from such Person of any of the foregoing, either directly or indirectly.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ESOP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3.16(iv)(b)</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the British Virgin Islands, Cayman Islands, Hong Kong S.A.R., PRC or any other country, or any political subdivision thereof, any court, tribunal or arbitrator, and any self-regulatory organization.</w:t>
      </w:r>
    </w:p>
    <w:p>
      <w:pPr>
        <w:spacing w:after="0" w:line="165"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(i) an officer or employee of a government, government-owned enterprise (or any department or instrumentality thereof), political party or public international organization, (ii) a candidate for government or political officer, or (iii) an officer or employee of any entity owned by a government.</w:t>
      </w:r>
    </w:p>
    <w:p>
      <w:pPr>
        <w:spacing w:after="0" w:line="176"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Order</w:t>
      </w:r>
      <w:r>
        <w:rPr>
          <w:rFonts w:ascii="Arial" w:cs="Arial" w:eastAsia="Arial" w:hAnsi="Arial"/>
          <w:sz w:val="16"/>
          <w:szCs w:val="16"/>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 means each of the Company, the HK Company, BVI Companies and their directly and indirectly owned Subsidiaries and Affiliates and associated companies, including but not limited to Buzzinate, Buzzinate Shanghai, Buzzinate TW, iClick Beijing, iClick Shanghai, iClick Shenzhen, OptAim Beijing, OptAim Shanghai, OptAim WFOE, and iClick TW, and “</w:t>
      </w:r>
      <w:r>
        <w:rPr>
          <w:rFonts w:ascii="Arial" w:cs="Arial" w:eastAsia="Arial" w:hAnsi="Arial"/>
          <w:sz w:val="18"/>
          <w:szCs w:val="18"/>
          <w:b w:val="1"/>
          <w:bCs w:val="1"/>
          <w:color w:val="auto"/>
        </w:rPr>
        <w:t>Group</w:t>
      </w:r>
      <w:r>
        <w:rPr>
          <w:rFonts w:ascii="Arial" w:cs="Arial" w:eastAsia="Arial" w:hAnsi="Arial"/>
          <w:sz w:val="18"/>
          <w:szCs w:val="18"/>
          <w:color w:val="auto"/>
        </w:rPr>
        <w:t xml:space="preserve">” refers to all Group Companies collectively. The particulars of the Group Companies are set forth on </w:t>
      </w:r>
      <w:r>
        <w:rPr>
          <w:rFonts w:ascii="Arial" w:cs="Arial" w:eastAsia="Arial" w:hAnsi="Arial"/>
          <w:sz w:val="18"/>
          <w:szCs w:val="18"/>
          <w:u w:val="single" w:color="auto"/>
          <w:color w:val="auto"/>
        </w:rPr>
        <w:t>Schedule B-1</w:t>
      </w:r>
      <w:r>
        <w:rPr>
          <w:rFonts w:ascii="Arial" w:cs="Arial" w:eastAsia="Arial" w:hAnsi="Arial"/>
          <w:sz w:val="18"/>
          <w:szCs w:val="18"/>
          <w:color w:val="auto"/>
        </w:rPr>
        <w:t xml:space="preserve"> attached hereto.</w:t>
      </w:r>
    </w:p>
    <w:p>
      <w:pPr>
        <w:spacing w:after="0" w:line="180"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each of Optimix Media Asia Limited (incorporated in Hong Kong), iClick Interactive Asia Limited, Diablo Holdings Corporation, Harmattan Capital Holdings Corporation, China Search (Asia) Limited, DMG HK, Tetris Media Limited, OptAim Limited, and OptAim (HK) Limited.</w:t>
      </w:r>
    </w:p>
    <w:p>
      <w:pPr>
        <w:spacing w:after="0" w:line="116" w:lineRule="exact"/>
        <w:rPr>
          <w:sz w:val="20"/>
          <w:szCs w:val="20"/>
          <w:color w:val="auto"/>
        </w:rPr>
      </w:pPr>
    </w:p>
    <w:p>
      <w:pPr>
        <w:jc w:val="center"/>
        <w:ind w:right="44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 Company</w:t>
      </w:r>
      <w:r>
        <w:rPr>
          <w:rFonts w:ascii="Arial" w:cs="Arial" w:eastAsia="Arial" w:hAnsi="Arial"/>
          <w:sz w:val="18"/>
          <w:szCs w:val="18"/>
          <w:color w:val="auto"/>
        </w:rPr>
        <w:t>” means Optimix Media Asia Limited, a company duly incorporated and existing under the Laws of the Hong Kong S.A.R. 4</w:t>
      </w:r>
    </w:p>
    <w:p>
      <w:pPr>
        <w:sectPr>
          <w:pgSz w:w="11900" w:h="16838" w:orient="portrait"/>
          <w:cols w:equalWidth="0" w:num="1">
            <w:col w:w="11400"/>
          </w:cols>
          <w:pgMar w:left="240" w:top="270" w:right="259" w:bottom="1440" w:gutter="0" w:footer="0" w:header="0"/>
        </w:sectPr>
      </w:pPr>
    </w:p>
    <w:bookmarkStart w:id="405" w:name="page406"/>
    <w:bookmarkEnd w:id="4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HKIAC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9.4(iii)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243" w:lineRule="exact"/>
        <w:rPr>
          <w:sz w:val="20"/>
          <w:szCs w:val="20"/>
          <w:color w:val="auto"/>
        </w:rPr>
      </w:pPr>
    </w:p>
    <w:p>
      <w:pPr>
        <w:ind w:right="180" w:firstLine="45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iClick Beijing</w:t>
      </w:r>
      <w:r>
        <w:rPr>
          <w:rFonts w:ascii="Arial" w:cs="Arial" w:eastAsia="Arial" w:hAnsi="Arial"/>
          <w:sz w:val="18"/>
          <w:szCs w:val="18"/>
          <w:color w:val="auto"/>
        </w:rPr>
        <w:t xml:space="preserve">” means Interactive (Beijing) Advertisement Co., Ltd </w:t>
      </w:r>
      <w:r>
        <w:rPr>
          <w:sz w:val="1"/>
          <w:szCs w:val="1"/>
          <w:color w:val="auto"/>
        </w:rPr>
        <w:drawing>
          <wp:inline distT="0" distB="0" distL="0" distR="0">
            <wp:extent cx="1294765" cy="11176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94765" cy="111760"/>
                    </a:xfrm>
                    <a:prstGeom prst="rect">
                      <a:avLst/>
                    </a:prstGeom>
                    <a:noFill/>
                    <a:ln>
                      <a:noFill/>
                    </a:ln>
                  </pic:spPr>
                </pic:pic>
              </a:graphicData>
            </a:graphic>
          </wp:inline>
        </w:drawing>
        <w:drawing>
          <wp:inline distT="0" distB="0" distL="0" distR="0">
            <wp:extent cx="248920" cy="12890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48920" cy="128905"/>
                    </a:xfrm>
                    <a:prstGeom prst="rect">
                      <a:avLst/>
                    </a:prstGeom>
                    <a:noFill/>
                    <a:ln>
                      <a:noFill/>
                    </a:ln>
                  </pic:spPr>
                </pic:pic>
              </a:graphicData>
            </a:graphic>
          </wp:inline>
        </w:drawing>
      </w:r>
      <w:r>
        <w:rPr>
          <w:rFonts w:ascii="Arial" w:cs="Arial" w:eastAsia="Arial" w:hAnsi="Arial"/>
          <w:sz w:val="18"/>
          <w:szCs w:val="18"/>
          <w:color w:val="auto"/>
        </w:rPr>
        <w:t xml:space="preserve"> , a company incorporated and existing under the Laws of the PRC.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iClick (HK)</w:t>
      </w:r>
      <w:r>
        <w:rPr>
          <w:rFonts w:ascii="Arial" w:cs="Arial" w:eastAsia="Arial" w:hAnsi="Arial"/>
          <w:sz w:val="18"/>
          <w:szCs w:val="18"/>
          <w:color w:val="auto"/>
        </w:rPr>
        <w:t>” means iClick Interactive Asia Limited, a company incorporated and existing under the Laws of Hong Kong.</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iClick Shanghai</w:t>
      </w:r>
      <w:r>
        <w:rPr>
          <w:rFonts w:ascii="Arial" w:cs="Arial" w:eastAsia="Arial" w:hAnsi="Arial"/>
          <w:sz w:val="18"/>
          <w:szCs w:val="18"/>
          <w:color w:val="auto"/>
        </w:rPr>
        <w:t xml:space="preserve">” means Tetris Media (Shanghai) Co. Ltd </w:t>
      </w:r>
      <w:r>
        <w:rPr>
          <w:sz w:val="1"/>
          <w:szCs w:val="1"/>
          <w:color w:val="auto"/>
        </w:rPr>
        <w:drawing>
          <wp:inline distT="0" distB="0" distL="0" distR="0">
            <wp:extent cx="1440815" cy="10287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440815" cy="102870"/>
                    </a:xfrm>
                    <a:prstGeom prst="rect">
                      <a:avLst/>
                    </a:prstGeom>
                    <a:noFill/>
                    <a:ln>
                      <a:noFill/>
                    </a:ln>
                  </pic:spPr>
                </pic:pic>
              </a:graphicData>
            </a:graphic>
          </wp:inline>
        </w:drawing>
      </w:r>
      <w:r>
        <w:rPr>
          <w:rFonts w:ascii="Arial" w:cs="Arial" w:eastAsia="Arial" w:hAnsi="Arial"/>
          <w:sz w:val="18"/>
          <w:szCs w:val="18"/>
          <w:color w:val="auto"/>
        </w:rPr>
        <w:t xml:space="preserve"> , a company incorporated and existing under the Laws of the PRC.</w:t>
      </w:r>
    </w:p>
    <w:p>
      <w:pPr>
        <w:spacing w:after="0" w:line="17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iClick Shenzhen</w:t>
      </w:r>
      <w:r>
        <w:rPr>
          <w:rFonts w:ascii="Arial" w:cs="Arial" w:eastAsia="Arial" w:hAnsi="Arial"/>
          <w:sz w:val="18"/>
          <w:szCs w:val="18"/>
          <w:color w:val="auto"/>
        </w:rPr>
        <w:t xml:space="preserve">” means Search Asia Technology (SZ) Ltd. </w:t>
      </w:r>
      <w:r>
        <w:rPr>
          <w:sz w:val="1"/>
          <w:szCs w:val="1"/>
          <w:color w:val="auto"/>
        </w:rPr>
        <w:drawing>
          <wp:inline distT="0" distB="0" distL="0" distR="0">
            <wp:extent cx="1423670" cy="11176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423670" cy="111760"/>
                    </a:xfrm>
                    <a:prstGeom prst="rect">
                      <a:avLst/>
                    </a:prstGeom>
                    <a:noFill/>
                    <a:ln>
                      <a:noFill/>
                    </a:ln>
                  </pic:spPr>
                </pic:pic>
              </a:graphicData>
            </a:graphic>
          </wp:inline>
        </w:drawing>
      </w:r>
      <w:r>
        <w:rPr>
          <w:rFonts w:ascii="Arial" w:cs="Arial" w:eastAsia="Arial" w:hAnsi="Arial"/>
          <w:sz w:val="18"/>
          <w:szCs w:val="18"/>
          <w:color w:val="auto"/>
        </w:rPr>
        <w:t xml:space="preserve"> , a company incorporated and existing under the Laws of the PRC.</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iClick TW</w:t>
      </w:r>
      <w:r>
        <w:rPr>
          <w:rFonts w:ascii="Arial" w:cs="Arial" w:eastAsia="Arial" w:hAnsi="Arial"/>
          <w:sz w:val="18"/>
          <w:szCs w:val="18"/>
          <w:color w:val="auto"/>
        </w:rPr>
        <w:t>” means iClick Interactive Taiwan Limited and iClick Interactive Taiwan Limited Taiwan Branch.</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Indemnifiable Loss</w:t>
      </w:r>
      <w:r>
        <w:rPr>
          <w:rFonts w:ascii="Arial" w:cs="Arial" w:eastAsia="Arial" w:hAnsi="Arial"/>
          <w:sz w:val="16"/>
          <w:szCs w:val="16"/>
          <w:color w:val="auto"/>
        </w:rPr>
        <w:t>” means, with respect to any Person, any action, claim, cost, damage, deficiency, diminution in value, disbursement, expense, liability, loss, obligation, penalty, settlement, suit, or Tax of any kind or nature, together with all reasonable interest or other carrying costs, penalties, legal, accounting and other reasonable professional fees and expenses incurred in the investigation, collection, prosecution and defense of claims or amounts paid in settlement, that may be imposed on or otherwise incurred or suffered by such Person. Notwithstanding anything contained in this Agreement to the contrary, the Indemnifiable Loss shall in no event include any indirect, special, punitive, exemplary or consequential loss or damage.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9.6(iii)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any and all (i) patents, all patent rights and all applications therefor and all reissues, reexaminations, continuations, continuations-in-part, divisions, and patent term extensions thereof, (ii) inventions (whether patentable or not), discoveries, improvements, concepts, innovations and industrial models, (iii) registered and unregistered copyrights, copyright registrations and applications, author’s rights and works of authorship (including artwork of any kind and software of all types in whatever medium, inclusive of computer programs, source code, object code and executable code, and related documentation), (iv) URLs, domain names, web sites, web pages and any part thereof, (v) technical information, know-how, trade secrets, drawings, designs, design protocols, specifications for parts and devices, quality assurance and control procedures, design tools, manuals, research data concerning historic and current research and development efforts, including the results of successful and unsuccessful designs, databases and proprietary data, (vi) proprietary processes, technology, engineering, formulae, algorithms and operational procedures, (vii) trade names, trade dress, trademarks, domain names, and service marks, and registrations and applications therefor, and (viii) the goodwill of the business symbolized or represented by the foregoing, customer lists and other proprietary information and common-law rights.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406" w:name="page407"/>
    <w:bookmarkEnd w:id="406"/>
    <w:p>
      <w:pPr>
        <w:ind w:right="26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Key Employee</w:t>
      </w:r>
      <w:r>
        <w:rPr>
          <w:rFonts w:ascii="Arial" w:cs="Arial" w:eastAsia="Arial" w:hAnsi="Arial"/>
          <w:sz w:val="17"/>
          <w:szCs w:val="17"/>
          <w:color w:val="auto"/>
        </w:rPr>
        <w:t>” means, with respect to any Person, the president, chief executive officer, the chief financial officer, the chief operating officer, the chief technical officer, the chief product officer, the chief marketing officer, all senior managers of the Group Companies reporting directly to any Group Company’s Board of Directors, or any other employee with responsibilities similar to any of the foregoing.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Management</w:t>
      </w:r>
      <w:r>
        <w:rPr>
          <w:rFonts w:ascii="Arial" w:cs="Arial" w:eastAsia="Arial" w:hAnsi="Arial"/>
          <w:sz w:val="18"/>
          <w:szCs w:val="18"/>
          <w:color w:val="auto"/>
        </w:rPr>
        <w:t xml:space="preserve">” means Founder 1, TANG Jian </w:t>
      </w:r>
      <w:r>
        <w:rPr>
          <w:sz w:val="1"/>
          <w:szCs w:val="1"/>
          <w:color w:val="auto"/>
        </w:rPr>
        <w:drawing>
          <wp:inline distT="0" distB="0" distL="0" distR="0">
            <wp:extent cx="291465" cy="11176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91465" cy="111760"/>
                    </a:xfrm>
                    <a:prstGeom prst="rect">
                      <a:avLst/>
                    </a:prstGeom>
                    <a:noFill/>
                    <a:ln>
                      <a:noFill/>
                    </a:ln>
                  </pic:spPr>
                </pic:pic>
              </a:graphicData>
            </a:graphic>
          </wp:inline>
        </w:drawing>
      </w:r>
      <w:r>
        <w:rPr>
          <w:rFonts w:ascii="Arial" w:cs="Arial" w:eastAsia="Arial" w:hAnsi="Arial"/>
          <w:sz w:val="18"/>
          <w:szCs w:val="18"/>
          <w:color w:val="auto"/>
        </w:rPr>
        <w:t xml:space="preserve"> and Lee, Yanshu </w:t>
      </w:r>
      <w:r>
        <w:rPr>
          <w:sz w:val="1"/>
          <w:szCs w:val="1"/>
          <w:color w:val="auto"/>
        </w:rPr>
        <w:drawing>
          <wp:inline distT="0" distB="0" distL="0" distR="0">
            <wp:extent cx="394335" cy="12001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94335" cy="12001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Management Employment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or “ aware” means, with respect to the Warrantors, the best knowledge of the Founders, the Senior Management Team, and the president, chief executive officer, the chief financial officer, the chief operating officer, the chief technical officer, the chief sales and marketing officer (if applicable) of each Group Company, and that knowledge which should have been acquired by each such individual after making such reasonable inquiry and exercising such due diligence as a prudent business person would have made or exercised in the management of his or her business affairs, including but not limited to reasonable inquiry of officers, directors, key employees, consultants and professional advisers (including attorneys, accountants and auditors) of the Group and of its Affiliates who could reasonably be expected to have knowledge of the matters in question, and where any statement in the representations and warranties hereunder is expressed to be given or made to a Person’s Knowledge, or so far as a party is aware, or is qualified in some other manner having a similar effect, the statement shall be deemed to be supplemented by the additional statement that such party has made such due inquiry and due diligence.</w:t>
      </w:r>
    </w:p>
    <w:p>
      <w:pPr>
        <w:spacing w:after="0" w:line="160"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any constitutional provision, statute, ordinance or other law, rule, regulation, official policy or interpretation of applicable Governmental Authority and any Governmental Order in the jurisdiction of incorporation of each Group Company and where they ordinarily conduct their business, including without limitation, the British Virgin Islands, Cayman Islands, Hong Kong S.A.R. and PRC.</w:t>
      </w:r>
    </w:p>
    <w:p>
      <w:pPr>
        <w:spacing w:after="0" w:line="176"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with respect to any Person, all debts, obligations, liabilities owed by such Person of any nature, whether accrued, absolute, contingent or otherwise, and whether due or to become due.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3.20(i)</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mortgage, pledge, claim, security interest, encumbrance, title defect, lien, charge, easement, adverse claim, restrictive covenant, or other restriction or limitation of any kind whatsoever, including any restriction on the use, voting, transfer, receipt of income, or exercise of any attributes of ownership, but excluding any such restriction or limitation under the Amended and Restated Memorandum and Articles.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Accounts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hereof.</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407" w:name="page408"/>
    <w:bookmarkEnd w:id="407"/>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(i) event, occurrence, fact, condition, change or development (each, an “</w:t>
      </w:r>
      <w:r>
        <w:rPr>
          <w:rFonts w:ascii="Arial" w:cs="Arial" w:eastAsia="Arial" w:hAnsi="Arial"/>
          <w:sz w:val="16"/>
          <w:szCs w:val="16"/>
          <w:b w:val="1"/>
          <w:bCs w:val="1"/>
          <w:color w:val="auto"/>
        </w:rPr>
        <w:t>Effect</w:t>
      </w:r>
      <w:r>
        <w:rPr>
          <w:rFonts w:ascii="Arial" w:cs="Arial" w:eastAsia="Arial" w:hAnsi="Arial"/>
          <w:sz w:val="16"/>
          <w:szCs w:val="16"/>
          <w:color w:val="auto"/>
        </w:rPr>
        <w:t>”) that has had, has, or could reasonably be expected to have, a material adverse effect on the business, properties, assets, employees, operations, results of operations, condition (financial or otherwise), assets or liabilities of the Group taken as a whole, (ii) material impairment of the ability of any Group Company or Founder to perform the material obligations of such Person hereunder or under any other Transaction Document, as applicable and resulting in a material adverse effect to the Group, or (iii) material impairment of the validity or enforceability of this Agreement or any Transaction Document against any Group Company or Founder and resulting in a material adverse effect to the Group; provided, however, that, in the case of clause (i) above, no Effect shall constitute a Material Adverse Effect to the extent that such Effect arises out of or results from (a) changes after the date hereof in general economic or business conditions anywhere in the world,</w:t>
      </w:r>
    </w:p>
    <w:p>
      <w:pPr>
        <w:spacing w:after="0" w:line="2" w:lineRule="exact"/>
        <w:rPr>
          <w:sz w:val="20"/>
          <w:szCs w:val="20"/>
          <w:color w:val="auto"/>
        </w:rPr>
      </w:pPr>
    </w:p>
    <w:p>
      <w:pPr>
        <w:ind w:left="260" w:hanging="252"/>
        <w:spacing w:after="0"/>
        <w:tabs>
          <w:tab w:leader="none" w:pos="26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changes after the date hereof in the credit, debt, financial or capital markets or changes in interest or exchange rates, in each case, anywhere in the world,</w:t>
      </w:r>
    </w:p>
    <w:p>
      <w:pPr>
        <w:spacing w:after="0" w:line="32" w:lineRule="exact"/>
        <w:rPr>
          <w:rFonts w:ascii="Arial" w:cs="Arial" w:eastAsia="Arial" w:hAnsi="Arial"/>
          <w:sz w:val="16"/>
          <w:szCs w:val="16"/>
          <w:color w:val="auto"/>
        </w:rPr>
      </w:pPr>
    </w:p>
    <w:p>
      <w:pPr>
        <w:ind w:right="40" w:firstLine="8"/>
        <w:spacing w:after="0" w:line="281" w:lineRule="auto"/>
        <w:tabs>
          <w:tab w:leader="none" w:pos="24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changes after the date hereof in conditions generally affecting the industry in which the Group operates, (d) any outbreak of any military conflict, declared or undeclared war, armed hostilities, or acts of foreign or domestic terrorism, (e) any hurricane, flood, tornado, earthquake or other natural disaster,</w:t>
      </w:r>
    </w:p>
    <w:p>
      <w:pPr>
        <w:spacing w:after="0" w:line="1" w:lineRule="exact"/>
        <w:rPr>
          <w:rFonts w:ascii="Arial" w:cs="Arial" w:eastAsia="Arial" w:hAnsi="Arial"/>
          <w:sz w:val="16"/>
          <w:szCs w:val="16"/>
          <w:color w:val="auto"/>
        </w:rPr>
      </w:pPr>
    </w:p>
    <w:p>
      <w:pPr>
        <w:ind w:right="120" w:firstLine="8"/>
        <w:spacing w:after="0" w:line="271" w:lineRule="auto"/>
        <w:tabs>
          <w:tab w:leader="none" w:pos="22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changes after the date hereof in applicable Law or US GAAP, or (g) any action taken by any Group Company at the specific request of the Investor that any Group Company is not otherwise obligated to take pursuant to this Agreement, any of the other Transaction Documents or applicable Laws; provided, further, that any Effect arising out of or resulting from any change or event referred to in clause (a), (b), (c), (d), (e) or (f) above may constitute, and be taken into account in determining the occurrence of, a Material Adverse Effect if such change or event has a disproportionate impact on the Group Companies compared to other companies that operate in the industries in which the Group Companies operate.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Non-Compete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Company’s ordinary shares, par value US$0.001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3.17(iv)</w:t>
      </w:r>
      <w:r>
        <w:rPr>
          <w:rFonts w:ascii="Arial" w:cs="Arial" w:eastAsia="Arial" w:hAnsi="Arial"/>
          <w:sz w:val="18"/>
          <w:szCs w:val="18"/>
          <w:color w:val="auto"/>
        </w:rPr>
        <w:t xml:space="preserve"> hereof.</w:t>
      </w:r>
    </w:p>
    <w:p>
      <w:pPr>
        <w:spacing w:after="0" w:line="22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(i) Liens for Taxes not yet delinquent or the validity of which are being contested and (ii) Liens incurred in the ordinary course of business, which (a) do not individually or in the aggregate materially detract from the value, use, or transferability of the assets that are subject to such Liens and (b) were not incurred in connection with the borrowing of money.</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proprietorship, association, limited liability company, firm, trust, estate or other enterprise or entity.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PFIC</w:t>
      </w:r>
      <w:r>
        <w:rPr>
          <w:rFonts w:ascii="Arial" w:cs="Arial" w:eastAsia="Arial" w:hAnsi="Arial"/>
          <w:sz w:val="18"/>
          <w:szCs w:val="18"/>
          <w:color w:val="auto"/>
        </w:rPr>
        <w:t>” means a passive foreign investment company as defined in the Code.</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but solely for the purposes of this Agreement and the other Transaction Documents, excluding the Hong Kong S.A.R., the Macau Special Administrative Region and the islands of Taiwan.</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Shares</w:t>
      </w:r>
      <w:r>
        <w:rPr>
          <w:rFonts w:ascii="Arial" w:cs="Arial" w:eastAsia="Arial" w:hAnsi="Arial"/>
          <w:sz w:val="18"/>
          <w:szCs w:val="18"/>
          <w:color w:val="auto"/>
        </w:rPr>
        <w:t>” means collectively, the Series A Preference Shares, Series B Preference Shares, Series C Preference Shares, Series D Preference Shares and Series E Preference Shares.</w:t>
      </w:r>
    </w:p>
    <w:p>
      <w:pPr>
        <w:spacing w:after="0" w:line="1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Person</w:t>
      </w:r>
      <w:r>
        <w:rPr>
          <w:rFonts w:ascii="Arial" w:cs="Arial" w:eastAsia="Arial" w:hAnsi="Arial"/>
          <w:sz w:val="18"/>
          <w:szCs w:val="18"/>
          <w:color w:val="auto"/>
        </w:rPr>
        <w:t>” means any Person that is (i) a national or resident of any U.S. embargoed or restricted country, (ii) included on, or Affiliated with any Person on, the United States Commerce Department’s Denied Parties List, Entities and Unverified Lists; the U.S. Department of Treasury’s Specially Designated Nationals, Specially Designated Narcotics Traffickers or Specially Designated Terrorists, or the Annex to Executive Order No. 13224; the Department of State’s Debarred List; UN Sanctions, (iii) a member of any PRC military organization, or (iv) a Person with whom business transactions, including exports and re-exports, are restricted by a U.S. Governmental Authority, including, in each clause above, any updates or revisions to the foregoing and any newly published rules.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408" w:name="page409"/>
    <w:bookmarkEnd w:id="408"/>
    <w:p>
      <w:pPr>
        <w:ind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Public Official</w:t>
      </w:r>
      <w:r>
        <w:rPr>
          <w:rFonts w:ascii="Arial" w:cs="Arial" w:eastAsia="Arial" w:hAnsi="Arial"/>
          <w:sz w:val="18"/>
          <w:szCs w:val="18"/>
          <w:color w:val="auto"/>
        </w:rPr>
        <w:t>” means any employee of a Governmental Authority, an active member of a political party engaged in political or governmental activities, a political candidate, officer of a public international organization, or officer or employee of a state-owned enterprise, including a PRC state- owned enterprise.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PwC</w:t>
      </w:r>
      <w:r>
        <w:rPr>
          <w:rFonts w:ascii="Arial" w:cs="Arial" w:eastAsia="Arial" w:hAnsi="Arial"/>
          <w:sz w:val="18"/>
          <w:szCs w:val="18"/>
          <w:color w:val="auto"/>
        </w:rPr>
        <w:t>” means PricewaterhouseCoopers, LLP.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Auditor</w:t>
      </w:r>
      <w:r>
        <w:rPr>
          <w:rFonts w:ascii="Arial" w:cs="Arial" w:eastAsia="Arial" w:hAnsi="Arial"/>
          <w:sz w:val="18"/>
          <w:szCs w:val="18"/>
          <w:color w:val="auto"/>
        </w:rPr>
        <w:t>” means any of Deloitte Touche Tohmatsu Limited, PwC, Ernst &amp; Young or KPMG.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3.16(iv)</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SAIC</w:t>
      </w:r>
      <w:r>
        <w:rPr>
          <w:rFonts w:ascii="Arial" w:cs="Arial" w:eastAsia="Arial" w:hAnsi="Arial"/>
          <w:sz w:val="18"/>
          <w:szCs w:val="18"/>
          <w:color w:val="auto"/>
        </w:rPr>
        <w:t>” means, the State Administration of Industry and Commerce of the PRC.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Management Team</w:t>
      </w:r>
      <w:r>
        <w:rPr>
          <w:rFonts w:ascii="Arial" w:cs="Arial" w:eastAsia="Arial" w:hAnsi="Arial"/>
          <w:sz w:val="18"/>
          <w:szCs w:val="18"/>
          <w:color w:val="auto"/>
        </w:rPr>
        <w:t xml:space="preserve">” means collectively, the individuals set forth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Preference Shares</w:t>
      </w:r>
      <w:r>
        <w:rPr>
          <w:rFonts w:ascii="Arial" w:cs="Arial" w:eastAsia="Arial" w:hAnsi="Arial"/>
          <w:sz w:val="18"/>
          <w:szCs w:val="18"/>
          <w:color w:val="auto"/>
        </w:rPr>
        <w:t>” means the Series A redeemable convertible preferred shares of the Company, par value US$0.001 per share, with the rights and privileges as set forth in the Amended and Restated Memorandum and Articles.</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Preference Shares</w:t>
      </w:r>
      <w:r>
        <w:rPr>
          <w:rFonts w:ascii="Arial" w:cs="Arial" w:eastAsia="Arial" w:hAnsi="Arial"/>
          <w:sz w:val="18"/>
          <w:szCs w:val="18"/>
          <w:color w:val="auto"/>
        </w:rPr>
        <w:t>” means the Series B redeemable convertible preferred shares of the Company, par value US$0.001 per share, with the rights and privileges as set forth in the Amended and Restated Memorandum and Articles.</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Preference Shares</w:t>
      </w:r>
      <w:r>
        <w:rPr>
          <w:rFonts w:ascii="Arial" w:cs="Arial" w:eastAsia="Arial" w:hAnsi="Arial"/>
          <w:sz w:val="18"/>
          <w:szCs w:val="18"/>
          <w:color w:val="auto"/>
        </w:rPr>
        <w:t>” means the Series C redeemable convertible preferred shares of the Company, par value US$0.001 per share, with the rights and privileges as set forth in the Amended and Restated Memorandum and Articles.</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D Preference Shares</w:t>
      </w:r>
      <w:r>
        <w:rPr>
          <w:rFonts w:ascii="Arial" w:cs="Arial" w:eastAsia="Arial" w:hAnsi="Arial"/>
          <w:sz w:val="18"/>
          <w:szCs w:val="18"/>
          <w:color w:val="auto"/>
        </w:rPr>
        <w:t>” means the Series D redeemable convertible preferred shares of the Company, par value US$0.001 per share, with the rights and privileges as set forth in the Amended and Restated Memorandum and Articles.</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E Preference Shares</w:t>
      </w:r>
      <w:r>
        <w:rPr>
          <w:rFonts w:ascii="Arial" w:cs="Arial" w:eastAsia="Arial" w:hAnsi="Arial"/>
          <w:sz w:val="18"/>
          <w:szCs w:val="18"/>
          <w:color w:val="auto"/>
        </w:rPr>
        <w:t>” means the Series E redeemable convertible preferred shares of the Company, par value US$0.001 per share, with the rights and privileges as set forth in the Amended and Restated Memorandum and Articles.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E Share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43" w:lineRule="exact"/>
        <w:rPr>
          <w:sz w:val="20"/>
          <w:szCs w:val="20"/>
          <w:color w:val="auto"/>
        </w:rPr>
      </w:pPr>
    </w:p>
    <w:p>
      <w:pPr>
        <w:ind w:right="320" w:firstLine="45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Shanghai OptAim</w:t>
      </w:r>
      <w:r>
        <w:rPr>
          <w:rFonts w:ascii="Arial" w:cs="Arial" w:eastAsia="Arial" w:hAnsi="Arial"/>
          <w:sz w:val="18"/>
          <w:szCs w:val="18"/>
          <w:color w:val="auto"/>
        </w:rPr>
        <w:t xml:space="preserve">” means Zhiyunzhong (Shanghai) Technology Limited </w:t>
      </w:r>
      <w:r>
        <w:rPr>
          <w:sz w:val="1"/>
          <w:szCs w:val="1"/>
          <w:color w:val="auto"/>
        </w:rPr>
        <w:drawing>
          <wp:inline distT="0" distB="0" distL="0" distR="0">
            <wp:extent cx="1003300" cy="120015"/>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03300" cy="120015"/>
                    </a:xfrm>
                    <a:prstGeom prst="rect">
                      <a:avLst/>
                    </a:prstGeom>
                    <a:noFill/>
                    <a:ln>
                      <a:noFill/>
                    </a:ln>
                  </pic:spPr>
                </pic:pic>
              </a:graphicData>
            </a:graphic>
          </wp:inline>
        </w:drawing>
        <w:drawing>
          <wp:inline distT="0" distB="0" distL="0" distR="0">
            <wp:extent cx="471805" cy="11176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1805" cy="111760"/>
                    </a:xfrm>
                    <a:prstGeom prst="rect">
                      <a:avLst/>
                    </a:prstGeom>
                    <a:noFill/>
                    <a:ln>
                      <a:noFill/>
                    </a:ln>
                  </pic:spPr>
                </pic:pic>
              </a:graphicData>
            </a:graphic>
          </wp:inline>
        </w:drawing>
      </w:r>
      <w:r>
        <w:rPr>
          <w:rFonts w:ascii="Arial" w:cs="Arial" w:eastAsia="Arial" w:hAnsi="Arial"/>
          <w:sz w:val="18"/>
          <w:szCs w:val="18"/>
          <w:color w:val="auto"/>
        </w:rPr>
        <w:t xml:space="preserve"> , a company incorporated and existing under the Laws of the PRC.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409" w:name="page410"/>
    <w:bookmarkEnd w:id="409"/>
    <w:p>
      <w:pPr>
        <w:ind w:right="26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the Series A Preference Shares, the Series B Preference Shares, the Series C Preference Shares, the Series D Preference Shares, the Series E Preference Shares and the Ordinary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Social Insurance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SPD Silicon</w:t>
      </w:r>
      <w:r>
        <w:rPr>
          <w:rFonts w:ascii="Arial" w:cs="Arial" w:eastAsia="Arial" w:hAnsi="Arial"/>
          <w:sz w:val="18"/>
          <w:szCs w:val="18"/>
          <w:color w:val="auto"/>
        </w:rPr>
        <w:t>” means SPD Silicon Valley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Date</w:t>
      </w:r>
      <w:r>
        <w:rPr>
          <w:rFonts w:ascii="Arial" w:cs="Arial" w:eastAsia="Arial" w:hAnsi="Arial"/>
          <w:sz w:val="18"/>
          <w:szCs w:val="18"/>
          <w:color w:val="auto"/>
        </w:rPr>
        <w:t>” means September 30,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Person of which the specified Person, directly or indirectly, owns or Controls more than fifty percent (50%) of the issued and outstanding authorized capital, share capital, voting interests or registered capital.</w:t>
      </w:r>
    </w:p>
    <w:p>
      <w:pPr>
        <w:spacing w:after="0" w:line="162"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national, provincial or local income, sales and use, excise, franchise, real and personal property, gross receipt, capital stock, value-added, production, business and occupation, disability, employment, payroll, severance or withholding tax or any other type of tax, levy, assessment, custom duty or charge imposed by any Governmental Authority, any interest and penalties (civil or criminal) related thereto or to the late filing, late payment, or nonpayment thereof, and any loss or tax Liability incurred in connection with the determination, settlement or litigation of any Liability arising therefrom.</w:t>
      </w:r>
    </w:p>
    <w:p>
      <w:pPr>
        <w:spacing w:after="0" w:line="151"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estimate, claim for refund, claim for extension, information return, or statement relating to any Tax, including any schedule or attachment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9.6(iii)</w:t>
      </w:r>
      <w:r>
        <w:rPr>
          <w:rFonts w:ascii="Arial" w:cs="Arial" w:eastAsia="Arial" w:hAnsi="Arial"/>
          <w:sz w:val="18"/>
          <w:szCs w:val="18"/>
          <w:color w:val="auto"/>
        </w:rPr>
        <w:t xml:space="preserve"> hereof.</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Deeds of Guarantee, the Amended and Restated Memorandum and Articles, the Amended and Restated Shareholders Agreement and the Amended and Restated Right of First Refusal Agreement, the schedules and exhibits attached to any of the foregoing, and each of the agreements and other documents otherwise required in connection with implementing the transactions contemplated by any of the foregoing.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243" w:lineRule="exact"/>
        <w:rPr>
          <w:sz w:val="20"/>
          <w:szCs w:val="20"/>
          <w:color w:val="auto"/>
        </w:rPr>
      </w:pPr>
    </w:p>
    <w:p>
      <w:pPr>
        <w:ind w:firstLine="45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OptAim WFOE</w:t>
      </w:r>
      <w:r>
        <w:rPr>
          <w:rFonts w:ascii="Arial" w:cs="Arial" w:eastAsia="Arial" w:hAnsi="Arial"/>
          <w:sz w:val="18"/>
          <w:szCs w:val="18"/>
          <w:color w:val="auto"/>
        </w:rPr>
        <w:t xml:space="preserve">” means Zhiyunzhong (Beijing) Information Technology Limited </w:t>
      </w:r>
      <w:r>
        <w:rPr>
          <w:sz w:val="1"/>
          <w:szCs w:val="1"/>
          <w:color w:val="auto"/>
        </w:rPr>
        <w:drawing>
          <wp:inline distT="0" distB="0" distL="0" distR="0">
            <wp:extent cx="565785" cy="11176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65785" cy="111760"/>
                    </a:xfrm>
                    <a:prstGeom prst="rect">
                      <a:avLst/>
                    </a:prstGeom>
                    <a:noFill/>
                    <a:ln>
                      <a:noFill/>
                    </a:ln>
                  </pic:spPr>
                </pic:pic>
              </a:graphicData>
            </a:graphic>
          </wp:inline>
        </w:drawing>
        <w:drawing>
          <wp:inline distT="0" distB="0" distL="0" distR="0">
            <wp:extent cx="1115060" cy="120015"/>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15060" cy="120015"/>
                    </a:xfrm>
                    <a:prstGeom prst="rect">
                      <a:avLst/>
                    </a:prstGeom>
                    <a:noFill/>
                    <a:ln>
                      <a:noFill/>
                    </a:ln>
                  </pic:spPr>
                </pic:pic>
              </a:graphicData>
            </a:graphic>
          </wp:inline>
        </w:drawing>
      </w:r>
      <w:r>
        <w:rPr>
          <w:rFonts w:ascii="Arial" w:cs="Arial" w:eastAsia="Arial" w:hAnsi="Arial"/>
          <w:sz w:val="18"/>
          <w:szCs w:val="18"/>
          <w:color w:val="auto"/>
        </w:rPr>
        <w:t xml:space="preserve"> , a company incorporated and existing under the Laws of the PRC.</w:t>
      </w:r>
    </w:p>
    <w:p>
      <w:pPr>
        <w:spacing w:after="0" w:line="320" w:lineRule="exact"/>
        <w:rPr>
          <w:sz w:val="20"/>
          <w:szCs w:val="20"/>
          <w:color w:val="auto"/>
        </w:rPr>
      </w:pPr>
    </w:p>
    <w:p>
      <w:pPr>
        <w:ind w:left="460" w:hanging="452"/>
        <w:spacing w:after="0"/>
        <w:tabs>
          <w:tab w:leader="none" w:pos="46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and Issuance of Purchased Shares.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Subscription and Issuance of the Purchased Shares.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terms and conditions of this Agreement, at the Closing, the Investor agrees to subscribe for and the Company agrees to issue and allot to the Investor, 1,068,114 Series E Preference Shares (the “</w:t>
      </w:r>
      <w:r>
        <w:rPr>
          <w:rFonts w:ascii="Arial" w:cs="Arial" w:eastAsia="Arial" w:hAnsi="Arial"/>
          <w:sz w:val="18"/>
          <w:szCs w:val="18"/>
          <w:b w:val="1"/>
          <w:bCs w:val="1"/>
          <w:color w:val="auto"/>
        </w:rPr>
        <w:t>Purchased Shares</w:t>
      </w:r>
      <w:r>
        <w:rPr>
          <w:rFonts w:ascii="Arial" w:cs="Arial" w:eastAsia="Arial" w:hAnsi="Arial"/>
          <w:sz w:val="18"/>
          <w:szCs w:val="18"/>
          <w:color w:val="auto"/>
        </w:rPr>
        <w:t>”) at the price of US$18.72459 per share (the “</w:t>
      </w:r>
      <w:r>
        <w:rPr>
          <w:rFonts w:ascii="Arial" w:cs="Arial" w:eastAsia="Arial" w:hAnsi="Arial"/>
          <w:sz w:val="18"/>
          <w:szCs w:val="18"/>
          <w:b w:val="1"/>
          <w:bCs w:val="1"/>
          <w:color w:val="auto"/>
        </w:rPr>
        <w:t>Series E Share Price</w:t>
      </w:r>
      <w:r>
        <w:rPr>
          <w:rFonts w:ascii="Arial" w:cs="Arial" w:eastAsia="Arial" w:hAnsi="Arial"/>
          <w:sz w:val="18"/>
          <w:szCs w:val="18"/>
          <w:color w:val="auto"/>
        </w:rPr>
        <w:t>”), for the aggregate subscription price of US$20 million (the “</w:t>
      </w:r>
      <w:r>
        <w:rPr>
          <w:rFonts w:ascii="Arial" w:cs="Arial" w:eastAsia="Arial" w:hAnsi="Arial"/>
          <w:sz w:val="18"/>
          <w:szCs w:val="18"/>
          <w:b w:val="1"/>
          <w:bCs w:val="1"/>
          <w:color w:val="auto"/>
        </w:rPr>
        <w:t>Subscription Price</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410" w:name="page411"/>
    <w:bookmarkEnd w:id="410"/>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5"/>
          <w:szCs w:val="15"/>
          <w:b w:val="1"/>
          <w:bCs w:val="1"/>
          <w:color w:val="auto"/>
        </w:rPr>
        <w:t>Closing</w:t>
      </w:r>
    </w:p>
    <w:p>
      <w:pPr>
        <w:spacing w:after="0" w:line="225" w:lineRule="exact"/>
        <w:rPr>
          <w:sz w:val="20"/>
          <w:szCs w:val="20"/>
          <w:color w:val="auto"/>
        </w:rPr>
      </w:pPr>
    </w:p>
    <w:p>
      <w:pPr>
        <w:ind w:firstLine="921"/>
        <w:spacing w:after="0" w:line="258" w:lineRule="auto"/>
        <w:tabs>
          <w:tab w:leader="none" w:pos="1128" w:val="left"/>
        </w:tabs>
        <w:numPr>
          <w:ilvl w:val="1"/>
          <w:numId w:val="385"/>
        </w:numPr>
        <w:rPr>
          <w:rFonts w:ascii="Arial" w:cs="Arial" w:eastAsia="Arial" w:hAnsi="Arial"/>
          <w:sz w:val="18"/>
          <w:szCs w:val="18"/>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The consummation of the subscription and issuance of the Purchased Shares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remotely via the exchange of documents and signatures as soon as practicable but in no event later than fifteen (15) Business Days after all closing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have been waived or satisfied (except for such conditions that will be satisfied at the Closing, but nonetheless subject to the satisfaction or waiver thereof at the Closing), or at such other time and place as the Company and the Investor shall mutually agree in writing, in any case no later than December 31, 2016.</w:t>
      </w:r>
    </w:p>
    <w:p>
      <w:pPr>
        <w:spacing w:after="0" w:line="183" w:lineRule="exact"/>
        <w:rPr>
          <w:rFonts w:ascii="Arial" w:cs="Arial" w:eastAsia="Arial" w:hAnsi="Arial"/>
          <w:sz w:val="18"/>
          <w:szCs w:val="18"/>
          <w:color w:val="auto"/>
        </w:rPr>
      </w:pPr>
    </w:p>
    <w:p>
      <w:pPr>
        <w:ind w:right="20" w:firstLine="921"/>
        <w:spacing w:after="0" w:line="290" w:lineRule="auto"/>
        <w:tabs>
          <w:tab w:leader="none" w:pos="1178"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 xml:space="preserve">Closing Deliveries. </w:t>
      </w:r>
      <w:r>
        <w:rPr>
          <w:rFonts w:ascii="Arial" w:cs="Arial" w:eastAsia="Arial" w:hAnsi="Arial"/>
          <w:sz w:val="16"/>
          <w:szCs w:val="16"/>
          <w:color w:val="auto"/>
        </w:rPr>
        <w:t>At the Closing, the Company shall deliver to the Investor (a) a copy of the updated register of members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certified by a director of the Company or a representative of the Company’s registered office provider, reflecting the issuance to the Investor of the Purchased Shares at the Closing; (b) a copy of the share certificate duly signed by a director of the Company representing the Purchased Shares being issued and allotted to and subscribed for by the Investor at the Closing; (c) copies of the board resolutions and shareholders’ resolutions of the Company certified by a director of the Company approving, </w:t>
      </w:r>
      <w:r>
        <w:rPr>
          <w:rFonts w:ascii="Arial" w:cs="Arial" w:eastAsia="Arial" w:hAnsi="Arial"/>
          <w:sz w:val="16"/>
          <w:szCs w:val="16"/>
          <w:i w:val="1"/>
          <w:iCs w:val="1"/>
          <w:color w:val="auto"/>
        </w:rPr>
        <w:t>inter alia</w:t>
      </w:r>
      <w:r>
        <w:rPr>
          <w:rFonts w:ascii="Arial" w:cs="Arial" w:eastAsia="Arial" w:hAnsi="Arial"/>
          <w:sz w:val="16"/>
          <w:szCs w:val="16"/>
          <w:color w:val="auto"/>
        </w:rPr>
        <w:t>, the execution of the Transaction Documents by the Company and the Deeds of Guarantee by each of the Guarantors as well as the transactions contemplated thereunder, changes in the authorized share capital of the Company including creation of the Series E Preference Shares and the adoption of the Amended and Restated Memorandum and Articles; and (d) copies of the duly adopted Amended and Restated Memorandum and Articles certified by a director of the Company. Within five (5) days after the Closing, the Company shall deliver the original share certificate to the Investor representing the Purchased Shares being issued and allotted to and subscribed for by the Investor.</w:t>
      </w:r>
    </w:p>
    <w:p>
      <w:pPr>
        <w:spacing w:after="0" w:line="159" w:lineRule="exact"/>
        <w:rPr>
          <w:rFonts w:ascii="Arial" w:cs="Arial" w:eastAsia="Arial" w:hAnsi="Arial"/>
          <w:sz w:val="16"/>
          <w:szCs w:val="16"/>
          <w:color w:val="auto"/>
        </w:rPr>
      </w:pPr>
    </w:p>
    <w:p>
      <w:pPr>
        <w:ind w:left="1240" w:hanging="319"/>
        <w:spacing w:after="0"/>
        <w:tabs>
          <w:tab w:leader="none" w:pos="1240"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 xml:space="preserve">Closing Payment. </w:t>
      </w:r>
      <w:r>
        <w:rPr>
          <w:rFonts w:ascii="Arial" w:cs="Arial" w:eastAsia="Arial" w:hAnsi="Arial"/>
          <w:sz w:val="16"/>
          <w:szCs w:val="16"/>
          <w:color w:val="auto"/>
        </w:rPr>
        <w:t>Subject to the terms and conditions of this Agreement, at the Closing, the Investor agrees to pay the Subscription Price as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follows: (a) US$10,000,000 in cash of immediately available funds by wire transfer to the bank account designated by the Company at least three</w:t>
      </w:r>
    </w:p>
    <w:p>
      <w:pPr>
        <w:spacing w:after="0" w:line="20" w:lineRule="exact"/>
        <w:rPr>
          <w:rFonts w:ascii="Arial" w:cs="Arial" w:eastAsia="Arial" w:hAnsi="Arial"/>
          <w:sz w:val="16"/>
          <w:szCs w:val="16"/>
          <w:color w:val="auto"/>
        </w:rPr>
      </w:pPr>
    </w:p>
    <w:p>
      <w:pPr>
        <w:ind w:right="60" w:firstLine="8"/>
        <w:spacing w:after="0" w:line="261" w:lineRule="auto"/>
        <w:tabs>
          <w:tab w:leader="none" w:pos="25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Business Days before the Closing; and (b) and within ten (10) Business Days after the Bridge Loan is fully repaid, US$10,000,000 in cash of immediately available funds by wire transfer to the bank account designated by the Company.</w:t>
      </w:r>
    </w:p>
    <w:p>
      <w:pPr>
        <w:spacing w:after="0" w:line="328" w:lineRule="exact"/>
        <w:rPr>
          <w:sz w:val="20"/>
          <w:szCs w:val="20"/>
          <w:color w:val="auto"/>
        </w:rPr>
      </w:pPr>
    </w:p>
    <w:p>
      <w:pPr>
        <w:ind w:left="460" w:hanging="452"/>
        <w:spacing w:after="0"/>
        <w:tabs>
          <w:tab w:leader="none" w:pos="4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Warrantors.</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 xml:space="preserve">Subject to such exceptions as may be specifically set forth or referred to in the Disclosure Schedule attached to this Agreement as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(the “</w:t>
      </w:r>
      <w:r>
        <w:rPr>
          <w:rFonts w:ascii="Arial" w:cs="Arial" w:eastAsia="Arial" w:hAnsi="Arial"/>
          <w:sz w:val="17"/>
          <w:szCs w:val="17"/>
          <w:b w:val="1"/>
          <w:bCs w:val="1"/>
          <w:color w:val="auto"/>
        </w:rPr>
        <w:t>Disclosure Schedule</w:t>
      </w:r>
      <w:r>
        <w:rPr>
          <w:rFonts w:ascii="Arial" w:cs="Arial" w:eastAsia="Arial" w:hAnsi="Arial"/>
          <w:sz w:val="17"/>
          <w:szCs w:val="17"/>
          <w:color w:val="auto"/>
        </w:rPr>
        <w:t>”), the Company and the Founders (collectively, the “</w:t>
      </w:r>
      <w:r>
        <w:rPr>
          <w:rFonts w:ascii="Arial" w:cs="Arial" w:eastAsia="Arial" w:hAnsi="Arial"/>
          <w:sz w:val="17"/>
          <w:szCs w:val="17"/>
          <w:b w:val="1"/>
          <w:bCs w:val="1"/>
          <w:color w:val="auto"/>
        </w:rPr>
        <w:t>Warrantors</w:t>
      </w:r>
      <w:r>
        <w:rPr>
          <w:rFonts w:ascii="Arial" w:cs="Arial" w:eastAsia="Arial" w:hAnsi="Arial"/>
          <w:sz w:val="17"/>
          <w:szCs w:val="17"/>
          <w:color w:val="auto"/>
        </w:rPr>
        <w:t xml:space="preserve">”), jointly and severally, represent and warrant to the Investor that each of the statements contained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is true and complete as of the date of this Agreement, and each of such statements shall be true and complete on and as of the date of the Closing, as applicable, but which may be updated prior to the Closing to reflect any changes that may have occurred between the date hereof and the Closing, with the same effect as if made on and as of the date of such Closing, as follows:</w:t>
      </w:r>
    </w:p>
    <w:p>
      <w:pPr>
        <w:spacing w:after="0" w:line="1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Organization, Good Standing and Qualification.</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Company is duly incorporated, validly existing and in good standing under the Laws of the Cayman Islands. Each Group Company is duly incorporated, validly existing and in good standing (where such status is applicable) under the Laws of the jurisdiction of its incorporation. Each Group Company has all requisite legal and corporate power and authority to own, lease and operate its properties and assets and to carry on its business as now conducted, and is duly qualified to transact business in each jurisdiction it carries on business, in which the failure to so qualify would reasonably be expected to result in a Material Adverse Effect. The Company was formed solely to acquire and hold the equity interests in its Subsidiaries set out in </w:t>
      </w:r>
      <w:r>
        <w:rPr>
          <w:rFonts w:ascii="Arial" w:cs="Arial" w:eastAsia="Arial" w:hAnsi="Arial"/>
          <w:sz w:val="18"/>
          <w:szCs w:val="18"/>
          <w:u w:val="single" w:color="auto"/>
          <w:color w:val="auto"/>
        </w:rPr>
        <w:t>Schedule B-1</w:t>
      </w:r>
      <w:r>
        <w:rPr>
          <w:rFonts w:ascii="Arial" w:cs="Arial" w:eastAsia="Arial" w:hAnsi="Arial"/>
          <w:sz w:val="18"/>
          <w:szCs w:val="18"/>
          <w:color w:val="auto"/>
        </w:rPr>
        <w:t xml:space="preserve"> and since its formation has not engaged in any other business and has not incurred any Liability except in the ordinary course of business of acquiring, managing and disposing of its equity interests in each of its Subsidiaries.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411" w:name="page412"/>
    <w:bookmarkEnd w:id="411"/>
    <w:p>
      <w:pPr>
        <w:ind w:left="452"/>
        <w:spacing w:after="0"/>
        <w:tabs>
          <w:tab w:leader="none" w:pos="87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Capitalization and Voting Rights.</w:t>
      </w:r>
    </w:p>
    <w:p>
      <w:pPr>
        <w:spacing w:after="0" w:line="225" w:lineRule="exact"/>
        <w:rPr>
          <w:sz w:val="20"/>
          <w:szCs w:val="20"/>
          <w:color w:val="auto"/>
        </w:rPr>
      </w:pPr>
    </w:p>
    <w:p>
      <w:pPr>
        <w:ind w:left="-8" w:right="80" w:firstLine="921"/>
        <w:spacing w:after="0" w:line="288" w:lineRule="auto"/>
        <w:tabs>
          <w:tab w:leader="none" w:pos="1120" w:val="left"/>
        </w:tabs>
        <w:numPr>
          <w:ilvl w:val="0"/>
          <w:numId w:val="388"/>
        </w:numPr>
        <w:rPr>
          <w:rFonts w:ascii="Arial" w:cs="Arial" w:eastAsia="Arial" w:hAnsi="Arial"/>
          <w:sz w:val="16"/>
          <w:szCs w:val="16"/>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As of the date hereof, the authorized share capital of the Company is US$50,000, divided into 38,350,000 Ordinary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16,500,808 Ordinary Shares are issued and outstanding, 2,500,000 Series A Preference Shares, of which 2,476,190 Series A Preference Shares are issued and outstanding, 3,000,000 Series B Preference Shares, of which 1,889,249 Series B Preference Shares are issued and outstanding, 1,650,000 Series C Preference Shares, of which 1,599,186 Series C Preference Shares are issued and outstanding and 4,500,000 Series D Preference Shares, of which 2,493,018 Series D Preference Shares are issued and outstanding. The Company has reserved (a) 2,834,910 Ordinary Shares for issuance to officers, directors, employees, consultants or service providers of the Company pursuant to the equity incentive plan of the Company (the “</w:t>
      </w:r>
      <w:r>
        <w:rPr>
          <w:rFonts w:ascii="Arial" w:cs="Arial" w:eastAsia="Arial" w:hAnsi="Arial"/>
          <w:sz w:val="16"/>
          <w:szCs w:val="16"/>
          <w:b w:val="1"/>
          <w:bCs w:val="1"/>
          <w:color w:val="auto"/>
        </w:rPr>
        <w:t>ESOP</w:t>
      </w:r>
      <w:r>
        <w:rPr>
          <w:rFonts w:ascii="Arial" w:cs="Arial" w:eastAsia="Arial" w:hAnsi="Arial"/>
          <w:sz w:val="16"/>
          <w:szCs w:val="16"/>
          <w:color w:val="auto"/>
        </w:rPr>
        <w:t>”) which has been adopted by the Board of Directors and approved and ratified by the holders of equity securities of the Company (from this reserve for the ESOP, there are currently no outstanding options for the purchase of Ordinary Shares), (b) 2,476,190 Ordinary Shares for issuance upon conversion of the issued and outstanding Series A Preference Shares, (c) 1,889,249 Ordinary Shares for issuance upon conversion of the issued and outstanding Series B Preference Shares, (d) 1,599,186 Ordinary Shares for issuance upon conversion of the issued and outstanding Series C Preference Shares and (e) 2,493,018 Ordinary Shares for issuance upon conversion of the issued and outstanding Series D Preference Shares.</w:t>
      </w:r>
    </w:p>
    <w:p>
      <w:pPr>
        <w:spacing w:after="0" w:line="60" w:lineRule="exact"/>
        <w:rPr>
          <w:sz w:val="20"/>
          <w:szCs w:val="20"/>
          <w:color w:val="auto"/>
        </w:rPr>
      </w:pPr>
    </w:p>
    <w:p>
      <w:pPr>
        <w:ind w:left="452" w:right="20" w:firstLine="443"/>
        <w:spacing w:after="0" w:line="289" w:lineRule="auto"/>
        <w:tabs>
          <w:tab w:leader="none" w:pos="113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Immediately after the Closing and following adoption of the Amended and Restated Memorandum and Articles, the authorized capital of the Company shall be US$50,000, divided into 37,150,000 Ordinary Shares, of which 18,248,975 Ordinary Shares are issued and outstanding, 2,500,000 Series A Preference Shares, of which 2,476,190 Series A Preference Shares are issued and outstanding, 3,000,000 Series B Preference Shares, of which 1,889,249 Series B Preference Shares are issued and outstanding, 1,650,000 Series C Preference Shares, of which 1,599,186 Series C Preference Shares are issued and outstanding, 4,500,000 Series D Preference Shares, of which 2,493,018 Series D Preference Shares are issued and outstanding, and 1,200,000 Series E Preference Shares, of which 1,068,114 shall be issued at Closing. As of the Closing Date, the rights, privileges and preferences of the Ordinary Shares, the Series A Preference Shares, the Series B Preference Shares, the Series C Preference Shares, the Series D Preference Shares and the Series E Preference Shares shall be as set out in the Amended and Restated Memorandum and Articles, the Amended and Restated Shareholders Agreement, and the Amended and Restated Right of First Refusal Agreement</w:t>
      </w:r>
      <w:r>
        <w:rPr>
          <w:rFonts w:ascii="Arial" w:cs="Arial" w:eastAsia="Arial" w:hAnsi="Arial"/>
          <w:sz w:val="13"/>
          <w:szCs w:val="13"/>
          <w:color w:val="auto"/>
        </w:rPr>
        <w:t>4</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52" w:right="840" w:firstLine="443"/>
        <w:spacing w:after="0" w:line="277" w:lineRule="auto"/>
        <w:tabs>
          <w:tab w:leader="none" w:pos="1145"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Section 3.2(i)</w:t>
      </w:r>
      <w:r>
        <w:rPr>
          <w:rFonts w:ascii="Arial" w:cs="Arial" w:eastAsia="Arial" w:hAnsi="Arial"/>
          <w:sz w:val="18"/>
          <w:szCs w:val="18"/>
          <w:color w:val="auto"/>
        </w:rPr>
        <w:t xml:space="preserve"> of the Disclosure Schedule sets forth as of (1) the date hereof and (2) immediately after the Closing, the fully diluted outstanding and authorized Equity Securities of the Company and the registered holders thereof.</w:t>
      </w:r>
    </w:p>
    <w:p>
      <w:pPr>
        <w:spacing w:after="0" w:line="166" w:lineRule="exact"/>
        <w:rPr>
          <w:rFonts w:ascii="Arial" w:cs="Arial" w:eastAsia="Arial" w:hAnsi="Arial"/>
          <w:sz w:val="18"/>
          <w:szCs w:val="18"/>
          <w:color w:val="auto"/>
        </w:rPr>
      </w:pPr>
    </w:p>
    <w:p>
      <w:pPr>
        <w:ind w:left="-8" w:right="100" w:firstLine="921"/>
        <w:spacing w:after="0" w:line="347" w:lineRule="auto"/>
        <w:tabs>
          <w:tab w:leader="none" w:pos="1170" w:val="left"/>
        </w:tabs>
        <w:numPr>
          <w:ilvl w:val="1"/>
          <w:numId w:val="389"/>
        </w:numPr>
        <w:rPr>
          <w:rFonts w:ascii="Arial" w:cs="Arial" w:eastAsia="Arial" w:hAnsi="Arial"/>
          <w:sz w:val="16"/>
          <w:szCs w:val="16"/>
          <w:color w:val="auto"/>
        </w:rPr>
      </w:pPr>
      <w:r>
        <w:rPr>
          <w:rFonts w:ascii="Arial" w:cs="Arial" w:eastAsia="Arial" w:hAnsi="Arial"/>
          <w:sz w:val="16"/>
          <w:szCs w:val="16"/>
          <w:b w:val="1"/>
          <w:bCs w:val="1"/>
          <w:color w:val="auto"/>
        </w:rPr>
        <w:t>Group Companies</w:t>
      </w:r>
      <w:r>
        <w:rPr>
          <w:rFonts w:ascii="Arial" w:cs="Arial" w:eastAsia="Arial" w:hAnsi="Arial"/>
          <w:sz w:val="16"/>
          <w:szCs w:val="16"/>
          <w:color w:val="auto"/>
        </w:rPr>
        <w:t>. The authorized and fully diluted outstanding Equity Securities of each other Group Company is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B-1</w:t>
      </w:r>
      <w:r>
        <w:rPr>
          <w:rFonts w:ascii="Arial" w:cs="Arial" w:eastAsia="Arial" w:hAnsi="Arial"/>
          <w:sz w:val="16"/>
          <w:szCs w:val="16"/>
          <w:color w:val="auto"/>
        </w:rPr>
        <w:t>, together with an accurate list of the record and beneficial owners of such issued capital and all such issued capital is fully paid on the date hereof.</w:t>
      </w:r>
    </w:p>
    <w:p>
      <w:pPr>
        <w:spacing w:after="0" w:line="116" w:lineRule="exact"/>
        <w:rPr>
          <w:rFonts w:ascii="Arial" w:cs="Arial" w:eastAsia="Arial" w:hAnsi="Arial"/>
          <w:sz w:val="16"/>
          <w:szCs w:val="16"/>
          <w:color w:val="auto"/>
        </w:rPr>
      </w:pPr>
    </w:p>
    <w:p>
      <w:pPr>
        <w:ind w:left="-8" w:firstLine="921"/>
        <w:spacing w:after="0" w:line="277" w:lineRule="auto"/>
        <w:tabs>
          <w:tab w:leader="none" w:pos="1220" w:val="left"/>
        </w:tabs>
        <w:numPr>
          <w:ilvl w:val="1"/>
          <w:numId w:val="389"/>
        </w:numPr>
        <w:rPr>
          <w:rFonts w:ascii="Arial" w:cs="Arial" w:eastAsia="Arial" w:hAnsi="Arial"/>
          <w:sz w:val="17"/>
          <w:szCs w:val="17"/>
          <w:color w:val="auto"/>
        </w:rPr>
      </w:pPr>
      <w:r>
        <w:rPr>
          <w:rFonts w:ascii="Arial" w:cs="Arial" w:eastAsia="Arial" w:hAnsi="Arial"/>
          <w:sz w:val="17"/>
          <w:szCs w:val="17"/>
          <w:b w:val="1"/>
          <w:bCs w:val="1"/>
          <w:color w:val="auto"/>
        </w:rPr>
        <w:t>No Other Purchased Shares</w:t>
      </w:r>
      <w:r>
        <w:rPr>
          <w:rFonts w:ascii="Arial" w:cs="Arial" w:eastAsia="Arial" w:hAnsi="Arial"/>
          <w:sz w:val="17"/>
          <w:szCs w:val="17"/>
          <w:color w:val="auto"/>
        </w:rPr>
        <w:t>. Except as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and except for (a) the conversion privileges of the Preference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and (b) certain rights provided in the Amended and Restated Shareholders Agreement and the Amended and Restated Right of First Refusal Agreement, there are no and at the Closing there shall not be any authorized or outstanding Equity Securities of any Group Company. No Group Company is a party or otherwise subject to any agreement (other than the Transaction Documents) that affects or relates to the voting or giving of written consents with respect to, or the right to cause the registration, redemption, or repurchase of, any Equity Security of such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289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left="5612" w:right="2280" w:hanging="5612"/>
        <w:spacing w:after="0" w:line="449" w:lineRule="auto"/>
        <w:tabs>
          <w:tab w:leader="none" w:pos="439" w:val="left"/>
        </w:tabs>
        <w:numPr>
          <w:ilvl w:val="0"/>
          <w:numId w:val="390"/>
        </w:numPr>
        <w:rPr>
          <w:rFonts w:ascii="Arial" w:cs="Arial" w:eastAsia="Arial" w:hAnsi="Arial"/>
          <w:sz w:val="15"/>
          <w:szCs w:val="15"/>
          <w:color w:val="auto"/>
        </w:rPr>
      </w:pPr>
      <w:r>
        <w:rPr>
          <w:rFonts w:ascii="Arial" w:cs="Arial" w:eastAsia="Arial" w:hAnsi="Arial"/>
          <w:sz w:val="18"/>
          <w:szCs w:val="18"/>
          <w:color w:val="auto"/>
        </w:rPr>
        <w:t>Note to Draft: The capitalization should reflect the share transfer to Tang Jian pursuant to the Share Transfer Agreement. 11</w:t>
      </w:r>
    </w:p>
    <w:p>
      <w:pPr>
        <w:sectPr>
          <w:pgSz w:w="11900" w:h="16838" w:orient="portrait"/>
          <w:cols w:equalWidth="0" w:num="1">
            <w:col w:w="11412"/>
          </w:cols>
          <w:pgMar w:left="248" w:top="270" w:right="239" w:bottom="1440" w:gutter="0" w:footer="0" w:header="0"/>
        </w:sectPr>
      </w:pPr>
    </w:p>
    <w:bookmarkStart w:id="412" w:name="page413"/>
    <w:bookmarkEnd w:id="412"/>
    <w:p>
      <w:pPr>
        <w:ind w:right="80" w:firstLine="921"/>
        <w:spacing w:after="0" w:line="292" w:lineRule="auto"/>
        <w:tabs>
          <w:tab w:leader="none" w:pos="1218"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and Status</w:t>
      </w:r>
      <w:r>
        <w:rPr>
          <w:rFonts w:ascii="Arial" w:cs="Arial" w:eastAsia="Arial" w:hAnsi="Arial"/>
          <w:sz w:val="16"/>
          <w:szCs w:val="16"/>
          <w:color w:val="auto"/>
        </w:rPr>
        <w:t>. All presently outstanding Equity Securities of each Group Company were duly and validly issued (or subscribed for)</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all applicable Laws, preemptive rights of any Person, and applicable Contracts and are fully paid and non-assessable. All issued share capital of each Group Company is and as of the Closing shall be free of any and all Liens (except for any restrictions on transfer or Lien created under the Transaction Documents). There are no (a) resolutions pending to increase the share capital of any Group Company (other than increase in Share Capital pursuant to the Transaction Documents) or cause the liquidation, winding up, or dissolution of any Group Company or (b) dividends which have accrued or been declared but are unpaid by any Group Company or (c) obligations, contingent or otherwise, of any Group Company to repurchase, redeem, or otherwise acquire any Equity Securities of such Group Company (other than pursuant to the Transaction Documents).</w:t>
      </w:r>
    </w:p>
    <w:p>
      <w:pPr>
        <w:spacing w:after="0" w:line="53" w:lineRule="exact"/>
        <w:rPr>
          <w:rFonts w:ascii="Arial" w:cs="Arial" w:eastAsia="Arial" w:hAnsi="Arial"/>
          <w:sz w:val="16"/>
          <w:szCs w:val="16"/>
          <w:color w:val="auto"/>
        </w:rPr>
      </w:pPr>
    </w:p>
    <w:p>
      <w:pPr>
        <w:jc w:val="both"/>
        <w:ind w:right="140" w:firstLine="921"/>
        <w:spacing w:after="0" w:line="261" w:lineRule="auto"/>
        <w:tabs>
          <w:tab w:leader="none" w:pos="1168"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No Group Company’s Contracts relating to its Equity Securities provides for acceleration of vesting (or lapse of a repurchase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changes in the vesting provisions or other terms of such agreement or understanding upon the occurrence of any event or combination of events. No Group Company has ever adjusted or amended the exercise price of any share options previously awarded, whether through amendment, cancellation, replacement grant, re-pricing, or any other means.</w:t>
      </w:r>
    </w:p>
    <w:p>
      <w:pPr>
        <w:spacing w:after="0" w:line="20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Corporate Structure; Subsidiaries.</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the Disclosure Schedule sets forth a complete structure chart showing Group Companies, and indicating the ownership and Control relationships among all Group Companies and the Founders as of the Closing. No Group Company owns or Controls, directly or indirectly, any interest or share in any other Person or is or was a participant in any joint venture, partnership or similar arrangement. No Group Company is obligated to make any investment in or capital contribution in or on behalf of any other Person. Other than as set forth in </w:t>
      </w:r>
      <w:r>
        <w:rPr>
          <w:rFonts w:ascii="Arial" w:cs="Arial" w:eastAsia="Arial" w:hAnsi="Arial"/>
          <w:sz w:val="17"/>
          <w:szCs w:val="17"/>
          <w:u w:val="single" w:color="auto"/>
          <w:color w:val="auto"/>
        </w:rPr>
        <w:t>Schedule B-1</w:t>
      </w:r>
      <w:r>
        <w:rPr>
          <w:rFonts w:ascii="Arial" w:cs="Arial" w:eastAsia="Arial" w:hAnsi="Arial"/>
          <w:sz w:val="17"/>
          <w:szCs w:val="17"/>
          <w:color w:val="auto"/>
        </w:rPr>
        <w:t xml:space="preserve">, no other Persons has any direct or indirect right to participate in, or receive any payment (which, for the avoidance of doubt, shall not include any payment or distribution under a contract entered into with channel-sales partners of the Group Companies similar to the ones as listed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the Disclosure Schedule) based on, any amount relating to, the revenue, income, value or net worth of the Group Companies or any component or portion thereof, or any increase or decrease in any of the foregoing. Except for the Company, neither Founder presently owns or Controls, directly or indirectly, any interest or share in any other Person or is or was a participant in any joint venture, partnership or similar arrangement in competition with the current business of the Group, other than the holding of not more than 5% of shares in any company listed on any stock exchange that may compete with the business of the Group. In addition, each Founder is the sole legal and beneficial owner of such number of the Ordinary Shares set forth in the structure chart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the Disclosure Schedule, and such shares currently are and will at the Closing be held free of and are not subject to any Lien.</w:t>
      </w:r>
    </w:p>
    <w:p>
      <w:pPr>
        <w:spacing w:after="0" w:line="20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Authorization.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Warrantor has all requisite power and authority to execute and deliver the Transaction Documents to which it is a party and to carry out and perform its obligations thereunder. All actions on the part of each Warrantor (and, as applicable, its officers, directors and shareholders) necessary for the authorization, execution and delivery of the Transaction Documents to which it is a party, the performance of all obligations of each Warrantor thereunder, and, in the case of the Company, the authorization, issuance (or reservation for issuance), sale and allotment of the Purchased Shares, has been taken or will be taken prior to the Closing. This Agreement, and each of the Transaction Documents to which a Warrantor is a party, have been or will be duly executed and delivered by such Warrantor. This Agreement and each of the Transaction Documents are, or when executed and delivered by such Warrantor shall be, valid and legally binding obligations of such Warrantor enforceable against such Warrantor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413" w:name="page414"/>
    <w:bookmarkEnd w:id="413"/>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w:t>
      </w:r>
      <w:r>
        <w:rPr>
          <w:sz w:val="20"/>
          <w:szCs w:val="20"/>
          <w:color w:val="auto"/>
        </w:rPr>
        <w:tab/>
      </w:r>
      <w:r>
        <w:rPr>
          <w:rFonts w:ascii="Arial" w:cs="Arial" w:eastAsia="Arial" w:hAnsi="Arial"/>
          <w:sz w:val="15"/>
          <w:szCs w:val="15"/>
          <w:b w:val="1"/>
          <w:bCs w:val="1"/>
          <w:color w:val="auto"/>
        </w:rPr>
        <w:t>Valid Issuance of Purchased Shares.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Purchased Shares, when issued, allotted and paid for in accordance with the terms of this Agreement for the consideration expressed herein or therein, are or will be duly and validly issued, fully paid and non-assessable (except for the Residual Amount), free from any Lien (except for any restrictions on transfer or Lien created under applicable securities Laws and under the Transaction Documents). The Conversion Shares have been reserved for issuance and, upon issuance in accordance with the terms of the Amended and Restated Memorandum and Articles, will be duly and validly issued, fully paid and non-assessable, free from any Liens (except for any restrictions on transfer or Liens created under applicable securities Laws and under the Transaction Documents). Except as otherwise disclosed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Disclosure Schedule, the issuance of the Purchased Shares is not subject to any preemptive rights, rights of first refusal or similar rights except those which have been waived in connection with such issuance.</w:t>
      </w:r>
    </w:p>
    <w:p>
      <w:pPr>
        <w:spacing w:after="0" w:line="1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Governmental Consents.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 Approval with respect to or on the part of any Group Company or any Founder is required in connection with its valid execution, delivery, or performance of the transactions contemplated by this Agreement or the Transaction Documents or the offer, sale, transfer, issuance or reservation for issuance of any Purchased Shares.</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Offering.</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Subject in part to the accuracy of the Investor’s representations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the offer and issuance of the Purchased Shares, as contemplated by the Transaction Documents, are exempt from the qualification, registration and prospectus delivery requirements of the Securities Act and any applicable securities Laws.</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Certain Regulatory Matters.</w:t>
      </w:r>
    </w:p>
    <w:p>
      <w:pPr>
        <w:spacing w:after="0" w:line="229" w:lineRule="exact"/>
        <w:rPr>
          <w:sz w:val="20"/>
          <w:szCs w:val="20"/>
          <w:color w:val="auto"/>
        </w:rPr>
      </w:pPr>
    </w:p>
    <w:p>
      <w:pPr>
        <w:ind w:firstLine="921"/>
        <w:spacing w:after="0" w:line="270" w:lineRule="auto"/>
        <w:tabs>
          <w:tab w:leader="none" w:pos="1128"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The Group Companies have obtained any and all necessary Approvals from applicable Governmental Authorities and have fulfilled all fillings and registration requirements with applicable Governmental Authorities necessary in respect of each Founder and his investment in the Group Companies, and in respect of the Group Companies, and their operations, respectively. All filings and registrations with applicable Governmental Authorities required in respect of the Group Companies and the Founders have been duly completed in accordance with applicable Law. No Founder or Group Company has received any letter or notice from any applicable Governmental Authorities notifying it/him of the revocation of any Approval issued to it or the need for compliance or remedial actions in respect of the activities carried out directly or indirectly by any Founder or Group Company. Each Group Company has been conducting its business activities within the permitted scope of business or is otherwise operating its businesses in material compliance with all relevant Laws and Governmental Orders. No Founder or Group Company has reason to believe that any authorization of any Governmental Authority, license or permit requisite for the conduct of any part of its business which is subject to periodic renewal will not be granted or renewed by the relevant Governmental Authorities.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9" w:right="259" w:bottom="1440" w:gutter="0" w:footer="0" w:header="0"/>
        </w:sectPr>
      </w:pPr>
    </w:p>
    <w:bookmarkStart w:id="414" w:name="page415"/>
    <w:bookmarkEnd w:id="414"/>
    <w:p>
      <w:pPr>
        <w:ind w:left="-8" w:right="140" w:firstLine="921"/>
        <w:spacing w:after="0" w:line="308" w:lineRule="auto"/>
        <w:tabs>
          <w:tab w:leader="none" w:pos="1170" w:val="left"/>
        </w:tabs>
        <w:numPr>
          <w:ilvl w:val="0"/>
          <w:numId w:val="3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of the Disclosure Schedule, no legal and/or beneficial owner of any Group Company is a PRC citizen or a PRC resident, who shall be subject to any filing or registration requirements under the foreign exchange rules and regulations of the PRC.</w:t>
      </w:r>
    </w:p>
    <w:p>
      <w:pPr>
        <w:spacing w:after="0" w:line="17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Tax Matters.</w:t>
      </w:r>
    </w:p>
    <w:p>
      <w:pPr>
        <w:spacing w:after="0" w:line="229" w:lineRule="exact"/>
        <w:rPr>
          <w:sz w:val="20"/>
          <w:szCs w:val="20"/>
          <w:color w:val="auto"/>
        </w:rPr>
      </w:pPr>
    </w:p>
    <w:p>
      <w:pPr>
        <w:ind w:left="-8" w:firstLine="921"/>
        <w:spacing w:after="0" w:line="288" w:lineRule="auto"/>
        <w:tabs>
          <w:tab w:leader="none" w:pos="112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Each Group Company (a) has duly filed all Tax Returns that are required to have been filed by it with any Governmental Authority, (b) has duly paid all Taxes owed by it which are due and payable (whether or not shown on any Tax Return) and withheld and remitted to the appropriate Governmental Authority all Taxes which it is obligated to withhold and remit from amounts owing to any employee, creditor, customer or third party (if any),</w:t>
      </w:r>
    </w:p>
    <w:p>
      <w:pPr>
        <w:ind w:left="-8" w:right="20" w:firstLine="8"/>
        <w:spacing w:after="0" w:line="302" w:lineRule="auto"/>
        <w:tabs>
          <w:tab w:leader="none" w:pos="237" w:val="left"/>
        </w:tabs>
        <w:numPr>
          <w:ilvl w:val="0"/>
          <w:numId w:val="395"/>
        </w:numPr>
        <w:rPr>
          <w:rFonts w:ascii="Arial" w:cs="Arial" w:eastAsia="Arial" w:hAnsi="Arial"/>
          <w:sz w:val="16"/>
          <w:szCs w:val="16"/>
          <w:color w:val="auto"/>
        </w:rPr>
      </w:pPr>
      <w:r>
        <w:rPr>
          <w:rFonts w:ascii="Arial" w:cs="Arial" w:eastAsia="Arial" w:hAnsi="Arial"/>
          <w:sz w:val="16"/>
          <w:szCs w:val="16"/>
          <w:color w:val="auto"/>
        </w:rPr>
        <w:t>has not waived any statute of limitations with respect to Taxes or agreed to any extension of time with respect to a Tax assessment or deficiency other than, in the case of clauses (a) and (b), unpaid Taxes that are in contest with Tax authorities by Group Company in good faith or nonmaterial in amount, (d) is not subject to any Tax related penalty imposed by any Governmental Authority, and (e) is in substantial compliance with Circular 698 and Announcement 7.</w:t>
      </w:r>
    </w:p>
    <w:p>
      <w:pPr>
        <w:spacing w:after="0" w:line="155" w:lineRule="exact"/>
        <w:rPr>
          <w:rFonts w:ascii="Arial" w:cs="Arial" w:eastAsia="Arial" w:hAnsi="Arial"/>
          <w:sz w:val="16"/>
          <w:szCs w:val="16"/>
          <w:color w:val="auto"/>
        </w:rPr>
      </w:pPr>
    </w:p>
    <w:p>
      <w:pPr>
        <w:ind w:left="-8" w:right="60" w:firstLine="921"/>
        <w:spacing w:after="0" w:line="291" w:lineRule="auto"/>
        <w:tabs>
          <w:tab w:leader="none" w:pos="117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Group Companies are required to file Tax Returns in Hong Kong, Singapore and the PRC only and each Tax Return referred to in paragraph (i) above has been properly prepared in compliance with the applicable Hong Kong, Singapore and PRC Laws and is true, correct and complete in all material respects. None of such Tax Returns contains a statement that is false or misleading or omits any matter that is required to be included or without which the statement would be false or misleading. No reporting position was taken on any such Tax Return which has not been disclosed to the appropriate Tax authority or in such Tax Return, as may be required by Law. All records relating to such Tax Returns or to the preparation thereof required by applicable Law to be maintained by applicable Group Company have been duly maintained. No written claim has been made by a Government Authority in a jurisdiction where the Group does not file Tax Returns and that any Group Company is or may be subject to taxation by that jurisdiction.</w:t>
      </w:r>
    </w:p>
    <w:p>
      <w:pPr>
        <w:spacing w:after="0" w:line="167" w:lineRule="exact"/>
        <w:rPr>
          <w:sz w:val="20"/>
          <w:szCs w:val="20"/>
          <w:color w:val="auto"/>
        </w:rPr>
      </w:pPr>
    </w:p>
    <w:p>
      <w:pPr>
        <w:ind w:left="-8" w:right="40" w:firstLine="921"/>
        <w:spacing w:after="0" w:line="255" w:lineRule="auto"/>
        <w:tabs>
          <w:tab w:leader="none" w:pos="12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assessment of any additional Taxes with respect to the applicable Group Company for periods for which Tax Returns have been filed is not expected to materially exceed the recorded Liability therefor in the most recent balance sheet in the Financial Statements (as defined below), and to the Knowledge of the Warrantors, there are no unresolved claims concerning any Tax Liability of any Group Company. Since the Statement Date, no Group Company has incurred any material liability for Taxes outside the ordinary course of business or otherwise inconsistent with past custom and practice. There is no pending dispute with, or notice from, any Tax authority relating to any of the Tax Returns filed by any Group Company, and to the Knowledge of the applicable Group Company and each of the Warrantors, there is no proposed Liability for a deficiency in any Tax to be imposed upon the properties or assets of any Group Company.</w:t>
      </w:r>
    </w:p>
    <w:p>
      <w:pPr>
        <w:spacing w:after="0" w:line="189" w:lineRule="exact"/>
        <w:rPr>
          <w:rFonts w:ascii="Arial" w:cs="Arial" w:eastAsia="Arial" w:hAnsi="Arial"/>
          <w:sz w:val="18"/>
          <w:szCs w:val="18"/>
          <w:color w:val="auto"/>
        </w:rPr>
      </w:pPr>
    </w:p>
    <w:p>
      <w:pPr>
        <w:ind w:left="-8" w:firstLine="921"/>
        <w:spacing w:after="0" w:line="259" w:lineRule="auto"/>
        <w:tabs>
          <w:tab w:leader="none" w:pos="121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Group Company has been the subject of any examination or investigation by any Tax authority relating to the conduct of its business or the payment or withholding of Taxes that has not been resolved or is currently the subject of any examination or investigation by any Tax authority relating to the conduct of its business or the payment or withholding of Taxes. No Group Company is responsible for the Taxes of any other Person by reason of contract, successor liability or otherwise.</w:t>
      </w:r>
    </w:p>
    <w:p>
      <w:pPr>
        <w:spacing w:after="0" w:line="186" w:lineRule="exact"/>
        <w:rPr>
          <w:rFonts w:ascii="Arial" w:cs="Arial" w:eastAsia="Arial" w:hAnsi="Arial"/>
          <w:sz w:val="18"/>
          <w:szCs w:val="18"/>
          <w:color w:val="auto"/>
        </w:rPr>
      </w:pPr>
    </w:p>
    <w:p>
      <w:pPr>
        <w:ind w:left="-8" w:right="240" w:firstLine="921"/>
        <w:spacing w:after="0" w:line="277" w:lineRule="auto"/>
        <w:tabs>
          <w:tab w:leader="none" w:pos="11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Group Company is or has ever been a PFIC or CFC. No Group Company anticipates that it will become a PFIC or CFC for the current taxable year or any future taxable year.</w:t>
      </w:r>
    </w:p>
    <w:p>
      <w:pPr>
        <w:spacing w:after="0" w:line="170" w:lineRule="exact"/>
        <w:rPr>
          <w:rFonts w:ascii="Arial" w:cs="Arial" w:eastAsia="Arial" w:hAnsi="Arial"/>
          <w:sz w:val="18"/>
          <w:szCs w:val="18"/>
          <w:color w:val="auto"/>
        </w:rPr>
      </w:pPr>
    </w:p>
    <w:p>
      <w:pPr>
        <w:ind w:left="1212" w:hanging="299"/>
        <w:spacing w:after="0"/>
        <w:tabs>
          <w:tab w:leader="none" w:pos="121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Group Company is or has ever been a US real property holding corporation.</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52"/>
          </w:cols>
          <w:pgMar w:left="248" w:top="274" w:right="299" w:bottom="1440" w:gutter="0" w:footer="0" w:header="0"/>
        </w:sectPr>
      </w:pPr>
    </w:p>
    <w:bookmarkStart w:id="415" w:name="page416"/>
    <w:bookmarkEnd w:id="4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3.10. Charter Documents; Books and Records.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Charter Documents of each Group Company are in the form provided to the Investor. Each Group Company has made available to the Investor or its counsel a copy of its minute books. Such copy is true, correct and complete, and contains all amendments and all minutes of meetings and actions taken by its shareholders and directors since the time of formation through the date hereof and reflects all transactions referred to in such minutes accurately in all material respects. Each Group Company maintains its books of accounts and records in the usual, regular and ordinary manner, on a basis consistent with prior practice, and which permits its Financial Statements (as defined below) to be prepared in accordance with US GAAP.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3.11. Financial Statements.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of the Disclosure Schedule sets forth the drafted audited consolidated balance sheet and statements of operations and cash flows for the Group as of and, where applicable, for each of the twelve-month periods ending December 31, 2013 and December 31, 2014 (collectively, the financial statements referred to above, the “</w:t>
      </w:r>
      <w:r>
        <w:rPr>
          <w:rFonts w:ascii="Arial" w:cs="Arial" w:eastAsia="Arial" w:hAnsi="Arial"/>
          <w:sz w:val="17"/>
          <w:szCs w:val="17"/>
          <w:b w:val="1"/>
          <w:bCs w:val="1"/>
          <w:color w:val="auto"/>
        </w:rPr>
        <w:t>Audited Financial Statements</w:t>
      </w:r>
      <w:r>
        <w:rPr>
          <w:rFonts w:ascii="Arial" w:cs="Arial" w:eastAsia="Arial" w:hAnsi="Arial"/>
          <w:sz w:val="17"/>
          <w:szCs w:val="17"/>
          <w:color w:val="auto"/>
        </w:rPr>
        <w:t>”) and unaudited management accounts as of and for the twelve-month period ending December 31, 2015 and the nine (9)-month period ending on September 30, 2016 (the “</w:t>
      </w:r>
      <w:r>
        <w:rPr>
          <w:rFonts w:ascii="Arial" w:cs="Arial" w:eastAsia="Arial" w:hAnsi="Arial"/>
          <w:sz w:val="17"/>
          <w:szCs w:val="17"/>
          <w:b w:val="1"/>
          <w:bCs w:val="1"/>
          <w:color w:val="auto"/>
        </w:rPr>
        <w:t>Management Accounts</w:t>
      </w:r>
      <w:r>
        <w:rPr>
          <w:rFonts w:ascii="Arial" w:cs="Arial" w:eastAsia="Arial" w:hAnsi="Arial"/>
          <w:sz w:val="17"/>
          <w:szCs w:val="17"/>
          <w:color w:val="auto"/>
        </w:rPr>
        <w:t>” and, together with the Audited Financial Statements,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Audited Financial Statements (i) have been prepared in accordance with the books and records of each Group Company and (ii) fairly present in all material respects the consolidated financial condition and position of the Group as of the dates indicated therein and the consolidated results of operations and cash flows of the Group for the periods indicated therein. The Management Accounts have been prepared in accordance with the books and records of the Group Companies and are fair and do not materially misstate the profits or losses of the Group for the financial period to which they relate. All of the accounts receivable owing to any of the Group Companies, including without limitation all accounts receivable set forth on the Financial Statements, constitute valid and enforceable claims and are good and collectible in the ordinary course of business in all material respects, net of any reserves shown on the Financial Statements (which reserves are adequate and were calculated on a basis consistent with US GAAP), and no further goods or services are required to be provided in order to complete the sales and to entitle the applicable Group Company to collect in full. There is no material contingent or asserted claims, refusals to pay, or other rights of set-off with respect to any accounts receivable of the Group Companies to the Knowledge of the Warrantors.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3.12. Changes.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Since the Statement Date, the Group has operated its business in the ordinary course consistent with its past practice, there has not been any Material Adverse Effect or any material change in the way the Group conducts its business, no Group Company has entered into any transaction outside of the ordinary course of business consistent with its past practice, and there has not been any Material Adverse Effect with respect to any Group Company by or with respect to:</w:t>
      </w:r>
    </w:p>
    <w:p>
      <w:pPr>
        <w:spacing w:after="0" w:line="187" w:lineRule="exact"/>
        <w:rPr>
          <w:sz w:val="20"/>
          <w:szCs w:val="20"/>
          <w:color w:val="auto"/>
        </w:rPr>
      </w:pPr>
    </w:p>
    <w:p>
      <w:pPr>
        <w:ind w:right="200" w:firstLine="921"/>
        <w:spacing w:after="0" w:line="259" w:lineRule="auto"/>
        <w:tabs>
          <w:tab w:leader="none" w:pos="112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purchase, acquisition, sale, lease, disposal of or other transfer of any assets that are individually or in the aggregate material to its business, whether tangible or intangible, other than the purchase or sale of inventory in the ordinary course of business consistent with its past practice, and no acquisition (by merger, consolidation or other combination, or acquisition of stock or assets, or otherwise) of any business or other Person or division thereof;</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waiver, termination, settlement or compromise of a valuable right or of a debt;</w:t>
      </w:r>
    </w:p>
    <w:p>
      <w:pPr>
        <w:spacing w:after="0" w:line="225" w:lineRule="exact"/>
        <w:rPr>
          <w:rFonts w:ascii="Arial" w:cs="Arial" w:eastAsia="Arial" w:hAnsi="Arial"/>
          <w:sz w:val="18"/>
          <w:szCs w:val="18"/>
          <w:color w:val="auto"/>
        </w:rPr>
      </w:pPr>
    </w:p>
    <w:p>
      <w:pPr>
        <w:ind w:right="200" w:firstLine="921"/>
        <w:spacing w:after="0" w:line="259" w:lineRule="auto"/>
        <w:tabs>
          <w:tab w:leader="none" w:pos="122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incurrence, creation, assumption, repayment, satisfaction, or discharge of (1) any material Lien (other than Permitted Liens) or (2) any indebtedness or guarantee, or the making of any loan or advance (other than reasonable and normal advances to employees for bona fide expenses that are incurred in the ordinary course of business consistent with its past practice), or the making of any investment or capital contribution other than to a Group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416" w:name="page417"/>
    <w:bookmarkEnd w:id="416"/>
    <w:p>
      <w:pPr>
        <w:ind w:right="460" w:firstLine="921"/>
        <w:spacing w:after="0" w:line="286" w:lineRule="auto"/>
        <w:tabs>
          <w:tab w:leader="none" w:pos="1218" w:val="left"/>
        </w:tabs>
        <w:numPr>
          <w:ilvl w:val="0"/>
          <w:numId w:val="3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to any Material Contract, any entering of any new Material Contract, or any termination of any Contract (other than by expiration of its term) that would have been a Material Contract if in effect on the date hereof, or any amendment to any Charter Document, or any amendment to or waiver under any Charter Document other than as disclosed to the Investor in writing prior to Closing;</w:t>
      </w:r>
    </w:p>
    <w:p>
      <w:pPr>
        <w:spacing w:after="0" w:line="165" w:lineRule="exact"/>
        <w:rPr>
          <w:rFonts w:ascii="Arial" w:cs="Arial" w:eastAsia="Arial" w:hAnsi="Arial"/>
          <w:sz w:val="17"/>
          <w:szCs w:val="17"/>
          <w:color w:val="auto"/>
        </w:rPr>
      </w:pPr>
    </w:p>
    <w:p>
      <w:pPr>
        <w:ind w:right="180" w:firstLine="921"/>
        <w:spacing w:after="0" w:line="264" w:lineRule="auto"/>
        <w:tabs>
          <w:tab w:leader="none" w:pos="116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change in any compensation arrangement or agreement with any Key Employee of any Group Company, except for such changes required pursuant to the terms of plans or agreements in effect on the date of the Management Accounts and disclosed in writing to the Investor, or adoption of any new Group Benefit Plan, or made any material change in any existing Group Benefit Plan;</w:t>
      </w:r>
    </w:p>
    <w:p>
      <w:pPr>
        <w:spacing w:after="0" w:line="181" w:lineRule="exact"/>
        <w:rPr>
          <w:rFonts w:ascii="Arial" w:cs="Arial" w:eastAsia="Arial" w:hAnsi="Arial"/>
          <w:sz w:val="18"/>
          <w:szCs w:val="18"/>
          <w:color w:val="auto"/>
        </w:rPr>
      </w:pPr>
    </w:p>
    <w:p>
      <w:pPr>
        <w:ind w:right="540" w:firstLine="921"/>
        <w:spacing w:after="0" w:line="277" w:lineRule="auto"/>
        <w:tabs>
          <w:tab w:leader="none" w:pos="121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declaration, setting aside or payment or other distribution in respect of any Equity Securities, or any direct or indirect redemption, purchase or other acquisition of any Equity Securities;</w:t>
      </w:r>
    </w:p>
    <w:p>
      <w:pPr>
        <w:spacing w:after="0" w:line="170" w:lineRule="exact"/>
        <w:rPr>
          <w:rFonts w:ascii="Arial" w:cs="Arial" w:eastAsia="Arial" w:hAnsi="Arial"/>
          <w:sz w:val="18"/>
          <w:szCs w:val="18"/>
          <w:color w:val="auto"/>
        </w:rPr>
      </w:pPr>
    </w:p>
    <w:p>
      <w:pPr>
        <w:ind w:right="660" w:firstLine="921"/>
        <w:spacing w:after="0" w:line="277" w:lineRule="auto"/>
        <w:tabs>
          <w:tab w:leader="none" w:pos="126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adversely affecting the assets, properties, financial condition, operation or business of any Group Company;</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material change in accounting methods or practices or any revaluation of any of its assets;</w:t>
      </w:r>
    </w:p>
    <w:p>
      <w:pPr>
        <w:spacing w:after="0" w:line="225" w:lineRule="exact"/>
        <w:rPr>
          <w:rFonts w:ascii="Arial" w:cs="Arial" w:eastAsia="Arial" w:hAnsi="Arial"/>
          <w:sz w:val="18"/>
          <w:szCs w:val="18"/>
          <w:color w:val="auto"/>
        </w:rPr>
      </w:pPr>
    </w:p>
    <w:p>
      <w:pPr>
        <w:ind w:right="140" w:firstLine="921"/>
        <w:spacing w:after="0" w:line="259" w:lineRule="auto"/>
        <w:tabs>
          <w:tab w:leader="none" w:pos="121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its past practice, entry into any closing agreement in respect of material Taxes, settlement of any claim or assessment in respect of any material Taxes, or consent to any extension or waiver of the limitation period applicable to any claim or assessment in respect of any material Taxes, entry or change of any material Tax election, change of any method of accounting resulting in a material amount of additional Tax or filing of any material amended Tax Return;</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commencement or settlement of any material Action; or</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any agreement or commitment to do any of the things described in this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3.13. Actions and Governmental Orders.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There is no Action pending or currently threatened against any Group Company or any Founder, or, to the Knowledge of any Warrantor, any of the officers or directors of any Group Company with respect to their businesses or proposed business activities, nor is any Warrantor aware of any basis for any of the foregoing, including with respect to any Action involving the prior employment of any of employees of any Group Company, their use in connection with such Group Company’s business of any information or techniques allegedly proprietary to any of their former employers or their obligations under any agreements with prior employers. There is no Governmental Order in effect and binding on any Group Company, any Founder or their respective assets or properties. There is no Action by any Group Company or any Founder pending or which such Person intends to initiate against any third party. No Government Authority has at any time materially challenged or questioned in writing the legal right of any Group Company to conduct its business as presently being conducted or proposed to be conducted. No Group Company has received any opinion or memorandum or advice from legal counsel to the effect that it is exposed, from a legal standpoint, to any liability or disadvantage which may be material to its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417" w:name="page418"/>
    <w:bookmarkEnd w:id="41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3.14. Liabilities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 Group Company has any Liabilities except for (i) liabilities set forth in the Financial Statements that have not been satisfied since the Statement Date, and (ii) current liabilities incurred since the Statement Date in the ordinary course of the Group’s business consistent with its past practices and which do not exceed US$1,500,000 in aggregate.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Commitments.</w:t>
      </w:r>
    </w:p>
    <w:p>
      <w:pPr>
        <w:spacing w:after="0" w:line="229" w:lineRule="exact"/>
        <w:rPr>
          <w:sz w:val="20"/>
          <w:szCs w:val="20"/>
          <w:color w:val="auto"/>
        </w:rPr>
      </w:pPr>
    </w:p>
    <w:p>
      <w:pPr>
        <w:ind w:left="1140" w:hanging="219"/>
        <w:spacing w:after="0"/>
        <w:tabs>
          <w:tab w:leader="none" w:pos="1140"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Section 3.15(i)</w:t>
      </w:r>
      <w:r>
        <w:rPr>
          <w:rFonts w:ascii="Arial" w:cs="Arial" w:eastAsia="Arial" w:hAnsi="Arial"/>
          <w:sz w:val="16"/>
          <w:szCs w:val="16"/>
          <w:color w:val="auto"/>
        </w:rPr>
        <w:t xml:space="preserve"> of the Disclosure Schedule contains a complete and accurate list of each Contract to which a Group Company is bound that</w:t>
      </w:r>
    </w:p>
    <w:p>
      <w:pPr>
        <w:spacing w:after="0" w:line="46" w:lineRule="exact"/>
        <w:rPr>
          <w:rFonts w:ascii="Arial" w:cs="Arial" w:eastAsia="Arial" w:hAnsi="Arial"/>
          <w:sz w:val="16"/>
          <w:szCs w:val="16"/>
          <w:color w:val="auto"/>
        </w:rPr>
      </w:pPr>
    </w:p>
    <w:p>
      <w:pPr>
        <w:ind w:firstLine="8"/>
        <w:spacing w:after="0" w:line="281" w:lineRule="auto"/>
        <w:tabs>
          <w:tab w:leader="none" w:pos="24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xml:space="preserve">involves obligations (contingent or otherwise) of, or payments in excess of, US$1,000,000 individually or in the aggregate per annum or that has terms in excess of one (1) year, (b) involves Intellectual Property that is material to a Group Company (other than generally-available “off-the-shelf” shrink-wrap software licenses obtained by the Group on non-exclusive and non-negotiated terms), (c) restricts the ability of a Group Company to compete or to conduct or engage in any business or activity or in any territory, (d) relates to the sale, issuance, grant, exercise, award, purchase, repurchase or redemption of any Equity Securities, (e) involves any provisions providing exclusivity, “change in control”, “most favored nations”, rights of first refusal or first negotiation or similar rights, or grants a power of attorney, agency or similar authority, (f) is with an employee, consultant, officer, director, shareholder or Affiliate, (g) involves indebtedness, an extension of credit, a guaranty or assumption of any obligation, or the grant of a Lien, (g) involves the lease, license, sale, use, disposition or acquisition of a material amount of assets or of a business, (h) involves the waiver, compromise, or settlement of any material dispute, claim, litigation or arbitration, (i) involves the ownership or lease of, title to, use of, or any leasehold or other interest in, any real or personal property (except for personal property leases involving payments of less than US$250,000 per annum), (j) involves the establishment, contribution to, or operation of a partnership, joint venture, franchise or involving a sharing of profits or losses, or any investment in, loan to or acquisition or sale of the securities, equity interests or assets of any Person, (k) is with any Person listed in </w:t>
      </w:r>
      <w:r>
        <w:rPr>
          <w:rFonts w:ascii="Arial" w:cs="Arial" w:eastAsia="Arial" w:hAnsi="Arial"/>
          <w:sz w:val="16"/>
          <w:szCs w:val="16"/>
          <w:u w:val="single" w:color="auto"/>
          <w:color w:val="auto"/>
        </w:rPr>
        <w:t>Section 3.21(i)</w:t>
      </w:r>
      <w:r>
        <w:rPr>
          <w:rFonts w:ascii="Arial" w:cs="Arial" w:eastAsia="Arial" w:hAnsi="Arial"/>
          <w:sz w:val="16"/>
          <w:szCs w:val="16"/>
          <w:color w:val="auto"/>
        </w:rPr>
        <w:t xml:space="preserve"> of the Disclosure Schedule, (l) is with a Governmental Authority or state-owned enterprise, or</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is otherwise material to a Group Company (collectively, the “</w:t>
      </w:r>
      <w:r>
        <w:rPr>
          <w:rFonts w:ascii="Arial" w:cs="Arial" w:eastAsia="Arial" w:hAnsi="Arial"/>
          <w:sz w:val="18"/>
          <w:szCs w:val="18"/>
          <w:b w:val="1"/>
          <w:bCs w:val="1"/>
          <w:color w:val="auto"/>
        </w:rPr>
        <w:t>Material Contracts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80" w:firstLine="921"/>
        <w:spacing w:after="0" w:line="270" w:lineRule="auto"/>
        <w:tabs>
          <w:tab w:leader="none" w:pos="1178" w:val="left"/>
        </w:tabs>
        <w:numPr>
          <w:ilvl w:val="1"/>
          <w:numId w:val="401"/>
        </w:numPr>
        <w:rPr>
          <w:rFonts w:ascii="Arial" w:cs="Arial" w:eastAsia="Arial" w:hAnsi="Arial"/>
          <w:sz w:val="17"/>
          <w:szCs w:val="17"/>
          <w:color w:val="auto"/>
        </w:rPr>
      </w:pPr>
      <w:r>
        <w:rPr>
          <w:rFonts w:ascii="Arial" w:cs="Arial" w:eastAsia="Arial" w:hAnsi="Arial"/>
          <w:sz w:val="17"/>
          <w:szCs w:val="17"/>
          <w:color w:val="auto"/>
        </w:rPr>
        <w:t>A true, fully-executed copy of all Material Contracts have been made available to the Investor. Each Material Contract is a valid and binding agreement of the Group Company that is a party thereto, the performance of which does not and will not violate any applicable Law or Governmental Order, and is in full force and effect, and such Group Company has duly performed all of its obligations under each Material Contract to the extent that such obligations to perform have accrued, and no breach or default, alleged breach or alleged default, or event which would (with the passage of time, notice or both) constitute a breach or default thereunder by such Group Company or, to the Knowledge of the Warrantors, any other party or obligor with respect thereto, has occurred, or as a result of the execution, delivery, and performance of the Transaction Documents will occur. No Group Company has given notice (whether or not written) that it intends to terminate a Material Contract or that any other party thereto has breached, violated or defaulted under any Material Contract. No Group Company has received any written notice that it has breached, violated or defaulted under any Material Contract or that any other party thereto intends to terminate such Material Contract.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Compliance with Laws and Governmental Orders.</w:t>
      </w:r>
    </w:p>
    <w:p>
      <w:pPr>
        <w:spacing w:after="0" w:line="229" w:lineRule="exact"/>
        <w:rPr>
          <w:sz w:val="20"/>
          <w:szCs w:val="20"/>
          <w:color w:val="auto"/>
        </w:rPr>
      </w:pPr>
    </w:p>
    <w:p>
      <w:pPr>
        <w:ind w:right="320" w:firstLine="921"/>
        <w:spacing w:after="0" w:line="277" w:lineRule="auto"/>
        <w:tabs>
          <w:tab w:leader="none" w:pos="112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Each Group Company has been and is in material compliance with all Laws and all Governmental Orders that are applicable to it or to the conduct or operation of its business or the ownership or use of any of its assets or properties.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69" w:right="259" w:bottom="1440" w:gutter="0" w:footer="0" w:header="0"/>
        </w:sectPr>
      </w:pPr>
    </w:p>
    <w:bookmarkStart w:id="418" w:name="page419"/>
    <w:bookmarkEnd w:id="418"/>
    <w:p>
      <w:pPr>
        <w:ind w:right="180" w:firstLine="921"/>
        <w:spacing w:after="0" w:line="257" w:lineRule="auto"/>
        <w:tabs>
          <w:tab w:leader="none" w:pos="1178" w:val="left"/>
        </w:tabs>
        <w:numPr>
          <w:ilvl w:val="0"/>
          <w:numId w:val="4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has occurred and no circumstance exists that (with or without notice or lapse of time) (a) may constitute or result in a violation by any Group Company of, or a failure on the part of such Group Company to comply with, any Law or Governmental Order, violation of which or failure to comply with which would be expected to produce a Material Adverse Effect on the Group; or (b) may give rise to any obligation on the part of a Group Company to undertake or to bear all or any portion of the cost of, any remedial action of any nature that could be expected to produce a Material Adverse Effect on the Group.</w:t>
      </w:r>
    </w:p>
    <w:p>
      <w:pPr>
        <w:spacing w:after="0" w:line="188" w:lineRule="exact"/>
        <w:rPr>
          <w:rFonts w:ascii="Arial" w:cs="Arial" w:eastAsia="Arial" w:hAnsi="Arial"/>
          <w:sz w:val="18"/>
          <w:szCs w:val="18"/>
          <w:color w:val="auto"/>
        </w:rPr>
      </w:pPr>
    </w:p>
    <w:p>
      <w:pPr>
        <w:ind w:right="160" w:firstLine="921"/>
        <w:spacing w:after="0" w:line="259" w:lineRule="auto"/>
        <w:tabs>
          <w:tab w:leader="none" w:pos="122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Group Company has received any notice from any Governmental Authority regarding (a) any actual, alleged, possible or potential violation of, or failure to comply with, any Law or Governmental Order or (b) any actual, alleged, possible or potential obligation on the part of such Group Company or to undertake, or to bear all or any portion of the cost of, any remedial action of any nature. To the Knowledge of the Warrantors, no Group Company is under investigation with respect to a violation of any Law or Governmental Order.</w:t>
      </w:r>
    </w:p>
    <w:p>
      <w:pPr>
        <w:spacing w:after="0" w:line="186" w:lineRule="exact"/>
        <w:rPr>
          <w:rFonts w:ascii="Arial" w:cs="Arial" w:eastAsia="Arial" w:hAnsi="Arial"/>
          <w:sz w:val="18"/>
          <w:szCs w:val="18"/>
          <w:color w:val="auto"/>
        </w:rPr>
      </w:pPr>
    </w:p>
    <w:p>
      <w:pPr>
        <w:jc w:val="both"/>
        <w:ind w:firstLine="921"/>
        <w:spacing w:after="0" w:line="288" w:lineRule="auto"/>
        <w:tabs>
          <w:tab w:leader="none" w:pos="1218"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In connection with the Group Companies, each of its directors, officers, and employees, and, to the Knowledge of the Warrantors, agents and other persons authorized to act on its behalf and the Founders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are in compliance with and have been in material compliance with all applicable anti-bribery, anti-corruption, anti-money laundering, recordkeeping and internal controls Laws (collectively, the “</w:t>
      </w:r>
      <w:r>
        <w:rPr>
          <w:rFonts w:ascii="Arial" w:cs="Arial" w:eastAsia="Arial" w:hAnsi="Arial"/>
          <w:sz w:val="16"/>
          <w:szCs w:val="16"/>
          <w:b w:val="1"/>
          <w:bCs w:val="1"/>
          <w:color w:val="auto"/>
        </w:rPr>
        <w:t>Compliance Laws</w:t>
      </w:r>
      <w:r>
        <w:rPr>
          <w:rFonts w:ascii="Arial" w:cs="Arial" w:eastAsia="Arial" w:hAnsi="Arial"/>
          <w:sz w:val="16"/>
          <w:szCs w:val="16"/>
          <w:color w:val="auto"/>
        </w:rPr>
        <w:t>”).</w:t>
      </w:r>
    </w:p>
    <w:p>
      <w:pPr>
        <w:ind w:right="280"/>
        <w:spacing w:after="0" w:line="277" w:lineRule="auto"/>
        <w:rPr>
          <w:rFonts w:ascii="Arial" w:cs="Arial" w:eastAsia="Arial" w:hAnsi="Arial"/>
          <w:sz w:val="16"/>
          <w:szCs w:val="16"/>
          <w:color w:val="auto"/>
        </w:rPr>
      </w:pPr>
      <w:r>
        <w:rPr>
          <w:rFonts w:ascii="Arial" w:cs="Arial" w:eastAsia="Arial" w:hAnsi="Arial"/>
          <w:sz w:val="17"/>
          <w:szCs w:val="17"/>
          <w:color w:val="auto"/>
        </w:rPr>
        <w:t>Without limiting the foregoing, in connection with the Group Companies, none of any Group Company, its directors, officers or employees, or, to the Company’s Knowledge, any other Representative has, directly or indirectly, offered, authorized, promised, condoned, participated in, or received notice of any allegation of the following that would give rise to any Material Adverse Effect with respect to any Group Company:</w:t>
      </w:r>
    </w:p>
    <w:p>
      <w:pPr>
        <w:spacing w:after="0" w:line="65" w:lineRule="exact"/>
        <w:rPr>
          <w:rFonts w:ascii="Arial" w:cs="Arial" w:eastAsia="Arial" w:hAnsi="Arial"/>
          <w:sz w:val="16"/>
          <w:szCs w:val="16"/>
          <w:color w:val="auto"/>
        </w:rPr>
      </w:pPr>
    </w:p>
    <w:p>
      <w:pPr>
        <w:ind w:left="920" w:right="40" w:firstLine="421"/>
        <w:spacing w:after="0" w:line="264" w:lineRule="auto"/>
        <w:tabs>
          <w:tab w:leader="none" w:pos="1585"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making of any gift or payment of anything of value to any Public Official by any Person to obtain any improper advantage, affect or influence any act or decision of any such Public Official, or assist any Group Company in obtaining or retaining business for, or with, or directing business to, any Person.</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the taking of any action by any Person which (i) would violate the Foreign Corrupt Practices Act of the United States of America</w:t>
      </w:r>
    </w:p>
    <w:p>
      <w:pPr>
        <w:spacing w:after="0" w:line="35" w:lineRule="exact"/>
        <w:rPr>
          <w:sz w:val="20"/>
          <w:szCs w:val="20"/>
          <w:color w:val="auto"/>
        </w:rPr>
      </w:pPr>
    </w:p>
    <w:p>
      <w:pPr>
        <w:ind w:left="920"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as amended, if taken by an entity subject to the FCPA or (ii) could reasonably be expected to constitute a violation of any applicable Compliance Law, or</w:t>
      </w:r>
    </w:p>
    <w:p>
      <w:pPr>
        <w:spacing w:after="0" w:line="76" w:lineRule="exact"/>
        <w:rPr>
          <w:sz w:val="20"/>
          <w:szCs w:val="20"/>
          <w:color w:val="auto"/>
        </w:rPr>
      </w:pPr>
    </w:p>
    <w:p>
      <w:pPr>
        <w:ind w:left="1580" w:hanging="239"/>
        <w:spacing w:after="0"/>
        <w:tabs>
          <w:tab w:leader="none" w:pos="15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making of any false or fictitious entries in the books or records of any Group Company by any Person.</w:t>
      </w:r>
    </w:p>
    <w:p>
      <w:pPr>
        <w:spacing w:after="0" w:line="221" w:lineRule="exact"/>
        <w:rPr>
          <w:rFonts w:ascii="Arial" w:cs="Arial" w:eastAsia="Arial" w:hAnsi="Arial"/>
          <w:sz w:val="18"/>
          <w:szCs w:val="18"/>
          <w:color w:val="auto"/>
        </w:rPr>
      </w:pPr>
    </w:p>
    <w:p>
      <w:pPr>
        <w:ind w:right="200" w:firstLine="921"/>
        <w:spacing w:after="0" w:line="292" w:lineRule="auto"/>
        <w:tabs>
          <w:tab w:leader="none" w:pos="1168"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To the Company’s Knowledge, except as set forth in </w:t>
      </w:r>
      <w:r>
        <w:rPr>
          <w:rFonts w:ascii="Arial" w:cs="Arial" w:eastAsia="Arial" w:hAnsi="Arial"/>
          <w:sz w:val="16"/>
          <w:szCs w:val="16"/>
          <w:u w:val="single" w:color="auto"/>
          <w:color w:val="auto"/>
        </w:rPr>
        <w:t>Section 3.16(v)</w:t>
      </w:r>
      <w:r>
        <w:rPr>
          <w:rFonts w:ascii="Arial" w:cs="Arial" w:eastAsia="Arial" w:hAnsi="Arial"/>
          <w:sz w:val="16"/>
          <w:szCs w:val="16"/>
          <w:color w:val="auto"/>
        </w:rPr>
        <w:t xml:space="preserve"> of the Disclosure Schedule (the “</w:t>
      </w:r>
      <w:r>
        <w:rPr>
          <w:rFonts w:ascii="Arial" w:cs="Arial" w:eastAsia="Arial" w:hAnsi="Arial"/>
          <w:sz w:val="16"/>
          <w:szCs w:val="16"/>
          <w:b w:val="1"/>
          <w:bCs w:val="1"/>
          <w:color w:val="auto"/>
        </w:rPr>
        <w:t>Company Officials</w:t>
      </w:r>
      <w:r>
        <w:rPr>
          <w:rFonts w:ascii="Arial" w:cs="Arial" w:eastAsia="Arial" w:hAnsi="Arial"/>
          <w:sz w:val="16"/>
          <w:szCs w:val="16"/>
          <w:color w:val="auto"/>
        </w:rPr>
        <w:t>”), none of the current or former Representatives of any Group Company are or were Public Officials. No Company Official has been involved on behalf of a Government Authority in decisions as to whether any Group Company would be awarded business or that otherwise could benefit any Group Company, or in the appointment, promotion, or compensation of persons who will make such decisions. No such Company Officials will use their government positions to influence acts or decisions of a government for the benefit of any Group Company or the Investor. Such Company Officials will not meet or communicate with Public Officials on behalf of any Group Company or the Investor prior to the completion of the transactions contemplated hereby without advising the Company in writing in advance of such meeting or communication, and the Company will promptly provide such writing to the Investor.</w:t>
      </w:r>
    </w:p>
    <w:p>
      <w:pPr>
        <w:spacing w:after="0" w:line="165" w:lineRule="exact"/>
        <w:rPr>
          <w:rFonts w:ascii="Arial" w:cs="Arial" w:eastAsia="Arial" w:hAnsi="Arial"/>
          <w:sz w:val="16"/>
          <w:szCs w:val="16"/>
          <w:color w:val="auto"/>
        </w:rPr>
      </w:pPr>
    </w:p>
    <w:p>
      <w:pPr>
        <w:ind w:firstLine="921"/>
        <w:spacing w:after="0" w:line="264" w:lineRule="auto"/>
        <w:tabs>
          <w:tab w:leader="none" w:pos="121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No Group Company or Representative is a Prohibited Person, and no Prohibited Person will be given an offer to become an employee, officer, consultant or director of any Group Company. No Group Company has conducted or agreed to conduct any business, or entered into or agreed to enter into any transaction with a Prohibited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419" w:name="page420"/>
    <w:bookmarkEnd w:id="419"/>
    <w:p>
      <w:pPr>
        <w:ind w:firstLine="921"/>
        <w:spacing w:after="0" w:line="286" w:lineRule="auto"/>
        <w:tabs>
          <w:tab w:leader="none" w:pos="1268" w:val="left"/>
        </w:tabs>
        <w:numPr>
          <w:ilvl w:val="0"/>
          <w:numId w:val="4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business of each Group Company as now conducted and proposed to be conducted (including any business proposed to be conducted by entities that are not currently existing as of the Closing) are in compliance with all Laws and regulations that may be applicable, including without limitation all Laws of the PRC with respect to mergers, acquisitions, foreign investment and foreign exchange transactions.</w:t>
      </w:r>
    </w:p>
    <w:p>
      <w:pPr>
        <w:spacing w:after="0" w:line="165" w:lineRule="exact"/>
        <w:rPr>
          <w:rFonts w:ascii="Arial" w:cs="Arial" w:eastAsia="Arial" w:hAnsi="Arial"/>
          <w:sz w:val="17"/>
          <w:szCs w:val="17"/>
          <w:color w:val="auto"/>
        </w:rPr>
      </w:pPr>
    </w:p>
    <w:p>
      <w:pPr>
        <w:ind w:right="200" w:firstLine="921"/>
        <w:spacing w:after="0" w:line="264" w:lineRule="auto"/>
        <w:tabs>
          <w:tab w:leader="none" w:pos="1318"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None of the Founders or any member of the Senior Management Team, or to the Knowledge of the Warrantors, any other Key Employee, has been subject to any indictment, convicted in any criminal case, subject to government investigation for bribery or found by a court of providing misleading information in any matter.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3.17. Title; Properties; Permits.</w:t>
      </w:r>
    </w:p>
    <w:p>
      <w:pPr>
        <w:spacing w:after="0" w:line="225" w:lineRule="exact"/>
        <w:rPr>
          <w:sz w:val="20"/>
          <w:szCs w:val="20"/>
          <w:color w:val="auto"/>
        </w:rPr>
      </w:pPr>
    </w:p>
    <w:p>
      <w:pPr>
        <w:ind w:right="140" w:firstLine="921"/>
        <w:spacing w:after="0" w:line="274" w:lineRule="auto"/>
        <w:tabs>
          <w:tab w:leader="none" w:pos="1128" w:val="left"/>
        </w:tabs>
        <w:numPr>
          <w:ilvl w:val="1"/>
          <w:numId w:val="407"/>
        </w:numPr>
        <w:rPr>
          <w:rFonts w:ascii="Arial" w:cs="Arial" w:eastAsia="Arial" w:hAnsi="Arial"/>
          <w:sz w:val="17"/>
          <w:szCs w:val="17"/>
          <w:color w:val="auto"/>
        </w:rPr>
      </w:pPr>
      <w:r>
        <w:rPr>
          <w:rFonts w:ascii="Arial" w:cs="Arial" w:eastAsia="Arial" w:hAnsi="Arial"/>
          <w:sz w:val="17"/>
          <w:szCs w:val="17"/>
          <w:b w:val="1"/>
          <w:bCs w:val="1"/>
          <w:color w:val="auto"/>
        </w:rPr>
        <w:t>Title</w:t>
      </w:r>
      <w:r>
        <w:rPr>
          <w:rFonts w:ascii="Arial" w:cs="Arial" w:eastAsia="Arial" w:hAnsi="Arial"/>
          <w:sz w:val="17"/>
          <w:szCs w:val="17"/>
          <w:color w:val="auto"/>
        </w:rPr>
        <w:t>. The Group Companies have good and valid title to, or a valid leasehold interest in, all of their assets, whether real, personal or mixed,</w:t>
      </w:r>
      <w:r>
        <w:rPr>
          <w:rFonts w:ascii="Arial" w:cs="Arial" w:eastAsia="Arial" w:hAnsi="Arial"/>
          <w:sz w:val="17"/>
          <w:szCs w:val="17"/>
          <w:b w:val="1"/>
          <w:bCs w:val="1"/>
          <w:color w:val="auto"/>
        </w:rPr>
        <w:t xml:space="preserve"> </w:t>
      </w:r>
      <w:r>
        <w:rPr>
          <w:rFonts w:ascii="Arial" w:cs="Arial" w:eastAsia="Arial" w:hAnsi="Arial"/>
          <w:sz w:val="17"/>
          <w:szCs w:val="17"/>
          <w:color w:val="auto"/>
        </w:rPr>
        <w:t>purported to be owned by them (including but not limited to all such assets reflected in the Financial Statements), free and clear of any Liens, other than Permitted Liens. The foregoing assets collectively represent in all material respects all assets, rights and properties necessary for the conduct of the business of the Group in the manner conducted during the periods covered by the Financial Statements. Except for leased items, no Person other than a Group Company owns any interest in any such assets. All leases of real or personal property to which a Group Company is a party are fully effective and afford the Group Company valid leasehold possession of the real or personal property that is the subject of the lease.</w:t>
      </w:r>
    </w:p>
    <w:p>
      <w:pPr>
        <w:spacing w:after="0" w:line="173" w:lineRule="exact"/>
        <w:rPr>
          <w:rFonts w:ascii="Arial" w:cs="Arial" w:eastAsia="Arial" w:hAnsi="Arial"/>
          <w:sz w:val="17"/>
          <w:szCs w:val="17"/>
          <w:color w:val="auto"/>
        </w:rPr>
      </w:pPr>
    </w:p>
    <w:p>
      <w:pPr>
        <w:ind w:right="80" w:firstLine="921"/>
        <w:spacing w:after="0" w:line="290" w:lineRule="auto"/>
        <w:tabs>
          <w:tab w:leader="none" w:pos="1178" w:val="left"/>
        </w:tabs>
        <w:numPr>
          <w:ilvl w:val="1"/>
          <w:numId w:val="407"/>
        </w:numPr>
        <w:rPr>
          <w:rFonts w:ascii="Arial" w:cs="Arial" w:eastAsia="Arial" w:hAnsi="Arial"/>
          <w:sz w:val="16"/>
          <w:szCs w:val="16"/>
          <w:color w:val="auto"/>
        </w:rPr>
      </w:pPr>
      <w:r>
        <w:rPr>
          <w:rFonts w:ascii="Arial" w:cs="Arial" w:eastAsia="Arial" w:hAnsi="Arial"/>
          <w:sz w:val="16"/>
          <w:szCs w:val="16"/>
          <w:b w:val="1"/>
          <w:bCs w:val="1"/>
          <w:color w:val="auto"/>
        </w:rPr>
        <w:t>Real Property</w:t>
      </w:r>
      <w:r>
        <w:rPr>
          <w:rFonts w:ascii="Arial" w:cs="Arial" w:eastAsia="Arial" w:hAnsi="Arial"/>
          <w:sz w:val="16"/>
          <w:szCs w:val="16"/>
          <w:color w:val="auto"/>
        </w:rPr>
        <w:t>. No Group Company owns any real property or has any easements, licenses, rights of way, or other interests in or to real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except for the leasehold interests to real property listed on </w:t>
      </w:r>
      <w:r>
        <w:rPr>
          <w:rFonts w:ascii="Arial" w:cs="Arial" w:eastAsia="Arial" w:hAnsi="Arial"/>
          <w:sz w:val="16"/>
          <w:szCs w:val="16"/>
          <w:u w:val="single" w:color="auto"/>
          <w:color w:val="auto"/>
        </w:rPr>
        <w:t>Section 3.17(ii)</w:t>
      </w:r>
      <w:r>
        <w:rPr>
          <w:rFonts w:ascii="Arial" w:cs="Arial" w:eastAsia="Arial" w:hAnsi="Arial"/>
          <w:sz w:val="16"/>
          <w:szCs w:val="16"/>
          <w:color w:val="auto"/>
        </w:rPr>
        <w:t xml:space="preserve"> of the Disclosure Schedule (“</w:t>
      </w:r>
      <w:r>
        <w:rPr>
          <w:rFonts w:ascii="Arial" w:cs="Arial" w:eastAsia="Arial" w:hAnsi="Arial"/>
          <w:sz w:val="16"/>
          <w:szCs w:val="16"/>
          <w:b w:val="1"/>
          <w:bCs w:val="1"/>
          <w:color w:val="auto"/>
        </w:rPr>
        <w:t>Real Property</w:t>
      </w:r>
      <w:r>
        <w:rPr>
          <w:rFonts w:ascii="Arial" w:cs="Arial" w:eastAsia="Arial" w:hAnsi="Arial"/>
          <w:sz w:val="16"/>
          <w:szCs w:val="16"/>
          <w:color w:val="auto"/>
        </w:rPr>
        <w:t>”). All such leasehold properties are held under valid, binding and enforceable leases of a Group Company while such leasehold properties are used by the Group Companies in material compliance with the applicable Laws. To the Knowledge of the Warrantors, all structures, improvements and appurtenances on the Real Property lie wholly within the boundaries of such Real Property and do not encroach upon the property of, or otherwise conflict with the property rights of, any adjoining property owner. To the Knowledge of the Warrantors, all structures and improvements on the Real Properties, and appurtenances thereto, and the roof, walls and other structural components which are part thereof, and the heating, air conditioning, plumbing and other mechanical facilities thereof, are in good condition and repair in all material respects (reasonable wear and tear excepted) and without structural defects. There are no facilities, services, assets or properties shared with any other Person which is not a Group Company, which are used in connection with the business of the Group.</w:t>
      </w:r>
    </w:p>
    <w:p>
      <w:pPr>
        <w:spacing w:after="0" w:line="159" w:lineRule="exact"/>
        <w:rPr>
          <w:rFonts w:ascii="Arial" w:cs="Arial" w:eastAsia="Arial" w:hAnsi="Arial"/>
          <w:sz w:val="16"/>
          <w:szCs w:val="16"/>
          <w:color w:val="auto"/>
        </w:rPr>
      </w:pPr>
    </w:p>
    <w:p>
      <w:pPr>
        <w:ind w:left="1240" w:hanging="319"/>
        <w:spacing w:after="0"/>
        <w:tabs>
          <w:tab w:leader="none" w:pos="1240" w:val="left"/>
        </w:tabs>
        <w:numPr>
          <w:ilvl w:val="1"/>
          <w:numId w:val="407"/>
        </w:numPr>
        <w:rPr>
          <w:rFonts w:ascii="Arial" w:cs="Arial" w:eastAsia="Arial" w:hAnsi="Arial"/>
          <w:sz w:val="16"/>
          <w:szCs w:val="16"/>
          <w:color w:val="auto"/>
        </w:rPr>
      </w:pPr>
      <w:r>
        <w:rPr>
          <w:rFonts w:ascii="Arial" w:cs="Arial" w:eastAsia="Arial" w:hAnsi="Arial"/>
          <w:sz w:val="16"/>
          <w:szCs w:val="16"/>
          <w:b w:val="1"/>
          <w:bCs w:val="1"/>
          <w:color w:val="auto"/>
        </w:rPr>
        <w:t>Personal Property</w:t>
      </w:r>
      <w:r>
        <w:rPr>
          <w:rFonts w:ascii="Arial" w:cs="Arial" w:eastAsia="Arial" w:hAnsi="Arial"/>
          <w:sz w:val="16"/>
          <w:szCs w:val="16"/>
          <w:color w:val="auto"/>
        </w:rPr>
        <w:t>. All machinery, vehicles, equipment and other tangible personal property owned or leased by a Group Company are</w:t>
      </w:r>
    </w:p>
    <w:p>
      <w:pPr>
        <w:spacing w:after="0" w:line="50" w:lineRule="exact"/>
        <w:rPr>
          <w:rFonts w:ascii="Arial" w:cs="Arial" w:eastAsia="Arial" w:hAnsi="Arial"/>
          <w:sz w:val="16"/>
          <w:szCs w:val="16"/>
          <w:color w:val="auto"/>
        </w:rPr>
      </w:pPr>
    </w:p>
    <w:p>
      <w:pPr>
        <w:ind w:right="100" w:firstLine="8"/>
        <w:spacing w:after="0" w:line="261" w:lineRule="auto"/>
        <w:tabs>
          <w:tab w:leader="none" w:pos="24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in good condition and repair in all material respects (reasonable wear and tear excepted) and (b) not obsolete or in need in any material respect of renewal or replacement, except for renewal or replacement in the ordinary course of business.</w:t>
      </w:r>
    </w:p>
    <w:p>
      <w:pPr>
        <w:spacing w:after="0" w:line="179" w:lineRule="exact"/>
        <w:rPr>
          <w:rFonts w:ascii="Arial" w:cs="Arial" w:eastAsia="Arial" w:hAnsi="Arial"/>
          <w:sz w:val="18"/>
          <w:szCs w:val="18"/>
          <w:color w:val="auto"/>
        </w:rPr>
      </w:pPr>
    </w:p>
    <w:p>
      <w:pPr>
        <w:ind w:right="120" w:firstLine="921"/>
        <w:spacing w:after="0" w:line="292" w:lineRule="auto"/>
        <w:tabs>
          <w:tab w:leader="none" w:pos="1218" w:val="left"/>
        </w:tabs>
        <w:numPr>
          <w:ilvl w:val="1"/>
          <w:numId w:val="408"/>
        </w:numPr>
        <w:rPr>
          <w:rFonts w:ascii="Arial" w:cs="Arial" w:eastAsia="Arial" w:hAnsi="Arial"/>
          <w:sz w:val="16"/>
          <w:szCs w:val="16"/>
          <w:color w:val="auto"/>
        </w:rPr>
      </w:pPr>
      <w:r>
        <w:rPr>
          <w:rFonts w:ascii="Arial" w:cs="Arial" w:eastAsia="Arial" w:hAnsi="Arial"/>
          <w:sz w:val="16"/>
          <w:szCs w:val="16"/>
          <w:b w:val="1"/>
          <w:bCs w:val="1"/>
          <w:color w:val="auto"/>
        </w:rPr>
        <w:t>Permits</w:t>
      </w:r>
      <w:r>
        <w:rPr>
          <w:rFonts w:ascii="Arial" w:cs="Arial" w:eastAsia="Arial" w:hAnsi="Arial"/>
          <w:sz w:val="16"/>
          <w:szCs w:val="16"/>
          <w:color w:val="auto"/>
        </w:rPr>
        <w:t>. Each Group Company has all material franchises, authorizations, approvals, permits, certificates and licenses,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any special approval or permits required under the Laws of the PRC (“</w:t>
      </w:r>
      <w:r>
        <w:rPr>
          <w:rFonts w:ascii="Arial" w:cs="Arial" w:eastAsia="Arial" w:hAnsi="Arial"/>
          <w:sz w:val="16"/>
          <w:szCs w:val="16"/>
          <w:b w:val="1"/>
          <w:bCs w:val="1"/>
          <w:color w:val="auto"/>
        </w:rPr>
        <w:t>Permits</w:t>
      </w:r>
      <w:r>
        <w:rPr>
          <w:rFonts w:ascii="Arial" w:cs="Arial" w:eastAsia="Arial" w:hAnsi="Arial"/>
          <w:sz w:val="16"/>
          <w:szCs w:val="16"/>
          <w:color w:val="auto"/>
        </w:rPr>
        <w:t xml:space="preserve">”) necessary for its respective business and operations as now conducted or planned to be conducted. </w:t>
      </w:r>
      <w:r>
        <w:rPr>
          <w:rFonts w:ascii="Arial" w:cs="Arial" w:eastAsia="Arial" w:hAnsi="Arial"/>
          <w:sz w:val="16"/>
          <w:szCs w:val="16"/>
          <w:u w:val="single" w:color="auto"/>
          <w:color w:val="auto"/>
        </w:rPr>
        <w:t>Section 3.17(iv)(A)</w:t>
      </w:r>
      <w:r>
        <w:rPr>
          <w:rFonts w:ascii="Arial" w:cs="Arial" w:eastAsia="Arial" w:hAnsi="Arial"/>
          <w:sz w:val="16"/>
          <w:szCs w:val="16"/>
          <w:color w:val="auto"/>
        </w:rPr>
        <w:t xml:space="preserve"> of the Disclosure Schedule is a complete list of such Permits, together with the name of the entity issuing each such Permit. Except as specifically noted thereon, (a) each such Permit is valid and in full force and effect, (b) no Group Company is in default or violation of any such Permit, (c) no Group Company has received any written notice from any Governmental Authority regarding any actual or possible default or violation of any such Permit, (d) each such Permit will remain in full force and effect upon the consummation of the transactions contemplated hereby, and (e) to the Knowledge of the Warrantors, no suspension, cancellation or termination of any such Permits is threatened or imminent.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420" w:name="page421"/>
    <w:bookmarkEnd w:id="4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3.18. Compliance with Other Instruments.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No Group Company is in violation, breach or default of its Charter Documents. The execution, delivery and performance by each Group Company and each Founder of and compliance by each with each of the Transaction Documents, and the consummation of the transactions contemplated hereby and thereby, will not result in (i) any such violation, breach or default, or be in conflict with or constitute, with or without the passage of time or the giving of notice or both, a default under (a) the Charter Documents of any Group Company, (b) any Material Contract, or (c) any applicable Law, (ii) the creation or imposition of any material Lien upon, or with respect to, any of the properties, assets or rights of any Group Company, or (iii) any termination, modification, cancellation, or suspension of any material right of, or any augmentation or acceleration of any material obligation of, any Group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3.19. Related Party Transactions.</w:t>
      </w:r>
    </w:p>
    <w:p>
      <w:pPr>
        <w:spacing w:after="0" w:line="2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Except for any employment-related Contract with an officer, director or employee of any Group Company and any related grant agreement for ESOPs, no officer, director or employee of any Group Company or any “affiliate” or “associate” (as those terms are defined in Rule 405 promulgated under the Securities Act) of any of them (each of the foregoing, a “</w:t>
      </w:r>
      <w:r>
        <w:rPr>
          <w:rFonts w:ascii="Arial" w:cs="Arial" w:eastAsia="Arial" w:hAnsi="Arial"/>
          <w:sz w:val="17"/>
          <w:szCs w:val="17"/>
          <w:b w:val="1"/>
          <w:bCs w:val="1"/>
          <w:color w:val="auto"/>
        </w:rPr>
        <w:t>Related Party</w:t>
      </w:r>
      <w:r>
        <w:rPr>
          <w:rFonts w:ascii="Arial" w:cs="Arial" w:eastAsia="Arial" w:hAnsi="Arial"/>
          <w:sz w:val="17"/>
          <w:szCs w:val="17"/>
          <w:color w:val="auto"/>
        </w:rPr>
        <w:t>”), has any Contract with any Group Company (each, a “</w:t>
      </w:r>
      <w:r>
        <w:rPr>
          <w:rFonts w:ascii="Arial" w:cs="Arial" w:eastAsia="Arial" w:hAnsi="Arial"/>
          <w:sz w:val="17"/>
          <w:szCs w:val="17"/>
          <w:b w:val="1"/>
          <w:bCs w:val="1"/>
          <w:color w:val="auto"/>
        </w:rPr>
        <w:t>Related Party Contract</w:t>
      </w:r>
      <w:r>
        <w:rPr>
          <w:rFonts w:ascii="Arial" w:cs="Arial" w:eastAsia="Arial" w:hAnsi="Arial"/>
          <w:sz w:val="17"/>
          <w:szCs w:val="17"/>
          <w:color w:val="auto"/>
        </w:rPr>
        <w:t>”) nor is there currently any proposed Related Party Contract, other than for normal sharing of facilities and office premises. To the Warrantors’ Knowledge, each Related Party Contract is on terms and conditions as favorable to the applicable Group Company as would have been obtainable by it at the time in a comparable arm’s-length transaction with an unrelated party. [Except otherwise disclosed in the Disclosure Schedule,] to the Warrantor’s Knowledge, no Related Party has any direct or indirect ownership interest in any Person (other than a Group Company) with which a Group Company is affiliated or with which a Group Company has a business relationship, or any Person (other than a Group Company) that competes with any Group Company (except that a Related Party may have a passive investment of less than 3% of the stock of any publicly traded company that engages in the foregoing). To the Warrantor’s Knowledge, no Related Party has any interest, either directly or indirectly, in (i) any Person which purchases from or sells, licenses or furnishes to a Group Company any goods, property, intellectual or other property rights or services or (ii) any Contract to which a Group Company is a party or by which it may be bound or affected. None of the Group Companies is indebted, directly or indirectly, to any Related Party, in any amount whatsoever other than in connection with expenses or advances of expenses incurred in the ordinary course of business or relocation expenses of employees of such Group Company or the expenses incurred from normal sharing of facilities and office premises.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3.20. Intellectual Property Rights.</w:t>
      </w:r>
    </w:p>
    <w:p>
      <w:pPr>
        <w:spacing w:after="0" w:line="225" w:lineRule="exact"/>
        <w:rPr>
          <w:sz w:val="20"/>
          <w:szCs w:val="20"/>
          <w:color w:val="auto"/>
        </w:rPr>
      </w:pPr>
    </w:p>
    <w:p>
      <w:pPr>
        <w:ind w:firstLine="921"/>
        <w:spacing w:after="0" w:line="269" w:lineRule="auto"/>
        <w:tabs>
          <w:tab w:leader="none" w:pos="1128" w:val="left"/>
        </w:tabs>
        <w:numPr>
          <w:ilvl w:val="0"/>
          <w:numId w:val="409"/>
        </w:numPr>
        <w:rPr>
          <w:rFonts w:ascii="Arial" w:cs="Arial" w:eastAsia="Arial" w:hAnsi="Arial"/>
          <w:sz w:val="17"/>
          <w:szCs w:val="17"/>
          <w:color w:val="auto"/>
        </w:rPr>
      </w:pP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The Group owns, has the sufficient rights (including but not limited to the rights of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licensing and sale) to, or otherwise has the licenses to use all Intellectual Property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xml:space="preserve">”) (including Company Owned IP and Licensed IP, each as defined below) necessary and sufficient to conduct its business as currently conducted by the Group without any conflict with or infringement of the rights of any other Person. </w:t>
      </w:r>
      <w:r>
        <w:rPr>
          <w:rFonts w:ascii="Arial" w:cs="Arial" w:eastAsia="Arial" w:hAnsi="Arial"/>
          <w:sz w:val="17"/>
          <w:szCs w:val="17"/>
          <w:u w:val="single" w:color="auto"/>
          <w:color w:val="auto"/>
        </w:rPr>
        <w:t>Section 3.20(i)(A)</w:t>
      </w:r>
      <w:r>
        <w:rPr>
          <w:rFonts w:ascii="Arial" w:cs="Arial" w:eastAsia="Arial" w:hAnsi="Arial"/>
          <w:sz w:val="17"/>
          <w:szCs w:val="17"/>
          <w:color w:val="auto"/>
        </w:rPr>
        <w:t xml:space="preserve"> of the Disclosure Schedule sets forth a complete list of all patents, trademarks, service marks, trade names, domain names and copyrights or other forms of Intellectual Property (the “</w:t>
      </w:r>
      <w:r>
        <w:rPr>
          <w:rFonts w:ascii="Arial" w:cs="Arial" w:eastAsia="Arial" w:hAnsi="Arial"/>
          <w:sz w:val="17"/>
          <w:szCs w:val="17"/>
          <w:b w:val="1"/>
          <w:bCs w:val="1"/>
          <w:color w:val="auto"/>
        </w:rPr>
        <w:t>Company Registered IP</w:t>
      </w:r>
      <w:r>
        <w:rPr>
          <w:rFonts w:ascii="Arial" w:cs="Arial" w:eastAsia="Arial" w:hAnsi="Arial"/>
          <w:sz w:val="17"/>
          <w:szCs w:val="17"/>
          <w:color w:val="auto"/>
        </w:rPr>
        <w:t xml:space="preserve">”) for which registrations have been obtained throughout the world (and all applications for, or extensions or reissues of, any of the foregoing throughout the world) that are owned by, or registered or applied for in the name of, any Group Company. </w:t>
      </w:r>
      <w:r>
        <w:rPr>
          <w:rFonts w:ascii="Arial" w:cs="Arial" w:eastAsia="Arial" w:hAnsi="Arial"/>
          <w:sz w:val="17"/>
          <w:szCs w:val="17"/>
          <w:u w:val="single" w:color="auto"/>
          <w:color w:val="auto"/>
        </w:rPr>
        <w:t>Section 3.20(i)(B)</w:t>
      </w:r>
      <w:r>
        <w:rPr>
          <w:rFonts w:ascii="Arial" w:cs="Arial" w:eastAsia="Arial" w:hAnsi="Arial"/>
          <w:sz w:val="17"/>
          <w:szCs w:val="17"/>
          <w:color w:val="auto"/>
        </w:rPr>
        <w:t xml:space="preserve"> of the Disclosure Schedule sets forth a complete list of all Intellectual Property owned by any Group Company but not covered under Company Registered IP, (together with the Company Registered IP, the “</w:t>
      </w:r>
      <w:r>
        <w:rPr>
          <w:rFonts w:ascii="Arial" w:cs="Arial" w:eastAsia="Arial" w:hAnsi="Arial"/>
          <w:sz w:val="17"/>
          <w:szCs w:val="17"/>
          <w:b w:val="1"/>
          <w:bCs w:val="1"/>
          <w:color w:val="auto"/>
        </w:rPr>
        <w:t>Company Owned</w:t>
      </w:r>
      <w:r>
        <w:rPr>
          <w:rFonts w:ascii="Arial" w:cs="Arial" w:eastAsia="Arial" w:hAnsi="Arial"/>
          <w:sz w:val="17"/>
          <w:szCs w:val="17"/>
          <w:color w:val="auto"/>
        </w:rPr>
        <w:t xml:space="preserve"> </w:t>
      </w:r>
      <w:r>
        <w:rPr>
          <w:rFonts w:ascii="Arial" w:cs="Arial" w:eastAsia="Arial" w:hAnsi="Arial"/>
          <w:sz w:val="17"/>
          <w:szCs w:val="17"/>
          <w:b w:val="1"/>
          <w:bCs w:val="1"/>
          <w:color w:val="auto"/>
        </w:rPr>
        <w:t>IP</w:t>
      </w:r>
      <w:r>
        <w:rPr>
          <w:rFonts w:ascii="Arial" w:cs="Arial" w:eastAsia="Arial" w:hAnsi="Arial"/>
          <w:sz w:val="17"/>
          <w:szCs w:val="17"/>
          <w:color w:val="auto"/>
        </w:rPr>
        <w:t xml:space="preserve">”), other than know-how, trade secrets or other confidential information of the Company. For the avoidance of doubts, any disclosed or undisclosed know-how, trade secrets or other confidential information of the Company shall be considered as the Company Owned IP. </w:t>
      </w:r>
      <w:r>
        <w:rPr>
          <w:rFonts w:ascii="Arial" w:cs="Arial" w:eastAsia="Arial" w:hAnsi="Arial"/>
          <w:sz w:val="17"/>
          <w:szCs w:val="17"/>
          <w:u w:val="single" w:color="auto"/>
          <w:color w:val="auto"/>
        </w:rPr>
        <w:t>Section 3.20(i)(C)</w:t>
      </w:r>
      <w:r>
        <w:rPr>
          <w:rFonts w:ascii="Arial" w:cs="Arial" w:eastAsia="Arial" w:hAnsi="Arial"/>
          <w:sz w:val="17"/>
          <w:szCs w:val="17"/>
          <w:color w:val="auto"/>
        </w:rPr>
        <w:t xml:space="preserve"> of the Disclosure Schedule sets forth a complete list of all Contracts granting to any Group Company a licence to use any Intellectual Property used by all Group Companies (the “</w:t>
      </w:r>
      <w:r>
        <w:rPr>
          <w:rFonts w:ascii="Arial" w:cs="Arial" w:eastAsia="Arial" w:hAnsi="Arial"/>
          <w:sz w:val="17"/>
          <w:szCs w:val="17"/>
          <w:b w:val="1"/>
          <w:bCs w:val="1"/>
          <w:color w:val="auto"/>
        </w:rPr>
        <w:t>Licensed IP</w:t>
      </w:r>
      <w:r>
        <w:rPr>
          <w:rFonts w:ascii="Arial" w:cs="Arial" w:eastAsia="Arial" w:hAnsi="Arial"/>
          <w:sz w:val="17"/>
          <w:szCs w:val="17"/>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421" w:name="page422"/>
    <w:bookmarkEnd w:id="421"/>
    <w:p>
      <w:pPr>
        <w:ind w:left="-8" w:right="40" w:firstLine="921"/>
        <w:spacing w:after="0" w:line="284" w:lineRule="auto"/>
        <w:tabs>
          <w:tab w:leader="none" w:pos="1170" w:val="left"/>
        </w:tabs>
        <w:numPr>
          <w:ilvl w:val="1"/>
          <w:numId w:val="41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IP Ownership</w:t>
      </w:r>
      <w:r>
        <w:rPr>
          <w:rFonts w:ascii="Arial" w:cs="Arial" w:eastAsia="Arial" w:hAnsi="Arial"/>
          <w:sz w:val="16"/>
          <w:szCs w:val="16"/>
          <w:color w:val="auto"/>
        </w:rPr>
        <w:t>. All of the Company Registered IP are owned by, registered or applied for solely in the name of a Group Company, are valid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subsisting and have not been abandoned, and all necessary registration, maintenance and renewal fees with respect thereto and currently due have been satisfied. To the Knowledge of the Warrantors, all other material Company Intellectual Property (other than the Company Registered IP) are owned by, registered or applied for (as applicable) solely in the name of the Group Company, and in all material aspect, are valid and subsisting and have not been abandoned, and all necessary registration, maintenance and renewal fees with respect thereto and currently due have been satisfied. Neither the Group Company, nor any of its employees, officers or directors has taken any actions or failed to take any actions that would cause any of Company Owned IP to be invalid, unenforceable or not subsisting. No funding or facilities of a Governmental Authority or an university, college, other educational institution or research center was used in the development of any Company Owned IP. No Company Owned IP is the subject of any security interest, Lien, license or other Contract granting rights therein to any other Person. Unless otherwise provided in </w:t>
      </w:r>
      <w:r>
        <w:rPr>
          <w:rFonts w:ascii="Arial" w:cs="Arial" w:eastAsia="Arial" w:hAnsi="Arial"/>
          <w:sz w:val="16"/>
          <w:szCs w:val="16"/>
          <w:u w:val="single" w:color="auto"/>
          <w:color w:val="auto"/>
        </w:rPr>
        <w:t>Section 3.20(ii)</w:t>
      </w:r>
      <w:r>
        <w:rPr>
          <w:rFonts w:ascii="Arial" w:cs="Arial" w:eastAsia="Arial" w:hAnsi="Arial"/>
          <w:sz w:val="16"/>
          <w:szCs w:val="16"/>
          <w:color w:val="auto"/>
        </w:rPr>
        <w:t xml:space="preserve"> of the Disclosure Schedule, no Group Company has</w:t>
      </w:r>
    </w:p>
    <w:p>
      <w:pPr>
        <w:spacing w:after="0" w:line="3" w:lineRule="exact"/>
        <w:rPr>
          <w:rFonts w:ascii="Arial" w:cs="Arial" w:eastAsia="Arial" w:hAnsi="Arial"/>
          <w:sz w:val="16"/>
          <w:szCs w:val="16"/>
          <w:color w:val="auto"/>
        </w:rPr>
      </w:pPr>
    </w:p>
    <w:p>
      <w:pPr>
        <w:ind w:left="-8" w:firstLine="8"/>
        <w:spacing w:after="0" w:line="252" w:lineRule="auto"/>
        <w:tabs>
          <w:tab w:leader="none" w:pos="20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transferred or assigned, (ii) granted a license to, or (iii) provided to any Person any Company Owned IP material to its business as now conducted and as proposed to be conducted, to any Person. No Group Company is or has been a member or promoter of, or contributor to, any industry standards bodies, patent pooling organizations or similar organizations that could require or obligate a Group Company to grant or offer to any Person any license or right to any Company Owned IP. No Company Owned IP is subject to any proceeding or outstanding Government Order or settlement agreement or stipulation that restricts in any manner the use, transfer or licensing thereof, or any Group Company’s products or services, by the Company or may affect the validity, use or enforceability of such Company Owned IP.</w:t>
      </w:r>
    </w:p>
    <w:p>
      <w:pPr>
        <w:spacing w:after="0" w:line="190" w:lineRule="exact"/>
        <w:rPr>
          <w:rFonts w:ascii="Arial" w:cs="Arial" w:eastAsia="Arial" w:hAnsi="Arial"/>
          <w:sz w:val="18"/>
          <w:szCs w:val="18"/>
          <w:color w:val="auto"/>
        </w:rPr>
      </w:pPr>
    </w:p>
    <w:p>
      <w:pPr>
        <w:ind w:left="-8" w:right="160" w:firstLine="921"/>
        <w:spacing w:after="0" w:line="258" w:lineRule="auto"/>
        <w:tabs>
          <w:tab w:leader="none" w:pos="1220" w:val="left"/>
        </w:tabs>
        <w:numPr>
          <w:ilvl w:val="1"/>
          <w:numId w:val="411"/>
        </w:numPr>
        <w:rPr>
          <w:rFonts w:ascii="Arial" w:cs="Arial" w:eastAsia="Arial" w:hAnsi="Arial"/>
          <w:sz w:val="18"/>
          <w:szCs w:val="18"/>
          <w:color w:val="auto"/>
        </w:rPr>
      </w:pPr>
      <w:r>
        <w:rPr>
          <w:rFonts w:ascii="Arial" w:cs="Arial" w:eastAsia="Arial" w:hAnsi="Arial"/>
          <w:sz w:val="18"/>
          <w:szCs w:val="18"/>
          <w:b w:val="1"/>
          <w:bCs w:val="1"/>
          <w:color w:val="auto"/>
        </w:rPr>
        <w:t>Infringement, Misappropriation and Claims</w:t>
      </w:r>
      <w:r>
        <w:rPr>
          <w:rFonts w:ascii="Arial" w:cs="Arial" w:eastAsia="Arial" w:hAnsi="Arial"/>
          <w:sz w:val="18"/>
          <w:szCs w:val="18"/>
          <w:color w:val="auto"/>
        </w:rPr>
        <w:t>. No Group Company has violated, infringed or misappropriated in any material respect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of any other Person, nor has any Group Company received any written notice alleging any of the foregoing. To the Knowledge of the Warrantors, no Person has violated, infringed or misappropriated any material Company Intellectual Property of any Group Company, and no Group Company has given any written notice to any other Person alleging any of the foregoing. No Group Company has agreed to indemnify any Person for any infringement, violation or misappropriation of any Intellectual Property.</w:t>
      </w:r>
    </w:p>
    <w:p>
      <w:pPr>
        <w:spacing w:after="0" w:line="183" w:lineRule="exact"/>
        <w:rPr>
          <w:rFonts w:ascii="Arial" w:cs="Arial" w:eastAsia="Arial" w:hAnsi="Arial"/>
          <w:sz w:val="18"/>
          <w:szCs w:val="18"/>
          <w:color w:val="auto"/>
        </w:rPr>
      </w:pPr>
    </w:p>
    <w:p>
      <w:pPr>
        <w:ind w:left="-8" w:firstLine="921"/>
        <w:spacing w:after="0" w:line="291" w:lineRule="auto"/>
        <w:tabs>
          <w:tab w:leader="none" w:pos="1210" w:val="left"/>
        </w:tabs>
        <w:numPr>
          <w:ilvl w:val="1"/>
          <w:numId w:val="411"/>
        </w:numPr>
        <w:rPr>
          <w:rFonts w:ascii="Arial" w:cs="Arial" w:eastAsia="Arial" w:hAnsi="Arial"/>
          <w:sz w:val="16"/>
          <w:szCs w:val="16"/>
          <w:color w:val="auto"/>
        </w:rPr>
      </w:pPr>
      <w:r>
        <w:rPr>
          <w:rFonts w:ascii="Arial" w:cs="Arial" w:eastAsia="Arial" w:hAnsi="Arial"/>
          <w:sz w:val="16"/>
          <w:szCs w:val="16"/>
          <w:b w:val="1"/>
          <w:bCs w:val="1"/>
          <w:color w:val="auto"/>
        </w:rPr>
        <w:t>Assignments and Prior IP</w:t>
      </w:r>
      <w:r>
        <w:rPr>
          <w:rFonts w:ascii="Arial" w:cs="Arial" w:eastAsia="Arial" w:hAnsi="Arial"/>
          <w:sz w:val="16"/>
          <w:szCs w:val="16"/>
          <w:color w:val="auto"/>
        </w:rPr>
        <w:t>. To the Knowledge of the Warrantors, it will not be necessary to utilize any inventions, trade secrets or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or other Intellectual Property of any of its employees or of any other Person (whether a former employee of a Group Company or otherwise), except for inventions, trade secrets or proprietary information or other Intellectual Property that have been properly assigned to and are exclusively owned by a Group Company. To the Knowledge of the Warrantors, they are not aware that any of the Key Employees, employees or consultants, currently or previously employed or otherwise engaged by any Group Company, is in violation of any current or prior confidentiality, non-competition or non-solicitation obligations to any Group Company or to any other Persons, including former employers. None of the Key Employees of any Group Company is obligated under any Contract, or subject to any judgment, decree or order of any court or administrative agency, that would interfere with the use of his or her best efforts to promote the interests of the Group or that would conflict with the business of the Group as presently conducted.</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92"/>
          </w:cols>
          <w:pgMar w:left="248" w:top="270" w:right="259" w:bottom="1440" w:gutter="0" w:footer="0" w:header="0"/>
        </w:sectPr>
      </w:pPr>
    </w:p>
    <w:bookmarkStart w:id="422" w:name="page423"/>
    <w:bookmarkEnd w:id="422"/>
    <w:p>
      <w:pPr>
        <w:ind w:left="-40" w:right="60" w:firstLine="921"/>
        <w:spacing w:after="0" w:line="271" w:lineRule="auto"/>
        <w:tabs>
          <w:tab w:leader="none" w:pos="1128" w:val="left"/>
        </w:tabs>
        <w:numPr>
          <w:ilvl w:val="0"/>
          <w:numId w:val="41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Protection of IP</w:t>
      </w:r>
      <w:r>
        <w:rPr>
          <w:rFonts w:ascii="Arial" w:cs="Arial" w:eastAsia="Arial" w:hAnsi="Arial"/>
          <w:sz w:val="17"/>
          <w:szCs w:val="17"/>
          <w:color w:val="auto"/>
        </w:rPr>
        <w:t>. Where the Company is the owner of intellectual property rights in the Company Intellectual Property, or, where it is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and is required under contractual obligations, or, where the Company is required to register an interest as owner or licensee under applicable Laws and Contracts, the Group has taken any and all reasonable and appropriate steps to, register, protect, maintain and safeguard Company Intellectual Property and has executed appropriate nondisclosure and confidentiality agreements, where necessary and appropriate, each Group Company has taken all reasonable and appropriate steps to register its Company Owned IP, and where applicable, each Group Company has made all appropriate filings, registrations and payments of fees in connection with the foregoing. Without limiting the foregoing, all current and former officers, employees, consultants and independent contractors of the Group and all suppliers, customers, distributors, and other third parties having access to any trade secret or proprietary information of any Group Company, its customers or business partners have executed and delivered to such Group Company an agreement requiring the protection of such trade secret or proprietary information.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3.21. Labor and Employment Matters.</w:t>
      </w:r>
    </w:p>
    <w:p>
      <w:pPr>
        <w:spacing w:after="0" w:line="225" w:lineRule="exact"/>
        <w:rPr>
          <w:sz w:val="20"/>
          <w:szCs w:val="20"/>
          <w:color w:val="auto"/>
        </w:rPr>
      </w:pPr>
    </w:p>
    <w:p>
      <w:pPr>
        <w:ind w:left="-40" w:firstLine="921"/>
        <w:spacing w:after="0" w:line="290" w:lineRule="auto"/>
        <w:tabs>
          <w:tab w:leader="none" w:pos="1088" w:val="left"/>
        </w:tabs>
        <w:numPr>
          <w:ilvl w:val="0"/>
          <w:numId w:val="413"/>
        </w:numPr>
        <w:rPr>
          <w:rFonts w:ascii="Arial" w:cs="Arial" w:eastAsia="Arial" w:hAnsi="Arial"/>
          <w:sz w:val="16"/>
          <w:szCs w:val="16"/>
          <w:color w:val="auto"/>
        </w:rPr>
      </w:pPr>
      <w:r>
        <w:rPr>
          <w:rFonts w:ascii="Arial" w:cs="Arial" w:eastAsia="Arial" w:hAnsi="Arial"/>
          <w:sz w:val="16"/>
          <w:szCs w:val="16"/>
          <w:b w:val="1"/>
          <w:bCs w:val="1"/>
          <w:color w:val="auto"/>
        </w:rPr>
        <w:t>Employees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3.21(i)</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enumerates each Key Employee of each Group Company, along with each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individual’s title and current compensation rate. Except as set forth in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Disclosure Schedule, each such individual is currently devoting all of his or her business time to the conduct of the business of the Group. No such individual (and no group of employees) has given any notice of intent to resign, and no Group Company has any intention of terminating the employment of any such individual or any group of employees. To the Knowledge of the Warrantors, no Key Employee of any Group Company is obligated under, or in material violation of any term of, any Contract or any Governmental Order relating to the right of any such individual to be employed by, or to contract with, such Group Company. No Group Company has received any notice alleging that any such violation has occurred. No Group Company is a party to any collective bargaining agreements or other Contract with any union or guild, and there are no labor unions, works council or other organizations representing any employee of any Group Company. No employee of the Group Companies is owed any back wages or other compensation for services rendered (except for the current pay period or as otherwise set forth on the Financial Statements).</w:t>
      </w:r>
    </w:p>
    <w:p>
      <w:pPr>
        <w:spacing w:after="0" w:line="159" w:lineRule="exact"/>
        <w:rPr>
          <w:rFonts w:ascii="Arial" w:cs="Arial" w:eastAsia="Arial" w:hAnsi="Arial"/>
          <w:sz w:val="16"/>
          <w:szCs w:val="16"/>
          <w:color w:val="auto"/>
        </w:rPr>
      </w:pPr>
    </w:p>
    <w:p>
      <w:pPr>
        <w:ind w:left="-40" w:right="100" w:firstLine="921"/>
        <w:spacing w:after="0" w:line="271" w:lineRule="auto"/>
        <w:tabs>
          <w:tab w:leader="none" w:pos="1138" w:val="left"/>
        </w:tabs>
        <w:numPr>
          <w:ilvl w:val="0"/>
          <w:numId w:val="413"/>
        </w:numPr>
        <w:rPr>
          <w:rFonts w:ascii="Arial" w:cs="Arial" w:eastAsia="Arial" w:hAnsi="Arial"/>
          <w:sz w:val="17"/>
          <w:szCs w:val="17"/>
          <w:color w:val="auto"/>
        </w:rPr>
      </w:pPr>
      <w:r>
        <w:rPr>
          <w:rFonts w:ascii="Arial" w:cs="Arial" w:eastAsia="Arial" w:hAnsi="Arial"/>
          <w:sz w:val="17"/>
          <w:szCs w:val="17"/>
          <w:b w:val="1"/>
          <w:bCs w:val="1"/>
          <w:color w:val="auto"/>
        </w:rPr>
        <w:t>Actions; Compliance</w:t>
      </w:r>
      <w:r>
        <w:rPr>
          <w:rFonts w:ascii="Arial" w:cs="Arial" w:eastAsia="Arial" w:hAnsi="Arial"/>
          <w:sz w:val="17"/>
          <w:szCs w:val="17"/>
          <w:color w:val="auto"/>
        </w:rPr>
        <w:t>. There is no, and there has not been in the last three (3) years, any Action relating to the violation or alleged violation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Law by any Group Company pertaining to labor relations or employment matters, including any charge or complaint filed by an employee with any Governmental Authority or any Group Company. Each Group Company has complied in all material respects with all applicable Laws relating to employment, wages, hours, overtime, working conditions, benefits, retirement, termination, Taxes, and health and safety. Each Group Company is in compliance with each Law relating to its provision of any form of mandatory social insurance and housing fund (the “</w:t>
      </w:r>
      <w:r>
        <w:rPr>
          <w:rFonts w:ascii="Arial" w:cs="Arial" w:eastAsia="Arial" w:hAnsi="Arial"/>
          <w:sz w:val="17"/>
          <w:szCs w:val="17"/>
          <w:b w:val="1"/>
          <w:bCs w:val="1"/>
          <w:color w:val="auto"/>
        </w:rPr>
        <w:t>Social Insurance</w:t>
      </w:r>
      <w:r>
        <w:rPr>
          <w:rFonts w:ascii="Arial" w:cs="Arial" w:eastAsia="Arial" w:hAnsi="Arial"/>
          <w:sz w:val="17"/>
          <w:szCs w:val="17"/>
          <w:color w:val="auto"/>
        </w:rPr>
        <w:t>”), and has paid, or made provision for the payment of, all Social Insurance contributions required under applicable Law. There has not been, and there is not now pending or, to the Knowledge of the Warrantors, threatened, any strike, union organization activity, lockout, slowdown, picketing, or work stoppage with respect to the employees of any Group Company or any unfair labor practice charge against any Group Company. There is no pending internal investigation related to any employee or consultant of any Group Company.</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3.22. Employee Benefits.</w:t>
      </w:r>
    </w:p>
    <w:p>
      <w:pPr>
        <w:spacing w:after="0" w:line="229" w:lineRule="exact"/>
        <w:rPr>
          <w:sz w:val="20"/>
          <w:szCs w:val="20"/>
          <w:color w:val="auto"/>
        </w:rPr>
      </w:pPr>
    </w:p>
    <w:p>
      <w:pPr>
        <w:ind w:left="-40" w:right="20" w:firstLine="921"/>
        <w:spacing w:after="0" w:line="293" w:lineRule="auto"/>
        <w:tabs>
          <w:tab w:leader="none" w:pos="1088"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Disclosure Schedule, neither Company or any of its Group Company has currently or previously adopted or maintained any incentive plan under which any Group Company has any Liability or under any employee or former employee of any Group Company has any present or future right to benefits (collectively, the “</w:t>
      </w:r>
      <w:r>
        <w:rPr>
          <w:rFonts w:ascii="Arial" w:cs="Arial" w:eastAsia="Arial" w:hAnsi="Arial"/>
          <w:sz w:val="16"/>
          <w:szCs w:val="16"/>
          <w:b w:val="1"/>
          <w:bCs w:val="1"/>
          <w:color w:val="auto"/>
        </w:rPr>
        <w:t>Group Benefit Plan</w:t>
      </w:r>
      <w:r>
        <w:rPr>
          <w:rFonts w:ascii="Arial" w:cs="Arial" w:eastAsia="Arial" w:hAnsi="Arial"/>
          <w:sz w:val="16"/>
          <w:szCs w:val="16"/>
          <w:color w:val="auto"/>
        </w:rPr>
        <w:t>”). There are no pending investigations by any governmental authority involving any Group Benefit Plan and no threatened or pending claims against any Group Benefit Plan (except for claims for benefits payable in the normal operation of any Group Benefit Plan). All contributions to, and payments from, each Group Benefit Plan have been timely made. Each Group Company maintains, and has fully funded, any pension plan and any other labor-related plans that it is required by Law or by Contract to maintain.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269" w:right="259" w:bottom="1440" w:gutter="0" w:footer="0" w:header="0"/>
        </w:sectPr>
      </w:pPr>
    </w:p>
    <w:bookmarkStart w:id="423" w:name="page424"/>
    <w:bookmarkEnd w:id="423"/>
    <w:p>
      <w:pPr>
        <w:ind w:right="60" w:firstLine="921"/>
        <w:spacing w:after="0" w:line="259" w:lineRule="auto"/>
        <w:tabs>
          <w:tab w:leader="none" w:pos="1178"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execution and delivery of this Agreement nor the consummation of the transaction contemplated by this Agreement or any other Transaction Document will (i) entitle any current or former employee or director of any Group Company to severance pay, or any payment contingent upon a change in control of any Group Company, (ii) increase or enhance any benefits payable under any Benefit Plan, or (iii) accelerate the time of payment or vesting, or increase the amount of any compensation due to any employee or former employee.</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3.23. Suppliers.</w:t>
      </w:r>
    </w:p>
    <w:p>
      <w:pPr>
        <w:spacing w:after="0" w:line="2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the Disclosure Schedule is a correct list of each of the top ten (10) suppliers (with related or affiliated Persons aggregated for purposes hereof) to the Group as well as any material sole-source suppliers to the Group, in each case for the nine (9)-month period ended September 30, 2016, together with the aggregate amount of the purchases made from each such supplier during such periods. The Warrantors have no reason to believe that, any such supplier is unable, in all material respects, to provide sufficient and timely supplies of goods and services in order to meet the requirements of the Group’s business consistent with prior practice. No Group Company has experienced or been notified of any material shortage in goods or services provided by its suppliers and has no reason to believe that any Person listed on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the Disclosure Schedule would not continue to provide to, or that it would otherwise materially alter its business relationship with, the Group at any time after the Closing on terms substantially similar to those in effect on the date hereof. There is not currently any dispute pending between the Group and any Person listed on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the Disclosure Schedule.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3.24. No Brokers.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Neither the Founder nor any Group Company has any Contract with any broker, finder or similar agent with respect to the transactions contemplated by this Agreement or by any of the Transaction Documents, and none of them has incurred any Liability for any brokerage fees, agents’ fees, commissions or finders’ fees in connection with any of the Transaction Documents or the consummation of the transactions contemplated therein.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3.25. Disclosure.</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has provided the Investor and its professional advisors, with all the information regarding the Group Companies, that is reasonably sufficient for deciding whether to purchase the Purchased Shares including certain of the Group’s projections describing its proposed business plan, which was prepared in good faith. No representation or warranty of the Warrantors contained in this Agreement or any certificate furnished or to be furnished to the Investor at the Closing under this Agreement, when taken as a whole, contains any untrue statement of a material fact or omits to state a material fact necessary in order to make the statements contained herein or therein not misleading in light of the circumstances under which they were made. Except as set forth in this Agreement or the Disclosure Schedule, to the Knowledge of the Warrantors, there is no fact that the Company has not disclosed to the Investor and of which any of the Warrantors has Knowledge and that has had or would reasonably be expected to have a Material Adverse Effect upon the financial condition, operating results, assets, customer or supplier relations, employee relations of any Group Company.</w:t>
      </w:r>
    </w:p>
    <w:p>
      <w:pPr>
        <w:spacing w:after="0" w:line="311"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Investor.</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Investor hereby represents and warrants to the Company that: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424" w:name="page425"/>
    <w:bookmarkEnd w:id="424"/>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w:t>
      </w:r>
      <w:r>
        <w:rPr>
          <w:sz w:val="20"/>
          <w:szCs w:val="20"/>
          <w:color w:val="auto"/>
        </w:rPr>
        <w:tab/>
      </w:r>
      <w:r>
        <w:rPr>
          <w:rFonts w:ascii="Arial" w:cs="Arial" w:eastAsia="Arial" w:hAnsi="Arial"/>
          <w:sz w:val="16"/>
          <w:szCs w:val="16"/>
          <w:b w:val="1"/>
          <w:bCs w:val="1"/>
          <w:color w:val="auto"/>
        </w:rPr>
        <w:t>Authorization.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Investor is duly registered organized, validly existing and in good standing under the Law of its place of incorporation and has all requisite power and authority to execute and deliver the Transaction Documents to which it is a party and to carry out and perform its obligations thereunder. All action on the part of such Investor (and, as applicable, its officers, directors and shareholders) necessary for the authorization, execution and delivery of the Transaction Documents (including its financial obligation to pay the Subscription Price at the Closing in accordance with </w:t>
      </w:r>
      <w:r>
        <w:rPr>
          <w:rFonts w:ascii="Arial" w:cs="Arial" w:eastAsia="Arial" w:hAnsi="Arial"/>
          <w:sz w:val="17"/>
          <w:szCs w:val="17"/>
          <w:u w:val="single" w:color="auto"/>
          <w:color w:val="auto"/>
        </w:rPr>
        <w:t>Section 2.2(iii)</w:t>
      </w:r>
      <w:r>
        <w:rPr>
          <w:rFonts w:ascii="Arial" w:cs="Arial" w:eastAsia="Arial" w:hAnsi="Arial"/>
          <w:sz w:val="17"/>
          <w:szCs w:val="17"/>
          <w:color w:val="auto"/>
        </w:rPr>
        <w:t xml:space="preserve"> to which it is a party, and the performance of all obligations of such Investor thereunder, has been taken or will be taken prior to the Closing. This Agreement has been duly executed and delivered by such Investor. This Agreement and each of the Transaction Documents are, or when executed and delivered by such Investor shall be, valid and legally binding obligations of such Investor, enforceable against such Investor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Purchase for Own Account.</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Purchased Shares will be acquired for investment purposes for the Investor’s own account or the account of one or more of the Investor’s Affiliates, not as a nominee or agent, and not with a view to the resale or distribution of any part thereof, and the Investor does not have any present intention of selling, granting any participation in, or otherwise distributing the same.</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Status of Investor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Investor is an “accredited investor” within the meaning of Rule 501 of Regulation D of the Securities Act, as presently in effect.</w:t>
      </w:r>
    </w:p>
    <w:p>
      <w:pPr>
        <w:spacing w:after="0" w:line="2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Restricted Securities.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Investor understands that the Purchased Shares are characterized as “restricted securities” under U.S.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The Investor understands that the Purchased Shares have not been qualified or registered under the Laws of any other jurisdiction and therefore may be viewed as restricted securities under any or all of such other applicable securities Laws.</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No Conflicts; Consents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Neither the execution, delivery or performance by the Investor of this Agreement or any other Transaction Document to which it is a party, nor the consummation of the transactions contemplated hereby and thereby, will (i) result in a material violation or material breach of, or material default under, any provision of the organizational documents of the Investor or (ii)result in a violation of, or give any Governmental Authority the right to challenge any of the transactions contemplated hereby under, any Law or Government Order or stock exchange rules applicable to the Investor.</w:t>
      </w:r>
    </w:p>
    <w:p>
      <w:pPr>
        <w:spacing w:after="0" w:line="1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Actions and Government Orders</w:t>
      </w:r>
    </w:p>
    <w:p>
      <w:pPr>
        <w:spacing w:after="0" w:line="229" w:lineRule="exact"/>
        <w:rPr>
          <w:sz w:val="20"/>
          <w:szCs w:val="20"/>
          <w:color w:val="auto"/>
        </w:rPr>
      </w:pPr>
    </w:p>
    <w:p>
      <w:pPr>
        <w:ind w:right="80" w:firstLine="464"/>
        <w:spacing w:after="0" w:line="257" w:lineRule="auto"/>
        <w:tabs>
          <w:tab w:leader="none" w:pos="70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To the actual knowledge of the Investor, there is no pending Action and no Person has threatened to commence any Action against the Investor that challenges, or that could have the effect of preventing, delaying, making illegal or otherwise interfering with, any of the transactions contemplated by this Agreement or any other Transaction Document in any material respect, and (b) there is no Government Order applicable to the Investor that could have the effect of preventing, delaying, making illegal or otherwise interfering with any of the transaction contemplated by this Agreement or any other Transaction Document in any material respect.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425" w:name="page426"/>
    <w:bookmarkEnd w:id="425"/>
    <w:p>
      <w:pPr>
        <w:ind w:left="460" w:hanging="452"/>
        <w:spacing w:after="0"/>
        <w:tabs>
          <w:tab w:leader="none" w:pos="46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the Investor’s Obligations at the Closing.</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The obligations of the Investor to consummate the Closing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unless otherwise waived in writing by the Investor, are subject to the fulfillment on or before the Closing of each of the following conditions:</w:t>
      </w:r>
    </w:p>
    <w:p>
      <w:pPr>
        <w:spacing w:after="0" w:line="1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 xml:space="preserve">Each of the representations and warranties of the Warrantors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shall be true and complete when made and shall be true and complete on and as of the Closing unless notified to the Investor in writing otherwise, and with the same effect as though such representations and warranties had been made on and as of the date of such Closing, except in either case for those representations and warranties that address matters only as of a particular date, which representations will have been true and complete as of such particular date.</w:t>
      </w:r>
    </w:p>
    <w:p>
      <w:pPr>
        <w:spacing w:after="0" w:line="1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Performance.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Each of the Warrantors shall have performed and complied, in all material respects, with all agreements, obligations and conditions (except for provisions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which shall be fulfilled in accordance with their own terms) contained in the Transaction Documents that are required to be performed or complied with by them, on or before Closing, including without limitation (i) the preparation of resolutions of any potential conflict of interest (including conflicts among the Group Companies, Founders, and owners of individual franchisees, if applicable), and (ii) completion of condition precedents of the Transaction Documents.</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Authorizations.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Approvals of any competent Governmental Authority or of any other Person that are required to be obtained by any Warrantor in connection with the consummation of the transactions contemplated by this Agreement (including but not limited to those relating to the lawful issuance of the Purchased Shares) (such Approvals include but not limited to any waivers of rights of first refusal, preemptive rights, put or call rights or other rights triggered by the Transaction Documents, if any) shall have been duly obtained and effective as of the Closing and written evidence of these Approvals shall be provided to the Investor to its reasonable satisfaction.</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Proceedings and Documents.</w:t>
      </w:r>
    </w:p>
    <w:p>
      <w:pPr>
        <w:spacing w:after="0" w:line="229" w:lineRule="exact"/>
        <w:rPr>
          <w:sz w:val="20"/>
          <w:szCs w:val="20"/>
          <w:color w:val="auto"/>
        </w:rPr>
      </w:pPr>
    </w:p>
    <w:p>
      <w:pPr>
        <w:jc w:val="both"/>
        <w:ind w:right="220" w:firstLine="456"/>
        <w:spacing w:after="0" w:line="257" w:lineRule="auto"/>
        <w:rPr>
          <w:sz w:val="20"/>
          <w:szCs w:val="20"/>
          <w:color w:val="auto"/>
        </w:rPr>
      </w:pPr>
      <w:r>
        <w:rPr>
          <w:rFonts w:ascii="Arial" w:cs="Arial" w:eastAsia="Arial" w:hAnsi="Arial"/>
          <w:sz w:val="18"/>
          <w:szCs w:val="18"/>
          <w:color w:val="auto"/>
        </w:rPr>
        <w:t>All corporate and other proceedings in connection with the transactions to be completed at the Closing and all documents incident thereto, including without limitation written approvals, consents or waivers from all of the then current holders of equity interests of each Group Company, if necessary, with respect to this Agreement and other Transaction Documents and the transactions contemplated hereby and thereby, shall have been completed in form and substance reasonably satisfactory to the Investor, and the Investor shall have received all such counterpart original or other copies of such documents as it may reasonably request.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69" w:right="279" w:bottom="1440" w:gutter="0" w:footer="0" w:header="0"/>
        </w:sectPr>
      </w:pPr>
    </w:p>
    <w:bookmarkStart w:id="426" w:name="page427"/>
    <w:bookmarkEnd w:id="426"/>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r>
        <w:rPr>
          <w:sz w:val="20"/>
          <w:szCs w:val="20"/>
          <w:color w:val="auto"/>
        </w:rPr>
        <w:tab/>
      </w:r>
      <w:r>
        <w:rPr>
          <w:rFonts w:ascii="Arial" w:cs="Arial" w:eastAsia="Arial" w:hAnsi="Arial"/>
          <w:sz w:val="16"/>
          <w:szCs w:val="16"/>
          <w:b w:val="1"/>
          <w:bCs w:val="1"/>
          <w:color w:val="auto"/>
        </w:rPr>
        <w:t>Execution of the other Transaction Documents.</w:t>
      </w:r>
    </w:p>
    <w:p>
      <w:pPr>
        <w:spacing w:after="0" w:line="229" w:lineRule="exact"/>
        <w:rPr>
          <w:sz w:val="20"/>
          <w:szCs w:val="20"/>
          <w:color w:val="auto"/>
        </w:rPr>
      </w:pPr>
    </w:p>
    <w:p>
      <w:pPr>
        <w:ind w:firstLine="464"/>
        <w:spacing w:after="0" w:line="302" w:lineRule="auto"/>
        <w:tabs>
          <w:tab w:leader="none" w:pos="671"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Amended and Restated Memorandum and Articles shall have been duly adopted by all necessary action of the Board of Directors and/or the members of the Company and shall have been duly filed with the appropriate authority(ies) of the Cayman Islands, and such adoption shall have become effective at the Closing with no alternation or amendment as of the Closing and (ii) the Deeds of Guarantee, the Amended and Restated Right of First Refusal Agreement, and the Amended and Restated Shareholders Agreement having been duly executed by all parties thereto, other than by the Investor.</w:t>
      </w:r>
    </w:p>
    <w:p>
      <w:pPr>
        <w:spacing w:after="0" w:line="1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Closing Certificate.</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The Company shall have executed and delivered to the Investor at the Closing a certificate dated as of the Closing (i) stating that the conditions specified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have been fulfilled as of the Closing, and (ii) attaching thereto copies of (1) board and shareholders’ resolutions of the Company and (2) written confirmation from each holder of Series A Preference Shares, Series B Preference Shares, Series C Preference Shares and Series D Preference Shares approving or consenting to the Investor’s subscription for the Purchased Shares, waiving any preemptive rights, right of first refusal or similar rights they might have in respect of the issuance of the Purchased Shares pursuant to the memorandum and articles of association of the Company and other transaction documents between the Company/its shareholders currently in effect or under any applicable Law.</w:t>
      </w:r>
    </w:p>
    <w:p>
      <w:pPr>
        <w:spacing w:after="0" w:line="20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Business Conditions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As of the Closing, the business (as conducted), assets (including intangible assets), liabilities, financial condition or results of operations of the Company and other Group Companies shall be substantially consistent with what the Warrantors have represented to the Investor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and shall have experienced no change that, constitutes a Material Adverse Effect or could reasonably be expected to produce a Material Adverse Effect on the Group.</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Non-Compete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The Group Companies shall have entered into an agreement with a non-compete period of at least twenty-four (24) months upon termination of employment with the Group Companies (to the extent permitted by applicable Laws) with each member of the Senior Management Team substantially in the form as attached hereto as </w:t>
      </w:r>
      <w:r>
        <w:rPr>
          <w:rFonts w:ascii="Arial" w:cs="Arial" w:eastAsia="Arial" w:hAnsi="Arial"/>
          <w:sz w:val="18"/>
          <w:szCs w:val="18"/>
          <w:u w:val="single" w:color="auto"/>
          <w:color w:val="auto"/>
        </w:rPr>
        <w:t>Schedule H</w:t>
      </w:r>
      <w:r>
        <w:rPr>
          <w:rFonts w:ascii="Arial" w:cs="Arial" w:eastAsia="Arial" w:hAnsi="Arial"/>
          <w:sz w:val="18"/>
          <w:szCs w:val="18"/>
          <w:color w:val="auto"/>
        </w:rPr>
        <w:t xml:space="preserve"> hereof (the “</w:t>
      </w:r>
      <w:r>
        <w:rPr>
          <w:rFonts w:ascii="Arial" w:cs="Arial" w:eastAsia="Arial" w:hAnsi="Arial"/>
          <w:sz w:val="18"/>
          <w:szCs w:val="18"/>
          <w:b w:val="1"/>
          <w:bCs w:val="1"/>
          <w:color w:val="auto"/>
        </w:rPr>
        <w:t>Non-Compete Agreement</w:t>
      </w:r>
      <w:r>
        <w:rPr>
          <w:rFonts w:ascii="Arial" w:cs="Arial" w:eastAsia="Arial" w:hAnsi="Arial"/>
          <w:sz w:val="18"/>
          <w:szCs w:val="18"/>
          <w:color w:val="auto"/>
        </w:rPr>
        <w:t>”).</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Due Diligence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Investor’s business, legal, tax and financial due diligence investigation of the Group Companies shall have been completed to its satisfaction.</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5.10. Legal Opinion</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or prior to Closing, the Investor shall have received an opinion from Cayman legal counsel to the Company in form and substance satisfactory to the Investor.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0" w:right="299" w:bottom="1440" w:gutter="0" w:footer="0" w:header="0"/>
        </w:sectPr>
      </w:pPr>
    </w:p>
    <w:bookmarkStart w:id="427" w:name="page428"/>
    <w:bookmarkEnd w:id="42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5.11. Waiver Letter</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shall have obtained a waiver letter issued by the SPD Silicon waiving its rights to enforce certain provisions under (a) the loan agreement entered into between SPD Silicon, iClick Beijing, iClick Shanghai, iClick Shenzhen and certain other party regarding extension of a loan in the principal amount of RMB30,000,000, and (b) the loan agreement entered into between SPD Silicon, iClick (HK) and China Search (HK) regarding extension of the loans in the principal amount of US$4,950,000. SPD Silicon shall effectively waive in such waiver letter its rights, remedy or any penalty it may resort to under the aforesaid loan agreements triggered by the inadvertent breach of the aforesaid loan agreements by the borrowers, which occurred as a result of the Company’s failure to maintain its EBITDA ratio for the third quarter of the fiscal year of 2016.</w:t>
      </w:r>
    </w:p>
    <w:p>
      <w:pPr>
        <w:spacing w:after="0" w:line="323" w:lineRule="exact"/>
        <w:rPr>
          <w:sz w:val="20"/>
          <w:szCs w:val="20"/>
          <w:color w:val="auto"/>
        </w:rPr>
      </w:pPr>
    </w:p>
    <w:p>
      <w:pPr>
        <w:ind w:left="460" w:hanging="452"/>
        <w:spacing w:after="0"/>
        <w:tabs>
          <w:tab w:leader="none" w:pos="46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Company’s Obligations at the Closing.</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The obligations of the Company to consummate the Closing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unless otherwise waived in writing by the Company, are subject to the fulfillment on or before the Closing of each of the following conditions:</w:t>
      </w:r>
    </w:p>
    <w:p>
      <w:pPr>
        <w:spacing w:after="0" w:line="1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Each of the representations and warranties of the Investor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and complete in all material aspects when made and on and as of the Closing, with the same effect as though such representations and warranties had been made on and as of the date of the Closing, except in either case for those representations and warranties that address matters only as of a particular date, which representations will have been true and complete in all material aspects as of such particular date.</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Performance.</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Investor shall have performed and complied, in all material respects, with all covenants, agreements, obligations and conditions contained in this Agreement that are required to be performed or complied with by the Investor on or before the Closing.</w:t>
      </w:r>
    </w:p>
    <w:p>
      <w:pPr>
        <w:spacing w:after="0" w:line="1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Execution of the other Transaction Documents.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Transaction Documents to which the Investor is a party shall have been duly executed and delivered by the Investor.</w:t>
      </w:r>
    </w:p>
    <w:p>
      <w:pPr>
        <w:spacing w:after="0" w:line="370" w:lineRule="exact"/>
        <w:rPr>
          <w:sz w:val="20"/>
          <w:szCs w:val="20"/>
          <w:color w:val="auto"/>
        </w:rPr>
      </w:pPr>
    </w:p>
    <w:p>
      <w:pPr>
        <w:ind w:left="460" w:right="8220" w:hanging="452"/>
        <w:spacing w:after="0" w:line="504" w:lineRule="auto"/>
        <w:tabs>
          <w:tab w:leader="none" w:pos="460" w:val="left"/>
        </w:tabs>
        <w:numPr>
          <w:ilvl w:val="0"/>
          <w:numId w:val="421"/>
        </w:numPr>
        <w:rPr>
          <w:rFonts w:ascii="Arial" w:cs="Arial" w:eastAsia="Arial" w:hAnsi="Arial"/>
          <w:sz w:val="16"/>
          <w:szCs w:val="16"/>
          <w:b w:val="1"/>
          <w:bCs w:val="1"/>
          <w:color w:val="auto"/>
        </w:rPr>
      </w:pPr>
      <w:r>
        <w:rPr>
          <w:rFonts w:ascii="Arial" w:cs="Arial" w:eastAsia="Arial" w:hAnsi="Arial"/>
          <w:sz w:val="16"/>
          <w:szCs w:val="16"/>
          <w:b w:val="1"/>
          <w:bCs w:val="1"/>
          <w:color w:val="auto"/>
        </w:rPr>
        <w:t>Covenants and Other Agreements. 7.1. Use of proceeds</w:t>
      </w:r>
    </w:p>
    <w:p>
      <w:pPr>
        <w:spacing w:after="0" w:line="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otherwise approved by the written consent of the Investor, the Company shall be entitled to allocate or otherwise use the net proceeds received from the issuance of the Purchased Shares only for:</w:t>
      </w:r>
    </w:p>
    <w:p>
      <w:pPr>
        <w:spacing w:after="0" w:line="170" w:lineRule="exact"/>
        <w:rPr>
          <w:sz w:val="20"/>
          <w:szCs w:val="20"/>
          <w:color w:val="auto"/>
        </w:rPr>
      </w:pPr>
    </w:p>
    <w:p>
      <w:pPr>
        <w:ind w:left="5620" w:right="3700" w:hanging="4699"/>
        <w:spacing w:after="0" w:line="449" w:lineRule="auto"/>
        <w:tabs>
          <w:tab w:leader="none" w:pos="113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general working capital in support of the Group Companies’ future business development; 27</w:t>
      </w:r>
    </w:p>
    <w:p>
      <w:pPr>
        <w:sectPr>
          <w:pgSz w:w="11900" w:h="16838" w:orient="portrait"/>
          <w:cols w:equalWidth="0" w:num="1">
            <w:col w:w="11340"/>
          </w:cols>
          <w:pgMar w:left="240" w:top="269" w:right="319" w:bottom="1440" w:gutter="0" w:footer="0" w:header="0"/>
        </w:sectPr>
      </w:pPr>
    </w:p>
    <w:bookmarkStart w:id="428" w:name="page429"/>
    <w:bookmarkEnd w:id="428"/>
    <w:p>
      <w:pPr>
        <w:ind w:left="1180" w:hanging="259"/>
        <w:spacing w:after="0"/>
        <w:tabs>
          <w:tab w:leader="none" w:pos="11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and expenses in connection with the development and upgrading of Group Companies’ technology platform; and</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equity investment in entities which have a business cooperation relationship with the Group.</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Such proceeds shall not be used to repay any indebtedness of any Group Company or any of its Affiliates, to repurchase, redeem or cancel any Equity Securities of any Group Company or to make any payments to any Related Party of any Group Company or any of its Affiliates or for any other purpose not permitted under the foregoing, except otherwise approved by the Investor.</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Notice of Certain Events.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If at any time before Closing, any Party comes to know any material fact or event which is in any way materially inconsistent with any of the representations and warranties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or in the Disclosure Schedule that would likely to cause any conditions to the Closing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 being satisfied or fulfilled, such Party shall promptly notify the other Party in writing, describing the fact or event in reasonable detail; provided that either Party’s failure to give notice of such fact or event shall not be deemed to be a breach of the covenant contained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or be taken into account in determining whether the conditions to Closing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have been satisfied.</w:t>
      </w:r>
    </w:p>
    <w:p>
      <w:pPr>
        <w:spacing w:after="0" w:line="1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Reservation of Ordinary Shares.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shall at all times keep reserved for issuance and allotment upon conversion of the Purchased Shares such number of the Ordinary Shares of the Company as are from time to time issuable upon conversion of such Purchased Shares and, from time to time, will take all steps necessary to amend its memorandum of articles of association of the Company then in effect to provide sufficient reserves of the Ordinary Shares issuable upon conversion of such Purchased Shares.</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Preservation of Redemption Right.</w:t>
      </w:r>
    </w:p>
    <w:p>
      <w:pPr>
        <w:spacing w:after="0" w:line="229" w:lineRule="exact"/>
        <w:rPr>
          <w:sz w:val="20"/>
          <w:szCs w:val="20"/>
          <w:color w:val="auto"/>
        </w:rPr>
      </w:pPr>
    </w:p>
    <w:p>
      <w:pPr>
        <w:ind w:right="380" w:firstLine="921"/>
        <w:spacing w:after="0" w:line="342" w:lineRule="auto"/>
        <w:tabs>
          <w:tab w:leader="none" w:pos="1128" w:val="left"/>
        </w:tabs>
        <w:numPr>
          <w:ilvl w:val="0"/>
          <w:numId w:val="424"/>
        </w:numPr>
        <w:rPr>
          <w:rFonts w:ascii="Arial" w:cs="Arial" w:eastAsia="Arial" w:hAnsi="Arial"/>
          <w:sz w:val="16"/>
          <w:szCs w:val="16"/>
          <w:color w:val="auto"/>
        </w:rPr>
      </w:pPr>
      <w:r>
        <w:rPr>
          <w:rFonts w:ascii="Arial" w:cs="Arial" w:eastAsia="Arial" w:hAnsi="Arial"/>
          <w:sz w:val="16"/>
          <w:szCs w:val="16"/>
          <w:color w:val="auto"/>
        </w:rPr>
        <w:t>At any time prior to the full satisfaction or discharge of the Guaranteed Obligations (as defined in the Deeds of Guarantee), the Company shall, and the Founders shall procure the Company to, ensure that the Deeds of Guarantee shall continue to be in full force and effect at all times.</w:t>
      </w:r>
    </w:p>
    <w:p>
      <w:pPr>
        <w:spacing w:after="0" w:line="123" w:lineRule="exact"/>
        <w:rPr>
          <w:rFonts w:ascii="Arial" w:cs="Arial" w:eastAsia="Arial" w:hAnsi="Arial"/>
          <w:sz w:val="16"/>
          <w:szCs w:val="16"/>
          <w:color w:val="auto"/>
        </w:rPr>
      </w:pPr>
    </w:p>
    <w:p>
      <w:pPr>
        <w:ind w:firstLine="921"/>
        <w:spacing w:after="0" w:line="290" w:lineRule="auto"/>
        <w:tabs>
          <w:tab w:leader="none" w:pos="1178"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Company shall not, and the Founders shall procure the Company not to, do any of the following without the prior written consent of the Investor: (a) create or incur any obligation that ranks senior to or pari passu with the right to receive payment of the Series E Redemption Price (as defined in the Amended and Restated Memorandum and Articles); (b) other than pursuant to the deeds of guarantees provided by the Guarantors to the Series C Investor and the Series D Investor (each as defined in the Amended and Restated Memorandum and Articles), permit any Guarantor to grant any indemnity or guarantee or similar obligation unless expressly subordinated to the rights of the Investor under the Deeds of Guarantee or grant any security interest over all or any part of the assets or rights of such Guarantor; (c) issue any Series E Preference Shares other than the Purchased Shares, (except for any issuance in connection with any share split, share dividend, combination, or similar transaction of the Company); or (d) issue any Equity Securities that are mandatorily redeemable or redeemable at the option of holder at any time on or prior to the full redemption of the Series E Preference Shares.</w:t>
      </w:r>
    </w:p>
    <w:p>
      <w:pPr>
        <w:spacing w:after="0" w:line="18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Compliance with Applicable Laws.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Founders shall ensure that each Group Company shall continue to comply in all material respects with any and all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429" w:name="page430"/>
    <w:bookmarkEnd w:id="429"/>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r>
        <w:rPr>
          <w:sz w:val="20"/>
          <w:szCs w:val="20"/>
          <w:color w:val="auto"/>
        </w:rPr>
        <w:tab/>
      </w:r>
      <w:r>
        <w:rPr>
          <w:rFonts w:ascii="Arial" w:cs="Arial" w:eastAsia="Arial" w:hAnsi="Arial"/>
          <w:sz w:val="16"/>
          <w:szCs w:val="16"/>
          <w:b w:val="1"/>
          <w:bCs w:val="1"/>
          <w:color w:val="auto"/>
        </w:rPr>
        <w:t>Efforts to Consummate</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Each Party shall use best efforts to take, or cause to be taken, all actions and to do, or cause to be done, all things necessary, proper or advisable to consummate and make effective the transactions contemplated by this Agreement in the most expeditious manner possible, including satisfaction (but not waiver) of the conditions to Closing set forth in Sections 5 and 6. Neither Party nor any of its Affiliates or Representatives shall take any action that could reasonably be expected to have the effect of delaying, impairing or impeding the consummation of the Closing.</w:t>
      </w:r>
    </w:p>
    <w:p>
      <w:pPr>
        <w:spacing w:after="0" w:line="1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Other PRC related covenants</w:t>
      </w:r>
    </w:p>
    <w:p>
      <w:pPr>
        <w:spacing w:after="0" w:line="135" w:lineRule="exact"/>
        <w:rPr>
          <w:sz w:val="20"/>
          <w:szCs w:val="20"/>
          <w:color w:val="auto"/>
        </w:rPr>
      </w:pPr>
    </w:p>
    <w:p>
      <w:pPr>
        <w:ind w:left="900" w:hanging="446"/>
        <w:spacing w:after="0"/>
        <w:tabs>
          <w:tab w:leader="none" w:pos="9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Within three (3) months after the Closing, or such longer period as the Investor may agree otherwise, the Company and the Founders shall</w:t>
      </w:r>
    </w:p>
    <w:p>
      <w:pPr>
        <w:spacing w:after="0" w:line="46" w:lineRule="exact"/>
        <w:rPr>
          <w:rFonts w:ascii="Arial" w:cs="Arial" w:eastAsia="Arial" w:hAnsi="Arial"/>
          <w:sz w:val="16"/>
          <w:szCs w:val="16"/>
          <w:color w:val="auto"/>
        </w:rPr>
      </w:pPr>
    </w:p>
    <w:p>
      <w:pPr>
        <w:ind w:left="900" w:right="360"/>
        <w:spacing w:after="0" w:line="269" w:lineRule="auto"/>
        <w:rPr>
          <w:rFonts w:ascii="Arial" w:cs="Arial" w:eastAsia="Arial" w:hAnsi="Arial"/>
          <w:sz w:val="16"/>
          <w:szCs w:val="16"/>
          <w:color w:val="auto"/>
        </w:rPr>
      </w:pPr>
      <w:r>
        <w:rPr>
          <w:rFonts w:ascii="Arial" w:cs="Arial" w:eastAsia="Arial" w:hAnsi="Arial"/>
          <w:sz w:val="18"/>
          <w:szCs w:val="18"/>
          <w:color w:val="auto"/>
        </w:rPr>
        <w:t xml:space="preserve">procure Cong Wei </w:t>
      </w:r>
      <w:r>
        <w:rPr>
          <w:rFonts w:ascii="Arial" w:cs="Arial" w:eastAsia="Arial" w:hAnsi="Arial"/>
          <w:sz w:val="1"/>
          <w:szCs w:val="1"/>
          <w:color w:val="auto"/>
        </w:rPr>
        <w:drawing>
          <wp:inline distT="0" distB="0" distL="0" distR="0">
            <wp:extent cx="291465" cy="11176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91465" cy="111760"/>
                    </a:xfrm>
                    <a:prstGeom prst="rect">
                      <a:avLst/>
                    </a:prstGeom>
                    <a:noFill/>
                    <a:ln>
                      <a:noFill/>
                    </a:ln>
                  </pic:spPr>
                </pic:pic>
              </a:graphicData>
            </a:graphic>
          </wp:inline>
        </w:drawing>
      </w:r>
      <w:r>
        <w:rPr>
          <w:rFonts w:ascii="Arial" w:cs="Arial" w:eastAsia="Arial" w:hAnsi="Arial"/>
          <w:sz w:val="18"/>
          <w:szCs w:val="18"/>
          <w:color w:val="auto"/>
        </w:rPr>
        <w:t xml:space="preserve"> and Liu Jiping </w:t>
      </w:r>
      <w:r>
        <w:rPr>
          <w:rFonts w:ascii="Arial" w:cs="Arial" w:eastAsia="Arial" w:hAnsi="Arial"/>
          <w:sz w:val="1"/>
          <w:szCs w:val="1"/>
          <w:color w:val="auto"/>
        </w:rPr>
        <w:drawing>
          <wp:inline distT="0" distB="0" distL="0" distR="0">
            <wp:extent cx="454660" cy="11176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54660" cy="111760"/>
                    </a:xfrm>
                    <a:prstGeom prst="rect">
                      <a:avLst/>
                    </a:prstGeom>
                    <a:noFill/>
                    <a:ln>
                      <a:noFill/>
                    </a:ln>
                  </pic:spPr>
                </pic:pic>
              </a:graphicData>
            </a:graphic>
          </wp:inline>
        </w:drawing>
      </w:r>
      <w:r>
        <w:rPr>
          <w:rFonts w:ascii="Arial" w:cs="Arial" w:eastAsia="Arial" w:hAnsi="Arial"/>
          <w:sz w:val="18"/>
          <w:szCs w:val="18"/>
          <w:color w:val="auto"/>
        </w:rPr>
        <w:t xml:space="preserve"> to file for all the requisite foreign exchange registration with the relevant Governmental Authority, or to transfer their shares to a non-PRC citizen.</w:t>
      </w:r>
    </w:p>
    <w:p>
      <w:pPr>
        <w:spacing w:after="0" w:line="82" w:lineRule="exact"/>
        <w:rPr>
          <w:rFonts w:ascii="Arial" w:cs="Arial" w:eastAsia="Arial" w:hAnsi="Arial"/>
          <w:sz w:val="16"/>
          <w:szCs w:val="16"/>
          <w:color w:val="auto"/>
        </w:rPr>
      </w:pPr>
    </w:p>
    <w:p>
      <w:pPr>
        <w:ind w:left="900" w:hanging="446"/>
        <w:spacing w:after="0"/>
        <w:tabs>
          <w:tab w:leader="none" w:pos="9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six (6) months after the Closing, the Group shall cause Beijing OptAim to file and register with</w:t>
      </w:r>
    </w:p>
    <w:p>
      <w:pPr>
        <w:spacing w:after="0" w:line="46" w:lineRule="exact"/>
        <w:rPr>
          <w:rFonts w:ascii="Arial" w:cs="Arial" w:eastAsia="Arial" w:hAnsi="Arial"/>
          <w:sz w:val="16"/>
          <w:szCs w:val="16"/>
          <w:color w:val="auto"/>
        </w:rPr>
      </w:pPr>
    </w:p>
    <w:p>
      <w:pPr>
        <w:ind w:left="900" w:right="200"/>
        <w:spacing w:after="0" w:line="269" w:lineRule="auto"/>
        <w:rPr>
          <w:rFonts w:ascii="Arial" w:cs="Arial" w:eastAsia="Arial" w:hAnsi="Arial"/>
          <w:sz w:val="16"/>
          <w:szCs w:val="16"/>
          <w:color w:val="auto"/>
        </w:rPr>
      </w:pPr>
      <w:r>
        <w:rPr>
          <w:rFonts w:ascii="Arial" w:cs="Arial" w:eastAsia="Arial" w:hAnsi="Arial"/>
          <w:sz w:val="18"/>
          <w:szCs w:val="18"/>
          <w:color w:val="auto"/>
        </w:rPr>
        <w:t xml:space="preserve">competent local branch of the SAIC regarding transfers of equity interests of Beijing OptAim to Jiao Jie </w:t>
      </w:r>
      <w:r>
        <w:rPr>
          <w:rFonts w:ascii="Arial" w:cs="Arial" w:eastAsia="Arial" w:hAnsi="Arial"/>
          <w:sz w:val="1"/>
          <w:szCs w:val="1"/>
          <w:color w:val="auto"/>
        </w:rPr>
        <w:drawing>
          <wp:inline distT="0" distB="0" distL="0" distR="0">
            <wp:extent cx="291465" cy="11176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91465" cy="111760"/>
                    </a:xfrm>
                    <a:prstGeom prst="rect">
                      <a:avLst/>
                    </a:prstGeom>
                    <a:noFill/>
                    <a:ln>
                      <a:noFill/>
                    </a:ln>
                  </pic:spPr>
                </pic:pic>
              </a:graphicData>
            </a:graphic>
          </wp:inline>
        </w:drawing>
      </w:r>
      <w:r>
        <w:rPr>
          <w:rFonts w:ascii="Arial" w:cs="Arial" w:eastAsia="Arial" w:hAnsi="Arial"/>
          <w:sz w:val="18"/>
          <w:szCs w:val="18"/>
          <w:color w:val="auto"/>
        </w:rPr>
        <w:t xml:space="preserve"> after which she is holding the fifty one percent (51%) of the equity interests of Beijing OptAim.</w:t>
      </w:r>
    </w:p>
    <w:p>
      <w:pPr>
        <w:spacing w:after="0" w:line="82" w:lineRule="exact"/>
        <w:rPr>
          <w:rFonts w:ascii="Arial" w:cs="Arial" w:eastAsia="Arial" w:hAnsi="Arial"/>
          <w:sz w:val="16"/>
          <w:szCs w:val="16"/>
          <w:color w:val="auto"/>
        </w:rPr>
      </w:pPr>
    </w:p>
    <w:p>
      <w:pPr>
        <w:jc w:val="both"/>
        <w:ind w:left="900" w:right="200" w:hanging="446"/>
        <w:spacing w:after="0" w:line="291" w:lineRule="auto"/>
        <w:tabs>
          <w:tab w:leader="none" w:pos="9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six (6) months after the Closing, the Group shall cause OptAim WFOE, Beijing OptAim and Shanghai OptAim to file and register with competent local branch of the SAIC updating their board constituency showing that the respective</w:t>
      </w:r>
    </w:p>
    <w:p>
      <w:pPr>
        <w:ind w:left="900"/>
        <w:spacing w:after="0"/>
        <w:rPr>
          <w:rFonts w:ascii="Arial" w:cs="Arial" w:eastAsia="Arial" w:hAnsi="Arial"/>
          <w:sz w:val="16"/>
          <w:szCs w:val="16"/>
          <w:color w:val="auto"/>
        </w:rPr>
      </w:pPr>
      <w:r>
        <w:rPr>
          <w:rFonts w:ascii="Arial" w:cs="Arial" w:eastAsia="Arial" w:hAnsi="Arial"/>
          <w:sz w:val="16"/>
          <w:szCs w:val="16"/>
          <w:color w:val="auto"/>
        </w:rPr>
        <w:t xml:space="preserve">board of OptAim WFOE, Beijing OptAim and Shanghai OptAim is comprised of three directors who are Tang Jian </w:t>
      </w:r>
      <w:r>
        <w:rPr>
          <w:rFonts w:ascii="Arial" w:cs="Arial" w:eastAsia="Arial" w:hAnsi="Arial"/>
          <w:sz w:val="1"/>
          <w:szCs w:val="1"/>
          <w:color w:val="auto"/>
        </w:rPr>
        <w:drawing>
          <wp:inline distT="0" distB="0" distL="0" distR="0">
            <wp:extent cx="283210" cy="12001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83210" cy="120015"/>
                    </a:xfrm>
                    <a:prstGeom prst="rect">
                      <a:avLst/>
                    </a:prstGeom>
                    <a:noFill/>
                    <a:ln>
                      <a:noFill/>
                    </a:ln>
                  </pic:spPr>
                </pic:pic>
              </a:graphicData>
            </a:graphic>
          </wp:inline>
        </w:drawing>
      </w:r>
      <w:r>
        <w:rPr>
          <w:rFonts w:ascii="Arial" w:cs="Arial" w:eastAsia="Arial" w:hAnsi="Arial"/>
          <w:sz w:val="16"/>
          <w:szCs w:val="16"/>
          <w:color w:val="auto"/>
        </w:rPr>
        <w:t xml:space="preserve"> and the Founders.</w:t>
      </w:r>
    </w:p>
    <w:p>
      <w:pPr>
        <w:spacing w:after="0" w:line="127" w:lineRule="exact"/>
        <w:rPr>
          <w:rFonts w:ascii="Arial" w:cs="Arial" w:eastAsia="Arial" w:hAnsi="Arial"/>
          <w:sz w:val="16"/>
          <w:szCs w:val="16"/>
          <w:color w:val="auto"/>
        </w:rPr>
      </w:pPr>
    </w:p>
    <w:p>
      <w:pPr>
        <w:ind w:left="900" w:hanging="446"/>
        <w:spacing w:after="0"/>
        <w:tabs>
          <w:tab w:leader="none" w:pos="9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Within six (6) months after the Closing, or such longer period as the Investor may agree otherwise, the pledge over the equity interest of Beijing</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 xml:space="preserve">OptAim held by Tang Jian </w:t>
      </w:r>
      <w:r>
        <w:rPr>
          <w:rFonts w:ascii="Arial" w:cs="Arial" w:eastAsia="Arial" w:hAnsi="Arial"/>
          <w:sz w:val="1"/>
          <w:szCs w:val="1"/>
          <w:color w:val="auto"/>
        </w:rPr>
        <w:drawing>
          <wp:inline distT="0" distB="0" distL="0" distR="0">
            <wp:extent cx="283210" cy="11176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3210" cy="111760"/>
                    </a:xfrm>
                    <a:prstGeom prst="rect">
                      <a:avLst/>
                    </a:prstGeom>
                    <a:noFill/>
                    <a:ln>
                      <a:noFill/>
                    </a:ln>
                  </pic:spPr>
                </pic:pic>
              </a:graphicData>
            </a:graphic>
          </wp:inline>
        </w:drawing>
      </w:r>
      <w:r>
        <w:rPr>
          <w:rFonts w:ascii="Arial" w:cs="Arial" w:eastAsia="Arial" w:hAnsi="Arial"/>
          <w:sz w:val="16"/>
          <w:szCs w:val="16"/>
          <w:color w:val="auto"/>
        </w:rPr>
        <w:t xml:space="preserve"> and Jiao Jie </w:t>
      </w:r>
      <w:r>
        <w:rPr>
          <w:rFonts w:ascii="Arial" w:cs="Arial" w:eastAsia="Arial" w:hAnsi="Arial"/>
          <w:sz w:val="1"/>
          <w:szCs w:val="1"/>
          <w:color w:val="auto"/>
        </w:rPr>
        <w:drawing>
          <wp:inline distT="0" distB="0" distL="0" distR="0">
            <wp:extent cx="342900" cy="120015"/>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0" cy="120015"/>
                    </a:xfrm>
                    <a:prstGeom prst="rect">
                      <a:avLst/>
                    </a:prstGeom>
                    <a:noFill/>
                    <a:ln>
                      <a:noFill/>
                    </a:ln>
                  </pic:spPr>
                </pic:pic>
              </a:graphicData>
            </a:graphic>
          </wp:inline>
        </w:drawing>
      </w:r>
      <w:r>
        <w:rPr>
          <w:rFonts w:ascii="Arial" w:cs="Arial" w:eastAsia="Arial" w:hAnsi="Arial"/>
          <w:sz w:val="16"/>
          <w:szCs w:val="16"/>
          <w:color w:val="auto"/>
        </w:rPr>
        <w:t xml:space="preserve"> created pursuant to certain amended and restated share pledge agreement entered into by</w:t>
      </w:r>
    </w:p>
    <w:p>
      <w:pPr>
        <w:spacing w:after="0" w:line="20" w:lineRule="exact"/>
        <w:rPr>
          <w:rFonts w:ascii="Arial" w:cs="Arial" w:eastAsia="Arial" w:hAnsi="Arial"/>
          <w:sz w:val="16"/>
          <w:szCs w:val="16"/>
          <w:color w:val="auto"/>
        </w:rPr>
      </w:pPr>
    </w:p>
    <w:p>
      <w:pPr>
        <w:ind w:left="900" w:right="640"/>
        <w:spacing w:after="0" w:line="270" w:lineRule="auto"/>
        <w:rPr>
          <w:rFonts w:ascii="Arial" w:cs="Arial" w:eastAsia="Arial" w:hAnsi="Arial"/>
          <w:sz w:val="16"/>
          <w:szCs w:val="16"/>
          <w:color w:val="auto"/>
        </w:rPr>
      </w:pPr>
      <w:r>
        <w:rPr>
          <w:rFonts w:ascii="Arial" w:cs="Arial" w:eastAsia="Arial" w:hAnsi="Arial"/>
          <w:sz w:val="18"/>
          <w:szCs w:val="18"/>
          <w:color w:val="auto"/>
        </w:rPr>
        <w:t xml:space="preserve">and among OptAim WFOE, Beijing OptAim, Tang Jian </w:t>
      </w:r>
      <w:r>
        <w:rPr>
          <w:rFonts w:ascii="Arial" w:cs="Arial" w:eastAsia="Arial" w:hAnsi="Arial"/>
          <w:sz w:val="1"/>
          <w:szCs w:val="1"/>
          <w:color w:val="auto"/>
        </w:rPr>
        <w:drawing>
          <wp:inline distT="0" distB="0" distL="0" distR="0">
            <wp:extent cx="274320" cy="120015"/>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4320" cy="120015"/>
                    </a:xfrm>
                    <a:prstGeom prst="rect">
                      <a:avLst/>
                    </a:prstGeom>
                    <a:noFill/>
                    <a:ln>
                      <a:noFill/>
                    </a:ln>
                  </pic:spPr>
                </pic:pic>
              </a:graphicData>
            </a:graphic>
          </wp:inline>
        </w:drawing>
      </w:r>
      <w:r>
        <w:rPr>
          <w:rFonts w:ascii="Arial" w:cs="Arial" w:eastAsia="Arial" w:hAnsi="Arial"/>
          <w:sz w:val="18"/>
          <w:szCs w:val="18"/>
          <w:color w:val="auto"/>
        </w:rPr>
        <w:t xml:space="preserve"> and Jiao Jie </w:t>
      </w:r>
      <w:r>
        <w:rPr>
          <w:rFonts w:ascii="Arial" w:cs="Arial" w:eastAsia="Arial" w:hAnsi="Arial"/>
          <w:sz w:val="1"/>
          <w:szCs w:val="1"/>
          <w:color w:val="auto"/>
        </w:rPr>
        <w:drawing>
          <wp:inline distT="0" distB="0" distL="0" distR="0">
            <wp:extent cx="283210" cy="11176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83210" cy="111760"/>
                    </a:xfrm>
                    <a:prstGeom prst="rect">
                      <a:avLst/>
                    </a:prstGeom>
                    <a:noFill/>
                    <a:ln>
                      <a:noFill/>
                    </a:ln>
                  </pic:spPr>
                </pic:pic>
              </a:graphicData>
            </a:graphic>
          </wp:inline>
        </w:drawing>
      </w:r>
      <w:r>
        <w:rPr>
          <w:rFonts w:ascii="Arial" w:cs="Arial" w:eastAsia="Arial" w:hAnsi="Arial"/>
          <w:sz w:val="18"/>
          <w:szCs w:val="18"/>
          <w:color w:val="auto"/>
        </w:rPr>
        <w:t xml:space="preserve"> dated as of July 24, 2015, shall be registered with the competent local branch of the SAIC in favor of OptAim WFOE as the pledgee.</w:t>
      </w:r>
    </w:p>
    <w:p>
      <w:pPr>
        <w:spacing w:after="0" w:line="80"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six (6) months after the Closing, the Group shall cause each relevant Group Company incorporated in PRC to file with competent local branch of the SAIC to change its registered address (as shown on its business license) to conform with the actual place of business where such Group Company operates, and submit its office lease agreement(s) for filing with relevant governmental authorities.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six (6) months after the Closing, the Group shall cause: (i) Beijing iClick to register its office</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premise located at 21/F, Pearl River Tower, No. 15, Zhujiang West Road, Tianhe District, Guangzhou City </w:t>
      </w:r>
      <w:r>
        <w:rPr>
          <w:sz w:val="1"/>
          <w:szCs w:val="1"/>
          <w:color w:val="auto"/>
        </w:rPr>
        <w:drawing>
          <wp:inline distT="0" distB="0" distL="0" distR="0">
            <wp:extent cx="883285" cy="120015"/>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3285" cy="120015"/>
                    </a:xfrm>
                    <a:prstGeom prst="rect">
                      <a:avLst/>
                    </a:prstGeom>
                    <a:noFill/>
                    <a:ln>
                      <a:noFill/>
                    </a:ln>
                  </pic:spPr>
                </pic:pic>
              </a:graphicData>
            </a:graphic>
          </wp:inline>
        </w:drawing>
        <w:drawing>
          <wp:inline distT="0" distB="0" distL="0" distR="0">
            <wp:extent cx="214630" cy="11176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4630" cy="111760"/>
                    </a:xfrm>
                    <a:prstGeom prst="rect">
                      <a:avLst/>
                    </a:prstGeom>
                    <a:noFill/>
                    <a:ln>
                      <a:noFill/>
                    </a:ln>
                  </pic:spPr>
                </pic:pic>
              </a:graphicData>
            </a:graphic>
          </wp:inline>
        </w:drawing>
      </w:r>
      <w:r>
        <w:rPr>
          <w:rFonts w:ascii="Arial" w:cs="Arial" w:eastAsia="Arial" w:hAnsi="Arial"/>
          <w:sz w:val="17"/>
          <w:szCs w:val="17"/>
          <w:color w:val="auto"/>
        </w:rPr>
        <w:t xml:space="preserve"> 15</w:t>
      </w:r>
    </w:p>
    <w:p>
      <w:pPr>
        <w:spacing w:after="0" w:line="18" w:lineRule="exact"/>
        <w:rPr>
          <w:sz w:val="20"/>
          <w:szCs w:val="20"/>
          <w:color w:val="auto"/>
        </w:rPr>
      </w:pPr>
    </w:p>
    <w:p>
      <w:pPr>
        <w:ind w:left="1780"/>
        <w:spacing w:after="0"/>
        <w:tabs>
          <w:tab w:leader="none" w:pos="22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as its branch office, and (ii) OptAim WFOE to register its office premise located at Room 3203, No.7, Huacheng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-116205</wp:posOffset>
            </wp:positionV>
            <wp:extent cx="857885" cy="1117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57885" cy="111760"/>
                    </a:xfrm>
                    <a:prstGeom prst="rect">
                      <a:avLst/>
                    </a:prstGeom>
                    <a:noFill/>
                  </pic:spPr>
                </pic:pic>
              </a:graphicData>
            </a:graphic>
          </wp:anchor>
        </w:drawing>
      </w:r>
    </w:p>
    <w:p>
      <w:pPr>
        <w:spacing w:after="0" w:line="38" w:lineRule="exact"/>
        <w:rPr>
          <w:sz w:val="20"/>
          <w:szCs w:val="20"/>
          <w:color w:val="auto"/>
        </w:rPr>
      </w:pPr>
    </w:p>
    <w:p>
      <w:pPr>
        <w:ind w:left="900"/>
        <w:spacing w:after="0"/>
        <w:tabs>
          <w:tab w:leader="none" w:pos="5060" w:val="left"/>
          <w:tab w:leader="none" w:pos="5400" w:val="left"/>
          <w:tab w:leader="none" w:pos="6060" w:val="left"/>
        </w:tabs>
        <w:rPr>
          <w:sz w:val="20"/>
          <w:szCs w:val="20"/>
          <w:color w:val="auto"/>
        </w:rPr>
      </w:pPr>
      <w:r>
        <w:rPr>
          <w:rFonts w:ascii="Arial" w:cs="Arial" w:eastAsia="Arial" w:hAnsi="Arial"/>
          <w:sz w:val="18"/>
          <w:szCs w:val="18"/>
          <w:color w:val="auto"/>
        </w:rPr>
        <w:t>Tianhe District, Guangzhou City</w:t>
      </w:r>
      <w:r>
        <w:rPr>
          <w:sz w:val="20"/>
          <w:szCs w:val="20"/>
          <w:color w:val="auto"/>
        </w:rPr>
        <w:tab/>
      </w:r>
      <w:r>
        <w:rPr>
          <w:rFonts w:ascii="Arial" w:cs="Arial" w:eastAsia="Arial" w:hAnsi="Arial"/>
          <w:sz w:val="18"/>
          <w:szCs w:val="18"/>
          <w:color w:val="auto"/>
        </w:rPr>
        <w:t>7</w:t>
        <w:tab/>
        <w:t>3203</w:t>
      </w:r>
      <w:r>
        <w:rPr>
          <w:sz w:val="20"/>
          <w:szCs w:val="20"/>
          <w:color w:val="auto"/>
        </w:rPr>
        <w:tab/>
      </w:r>
      <w:r>
        <w:rPr>
          <w:rFonts w:ascii="Arial" w:cs="Arial" w:eastAsia="Arial" w:hAnsi="Arial"/>
          <w:sz w:val="16"/>
          <w:szCs w:val="16"/>
          <w:color w:val="auto"/>
        </w:rPr>
        <w:t>as its branch office with the local branch of the SAIC.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-130175</wp:posOffset>
            </wp:positionV>
            <wp:extent cx="1311910" cy="1117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11910" cy="111760"/>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270" w:right="379" w:bottom="1440" w:gutter="0" w:footer="0" w:header="0"/>
        </w:sectPr>
      </w:pPr>
    </w:p>
    <w:bookmarkStart w:id="430" w:name="page431"/>
    <w:bookmarkEnd w:id="430"/>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r>
        <w:rPr>
          <w:sz w:val="20"/>
          <w:szCs w:val="20"/>
          <w:color w:val="auto"/>
        </w:rPr>
        <w:tab/>
      </w:r>
      <w:r>
        <w:rPr>
          <w:rFonts w:ascii="Arial" w:cs="Arial" w:eastAsia="Arial" w:hAnsi="Arial"/>
          <w:sz w:val="16"/>
          <w:szCs w:val="16"/>
          <w:b w:val="1"/>
          <w:bCs w:val="1"/>
          <w:color w:val="auto"/>
        </w:rPr>
        <w:t>IP Covenant</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Group shall own, have sufficient rights (including but not limited to the rights of development, maintenance, licensing and sale) to, or otherwise have the licences to use all Intellectual Property (including all Company Intellectual Property) necessary and sufficient for the conduct of any business proposed to be conducted by the Group without any conflict with or infringement of the rights of any other Person.</w:t>
      </w:r>
    </w:p>
    <w:p>
      <w:pPr>
        <w:spacing w:after="0" w:line="20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Other HK related covenants</w:t>
      </w:r>
    </w:p>
    <w:p>
      <w:pPr>
        <w:spacing w:after="0" w:line="135" w:lineRule="exact"/>
        <w:rPr>
          <w:sz w:val="20"/>
          <w:szCs w:val="20"/>
          <w:color w:val="auto"/>
        </w:rPr>
      </w:pPr>
    </w:p>
    <w:p>
      <w:pPr>
        <w:ind w:left="900" w:hanging="446"/>
        <w:spacing w:after="0" w:line="273" w:lineRule="auto"/>
        <w:tabs>
          <w:tab w:leader="none" w:pos="90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 xml:space="preserve">As soon as practicable but in no event later than six (6) months after the Closing, the Group shall cause (i) China Search (HK) to file with relevant Hong Kong governmental bureau to register the guaranty provided by China Search (HK) pursuant to certain guarantee agreement dated as of July 28, 2016 securing iClick Beijing’s obligation as the debtor to SPD Silicon as the lender under certain loan agreement, and (ii) DMG HK to file with relevant Hong Kong governmental bureau to register the charge created over the depository certificate of DMG HK pursuant to certain charge agreement dated as of May 20, 2016 securing iClick Beijing’s obligation as the debtor to Bangkok Bank (China) Company Limited </w:t>
      </w:r>
      <w:r>
        <w:rPr>
          <w:rFonts w:ascii="Arial" w:cs="Arial" w:eastAsia="Arial" w:hAnsi="Arial"/>
          <w:sz w:val="1"/>
          <w:szCs w:val="1"/>
          <w:color w:val="auto"/>
        </w:rPr>
        <w:drawing>
          <wp:inline distT="0" distB="0" distL="0" distR="0">
            <wp:extent cx="2015490" cy="111760"/>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015490" cy="111760"/>
                    </a:xfrm>
                    <a:prstGeom prst="rect">
                      <a:avLst/>
                    </a:prstGeom>
                    <a:noFill/>
                    <a:ln>
                      <a:noFill/>
                    </a:ln>
                  </pic:spPr>
                </pic:pic>
              </a:graphicData>
            </a:graphic>
          </wp:inline>
        </w:drawing>
      </w:r>
      <w:r>
        <w:rPr>
          <w:rFonts w:ascii="Arial" w:cs="Arial" w:eastAsia="Arial" w:hAnsi="Arial"/>
          <w:sz w:val="17"/>
          <w:szCs w:val="17"/>
          <w:color w:val="auto"/>
        </w:rPr>
        <w:t xml:space="preserve"> as the lender under certain loan agreement.</w:t>
      </w:r>
    </w:p>
    <w:p>
      <w:pPr>
        <w:spacing w:after="0" w:line="81" w:lineRule="exact"/>
        <w:rPr>
          <w:rFonts w:ascii="Arial" w:cs="Arial" w:eastAsia="Arial" w:hAnsi="Arial"/>
          <w:sz w:val="17"/>
          <w:szCs w:val="17"/>
          <w:color w:val="auto"/>
        </w:rPr>
      </w:pPr>
    </w:p>
    <w:p>
      <w:pPr>
        <w:ind w:left="900" w:hanging="446"/>
        <w:spacing w:after="0"/>
        <w:tabs>
          <w:tab w:leader="none" w:pos="90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As soon as practicable after the Closing, China Search (HK) shall renew certain distribution agreement with Baidu (Hong Kong) Limited which</w:t>
      </w:r>
    </w:p>
    <w:p>
      <w:pPr>
        <w:spacing w:after="0" w:line="46" w:lineRule="exact"/>
        <w:rPr>
          <w:rFonts w:ascii="Arial" w:cs="Arial" w:eastAsia="Arial" w:hAnsi="Arial"/>
          <w:sz w:val="16"/>
          <w:szCs w:val="16"/>
          <w:color w:val="auto"/>
        </w:rPr>
      </w:pPr>
    </w:p>
    <w:p>
      <w:pPr>
        <w:ind w:left="900" w:right="420"/>
        <w:spacing w:after="0" w:line="270" w:lineRule="auto"/>
        <w:rPr>
          <w:rFonts w:ascii="Arial" w:cs="Arial" w:eastAsia="Arial" w:hAnsi="Arial"/>
          <w:sz w:val="16"/>
          <w:szCs w:val="16"/>
          <w:color w:val="auto"/>
        </w:rPr>
      </w:pPr>
      <w:r>
        <w:rPr>
          <w:rFonts w:ascii="Arial" w:cs="Arial" w:eastAsia="Arial" w:hAnsi="Arial"/>
          <w:sz w:val="18"/>
          <w:szCs w:val="18"/>
          <w:color w:val="auto"/>
        </w:rPr>
        <w:t xml:space="preserve">has expired on December 31, 2015 </w:t>
      </w:r>
      <w:r>
        <w:rPr>
          <w:rFonts w:ascii="Arial" w:cs="Arial" w:eastAsia="Arial" w:hAnsi="Arial"/>
          <w:sz w:val="1"/>
          <w:szCs w:val="1"/>
          <w:color w:val="auto"/>
        </w:rPr>
        <w:drawing>
          <wp:inline distT="0" distB="0" distL="0" distR="0">
            <wp:extent cx="137160" cy="11176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111760"/>
                    </a:xfrm>
                    <a:prstGeom prst="rect">
                      <a:avLst/>
                    </a:prstGeom>
                    <a:noFill/>
                    <a:ln>
                      <a:noFill/>
                    </a:ln>
                  </pic:spPr>
                </pic:pic>
              </a:graphicData>
            </a:graphic>
          </wp:inline>
        </w:drawing>
        <w:drawing>
          <wp:inline distT="0" distB="0" distL="0" distR="0">
            <wp:extent cx="892175" cy="12001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92175" cy="120015"/>
                    </a:xfrm>
                    <a:prstGeom prst="rect">
                      <a:avLst/>
                    </a:prstGeom>
                    <a:noFill/>
                    <a:ln>
                      <a:noFill/>
                    </a:ln>
                  </pic:spPr>
                </pic:pic>
              </a:graphicData>
            </a:graphic>
          </wp:inline>
        </w:drawing>
      </w:r>
      <w:r>
        <w:rPr>
          <w:rFonts w:ascii="Arial" w:cs="Arial" w:eastAsia="Arial" w:hAnsi="Arial"/>
          <w:sz w:val="18"/>
          <w:szCs w:val="18"/>
          <w:color w:val="auto"/>
        </w:rPr>
        <w:t xml:space="preserve"> , and iClick (HK) shall renew certain APAC Agency Capability Fund Agreement dated as of June 8, 2015 with Google Asia Pacific Pte. Ltd, which has expired prior to the date hereof.</w:t>
      </w:r>
    </w:p>
    <w:p>
      <w:pPr>
        <w:spacing w:after="0" w:line="319" w:lineRule="exact"/>
        <w:rPr>
          <w:rFonts w:ascii="Arial" w:cs="Arial" w:eastAsia="Arial" w:hAnsi="Arial"/>
          <w:sz w:val="16"/>
          <w:szCs w:val="16"/>
          <w:color w:val="auto"/>
        </w:rPr>
      </w:pPr>
    </w:p>
    <w:p>
      <w:pPr>
        <w:ind w:left="460" w:hanging="452"/>
        <w:spacing w:after="0"/>
        <w:tabs>
          <w:tab w:leader="none" w:pos="46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Effective Date; Termination.</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This Agreement shall become effective upon execution by all the Parties and shall continue in force until terminated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2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8.2.  Events of Termination.</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be terminated prior to Closing as follows:</w:t>
      </w:r>
    </w:p>
    <w:p>
      <w:pPr>
        <w:spacing w:after="0" w:line="225" w:lineRule="exact"/>
        <w:rPr>
          <w:rFonts w:ascii="Arial" w:cs="Arial" w:eastAsia="Arial" w:hAnsi="Arial"/>
          <w:sz w:val="18"/>
          <w:szCs w:val="18"/>
          <w:b w:val="1"/>
          <w:bCs w:val="1"/>
          <w:color w:val="auto"/>
        </w:rPr>
      </w:pPr>
    </w:p>
    <w:p>
      <w:pPr>
        <w:ind w:left="1140" w:hanging="219"/>
        <w:spacing w:after="0"/>
        <w:tabs>
          <w:tab w:leader="none" w:pos="1140" w:val="left"/>
        </w:tabs>
        <w:numPr>
          <w:ilvl w:val="2"/>
          <w:numId w:val="427"/>
        </w:numPr>
        <w:rPr>
          <w:rFonts w:ascii="Arial" w:cs="Arial" w:eastAsia="Arial" w:hAnsi="Arial"/>
          <w:sz w:val="18"/>
          <w:szCs w:val="18"/>
          <w:color w:val="auto"/>
        </w:rPr>
      </w:pPr>
      <w:r>
        <w:rPr>
          <w:rFonts w:ascii="Arial" w:cs="Arial" w:eastAsia="Arial" w:hAnsi="Arial"/>
          <w:sz w:val="18"/>
          <w:szCs w:val="18"/>
          <w:color w:val="auto"/>
        </w:rPr>
        <w:t>by written consent of all the Parties;</w:t>
      </w:r>
    </w:p>
    <w:p>
      <w:pPr>
        <w:spacing w:after="0" w:line="225" w:lineRule="exact"/>
        <w:rPr>
          <w:rFonts w:ascii="Arial" w:cs="Arial" w:eastAsia="Arial" w:hAnsi="Arial"/>
          <w:sz w:val="18"/>
          <w:szCs w:val="18"/>
          <w:color w:val="auto"/>
        </w:rPr>
      </w:pPr>
    </w:p>
    <w:p>
      <w:pPr>
        <w:ind w:right="20" w:firstLine="921"/>
        <w:spacing w:after="0" w:line="273" w:lineRule="auto"/>
        <w:tabs>
          <w:tab w:leader="none" w:pos="1178" w:val="left"/>
        </w:tabs>
        <w:numPr>
          <w:ilvl w:val="2"/>
          <w:numId w:val="427"/>
        </w:numPr>
        <w:rPr>
          <w:rFonts w:ascii="Arial" w:cs="Arial" w:eastAsia="Arial" w:hAnsi="Arial"/>
          <w:sz w:val="17"/>
          <w:szCs w:val="17"/>
          <w:color w:val="auto"/>
        </w:rPr>
      </w:pPr>
      <w:r>
        <w:rPr>
          <w:rFonts w:ascii="Arial" w:cs="Arial" w:eastAsia="Arial" w:hAnsi="Arial"/>
          <w:sz w:val="17"/>
          <w:szCs w:val="17"/>
          <w:color w:val="auto"/>
        </w:rPr>
        <w:t xml:space="preserve">by either the Company or the Investor upon written notice to the other Parties, if the Closing has not occurred on or before December 31, 2016, which date may be extended from time to time by mutual consent of the Parties, provided, that the right to terminate this Agreement under this </w:t>
      </w:r>
      <w:r>
        <w:rPr>
          <w:rFonts w:ascii="Arial" w:cs="Arial" w:eastAsia="Arial" w:hAnsi="Arial"/>
          <w:sz w:val="17"/>
          <w:szCs w:val="17"/>
          <w:u w:val="single" w:color="auto"/>
          <w:color w:val="auto"/>
        </w:rPr>
        <w:t>Section 8.2(ii)</w:t>
      </w:r>
      <w:r>
        <w:rPr>
          <w:rFonts w:ascii="Arial" w:cs="Arial" w:eastAsia="Arial" w:hAnsi="Arial"/>
          <w:sz w:val="17"/>
          <w:szCs w:val="17"/>
          <w:color w:val="auto"/>
        </w:rPr>
        <w:t xml:space="preserve"> shall not be available to the Investor if the failure of the Investor to fulfill, or a breach by the Investor of, any obligation under this Agreement has been the cause of, or resulted in, the failure of the Closing to occur on or before such date and shall not be available to the Company or the Founders if the failure of either the Company or the Founders to fulfill, or a breach by either the Company or the Founders of, any obligation under this Agreement has been the cause of, or resulted in, the failure of the Closing to occur on or before such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9" w:right="239" w:bottom="1440" w:gutter="0" w:footer="0" w:header="0"/>
        </w:sectPr>
      </w:pPr>
    </w:p>
    <w:bookmarkStart w:id="431" w:name="page432"/>
    <w:bookmarkEnd w:id="431"/>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w:t>
      </w:r>
      <w:r>
        <w:rPr>
          <w:sz w:val="20"/>
          <w:szCs w:val="20"/>
          <w:color w:val="auto"/>
        </w:rPr>
        <w:tab/>
      </w:r>
      <w:r>
        <w:rPr>
          <w:rFonts w:ascii="Arial" w:cs="Arial" w:eastAsia="Arial" w:hAnsi="Arial"/>
          <w:sz w:val="16"/>
          <w:szCs w:val="16"/>
          <w:b w:val="1"/>
          <w:bCs w:val="1"/>
          <w:color w:val="auto"/>
        </w:rPr>
        <w:t>Effect of Termination.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the event of termination of this Agreement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this Agreement (other than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which shall survive such termination) shall then be null and void and have no further force and effect and all other rights and liabilities of the Parties hereunder will terminate without any liability of any Party to any other Party, except for liabilities arising in respect of breaches of this Agreement by any Party prior to such termination. For the avoidance of doubt, notwithstanding any provision to the contrary in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shall not survive any termination of this Agreement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333" w:lineRule="exact"/>
        <w:rPr>
          <w:sz w:val="20"/>
          <w:szCs w:val="20"/>
          <w:color w:val="auto"/>
        </w:rPr>
      </w:pPr>
    </w:p>
    <w:p>
      <w:pPr>
        <w:ind w:left="460" w:hanging="452"/>
        <w:spacing w:after="0"/>
        <w:tabs>
          <w:tab w:leader="none" w:pos="46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Further Assurances.</w:t>
      </w:r>
    </w:p>
    <w:p>
      <w:pPr>
        <w:spacing w:after="0" w:line="22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Upon the terms and subject to the conditions herein, each of the Parties hereto agrees to use its reasonable best efforts to take or cause to be taken all action, to do or cause to be done, to execute such further instruments, and to assist and cooperate with the other Parties hereto in doing, all things necessary, proper or advisable under applicable Laws or otherwise to consummate and make effective, in the most expeditious manner practicable, the transactions contemplated by this Agreement and the other Transaction Documents, and to the extent reasonably requested by another Party, to enforce rights and obligations pursuant hereto or thereto.</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Successors and Assigns.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otherwise provided herein, the terms and conditions of this Agreement shall inure to the benefit of and be binding upon the respective successors and assigns of the Parties hereto whose rights or obligations hereunder are affected by such terms and conditions. This Agreement, and the rights and obligations hereunder, shall not be assigned without the mutual written consent of the Investor and the Company, provided that the Investor may assign its rights and obligations (i) to any of its Affiliates who shall have substantially similar financial and business substance to that of the Investor on or before Closing (the “</w:t>
      </w:r>
      <w:r>
        <w:rPr>
          <w:rFonts w:ascii="Arial" w:cs="Arial" w:eastAsia="Arial" w:hAnsi="Arial"/>
          <w:sz w:val="16"/>
          <w:szCs w:val="16"/>
          <w:b w:val="1"/>
          <w:bCs w:val="1"/>
          <w:color w:val="auto"/>
        </w:rPr>
        <w:t>Qualified Affiliates</w:t>
      </w:r>
      <w:r>
        <w:rPr>
          <w:rFonts w:ascii="Arial" w:cs="Arial" w:eastAsia="Arial" w:hAnsi="Arial"/>
          <w:sz w:val="16"/>
          <w:szCs w:val="16"/>
          <w:color w:val="auto"/>
        </w:rPr>
        <w:t>”), and (ii) (following the Closing) to any transferee(s) of the Purchased Shares permitted under the Transaction Documents without consent of the other Parties under this Agreement, and for the avoidance of doubt any assignee of any Party shall continue to be bound by the terms and conditions together with the covenants contained in this Agreement, the Shareholders Agreement, the Amended and Restated Shareholders Agreement, the Right of First Refusal Agreement and the Amended and Restated Right of First Refusal Agreement to which the transferring shareholder was subject prior to such assignment.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9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This Agreement shall be governed by and construed under the Laws of the Hong Kong S.A.R. without regard to the principles of conflicts of law thereof that would apply the laws of another jurisdiction.</w:t>
      </w:r>
    </w:p>
    <w:p>
      <w:pPr>
        <w:spacing w:after="0" w:line="1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Dispute Resolution.</w:t>
      </w:r>
    </w:p>
    <w:p>
      <w:pPr>
        <w:spacing w:after="0" w:line="225" w:lineRule="exact"/>
        <w:rPr>
          <w:sz w:val="20"/>
          <w:szCs w:val="20"/>
          <w:color w:val="auto"/>
        </w:rPr>
      </w:pPr>
    </w:p>
    <w:p>
      <w:pPr>
        <w:ind w:right="40" w:firstLine="921"/>
        <w:spacing w:after="0" w:line="266" w:lineRule="auto"/>
        <w:tabs>
          <w:tab w:leader="none" w:pos="112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dispute, controversy or claim (each,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relating to this Agreement, or the interpretation, breach, termination or validity hereof, shall be resolved at the first instance through consultation between the parties to such Dispute. Such consultation shall begin immediately after any party has delivered written notice to any other party to the Dispute requesting such consultation.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432" w:name="page433"/>
    <w:bookmarkEnd w:id="432"/>
    <w:p>
      <w:pPr>
        <w:ind w:right="460" w:firstLine="921"/>
        <w:spacing w:after="0" w:line="308" w:lineRule="auto"/>
        <w:tabs>
          <w:tab w:leader="none" w:pos="1178" w:val="left"/>
        </w:tabs>
        <w:numPr>
          <w:ilvl w:val="0"/>
          <w:numId w:val="4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Dispute is not resolved within thirty (30) days following the date on which such notice is given, the Dispute shall be submitted to arbitration upon the request of any party to the Dispute with notice to each other party to the Dispute (the “</w:t>
      </w:r>
      <w:r>
        <w:rPr>
          <w:rFonts w:ascii="Arial" w:cs="Arial" w:eastAsia="Arial" w:hAnsi="Arial"/>
          <w:sz w:val="17"/>
          <w:szCs w:val="17"/>
          <w:b w:val="1"/>
          <w:bCs w:val="1"/>
          <w:color w:val="auto"/>
        </w:rPr>
        <w:t>Arbitration Notice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20" w:firstLine="921"/>
        <w:spacing w:after="0" w:line="259" w:lineRule="auto"/>
        <w:tabs>
          <w:tab w:leader="none" w:pos="122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arbitration shall be conducted in the Hong Kong S.A.R. and shall be administered by the Hong Kong International Arbitration Centre (“</w:t>
      </w:r>
      <w:r>
        <w:rPr>
          <w:rFonts w:ascii="Arial" w:cs="Arial" w:eastAsia="Arial" w:hAnsi="Arial"/>
          <w:sz w:val="18"/>
          <w:szCs w:val="18"/>
          <w:b w:val="1"/>
          <w:bCs w:val="1"/>
          <w:color w:val="auto"/>
        </w:rPr>
        <w:t>HKIAC</w:t>
      </w:r>
      <w:r>
        <w:rPr>
          <w:rFonts w:ascii="Arial" w:cs="Arial" w:eastAsia="Arial" w:hAnsi="Arial"/>
          <w:sz w:val="18"/>
          <w:szCs w:val="18"/>
          <w:color w:val="auto"/>
        </w:rPr>
        <w:t xml:space="preserve">”) in accordance with the Hong Kong International Arbitration Centre Administered Arbitration Rules in force at the time of the commencement of the arbitration. However, if such rules are in conflict with the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including the provisions concerning the appointment of arbitrators, the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prevail.</w:t>
      </w:r>
    </w:p>
    <w:p>
      <w:pPr>
        <w:spacing w:after="0" w:line="186" w:lineRule="exact"/>
        <w:rPr>
          <w:rFonts w:ascii="Arial" w:cs="Arial" w:eastAsia="Arial" w:hAnsi="Arial"/>
          <w:sz w:val="18"/>
          <w:szCs w:val="18"/>
          <w:color w:val="auto"/>
        </w:rPr>
      </w:pPr>
    </w:p>
    <w:p>
      <w:pPr>
        <w:ind w:right="380" w:firstLine="921"/>
        <w:spacing w:after="0" w:line="277" w:lineRule="auto"/>
        <w:tabs>
          <w:tab w:leader="none" w:pos="121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arbitration proceedings shall be conducted in English. There shall be one (1) arbitrator, who shall be qualified to practice law in the Hong Kong S.A.R.</w:t>
      </w:r>
    </w:p>
    <w:p>
      <w:pPr>
        <w:spacing w:after="0" w:line="170" w:lineRule="exact"/>
        <w:rPr>
          <w:rFonts w:ascii="Arial" w:cs="Arial" w:eastAsia="Arial" w:hAnsi="Arial"/>
          <w:sz w:val="18"/>
          <w:szCs w:val="18"/>
          <w:color w:val="auto"/>
        </w:rPr>
      </w:pPr>
    </w:p>
    <w:p>
      <w:pPr>
        <w:ind w:right="300" w:firstLine="921"/>
        <w:spacing w:after="0" w:line="264" w:lineRule="auto"/>
        <w:tabs>
          <w:tab w:leader="none" w:pos="116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Each party to the arbitration shall cooperate with each other party to the arbitration in making full disclosure of and providing complete access to all information and documents requested by such other party in connection with such arbitration proceedings, subject only to any confidentiality obligations binding on such party.</w:t>
      </w:r>
    </w:p>
    <w:p>
      <w:pPr>
        <w:spacing w:after="0" w:line="181" w:lineRule="exact"/>
        <w:rPr>
          <w:rFonts w:ascii="Arial" w:cs="Arial" w:eastAsia="Arial" w:hAnsi="Arial"/>
          <w:sz w:val="18"/>
          <w:szCs w:val="18"/>
          <w:color w:val="auto"/>
        </w:rPr>
      </w:pPr>
    </w:p>
    <w:p>
      <w:pPr>
        <w:ind w:right="100" w:firstLine="921"/>
        <w:spacing w:after="0" w:line="277" w:lineRule="auto"/>
        <w:tabs>
          <w:tab w:leader="none" w:pos="121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party to the Dispute shall be entitled to seek preliminary injunctive relief, if possible, from any court of competent jurisdiction pending the constitution of the arbitral tribunal.</w:t>
      </w:r>
    </w:p>
    <w:p>
      <w:pPr>
        <w:spacing w:after="0" w:line="170" w:lineRule="exact"/>
        <w:rPr>
          <w:rFonts w:ascii="Arial" w:cs="Arial" w:eastAsia="Arial" w:hAnsi="Arial"/>
          <w:sz w:val="18"/>
          <w:szCs w:val="18"/>
          <w:color w:val="auto"/>
        </w:rPr>
      </w:pPr>
    </w:p>
    <w:p>
      <w:pPr>
        <w:ind w:firstLine="921"/>
        <w:spacing w:after="0" w:line="277" w:lineRule="auto"/>
        <w:tabs>
          <w:tab w:leader="none" w:pos="126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During the course of the arbitration tribunal’s adjudication of the dispute, this Agreement shall continue to be performed except with respect to the part in dispute and under adjudication.</w:t>
      </w:r>
    </w:p>
    <w:p>
      <w:pPr>
        <w:spacing w:after="0" w:line="170" w:lineRule="exact"/>
        <w:rPr>
          <w:rFonts w:ascii="Arial" w:cs="Arial" w:eastAsia="Arial" w:hAnsi="Arial"/>
          <w:sz w:val="18"/>
          <w:szCs w:val="18"/>
          <w:color w:val="auto"/>
        </w:rPr>
      </w:pPr>
    </w:p>
    <w:p>
      <w:pPr>
        <w:ind w:right="40" w:firstLine="921"/>
        <w:spacing w:after="0" w:line="277" w:lineRule="auto"/>
        <w:tabs>
          <w:tab w:leader="none" w:pos="131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award of the arbitration tribunal shall be final and binding upon the parties, and the prevailing party may apply to a court of competent jurisdiction for enforcement of such award.</w:t>
      </w:r>
    </w:p>
    <w:p>
      <w:pPr>
        <w:spacing w:after="0" w:line="170" w:lineRule="exact"/>
        <w:rPr>
          <w:rFonts w:ascii="Arial" w:cs="Arial" w:eastAsia="Arial" w:hAnsi="Arial"/>
          <w:sz w:val="18"/>
          <w:szCs w:val="18"/>
          <w:color w:val="auto"/>
        </w:rPr>
      </w:pPr>
    </w:p>
    <w:p>
      <w:pPr>
        <w:ind w:right="100" w:firstLine="921"/>
        <w:spacing w:after="0" w:line="259" w:lineRule="auto"/>
        <w:tabs>
          <w:tab w:leader="none" w:pos="121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For the purposes of service and delivery of documents under arbitration, the Parties agree that where any Party is a legal entity incorporated or registered outside of the Hong Kong S.A.R., the physical address in the Hong Kong S.A.R. provided by them for receiving notices as set out under their signatures on the execution page shall be the address at which they shall accept service and receive documents, and delivery to such address shall constitute valid service and delivery to that Party.</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Any notice required or permitted pursuant to this Agreement shall be given in writing and shall be given either personally or by sending it by next-day or second-day courier service, fax, electronic mail or similar means to the address as shown below the signature of such Party on the signature page of this Agreement (or at such other address as such Party may designate by fifteen (15) days’ advance written notice to the other Parties to this Agreement given in accordance with this </w:t>
      </w:r>
      <w:r>
        <w:rPr>
          <w:rFonts w:ascii="Arial" w:cs="Arial" w:eastAsia="Arial" w:hAnsi="Arial"/>
          <w:sz w:val="16"/>
          <w:szCs w:val="16"/>
          <w:u w:val="single" w:color="auto"/>
          <w:color w:val="auto"/>
        </w:rPr>
        <w:t>Section 9.5</w:t>
      </w:r>
      <w:r>
        <w:rPr>
          <w:rFonts w:ascii="Arial" w:cs="Arial" w:eastAsia="Arial" w:hAnsi="Arial"/>
          <w:sz w:val="16"/>
          <w:szCs w:val="16"/>
          <w:color w:val="auto"/>
        </w:rPr>
        <w:t>). Where a notice is sent by next-day or second-day courier service, service of the notice shall be deemed to be effected by properly addressing, pre-paying and sending by next-day or second-day service through an internationally-recognized courier a letter containing the notice, with a confirmation of delivery, and to have been effected at the expiration of two (2) days after the letter containing the same is sent as aforesaid. Where a notice is sent by fax or electronic mail, service of the notice shall be deemed to be effected by properly addressing, and sending such notice through a transmitting organization, with a written confirmation of delivery, and to have been effected on the day the same is sent as aforesaid.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433" w:name="page434"/>
    <w:bookmarkEnd w:id="433"/>
    <w:p>
      <w:pPr>
        <w:ind w:left="440"/>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9.6.</w:t>
      </w:r>
      <w:r>
        <w:rPr>
          <w:sz w:val="20"/>
          <w:szCs w:val="20"/>
          <w:color w:val="auto"/>
        </w:rPr>
        <w:tab/>
      </w:r>
      <w:r>
        <w:rPr>
          <w:rFonts w:ascii="Arial" w:cs="Arial" w:eastAsia="Arial" w:hAnsi="Arial"/>
          <w:sz w:val="16"/>
          <w:szCs w:val="16"/>
          <w:b w:val="1"/>
          <w:bCs w:val="1"/>
          <w:color w:val="auto"/>
        </w:rPr>
        <w:t>Indemnity.</w:t>
      </w:r>
    </w:p>
    <w:p>
      <w:pPr>
        <w:spacing w:after="0" w:line="229" w:lineRule="exact"/>
        <w:rPr>
          <w:sz w:val="20"/>
          <w:szCs w:val="20"/>
          <w:color w:val="auto"/>
        </w:rPr>
      </w:pPr>
    </w:p>
    <w:p>
      <w:pPr>
        <w:ind w:left="-20" w:right="100" w:firstLine="921"/>
        <w:spacing w:after="0" w:line="254" w:lineRule="auto"/>
        <w:tabs>
          <w:tab w:leader="none" w:pos="110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9.7</w:t>
      </w:r>
      <w:r>
        <w:rPr>
          <w:rFonts w:ascii="Arial" w:cs="Arial" w:eastAsia="Arial" w:hAnsi="Arial"/>
          <w:sz w:val="18"/>
          <w:szCs w:val="18"/>
          <w:color w:val="auto"/>
        </w:rPr>
        <w:t>, each Warrantor hereby agrees to jointly and severally indemnify and hold harmless the Investor, and such Investor’s Affiliates, directors, officers, agents, partners, limited partners, members, employees and assigns (the “</w:t>
      </w:r>
      <w:r>
        <w:rPr>
          <w:rFonts w:ascii="Arial" w:cs="Arial" w:eastAsia="Arial" w:hAnsi="Arial"/>
          <w:sz w:val="18"/>
          <w:szCs w:val="18"/>
          <w:b w:val="1"/>
          <w:bCs w:val="1"/>
          <w:color w:val="auto"/>
        </w:rPr>
        <w:t>Indemnified Parties</w:t>
      </w:r>
      <w:r>
        <w:rPr>
          <w:rFonts w:ascii="Arial" w:cs="Arial" w:eastAsia="Arial" w:hAnsi="Arial"/>
          <w:sz w:val="18"/>
          <w:szCs w:val="18"/>
          <w:color w:val="auto"/>
        </w:rPr>
        <w:t>”), from and against any and all Indemnifiable Losses suffered by such Investor, or such Investor’s Affiliates, directors, officers, agents partners, limited partners, members, employees and assigns, directly or indirectly, as a result of, or based upon or arising from (a) any inaccuracy in or breach or non-performance of any of the representations, warranties, covenants or agreements made by any Warrantor or any Group Company in or pursuant to this Agreement or any other Transaction Document, and (b) any Tax Liability of any Group Company arising out of any failure, by any Warrantor to comply with Circular 698 and Announcement 7 with respect to payment of Taxes or statutory withholding obligation for indirect transfer of equity interest in PRC incorporated company pursuant to Circular 698 and Announcement 7.</w:t>
      </w:r>
    </w:p>
    <w:p>
      <w:pPr>
        <w:spacing w:after="0" w:line="192" w:lineRule="exact"/>
        <w:rPr>
          <w:rFonts w:ascii="Arial" w:cs="Arial" w:eastAsia="Arial" w:hAnsi="Arial"/>
          <w:sz w:val="18"/>
          <w:szCs w:val="18"/>
          <w:color w:val="auto"/>
        </w:rPr>
      </w:pPr>
    </w:p>
    <w:p>
      <w:pPr>
        <w:ind w:left="-20" w:right="20" w:firstLine="921"/>
        <w:spacing w:after="0" w:line="277" w:lineRule="auto"/>
        <w:tabs>
          <w:tab w:leader="none" w:pos="115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Party seeking indemnification with respect to any Indemnifiable Loss shall give written notice to the party required to provide indemnity hereunder (the “</w:t>
      </w:r>
      <w:r>
        <w:rPr>
          <w:rFonts w:ascii="Arial" w:cs="Arial" w:eastAsia="Arial" w:hAnsi="Arial"/>
          <w:sz w:val="18"/>
          <w:szCs w:val="18"/>
          <w:b w:val="1"/>
          <w:bCs w:val="1"/>
          <w:color w:val="auto"/>
        </w:rPr>
        <w:t>Indemnifying Party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220" w:firstLine="921"/>
        <w:spacing w:after="0" w:line="277" w:lineRule="auto"/>
        <w:tabs>
          <w:tab w:leader="none" w:pos="120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Indemnifiable Losses must be brought to the Indemnifying Party within twenty-four (24) months from the date of the Closing, failing which, the Indemnity under this Agreement becomes null and void.</w:t>
      </w:r>
    </w:p>
    <w:p>
      <w:pPr>
        <w:spacing w:after="0" w:line="170" w:lineRule="exact"/>
        <w:rPr>
          <w:rFonts w:ascii="Arial" w:cs="Arial" w:eastAsia="Arial" w:hAnsi="Arial"/>
          <w:sz w:val="18"/>
          <w:szCs w:val="18"/>
          <w:color w:val="auto"/>
        </w:rPr>
      </w:pPr>
    </w:p>
    <w:p>
      <w:pPr>
        <w:ind w:left="-20" w:firstLine="921"/>
        <w:spacing w:after="0" w:line="285" w:lineRule="auto"/>
        <w:tabs>
          <w:tab w:leader="none" w:pos="119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If an Indemnified Party seeks indemnification under this Agreement in respect of, arising out of or involving a claim or demand made by any third Person against the Indemnified Party (a “</w:t>
      </w:r>
      <w:r>
        <w:rPr>
          <w:rFonts w:ascii="Arial" w:cs="Arial" w:eastAsia="Arial" w:hAnsi="Arial"/>
          <w:sz w:val="16"/>
          <w:szCs w:val="16"/>
          <w:b w:val="1"/>
          <w:bCs w:val="1"/>
          <w:color w:val="auto"/>
        </w:rPr>
        <w:t>Third Party Claim</w:t>
      </w:r>
      <w:r>
        <w:rPr>
          <w:rFonts w:ascii="Arial" w:cs="Arial" w:eastAsia="Arial" w:hAnsi="Arial"/>
          <w:sz w:val="16"/>
          <w:szCs w:val="16"/>
          <w:color w:val="auto"/>
        </w:rPr>
        <w:t>”), the Indemnifying Party shall upon the written request of the Indemnified Party (the “</w:t>
      </w:r>
      <w:r>
        <w:rPr>
          <w:rFonts w:ascii="Arial" w:cs="Arial" w:eastAsia="Arial" w:hAnsi="Arial"/>
          <w:sz w:val="16"/>
          <w:szCs w:val="16"/>
          <w:b w:val="1"/>
          <w:bCs w:val="1"/>
          <w:color w:val="auto"/>
        </w:rPr>
        <w:t>Indemnity Notice</w:t>
      </w:r>
      <w:r>
        <w:rPr>
          <w:rFonts w:ascii="Arial" w:cs="Arial" w:eastAsia="Arial" w:hAnsi="Arial"/>
          <w:sz w:val="16"/>
          <w:szCs w:val="16"/>
          <w:color w:val="auto"/>
        </w:rPr>
        <w:t>”), have the right to assume the defense of such Third Party Claim (at its option and at its own expense, with counsel reasonably acceptable to Indemnified Party) by written notice to the Indemnified Party within fifteen (15) days of its receipt of the Indemnity Notice; provided, however, that the Indemnified Party may participate in any such defense with its own counsel at its own expense. The Parties hereto agree to cooperate fully with each other in connection with the defense, negotiation or settlement of any such Third Party Claim. To the extent the Indemnifying Party elects not to defend such proceeding, claim or demand, and the Indemnified Party defends against or otherwise deals with any such proceeding, claim or demand, the Indemnified Party may retain counsel, at the expense of the Indemnifying Party, and control the defense of such proceeding; it being understood and agreed that if the Indemnifying Party fails to notify the Indemnified Party within fifteen (15) days after receipt of any Indemnity Notice that the Indemnifying Party elects to assume such defense, or if the Indemnifying Party elects to assume such defense but fails to diligently prosecute or settle the Third Party Claim, then the Indemnified Party shall have the right to control such defense at the cost and expense of the Indemnifying Party. Furthermore, if the Indemnified Party has reasonably concluded that there is a conflict of interest between the Indemnifying Party and the Indemnified Party, the Indemnifying Party shall bear the reasonable costs and expenses of one counsel to the Indemnified Party in connection with such defense. In addition, an Indemnified Party shall have the right to control the defense of any Third Party Claim at the expense of the Indemnifying Party if the claim seeks an injunction or other equitable relief (excluding damages at law) or involves allegations of criminal conduct or could otherwise materially adversely affect the Group. Assumption by the Indemnified Party of control of any such defense, compromise, or settlement shall not be deemed a waiver of its right to indemnification hereunder. Neither the Indemnifying Party nor the Indemnified Party may settle any such Third Party Claim without the consent of the other, such consent not to be unreasonably withheld or delayed.</w:t>
      </w:r>
    </w:p>
    <w:p>
      <w:pPr>
        <w:spacing w:after="0" w:line="175" w:lineRule="exact"/>
        <w:rPr>
          <w:rFonts w:ascii="Arial" w:cs="Arial" w:eastAsia="Arial" w:hAnsi="Arial"/>
          <w:sz w:val="16"/>
          <w:szCs w:val="16"/>
          <w:color w:val="auto"/>
        </w:rPr>
      </w:pPr>
    </w:p>
    <w:p>
      <w:pPr>
        <w:ind w:left="-20" w:right="240" w:firstLine="921"/>
        <w:spacing w:after="0" w:line="312" w:lineRule="auto"/>
        <w:tabs>
          <w:tab w:leader="none" w:pos="114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The rights contained in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shall not be deemed to preclude or otherwise limit in any way the exercise of any other rights or pursuit of other remedies for the breach of this Agreement or with respect to any misrepresentation. In addition, each of the Indemnified Parties (other than the Investor) is intended to be, and is hereby expressly made, a third party beneficiary of each Warrantor’s obligations contained in this </w:t>
      </w:r>
      <w:r>
        <w:rPr>
          <w:rFonts w:ascii="Arial" w:cs="Arial" w:eastAsia="Arial" w:hAnsi="Arial"/>
          <w:sz w:val="16"/>
          <w:szCs w:val="16"/>
          <w:u w:val="single" w:color="auto"/>
          <w:color w:val="auto"/>
        </w:rPr>
        <w:t>Section 9.6</w:t>
      </w:r>
      <w:r>
        <w:rPr>
          <w:rFonts w:ascii="Arial" w:cs="Arial" w:eastAsia="Arial" w:hAnsi="Arial"/>
          <w:sz w:val="16"/>
          <w:szCs w:val="16"/>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270" w:right="239" w:bottom="1440" w:gutter="0" w:footer="0" w:header="0"/>
        </w:sectPr>
      </w:pPr>
    </w:p>
    <w:bookmarkStart w:id="434" w:name="page435"/>
    <w:bookmarkEnd w:id="434"/>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w:t>
      </w:r>
      <w:r>
        <w:rPr>
          <w:sz w:val="20"/>
          <w:szCs w:val="20"/>
          <w:color w:val="auto"/>
        </w:rPr>
        <w:tab/>
      </w:r>
      <w:r>
        <w:rPr>
          <w:rFonts w:ascii="Arial" w:cs="Arial" w:eastAsia="Arial" w:hAnsi="Arial"/>
          <w:sz w:val="16"/>
          <w:szCs w:val="16"/>
          <w:b w:val="1"/>
          <w:bCs w:val="1"/>
          <w:color w:val="auto"/>
        </w:rPr>
        <w:t>Limitations and Other Matters Relating to Indemnification.</w:t>
      </w:r>
    </w:p>
    <w:p>
      <w:pPr>
        <w:spacing w:after="0" w:line="229"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Other than in relation to a claim arising from fraud or willful misconduct on the part of an Indemnifying Party, (i) the aggregate liability of the Warrantors in respect of all and any claims pursuant to, or in connection with, this Agreement shall in no event exceed an amount equal to 100% of the Subscription Price to the extent actually paid by the Investor to the Company immediately prior to its issuance of such Indemnification Notice (the “</w:t>
      </w:r>
      <w:r>
        <w:rPr>
          <w:rFonts w:ascii="Arial" w:cs="Arial" w:eastAsia="Arial" w:hAnsi="Arial"/>
          <w:sz w:val="18"/>
          <w:szCs w:val="18"/>
          <w:b w:val="1"/>
          <w:bCs w:val="1"/>
          <w:color w:val="auto"/>
        </w:rPr>
        <w:t>Indemnification Cap</w:t>
      </w:r>
      <w:r>
        <w:rPr>
          <w:rFonts w:ascii="Arial" w:cs="Arial" w:eastAsia="Arial" w:hAnsi="Arial"/>
          <w:sz w:val="18"/>
          <w:szCs w:val="18"/>
          <w:color w:val="auto"/>
        </w:rPr>
        <w:t>”).</w:t>
      </w:r>
    </w:p>
    <w:p>
      <w:pPr>
        <w:spacing w:after="0" w:line="2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Confidentiality.</w:t>
      </w:r>
    </w:p>
    <w:p>
      <w:pPr>
        <w:spacing w:after="0" w:line="229" w:lineRule="exact"/>
        <w:rPr>
          <w:sz w:val="20"/>
          <w:szCs w:val="20"/>
          <w:color w:val="auto"/>
        </w:rPr>
      </w:pPr>
    </w:p>
    <w:p>
      <w:pPr>
        <w:ind w:right="300" w:firstLine="921"/>
        <w:spacing w:after="0" w:line="257" w:lineRule="auto"/>
        <w:tabs>
          <w:tab w:leader="none" w:pos="112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Each Party undertakes to the other Parties that it shall not reveal, and that it shall procure that its Representatives who are in receipt of any Confidential Information do not reveal, to any third party any Confidential Information without the prior written consent of the other Parties or use any Confidential Information in such manner that is detrimental to the Company or the concerned Party, as the case may be. The term “</w:t>
      </w:r>
      <w:r>
        <w:rPr>
          <w:rFonts w:ascii="Arial" w:cs="Arial" w:eastAsia="Arial" w:hAnsi="Arial"/>
          <w:sz w:val="18"/>
          <w:szCs w:val="18"/>
          <w:b w:val="1"/>
          <w:b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as used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9.8</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the terms of this Agreement and the terms of any of the other Transaction Documents, and (b) the</w:t>
      </w:r>
      <w:r>
        <w:rPr>
          <w:rFonts w:ascii="Arial" w:cs="Arial" w:eastAsia="Arial" w:hAnsi="Arial"/>
          <w:sz w:val="18"/>
          <w:szCs w:val="18"/>
          <w:b w:val="1"/>
          <w:bCs w:val="1"/>
          <w:color w:val="auto"/>
        </w:rPr>
        <w:t xml:space="preserve"> </w:t>
      </w:r>
      <w:r>
        <w:rPr>
          <w:rFonts w:ascii="Arial" w:cs="Arial" w:eastAsia="Arial" w:hAnsi="Arial"/>
          <w:sz w:val="18"/>
          <w:szCs w:val="18"/>
          <w:color w:val="auto"/>
        </w:rPr>
        <w:t>identities of the Parties and their respective Affiliates.</w:t>
      </w:r>
    </w:p>
    <w:p>
      <w:pPr>
        <w:spacing w:after="0" w:line="188" w:lineRule="exact"/>
        <w:rPr>
          <w:rFonts w:ascii="Arial" w:cs="Arial" w:eastAsia="Arial" w:hAnsi="Arial"/>
          <w:sz w:val="18"/>
          <w:szCs w:val="18"/>
          <w:color w:val="auto"/>
        </w:rPr>
      </w:pPr>
    </w:p>
    <w:p>
      <w:pPr>
        <w:ind w:firstLine="921"/>
        <w:spacing w:after="0" w:line="268" w:lineRule="auto"/>
        <w:tabs>
          <w:tab w:leader="none" w:pos="1178" w:val="left"/>
        </w:tabs>
        <w:numPr>
          <w:ilvl w:val="0"/>
          <w:numId w:val="432"/>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shall not apply to: (a) disclosure by the Company or Investor to those of its Representatives or Affiliates or their respective investors or internal investment committees who need to know such Confidential Information for the purpose of evaluating the Investor’s investment in the Company, provided that such Representative or Affiliate (1) is subject to obligations of confidentiality similar to those to which the Investor is subject under this Agreement or (2) is otherwise under a binding professional obligation of confidentiality; (b) disclosure by a Party to the extent required under applicable Law, provided that the disclosing Party shall (1) give reasonable prior notice to the other Parties; (2) consult with the other Parties and provide a reasonable opportunity for the other Parties to review and comment on the proposed disclosure; and (3) if requested by the other Parties, exercise its best efforts to obtain reliable assurance that confidential treatment will be accorded to the disclosed Confidential Information; (c) disclosure by the Investor to its Affiliates and their respective investors (including prospective limited partners in fund raising activities) and internal investment committees (provided that the recipient is subject to obligations of confidentiality similar to those to which the Investor is subject under this Agreement); or (d) (following the Closing) disclosure by the Investor to any transferee(s) or proposed transferee(s) of the Purchased Shares and their Representatives, provided that such Person (1) is subject to obligations of confidentiality similar to those to which the Investor is subject under this Agreement, or (2) is otherwise under a binding professional obligation of confidentiality. The receiving Party agrees that it is responsible to the Party whose Confidential Information is disclosed for any action or failure to act that would constitute a breach or violation of any of the terms of this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by any of its Representatives or Affiliates or their respective investors or internal investment committees.</w:t>
      </w:r>
    </w:p>
    <w:p>
      <w:pPr>
        <w:spacing w:after="0" w:line="20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Publicity.</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Except as required by Law, by any Governmental Authority or otherwise agreed by all the Parties, no publicity release or public announcement shall be made by any Party in connection with this Agreement or any transaction contemplated hereunder or concerning the relationship or involvement of the Parties. Any Party required by Law or by any Governmental Authority to make such a publicity release or public announcement shall, to the extent reasonably practicable in the circumstances, provide in advance a draft to the other Parties to review, and take into account all reasonable requests of such other Parties concerning the form and content of such release or announcement.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435" w:name="page436"/>
    <w:bookmarkEnd w:id="43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9.10. Rights Cumulative.</w:t>
      </w:r>
    </w:p>
    <w:p>
      <w:pPr>
        <w:spacing w:after="0" w:line="22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Each and all of the various rights, powers and remedies of a Party hereto will be considered to be cumulative with and in addition to any other rights, powers and remedies which such Party may have at law or in equity in the event of the breach of any of the terms of this Agreement. The exercise or partial exercise of any right, power or remedy will neither constitute the exclusive election thereof nor the waiver of any other right, power or remedy available to such Party.</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9.11. Fees and Expenses.</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Each Party shall bear its own expenses in connection with the preparation and negotiation of this Agreement and the other Transaction Documents or (except as otherwise provided herein) in connection with its performance under this Agreement and the other Transaction Documents or the consummation of the transactions contemplated thereby, including all fees and expenses of such Party’s agents, representatives, financial and legal advisors and accountants.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9.12. Severability.</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case any provision of this Agreement shall be invalid, illegal or unenforceable, the validity, legality and enforceability of the remaining provisions shall not in any way be affected or impaired thereby. If, however, any provision of this Agreement shall be invalid, illegal, or unenforceable under any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Agreement, or the validity, legality, or enforceability of such provision in any other jurisdiction.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9.13. Amendments and Waivers.</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Any term of this Agreement may be amended and the observance of any term of this Agreement may be waived (either generally or in a particular instance and either retroactively or prospectively), only with the written consent of each Party. Any amendment or waiver effected in accordance with this paragraph shall be binding upon each of the Parties hereto.</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9.14. No Waiver.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Failure to insist upon strict compliance with any of the terms, covenants, or conditions hereof will not be deemed a waiver of such term, covenant, or condition, nor will any waiver or relinquishment of, or failure to insist upon strict compliance with, any right, power or remedy power hereunder at any one or more times be deemed a waiver or relinquishment of such right, power or remedy at any other time or times.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9.15. Delays or Omissions.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69" w:right="259" w:bottom="1440" w:gutter="0" w:footer="0" w:header="0"/>
        </w:sectPr>
      </w:pPr>
    </w:p>
    <w:bookmarkStart w:id="436" w:name="page437"/>
    <w:bookmarkEnd w:id="4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9.16. No Presumption.</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Parties acknowledge that any applicable Law that would require interpretation of any claimed ambiguities in this Agreement against the Party that drafted it has no application and is expressly waived. If any claim is made by a Party relating to any conflict, omission or ambiguity in the provisions of this Agreement, no presumption or burden of proof or persuasion will be implied because this Agreement was prepared by or at the request of any Party or its counsel.</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9.17. Headings and Subtitles; Interpretation.</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titles and subtitles used in this Agreement are used for convenience only and are not to be considered in construing or interpreting this Agreement. Unless a provision hereof expressly provides otherwise: (i) the term “or” is not exclusive; (ii) words in the singular include the plural, and words in the plural include the singular; (iii) the terms “herein”, “hereof”, and other similar words refer to this Agreement as a whole and not to any particular section, subsection, paragraph, clause, or other subdivision; (iv) the term “including” will be deemed to be followed by “, but not limited to,”; (v) the masculine, feminine, and neuter genders will each be deemed to include the others; (vi) the terms “shall”, “will”, and “agrees” are mandatory, and the term “may” is permissive; (vii) the term “day” means “calendar day”; (viii) all references to dollars or to “US$” are to currency of the United States of America (and shall be deemed to include reference to the equivalent amount in other currencies); and (ix) all references to any agreement, document or instrument are to such agreement, document or instrument as amended, supplemented and modified in effect from time to time in accordance with its terms.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9.18. Counterparts.</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This Agreement may be executed in two or more counterparts, each of which shall be deemed an original, but all of which together shall constitute one and the same instrument. Facsimile and e-mailed copies of signatures shall be deemed to be originals for purposes of the effectiveness of this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9.19. Entire Agreement.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Agreement and the other Transaction Documents, together with all exhibits and schedules hereto, constitute the full and entire understanding and agreement among the Parties with regard to the subject matter hereof and thereof, and supersede all other agreements between or among any of the Parties with respect to the subject matter hereof and thereof, and no Party shall be liable or bound to any other Party in any manner by any warranties, representations, or covenants except as specifically set forth herein or therein.</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69" w:right="319" w:bottom="1440" w:gutter="0" w:footer="0" w:header="0"/>
        </w:sectPr>
      </w:pPr>
    </w:p>
    <w:bookmarkStart w:id="437" w:name="page438"/>
    <w:bookmarkEnd w:id="43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on the day and year herein above first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OPTIMIX MEDIA ASIA LIMITED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Print Name: Sammy Hsieh</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SHARE SUBSCRIPTION AGREEMENT]</w:t>
      </w:r>
    </w:p>
    <w:p>
      <w:pPr>
        <w:sectPr>
          <w:pgSz w:w="11900" w:h="16838" w:orient="portrait"/>
          <w:cols w:equalWidth="0" w:num="1">
            <w:col w:w="10219"/>
          </w:cols>
          <w:pgMar w:left="240" w:top="274" w:right="1440" w:bottom="1440" w:gutter="0" w:footer="0" w:header="0"/>
        </w:sectPr>
      </w:pPr>
    </w:p>
    <w:bookmarkStart w:id="438" w:name="page439"/>
    <w:bookmarkEnd w:id="43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on the day and year herein above first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HSIEH, WING HONG SAMMY</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ID NUMBER: K096776(9)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 Flat 23, 16/F, Block 1, Fontana Gardens, Ka Ning Path, Causeway Bay, Hong Kong</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Email: sammy.hsieh@i-click.com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 YAU PING RICKY</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Yau Ping Ricky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ID NUMBER: V029871(9)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 C2, 13/F, San Po Kong Mansion, San Po Kong, Kowloon, Hong Kong</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Email: ricky.ng@i-click.com</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SHARE SUBSCRIPTION AGREEMENT]</w:t>
      </w:r>
    </w:p>
    <w:p>
      <w:pPr>
        <w:sectPr>
          <w:pgSz w:w="11900" w:h="16838" w:orient="portrait"/>
          <w:cols w:equalWidth="0" w:num="1">
            <w:col w:w="10219"/>
          </w:cols>
          <w:pgMar w:left="240" w:top="274" w:right="1440" w:bottom="1440" w:gutter="0" w:footer="0" w:header="0"/>
        </w:sectPr>
      </w:pPr>
    </w:p>
    <w:bookmarkStart w:id="439" w:name="page440"/>
    <w:bookmarkEnd w:id="4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on the day and year herein above first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Shenwan Hongyuan Goldspring Fund I</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Juan Zheng</w:t>
            </w:r>
          </w:p>
        </w:tc>
      </w:tr>
      <w:tr>
        <w:trPr>
          <w:trHeight w:val="209"/>
        </w:trPr>
        <w:tc>
          <w:tcPr>
            <w:tcW w:w="3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Print Name: Zheng Juan</w:t>
            </w:r>
          </w:p>
        </w:tc>
      </w:tr>
      <w:tr>
        <w:trPr>
          <w:trHeight w:val="230"/>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 Unit B&amp;C, 24/F, United Centre, 95 Queensway, Admiralty, Hong Kong</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SHARE SUBSCRIPTION AGREEMENT]</w:t>
      </w:r>
    </w:p>
    <w:p>
      <w:pPr>
        <w:sectPr>
          <w:pgSz w:w="11900" w:h="16838" w:orient="portrait"/>
          <w:cols w:equalWidth="0" w:num="1">
            <w:col w:w="10219"/>
          </w:cols>
          <w:pgMar w:left="240" w:top="274" w:right="1440" w:bottom="1440" w:gutter="0" w:footer="0" w:header="0"/>
        </w:sectPr>
      </w:pPr>
    </w:p>
    <w:bookmarkStart w:id="440" w:name="page441"/>
    <w:bookmarkEnd w:id="440"/>
    <w:p>
      <w:pPr>
        <w:ind w:left="3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3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A</w:t>
      </w:r>
    </w:p>
    <w:p>
      <w:pPr>
        <w:sectPr>
          <w:pgSz w:w="11900" w:h="16838" w:orient="portrait"/>
          <w:cols w:equalWidth="0" w:num="1">
            <w:col w:w="9019"/>
          </w:cols>
          <w:pgMar w:left="1440" w:top="269" w:right="1440"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PARTICULARS OF GROUP COMPANIES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Group Companies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20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Registered Address</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95"/>
              </w:rPr>
              <w:t>Incorporation</w:t>
            </w: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Company</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Place of</w:t>
            </w: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Director(s)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Authorised</w:t>
            </w:r>
          </w:p>
        </w:tc>
        <w:tc>
          <w:tcPr>
            <w:tcW w:w="10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Issued</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26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Incorporation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1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Optimix Media</w:t>
            </w:r>
          </w:p>
        </w:tc>
        <w:tc>
          <w:tcPr>
            <w:tcW w:w="100" w:type="dxa"/>
            <w:vAlign w:val="bottom"/>
          </w:tcPr>
          <w:p>
            <w:pPr>
              <w:spacing w:after="0"/>
              <w:rPr>
                <w:sz w:val="9"/>
                <w:szCs w:val="9"/>
                <w:color w:val="auto"/>
              </w:rPr>
            </w:pPr>
          </w:p>
        </w:tc>
        <w:tc>
          <w:tcPr>
            <w:tcW w:w="198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Unit 1508, Prosperity Millennia</w:t>
            </w: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March 25, 2009</w:t>
            </w:r>
          </w:p>
        </w:tc>
        <w:tc>
          <w:tcPr>
            <w:tcW w:w="100" w:type="dxa"/>
            <w:vAlign w:val="bottom"/>
          </w:tcPr>
          <w:p>
            <w:pPr>
              <w:spacing w:after="0"/>
              <w:rPr>
                <w:sz w:val="9"/>
                <w:szCs w:val="9"/>
                <w:color w:val="auto"/>
              </w:rPr>
            </w:pPr>
          </w:p>
        </w:tc>
        <w:tc>
          <w:tcPr>
            <w:tcW w:w="660" w:type="dxa"/>
            <w:vAlign w:val="bottom"/>
            <w:tcBorders>
              <w:top w:val="single" w:sz="8" w:color="auto"/>
            </w:tcBorders>
          </w:tcPr>
          <w:p>
            <w:pPr>
              <w:jc w:val="right"/>
              <w:ind w:right="91"/>
              <w:spacing w:after="0" w:line="109" w:lineRule="exact"/>
              <w:rPr>
                <w:sz w:val="20"/>
                <w:szCs w:val="20"/>
                <w:color w:val="auto"/>
              </w:rPr>
            </w:pPr>
            <w:r>
              <w:rPr>
                <w:rFonts w:ascii="Arial" w:cs="Arial" w:eastAsia="Arial" w:hAnsi="Arial"/>
                <w:sz w:val="12"/>
                <w:szCs w:val="12"/>
                <w:color w:val="auto"/>
              </w:rPr>
              <w:t>1325044</w:t>
            </w:r>
          </w:p>
        </w:tc>
        <w:tc>
          <w:tcPr>
            <w:tcW w:w="100" w:type="dxa"/>
            <w:vAlign w:val="bottom"/>
          </w:tcPr>
          <w:p>
            <w:pPr>
              <w:spacing w:after="0"/>
              <w:rPr>
                <w:sz w:val="9"/>
                <w:szCs w:val="9"/>
                <w:color w:val="auto"/>
              </w:rPr>
            </w:pPr>
          </w:p>
        </w:tc>
        <w:tc>
          <w:tcPr>
            <w:tcW w:w="860" w:type="dxa"/>
            <w:vAlign w:val="bottom"/>
            <w:tcBorders>
              <w:top w:val="single" w:sz="8" w:color="auto"/>
            </w:tcBorders>
          </w:tcPr>
          <w:p>
            <w:pPr>
              <w:jc w:val="right"/>
              <w:ind w:right="110"/>
              <w:spacing w:after="0" w:line="109" w:lineRule="exact"/>
              <w:rPr>
                <w:sz w:val="20"/>
                <w:szCs w:val="20"/>
                <w:color w:val="auto"/>
              </w:rPr>
            </w:pPr>
            <w:r>
              <w:rPr>
                <w:rFonts w:ascii="Arial" w:cs="Arial" w:eastAsia="Arial" w:hAnsi="Arial"/>
                <w:sz w:val="12"/>
                <w:szCs w:val="12"/>
                <w:color w:val="auto"/>
              </w:rPr>
              <w:t>Hong Kong</w:t>
            </w:r>
          </w:p>
        </w:tc>
        <w:tc>
          <w:tcPr>
            <w:tcW w:w="100" w:type="dxa"/>
            <w:vAlign w:val="bottom"/>
          </w:tcPr>
          <w:p>
            <w:pPr>
              <w:spacing w:after="0"/>
              <w:rPr>
                <w:sz w:val="9"/>
                <w:szCs w:val="9"/>
                <w:color w:val="auto"/>
              </w:rPr>
            </w:pPr>
          </w:p>
        </w:tc>
        <w:tc>
          <w:tcPr>
            <w:tcW w:w="102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 Hsieh, Wing</w:t>
            </w:r>
          </w:p>
        </w:tc>
        <w:tc>
          <w:tcPr>
            <w:tcW w:w="80" w:type="dxa"/>
            <w:vAlign w:val="bottom"/>
          </w:tcPr>
          <w:p>
            <w:pPr>
              <w:spacing w:after="0"/>
              <w:rPr>
                <w:sz w:val="9"/>
                <w:szCs w:val="9"/>
                <w:color w:val="auto"/>
              </w:rPr>
            </w:pPr>
          </w:p>
        </w:tc>
        <w:tc>
          <w:tcPr>
            <w:tcW w:w="78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11,000</w:t>
            </w:r>
          </w:p>
        </w:tc>
        <w:tc>
          <w:tcPr>
            <w:tcW w:w="100" w:type="dxa"/>
            <w:vAlign w:val="bottom"/>
          </w:tcPr>
          <w:p>
            <w:pPr>
              <w:spacing w:after="0"/>
              <w:rPr>
                <w:sz w:val="9"/>
                <w:szCs w:val="9"/>
                <w:color w:val="auto"/>
              </w:rPr>
            </w:pPr>
          </w:p>
        </w:tc>
        <w:tc>
          <w:tcPr>
            <w:tcW w:w="740" w:type="dxa"/>
            <w:vAlign w:val="bottom"/>
            <w:tcBorders>
              <w:top w:val="single" w:sz="8" w:color="auto"/>
            </w:tcBorders>
          </w:tcPr>
          <w:p>
            <w:pPr>
              <w:jc w:val="right"/>
              <w:ind w:right="271"/>
              <w:spacing w:after="0" w:line="109" w:lineRule="exact"/>
              <w:rPr>
                <w:sz w:val="20"/>
                <w:szCs w:val="20"/>
                <w:color w:val="auto"/>
              </w:rPr>
            </w:pPr>
            <w:r>
              <w:rPr>
                <w:rFonts w:ascii="Arial" w:cs="Arial" w:eastAsia="Arial" w:hAnsi="Arial"/>
                <w:sz w:val="12"/>
                <w:szCs w:val="12"/>
                <w:color w:val="auto"/>
              </w:rPr>
              <w:t>11,000</w:t>
            </w:r>
          </w:p>
        </w:tc>
        <w:tc>
          <w:tcPr>
            <w:tcW w:w="100" w:type="dxa"/>
            <w:vAlign w:val="bottom"/>
          </w:tcPr>
          <w:p>
            <w:pPr>
              <w:spacing w:after="0"/>
              <w:rPr>
                <w:sz w:val="9"/>
                <w:szCs w:val="9"/>
                <w:color w:val="auto"/>
              </w:rPr>
            </w:pPr>
          </w:p>
        </w:tc>
        <w:tc>
          <w:tcPr>
            <w:tcW w:w="124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 Tetris Media</w:t>
            </w:r>
          </w:p>
        </w:tc>
        <w:tc>
          <w:tcPr>
            <w:tcW w:w="120" w:type="dxa"/>
            <w:vAlign w:val="bottom"/>
          </w:tcPr>
          <w:p>
            <w:pPr>
              <w:spacing w:after="0"/>
              <w:rPr>
                <w:sz w:val="9"/>
                <w:szCs w:val="9"/>
                <w:color w:val="auto"/>
              </w:rPr>
            </w:pPr>
          </w:p>
        </w:tc>
        <w:tc>
          <w:tcPr>
            <w:tcW w:w="118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Optimix Media Asia</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Asia Limited (Hong</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Plaza, 663 King’s Road, Quarry</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w w:val="96"/>
              </w:rPr>
              <w:t>Hong Sammy;</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ordinary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Limited (100%)</w:t>
            </w: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Limited (Cayman)</w:t>
            </w:r>
          </w:p>
        </w:tc>
        <w:tc>
          <w:tcPr>
            <w:tcW w:w="0" w:type="dxa"/>
            <w:vAlign w:val="bottom"/>
          </w:tcPr>
          <w:p>
            <w:pPr>
              <w:spacing w:after="0"/>
              <w:rPr>
                <w:sz w:val="1"/>
                <w:szCs w:val="1"/>
                <w:color w:val="auto"/>
              </w:rPr>
            </w:pPr>
          </w:p>
        </w:tc>
      </w:tr>
      <w:tr>
        <w:trPr>
          <w:trHeight w:val="157"/>
        </w:trPr>
        <w:tc>
          <w:tcPr>
            <w:tcW w:w="1260" w:type="dxa"/>
            <w:vAlign w:val="bottom"/>
            <w:gridSpan w:val="2"/>
          </w:tcPr>
          <w:p>
            <w:pPr>
              <w:spacing w:after="0" w:line="157" w:lineRule="exact"/>
              <w:rPr>
                <w:sz w:val="20"/>
                <w:szCs w:val="20"/>
                <w:color w:val="auto"/>
              </w:rPr>
            </w:pPr>
            <w:r>
              <w:rPr>
                <w:rFonts w:ascii="Arial" w:cs="Arial" w:eastAsia="Arial" w:hAnsi="Arial"/>
                <w:sz w:val="14"/>
                <w:szCs w:val="14"/>
                <w:color w:val="auto"/>
              </w:rPr>
              <w:t>Kong)</w:t>
            </w:r>
          </w:p>
        </w:tc>
        <w:tc>
          <w:tcPr>
            <w:tcW w:w="2080" w:type="dxa"/>
            <w:vAlign w:val="bottom"/>
            <w:gridSpan w:val="2"/>
          </w:tcPr>
          <w:p>
            <w:pPr>
              <w:spacing w:after="0" w:line="157" w:lineRule="exact"/>
              <w:rPr>
                <w:sz w:val="20"/>
                <w:szCs w:val="20"/>
                <w:color w:val="auto"/>
              </w:rPr>
            </w:pPr>
            <w:r>
              <w:rPr>
                <w:rFonts w:ascii="Arial" w:cs="Arial" w:eastAsia="Arial" w:hAnsi="Arial"/>
                <w:sz w:val="14"/>
                <w:szCs w:val="14"/>
                <w:color w:val="auto"/>
              </w:rPr>
              <w:t>Bay, Hong Kong</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spacing w:after="0"/>
              <w:rPr>
                <w:sz w:val="20"/>
                <w:szCs w:val="20"/>
                <w:color w:val="auto"/>
              </w:rPr>
            </w:pPr>
            <w:r>
              <w:rPr>
                <w:rFonts w:ascii="Arial" w:cs="Arial" w:eastAsia="Arial" w:hAnsi="Arial"/>
                <w:sz w:val="14"/>
                <w:szCs w:val="14"/>
                <w:color w:val="auto"/>
              </w:rPr>
              <w:t>2. Ng Yau Ping</w:t>
            </w:r>
          </w:p>
        </w:tc>
        <w:tc>
          <w:tcPr>
            <w:tcW w:w="86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shares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spacing w:after="0"/>
              <w:rPr>
                <w:sz w:val="20"/>
                <w:szCs w:val="20"/>
                <w:color w:val="auto"/>
              </w:rPr>
            </w:pPr>
            <w:r>
              <w:rPr>
                <w:rFonts w:ascii="Arial" w:cs="Arial" w:eastAsia="Arial" w:hAnsi="Arial"/>
                <w:sz w:val="14"/>
                <w:szCs w:val="14"/>
                <w:color w:val="auto"/>
              </w:rPr>
              <w:t>2. iClick Interactive</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6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HK$1 each</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w w:val="97"/>
              </w:rPr>
              <w:t>Asia Limited (100%)</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3. Digital Marketing</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Group Limited</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4. iClick Interactive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w w:val="94"/>
              </w:rPr>
              <w:t>(Singapore) Pte. Ltd.</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5. Performance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Media Group</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Limited (100%)</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60" w:type="dxa"/>
            <w:vAlign w:val="bottom"/>
            <w:gridSpan w:val="2"/>
          </w:tcPr>
          <w:p>
            <w:pPr>
              <w:spacing w:after="0"/>
              <w:rPr>
                <w:sz w:val="20"/>
                <w:szCs w:val="20"/>
                <w:color w:val="auto"/>
              </w:rPr>
            </w:pPr>
            <w:r>
              <w:rPr>
                <w:rFonts w:ascii="Arial" w:cs="Arial" w:eastAsia="Arial" w:hAnsi="Arial"/>
                <w:sz w:val="14"/>
                <w:szCs w:val="14"/>
                <w:color w:val="auto"/>
              </w:rPr>
              <w:t>iClick Interactive</w:t>
            </w:r>
          </w:p>
        </w:tc>
        <w:tc>
          <w:tcPr>
            <w:tcW w:w="2080" w:type="dxa"/>
            <w:vAlign w:val="bottom"/>
            <w:gridSpan w:val="2"/>
          </w:tcPr>
          <w:p>
            <w:pPr>
              <w:spacing w:after="0"/>
              <w:rPr>
                <w:sz w:val="20"/>
                <w:szCs w:val="20"/>
                <w:color w:val="auto"/>
              </w:rPr>
            </w:pPr>
            <w:r>
              <w:rPr>
                <w:rFonts w:ascii="Arial" w:cs="Arial" w:eastAsia="Arial" w:hAnsi="Arial"/>
                <w:sz w:val="14"/>
                <w:szCs w:val="14"/>
                <w:color w:val="auto"/>
              </w:rPr>
              <w:t>Unit 1508, Prosperity Millennia</w:t>
            </w:r>
          </w:p>
        </w:tc>
        <w:tc>
          <w:tcPr>
            <w:tcW w:w="900" w:type="dxa"/>
            <w:vAlign w:val="bottom"/>
          </w:tcPr>
          <w:p>
            <w:pPr>
              <w:spacing w:after="0"/>
              <w:rPr>
                <w:sz w:val="20"/>
                <w:szCs w:val="20"/>
                <w:color w:val="auto"/>
              </w:rPr>
            </w:pPr>
            <w:r>
              <w:rPr>
                <w:rFonts w:ascii="Arial" w:cs="Arial" w:eastAsia="Arial" w:hAnsi="Arial"/>
                <w:sz w:val="14"/>
                <w:szCs w:val="14"/>
                <w:color w:val="auto"/>
              </w:rPr>
              <w:t>December 17,</w:t>
            </w:r>
          </w:p>
        </w:tc>
        <w:tc>
          <w:tcPr>
            <w:tcW w:w="760" w:type="dxa"/>
            <w:vAlign w:val="bottom"/>
            <w:gridSpan w:val="2"/>
          </w:tcPr>
          <w:p>
            <w:pPr>
              <w:jc w:val="right"/>
              <w:ind w:right="91"/>
              <w:spacing w:after="0"/>
              <w:rPr>
                <w:sz w:val="20"/>
                <w:szCs w:val="20"/>
                <w:color w:val="auto"/>
              </w:rPr>
            </w:pPr>
            <w:r>
              <w:rPr>
                <w:rFonts w:ascii="Arial" w:cs="Arial" w:eastAsia="Arial" w:hAnsi="Arial"/>
                <w:sz w:val="14"/>
                <w:szCs w:val="14"/>
                <w:color w:val="auto"/>
              </w:rPr>
              <w:t>1294990</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Hong Kong</w:t>
            </w:r>
          </w:p>
        </w:tc>
        <w:tc>
          <w:tcPr>
            <w:tcW w:w="1020" w:type="dxa"/>
            <w:vAlign w:val="bottom"/>
          </w:tcPr>
          <w:p>
            <w:pPr>
              <w:spacing w:after="0"/>
              <w:rPr>
                <w:sz w:val="20"/>
                <w:szCs w:val="20"/>
                <w:color w:val="auto"/>
              </w:rPr>
            </w:pPr>
            <w:r>
              <w:rPr>
                <w:rFonts w:ascii="Arial" w:cs="Arial" w:eastAsia="Arial" w:hAnsi="Arial"/>
                <w:sz w:val="14"/>
                <w:szCs w:val="14"/>
                <w:color w:val="auto"/>
              </w:rPr>
              <w:t>Hsieh, Wing</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10,000</w:t>
            </w:r>
          </w:p>
        </w:tc>
        <w:tc>
          <w:tcPr>
            <w:tcW w:w="840" w:type="dxa"/>
            <w:vAlign w:val="bottom"/>
            <w:gridSpan w:val="2"/>
          </w:tcPr>
          <w:p>
            <w:pPr>
              <w:jc w:val="right"/>
              <w:ind w:right="271"/>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iClick Interactive</w:t>
            </w: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w w:val="96"/>
              </w:rPr>
              <w:t>Optimix Media Asia</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Asia Limited</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Plaza, 663 King’s Road, Quarry</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Hong Sammy</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ordinary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w w:val="97"/>
              </w:rPr>
              <w:t>Asia Limited Taiwan</w:t>
            </w: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Limited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Bay, Hong Kong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shares of</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Branch</w:t>
            </w: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HK$1 each</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color w:val="auto"/>
              </w:rPr>
              <w:t>Digital Marketing</w:t>
            </w:r>
          </w:p>
        </w:tc>
        <w:tc>
          <w:tcPr>
            <w:tcW w:w="2080" w:type="dxa"/>
            <w:vAlign w:val="bottom"/>
            <w:gridSpan w:val="2"/>
          </w:tcPr>
          <w:p>
            <w:pPr>
              <w:spacing w:after="0"/>
              <w:rPr>
                <w:sz w:val="20"/>
                <w:szCs w:val="20"/>
                <w:color w:val="auto"/>
              </w:rPr>
            </w:pPr>
            <w:r>
              <w:rPr>
                <w:rFonts w:ascii="Arial" w:cs="Arial" w:eastAsia="Arial" w:hAnsi="Arial"/>
                <w:sz w:val="14"/>
                <w:szCs w:val="14"/>
                <w:color w:val="auto"/>
              </w:rPr>
              <w:t>Unit 1507-08, Prosperity</w:t>
            </w:r>
          </w:p>
        </w:tc>
        <w:tc>
          <w:tcPr>
            <w:tcW w:w="900" w:type="dxa"/>
            <w:vAlign w:val="bottom"/>
          </w:tcPr>
          <w:p>
            <w:pPr>
              <w:spacing w:after="0"/>
              <w:rPr>
                <w:sz w:val="20"/>
                <w:szCs w:val="20"/>
                <w:color w:val="auto"/>
              </w:rPr>
            </w:pPr>
            <w:r>
              <w:rPr>
                <w:rFonts w:ascii="Arial" w:cs="Arial" w:eastAsia="Arial" w:hAnsi="Arial"/>
                <w:sz w:val="14"/>
                <w:szCs w:val="14"/>
                <w:color w:val="auto"/>
              </w:rPr>
              <w:t>October 25,</w:t>
            </w:r>
          </w:p>
        </w:tc>
        <w:tc>
          <w:tcPr>
            <w:tcW w:w="760" w:type="dxa"/>
            <w:vAlign w:val="bottom"/>
            <w:gridSpan w:val="2"/>
          </w:tcPr>
          <w:p>
            <w:pPr>
              <w:jc w:val="right"/>
              <w:ind w:right="91"/>
              <w:spacing w:after="0"/>
              <w:rPr>
                <w:sz w:val="20"/>
                <w:szCs w:val="20"/>
                <w:color w:val="auto"/>
              </w:rPr>
            </w:pPr>
            <w:r>
              <w:rPr>
                <w:rFonts w:ascii="Arial" w:cs="Arial" w:eastAsia="Arial" w:hAnsi="Arial"/>
                <w:sz w:val="14"/>
                <w:szCs w:val="14"/>
                <w:color w:val="auto"/>
              </w:rPr>
              <w:t>1082945</w:t>
            </w: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Hong Kong</w:t>
            </w:r>
          </w:p>
        </w:tc>
        <w:tc>
          <w:tcPr>
            <w:tcW w:w="1020" w:type="dxa"/>
            <w:vAlign w:val="bottom"/>
          </w:tcPr>
          <w:p>
            <w:pPr>
              <w:spacing w:after="0"/>
              <w:rPr>
                <w:sz w:val="20"/>
                <w:szCs w:val="20"/>
                <w:color w:val="auto"/>
              </w:rPr>
            </w:pPr>
            <w:r>
              <w:rPr>
                <w:rFonts w:ascii="Arial" w:cs="Arial" w:eastAsia="Arial" w:hAnsi="Arial"/>
                <w:sz w:val="14"/>
                <w:szCs w:val="14"/>
                <w:color w:val="auto"/>
              </w:rPr>
              <w:t>1. Hsieh, Wing</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10,000</w:t>
            </w:r>
          </w:p>
        </w:tc>
        <w:tc>
          <w:tcPr>
            <w:tcW w:w="840" w:type="dxa"/>
            <w:vAlign w:val="bottom"/>
            <w:gridSpan w:val="2"/>
          </w:tcPr>
          <w:p>
            <w:pPr>
              <w:jc w:val="right"/>
              <w:ind w:right="271"/>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iClick Interactive</w:t>
            </w: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w w:val="96"/>
              </w:rPr>
              <w:t>Optimix Media Asia</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Group Limited</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w w:val="98"/>
              </w:rPr>
              <w:t>Millennia Plaza, 663 King’s Road,</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Hong Sammy</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ordinary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(Beijing)</w:t>
            </w: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Limited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Quarry Bay, Hong Kong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spacing w:after="0"/>
              <w:rPr>
                <w:sz w:val="20"/>
                <w:szCs w:val="20"/>
                <w:color w:val="auto"/>
              </w:rPr>
            </w:pPr>
            <w:r>
              <w:rPr>
                <w:rFonts w:ascii="Arial" w:cs="Arial" w:eastAsia="Arial" w:hAnsi="Arial"/>
                <w:sz w:val="14"/>
                <w:szCs w:val="14"/>
                <w:color w:val="auto"/>
              </w:rPr>
              <w:t>2. Ng Yau Ping</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shares of</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Advertisement Co.</w:t>
            </w:r>
            <w:r>
              <w:rPr>
                <w:rFonts w:ascii="Arial" w:cs="Arial" w:eastAsia="Arial" w:hAnsi="Arial"/>
                <w:sz w:val="12"/>
                <w:szCs w:val="12"/>
                <w:color w:val="auto"/>
              </w:rPr>
              <w:t>,</w:t>
            </w: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HK$1 each</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Ltd.</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4"/>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-360680</wp:posOffset>
            </wp:positionV>
            <wp:extent cx="780415" cy="1028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80415" cy="10287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-231775</wp:posOffset>
            </wp:positionV>
            <wp:extent cx="643255" cy="10287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43255" cy="10287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420"/>
          </w:cols>
          <w:pgMar w:left="240" w:top="269" w:right="23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161"/>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1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Registered Address</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Company</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Place of</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Director(s)</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Authorised</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Issued</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260" w:type="dxa"/>
            <w:vAlign w:val="bottom"/>
            <w:gridSpan w:val="2"/>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Incorporation</w:t>
            </w:r>
          </w:p>
        </w:tc>
        <w:tc>
          <w:tcPr>
            <w:tcW w:w="1000" w:type="dxa"/>
            <w:vAlign w:val="bottom"/>
            <w:gridSpan w:val="2"/>
            <w:vMerge w:val="continue"/>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1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Tetris Media</w:t>
            </w:r>
          </w:p>
        </w:tc>
        <w:tc>
          <w:tcPr>
            <w:tcW w:w="100" w:type="dxa"/>
            <w:vAlign w:val="bottom"/>
          </w:tcPr>
          <w:p>
            <w:pPr>
              <w:spacing w:after="0"/>
              <w:rPr>
                <w:sz w:val="9"/>
                <w:szCs w:val="9"/>
                <w:color w:val="auto"/>
              </w:rPr>
            </w:pPr>
          </w:p>
        </w:tc>
        <w:tc>
          <w:tcPr>
            <w:tcW w:w="198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Unit 1110-11, Prosperity</w:t>
            </w: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July 23,</w:t>
            </w:r>
          </w:p>
        </w:tc>
        <w:tc>
          <w:tcPr>
            <w:tcW w:w="100" w:type="dxa"/>
            <w:vAlign w:val="bottom"/>
          </w:tcPr>
          <w:p>
            <w:pPr>
              <w:spacing w:after="0"/>
              <w:rPr>
                <w:sz w:val="9"/>
                <w:szCs w:val="9"/>
                <w:color w:val="auto"/>
              </w:rPr>
            </w:pPr>
          </w:p>
        </w:tc>
        <w:tc>
          <w:tcPr>
            <w:tcW w:w="660" w:type="dxa"/>
            <w:vAlign w:val="bottom"/>
            <w:tcBorders>
              <w:top w:val="single" w:sz="8" w:color="auto"/>
            </w:tcBorders>
          </w:tcPr>
          <w:p>
            <w:pPr>
              <w:jc w:val="right"/>
              <w:ind w:right="91"/>
              <w:spacing w:after="0" w:line="109" w:lineRule="exact"/>
              <w:rPr>
                <w:sz w:val="20"/>
                <w:szCs w:val="20"/>
                <w:color w:val="auto"/>
              </w:rPr>
            </w:pPr>
            <w:r>
              <w:rPr>
                <w:rFonts w:ascii="Arial" w:cs="Arial" w:eastAsia="Arial" w:hAnsi="Arial"/>
                <w:sz w:val="12"/>
                <w:szCs w:val="12"/>
                <w:color w:val="auto"/>
              </w:rPr>
              <w:t>1152087</w:t>
            </w: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Hong Kong</w:t>
            </w: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 Hsieh, Wing</w:t>
            </w: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10,000</w:t>
            </w: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10,000</w:t>
            </w:r>
          </w:p>
        </w:tc>
        <w:tc>
          <w:tcPr>
            <w:tcW w:w="100" w:type="dxa"/>
            <w:vAlign w:val="bottom"/>
          </w:tcPr>
          <w:p>
            <w:pPr>
              <w:spacing w:after="0"/>
              <w:rPr>
                <w:sz w:val="9"/>
                <w:szCs w:val="9"/>
                <w:color w:val="auto"/>
              </w:rPr>
            </w:pPr>
          </w:p>
        </w:tc>
        <w:tc>
          <w:tcPr>
            <w:tcW w:w="124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Tetris Media</w:t>
            </w:r>
          </w:p>
        </w:tc>
        <w:tc>
          <w:tcPr>
            <w:tcW w:w="120" w:type="dxa"/>
            <w:vAlign w:val="bottom"/>
          </w:tcPr>
          <w:p>
            <w:pPr>
              <w:spacing w:after="0"/>
              <w:rPr>
                <w:sz w:val="9"/>
                <w:szCs w:val="9"/>
                <w:color w:val="auto"/>
              </w:rPr>
            </w:pPr>
          </w:p>
        </w:tc>
        <w:tc>
          <w:tcPr>
            <w:tcW w:w="12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Optimix Media Asia</w:t>
            </w:r>
          </w:p>
        </w:tc>
        <w:tc>
          <w:tcPr>
            <w:tcW w:w="0" w:type="dxa"/>
            <w:vAlign w:val="bottom"/>
          </w:tcPr>
          <w:p>
            <w:pPr>
              <w:spacing w:after="0"/>
              <w:rPr>
                <w:sz w:val="1"/>
                <w:szCs w:val="1"/>
                <w:color w:val="auto"/>
              </w:rPr>
            </w:pPr>
          </w:p>
        </w:tc>
      </w:tr>
      <w:tr>
        <w:trPr>
          <w:trHeight w:val="157"/>
        </w:trPr>
        <w:tc>
          <w:tcPr>
            <w:tcW w:w="1260" w:type="dxa"/>
            <w:vAlign w:val="bottom"/>
            <w:gridSpan w:val="2"/>
          </w:tcPr>
          <w:p>
            <w:pPr>
              <w:spacing w:after="0" w:line="157" w:lineRule="exact"/>
              <w:rPr>
                <w:sz w:val="20"/>
                <w:szCs w:val="20"/>
                <w:color w:val="auto"/>
              </w:rPr>
            </w:pPr>
            <w:r>
              <w:rPr>
                <w:rFonts w:ascii="Arial" w:cs="Arial" w:eastAsia="Arial" w:hAnsi="Arial"/>
                <w:sz w:val="14"/>
                <w:szCs w:val="14"/>
                <w:color w:val="auto"/>
              </w:rPr>
              <w:t>Limited</w:t>
            </w:r>
          </w:p>
        </w:tc>
        <w:tc>
          <w:tcPr>
            <w:tcW w:w="1980" w:type="dxa"/>
            <w:vAlign w:val="bottom"/>
          </w:tcPr>
          <w:p>
            <w:pPr>
              <w:spacing w:after="0" w:line="157" w:lineRule="exact"/>
              <w:rPr>
                <w:sz w:val="20"/>
                <w:szCs w:val="20"/>
                <w:color w:val="auto"/>
              </w:rPr>
            </w:pPr>
            <w:r>
              <w:rPr>
                <w:rFonts w:ascii="Arial" w:cs="Arial" w:eastAsia="Arial" w:hAnsi="Arial"/>
                <w:sz w:val="14"/>
                <w:szCs w:val="14"/>
                <w:color w:val="auto"/>
                <w:w w:val="93"/>
              </w:rPr>
              <w:t>Millennia Plaza, 663 King’s Road,</w:t>
            </w: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line="157" w:lineRule="exact"/>
              <w:rPr>
                <w:sz w:val="20"/>
                <w:szCs w:val="20"/>
                <w:color w:val="auto"/>
              </w:rPr>
            </w:pPr>
            <w:r>
              <w:rPr>
                <w:rFonts w:ascii="Arial" w:cs="Arial" w:eastAsia="Arial" w:hAnsi="Arial"/>
                <w:sz w:val="14"/>
                <w:szCs w:val="14"/>
                <w:color w:val="auto"/>
              </w:rPr>
              <w:t>Hong Sammy</w:t>
            </w:r>
          </w:p>
        </w:tc>
        <w:tc>
          <w:tcPr>
            <w:tcW w:w="880" w:type="dxa"/>
            <w:vAlign w:val="bottom"/>
            <w:gridSpan w:val="2"/>
          </w:tcPr>
          <w:p>
            <w:pPr>
              <w:spacing w:after="0" w:line="157" w:lineRule="exact"/>
              <w:rPr>
                <w:sz w:val="20"/>
                <w:szCs w:val="20"/>
                <w:color w:val="auto"/>
              </w:rPr>
            </w:pPr>
            <w:r>
              <w:rPr>
                <w:rFonts w:ascii="Arial" w:cs="Arial" w:eastAsia="Arial" w:hAnsi="Arial"/>
                <w:sz w:val="14"/>
                <w:szCs w:val="14"/>
                <w:color w:val="auto"/>
              </w:rPr>
              <w:t>ordinary</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line="157" w:lineRule="exact"/>
              <w:rPr>
                <w:sz w:val="20"/>
                <w:szCs w:val="20"/>
                <w:color w:val="auto"/>
              </w:rPr>
            </w:pPr>
            <w:r>
              <w:rPr>
                <w:rFonts w:ascii="Arial" w:cs="Arial" w:eastAsia="Arial" w:hAnsi="Arial"/>
                <w:sz w:val="14"/>
                <w:szCs w:val="14"/>
                <w:color w:val="auto"/>
              </w:rPr>
              <w:t>(Shanghai) Co. Ltd.</w:t>
            </w:r>
          </w:p>
        </w:tc>
        <w:tc>
          <w:tcPr>
            <w:tcW w:w="13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Limited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Quarry Bay, Hong Kong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2. Ng Yau Ping</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shares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HK$1 each</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60" w:type="dxa"/>
            <w:vAlign w:val="bottom"/>
            <w:gridSpan w:val="2"/>
          </w:tcPr>
          <w:p>
            <w:pPr>
              <w:spacing w:after="0"/>
              <w:rPr>
                <w:sz w:val="20"/>
                <w:szCs w:val="20"/>
                <w:color w:val="auto"/>
              </w:rPr>
            </w:pPr>
            <w:r>
              <w:rPr>
                <w:rFonts w:ascii="Arial" w:cs="Arial" w:eastAsia="Arial" w:hAnsi="Arial"/>
                <w:sz w:val="14"/>
                <w:szCs w:val="14"/>
                <w:color w:val="auto"/>
              </w:rPr>
              <w:t>Diablo Holdings</w:t>
            </w:r>
          </w:p>
        </w:tc>
        <w:tc>
          <w:tcPr>
            <w:tcW w:w="1980" w:type="dxa"/>
            <w:vAlign w:val="bottom"/>
          </w:tcPr>
          <w:p>
            <w:pPr>
              <w:spacing w:after="0"/>
              <w:rPr>
                <w:sz w:val="20"/>
                <w:szCs w:val="20"/>
                <w:color w:val="auto"/>
              </w:rPr>
            </w:pPr>
            <w:r>
              <w:rPr>
                <w:rFonts w:ascii="Arial" w:cs="Arial" w:eastAsia="Arial" w:hAnsi="Arial"/>
                <w:sz w:val="14"/>
                <w:szCs w:val="14"/>
                <w:color w:val="auto"/>
                <w:w w:val="94"/>
              </w:rPr>
              <w:t>ABM Corporate Services Limited,</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August 19,</w:t>
            </w:r>
          </w:p>
        </w:tc>
        <w:tc>
          <w:tcPr>
            <w:tcW w:w="760" w:type="dxa"/>
            <w:vAlign w:val="bottom"/>
            <w:gridSpan w:val="2"/>
          </w:tcPr>
          <w:p>
            <w:pPr>
              <w:jc w:val="right"/>
              <w:ind w:right="91"/>
              <w:spacing w:after="0"/>
              <w:rPr>
                <w:sz w:val="20"/>
                <w:szCs w:val="20"/>
                <w:color w:val="auto"/>
              </w:rPr>
            </w:pPr>
            <w:r>
              <w:rPr>
                <w:rFonts w:ascii="Arial" w:cs="Arial" w:eastAsia="Arial" w:hAnsi="Arial"/>
                <w:sz w:val="14"/>
                <w:szCs w:val="14"/>
                <w:color w:val="auto"/>
              </w:rPr>
              <w:t>1601463</w:t>
            </w:r>
          </w:p>
        </w:tc>
        <w:tc>
          <w:tcPr>
            <w:tcW w:w="10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BVI</w:t>
            </w:r>
          </w:p>
        </w:tc>
        <w:tc>
          <w:tcPr>
            <w:tcW w:w="1000" w:type="dxa"/>
            <w:vAlign w:val="bottom"/>
            <w:gridSpan w:val="2"/>
          </w:tcPr>
          <w:p>
            <w:pPr>
              <w:spacing w:after="0"/>
              <w:rPr>
                <w:sz w:val="20"/>
                <w:szCs w:val="20"/>
                <w:color w:val="auto"/>
              </w:rPr>
            </w:pPr>
            <w:r>
              <w:rPr>
                <w:rFonts w:ascii="Arial" w:cs="Arial" w:eastAsia="Arial" w:hAnsi="Arial"/>
                <w:sz w:val="14"/>
                <w:szCs w:val="14"/>
                <w:color w:val="auto"/>
              </w:rPr>
              <w:t>Hsieh, Wing</w:t>
            </w:r>
          </w:p>
        </w:tc>
        <w:tc>
          <w:tcPr>
            <w:tcW w:w="780" w:type="dxa"/>
            <w:vAlign w:val="bottom"/>
          </w:tcPr>
          <w:p>
            <w:pPr>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Harmattan Capital</w:t>
            </w: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Optimix Media Asia</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Corporation</w:t>
            </w: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ABM Chambers, PO Box 2283,</w:t>
            </w: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Hong Sammy</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ordinary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Holdings</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Limited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Road Town, Tortola VG1110,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shares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w w:val="99"/>
              </w:rPr>
              <w:t>Corporation (100%)</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(Cayman)</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British Virgin Islands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US$1 each</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restart"/>
          </w:tcPr>
          <w:p>
            <w:pPr>
              <w:spacing w:after="0"/>
              <w:rPr>
                <w:sz w:val="20"/>
                <w:szCs w:val="20"/>
                <w:color w:val="auto"/>
              </w:rPr>
            </w:pPr>
            <w:r>
              <w:rPr>
                <w:rFonts w:ascii="Arial" w:cs="Arial" w:eastAsia="Arial" w:hAnsi="Arial"/>
                <w:sz w:val="14"/>
                <w:szCs w:val="14"/>
                <w:color w:val="auto"/>
              </w:rPr>
              <w:t>i-Click Interactive</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Taiwan Limited</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(through trust</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agreement) (100%)</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60" w:type="dxa"/>
            <w:vAlign w:val="bottom"/>
            <w:gridSpan w:val="2"/>
          </w:tcPr>
          <w:p>
            <w:pPr>
              <w:spacing w:after="0"/>
              <w:rPr>
                <w:sz w:val="20"/>
                <w:szCs w:val="20"/>
                <w:color w:val="auto"/>
              </w:rPr>
            </w:pPr>
            <w:r>
              <w:rPr>
                <w:rFonts w:ascii="Arial" w:cs="Arial" w:eastAsia="Arial" w:hAnsi="Arial"/>
                <w:sz w:val="14"/>
                <w:szCs w:val="14"/>
                <w:color w:val="auto"/>
              </w:rPr>
              <w:t>Harmattan</w:t>
            </w:r>
          </w:p>
        </w:tc>
        <w:tc>
          <w:tcPr>
            <w:tcW w:w="1980" w:type="dxa"/>
            <w:vAlign w:val="bottom"/>
          </w:tcPr>
          <w:p>
            <w:pPr>
              <w:spacing w:after="0"/>
              <w:rPr>
                <w:sz w:val="20"/>
                <w:szCs w:val="20"/>
                <w:color w:val="auto"/>
              </w:rPr>
            </w:pPr>
            <w:r>
              <w:rPr>
                <w:rFonts w:ascii="Arial" w:cs="Arial" w:eastAsia="Arial" w:hAnsi="Arial"/>
                <w:sz w:val="14"/>
                <w:szCs w:val="14"/>
                <w:color w:val="auto"/>
                <w:w w:val="94"/>
              </w:rPr>
              <w:t>ABM Corporate Services Limited,</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August 19,</w:t>
            </w:r>
          </w:p>
        </w:tc>
        <w:tc>
          <w:tcPr>
            <w:tcW w:w="760" w:type="dxa"/>
            <w:vAlign w:val="bottom"/>
            <w:gridSpan w:val="2"/>
          </w:tcPr>
          <w:p>
            <w:pPr>
              <w:jc w:val="right"/>
              <w:ind w:right="91"/>
              <w:spacing w:after="0"/>
              <w:rPr>
                <w:sz w:val="20"/>
                <w:szCs w:val="20"/>
                <w:color w:val="auto"/>
              </w:rPr>
            </w:pPr>
            <w:r>
              <w:rPr>
                <w:rFonts w:ascii="Arial" w:cs="Arial" w:eastAsia="Arial" w:hAnsi="Arial"/>
                <w:sz w:val="14"/>
                <w:szCs w:val="14"/>
                <w:color w:val="auto"/>
              </w:rPr>
              <w:t>1601602</w:t>
            </w:r>
          </w:p>
        </w:tc>
        <w:tc>
          <w:tcPr>
            <w:tcW w:w="10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BVI</w:t>
            </w:r>
          </w:p>
        </w:tc>
        <w:tc>
          <w:tcPr>
            <w:tcW w:w="1000" w:type="dxa"/>
            <w:vAlign w:val="bottom"/>
            <w:gridSpan w:val="2"/>
          </w:tcPr>
          <w:p>
            <w:pPr>
              <w:spacing w:after="0"/>
              <w:rPr>
                <w:sz w:val="20"/>
                <w:szCs w:val="20"/>
                <w:color w:val="auto"/>
              </w:rPr>
            </w:pPr>
            <w:r>
              <w:rPr>
                <w:rFonts w:ascii="Arial" w:cs="Arial" w:eastAsia="Arial" w:hAnsi="Arial"/>
                <w:sz w:val="14"/>
                <w:szCs w:val="14"/>
                <w:color w:val="auto"/>
              </w:rPr>
              <w:t>Hsieh, Wing</w:t>
            </w:r>
          </w:p>
        </w:tc>
        <w:tc>
          <w:tcPr>
            <w:tcW w:w="780" w:type="dxa"/>
            <w:vAlign w:val="bottom"/>
          </w:tcPr>
          <w:p>
            <w:pPr>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China Search Asia</w:t>
            </w: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Diablo Holdings</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Capital Holdings</w:t>
            </w: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ABM Chambers, PO Box 2283,</w:t>
            </w: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Hong Sammy</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ordinary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Limited (100%)</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Corporation (100%)</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Corporation</w:t>
            </w: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Road Town, Tortola VG1110,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shares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British Virgin Islands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US$1 each</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60" w:type="dxa"/>
            <w:vAlign w:val="bottom"/>
            <w:gridSpan w:val="2"/>
          </w:tcPr>
          <w:p>
            <w:pPr>
              <w:spacing w:after="0"/>
              <w:rPr>
                <w:sz w:val="20"/>
                <w:szCs w:val="20"/>
                <w:color w:val="auto"/>
              </w:rPr>
            </w:pPr>
            <w:r>
              <w:rPr>
                <w:rFonts w:ascii="Arial" w:cs="Arial" w:eastAsia="Arial" w:hAnsi="Arial"/>
                <w:sz w:val="14"/>
                <w:szCs w:val="14"/>
                <w:color w:val="auto"/>
              </w:rPr>
              <w:t>China Search</w:t>
            </w:r>
          </w:p>
        </w:tc>
        <w:tc>
          <w:tcPr>
            <w:tcW w:w="1980" w:type="dxa"/>
            <w:vAlign w:val="bottom"/>
          </w:tcPr>
          <w:p>
            <w:pPr>
              <w:spacing w:after="0"/>
              <w:rPr>
                <w:sz w:val="20"/>
                <w:szCs w:val="20"/>
                <w:color w:val="auto"/>
              </w:rPr>
            </w:pPr>
            <w:r>
              <w:rPr>
                <w:rFonts w:ascii="Arial" w:cs="Arial" w:eastAsia="Arial" w:hAnsi="Arial"/>
                <w:sz w:val="14"/>
                <w:szCs w:val="14"/>
                <w:color w:val="auto"/>
              </w:rPr>
              <w:t>31</w:t>
            </w:r>
            <w:r>
              <w:rPr>
                <w:rFonts w:ascii="Arial" w:cs="Arial" w:eastAsia="Arial" w:hAnsi="Arial"/>
                <w:sz w:val="12"/>
                <w:szCs w:val="12"/>
                <w:color w:val="auto"/>
              </w:rPr>
              <w:t>st</w:t>
            </w:r>
            <w:r>
              <w:rPr>
                <w:rFonts w:ascii="Arial" w:cs="Arial" w:eastAsia="Arial" w:hAnsi="Arial"/>
                <w:sz w:val="14"/>
                <w:szCs w:val="14"/>
                <w:color w:val="auto"/>
              </w:rPr>
              <w:t xml:space="preserve"> Floor, Prosperity Millennia</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w w:val="95"/>
              </w:rPr>
              <w:t>September 17,</w:t>
            </w:r>
          </w:p>
        </w:tc>
        <w:tc>
          <w:tcPr>
            <w:tcW w:w="760" w:type="dxa"/>
            <w:vAlign w:val="bottom"/>
            <w:gridSpan w:val="2"/>
          </w:tcPr>
          <w:p>
            <w:pPr>
              <w:jc w:val="right"/>
              <w:ind w:right="91"/>
              <w:spacing w:after="0"/>
              <w:rPr>
                <w:sz w:val="20"/>
                <w:szCs w:val="20"/>
                <w:color w:val="auto"/>
              </w:rPr>
            </w:pPr>
            <w:r>
              <w:rPr>
                <w:rFonts w:ascii="Arial" w:cs="Arial" w:eastAsia="Arial" w:hAnsi="Arial"/>
                <w:sz w:val="14"/>
                <w:szCs w:val="14"/>
                <w:color w:val="auto"/>
              </w:rPr>
              <w:t>1506578</w:t>
            </w:r>
          </w:p>
        </w:tc>
        <w:tc>
          <w:tcPr>
            <w:tcW w:w="10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1000" w:type="dxa"/>
            <w:vAlign w:val="bottom"/>
            <w:gridSpan w:val="2"/>
          </w:tcPr>
          <w:p>
            <w:pPr>
              <w:spacing w:after="0"/>
              <w:rPr>
                <w:sz w:val="20"/>
                <w:szCs w:val="20"/>
                <w:color w:val="auto"/>
              </w:rPr>
            </w:pPr>
            <w:r>
              <w:rPr>
                <w:rFonts w:ascii="Arial" w:cs="Arial" w:eastAsia="Arial" w:hAnsi="Arial"/>
                <w:sz w:val="14"/>
                <w:szCs w:val="14"/>
                <w:color w:val="auto"/>
              </w:rPr>
              <w:t>Hsieh, Wing</w:t>
            </w:r>
          </w:p>
        </w:tc>
        <w:tc>
          <w:tcPr>
            <w:tcW w:w="880" w:type="dxa"/>
            <w:vAlign w:val="bottom"/>
            <w:gridSpan w:val="2"/>
          </w:tcPr>
          <w:p>
            <w:pPr>
              <w:spacing w:after="0"/>
              <w:rPr>
                <w:sz w:val="20"/>
                <w:szCs w:val="20"/>
                <w:color w:val="auto"/>
              </w:rPr>
            </w:pPr>
            <w:r>
              <w:rPr>
                <w:rFonts w:ascii="Arial" w:cs="Arial" w:eastAsia="Arial" w:hAnsi="Arial"/>
                <w:sz w:val="14"/>
                <w:szCs w:val="14"/>
                <w:color w:val="auto"/>
              </w:rPr>
              <w:t>1 ordinary</w:t>
            </w:r>
          </w:p>
        </w:tc>
        <w:tc>
          <w:tcPr>
            <w:tcW w:w="760" w:type="dxa"/>
            <w:vAlign w:val="bottom"/>
          </w:tcPr>
          <w:p>
            <w:pP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Search Asia</w:t>
            </w: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Harmattan Capital</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(Asia) Limited</w:t>
            </w: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Plaza, 663 King’s Road, North</w:t>
            </w: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color w:val="auto"/>
              </w:rPr>
              <w:t>Hong Sammy</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share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Technology (SZ)</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Holdings Corporation</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Point, Hong Kong</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HK$1 each</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Ltd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-2289810</wp:posOffset>
            </wp:positionV>
            <wp:extent cx="763270" cy="1028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3270" cy="10287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-2161540</wp:posOffset>
            </wp:positionV>
            <wp:extent cx="317500" cy="1028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1750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660400" cy="1028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6040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643255" cy="10287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43255" cy="10287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-334645</wp:posOffset>
            </wp:positionV>
            <wp:extent cx="746125" cy="10287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46125" cy="10287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-205740</wp:posOffset>
            </wp:positionV>
            <wp:extent cx="540385" cy="1028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40385" cy="10287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420"/>
          </w:cols>
          <w:pgMar w:left="240" w:top="253" w:right="23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Name of Company</w:t>
            </w:r>
          </w:p>
        </w:tc>
        <w:tc>
          <w:tcPr>
            <w:tcW w:w="40" w:type="dxa"/>
            <w:vAlign w:val="bottom"/>
          </w:tcPr>
          <w:p>
            <w:pPr>
              <w:spacing w:after="0"/>
              <w:rPr>
                <w:sz w:val="14"/>
                <w:szCs w:val="14"/>
                <w:color w:val="auto"/>
              </w:rPr>
            </w:pPr>
          </w:p>
        </w:tc>
        <w:tc>
          <w:tcPr>
            <w:tcW w:w="23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Registered Address</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Incorporation</w:t>
            </w: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4"/>
                <w:szCs w:val="14"/>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Place of</w:t>
            </w:r>
          </w:p>
        </w:tc>
        <w:tc>
          <w:tcPr>
            <w:tcW w:w="10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Director(s)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Authorised</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w:t>
            </w: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2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00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w:t>
            </w: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w w:val="93"/>
              </w:rPr>
              <w:t>Incorporation</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1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iClick Interactive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809 French Road, #05-102 Kitchener</w:t>
            </w:r>
          </w:p>
        </w:tc>
        <w:tc>
          <w:tcPr>
            <w:tcW w:w="80" w:type="dxa"/>
            <w:vAlign w:val="bottom"/>
          </w:tcPr>
          <w:p>
            <w:pPr>
              <w:spacing w:after="0"/>
              <w:rPr>
                <w:sz w:val="9"/>
                <w:szCs w:val="9"/>
                <w:color w:val="auto"/>
              </w:rPr>
            </w:pPr>
          </w:p>
        </w:tc>
        <w:tc>
          <w:tcPr>
            <w:tcW w:w="92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January 24,</w:t>
            </w: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2011021</w:t>
            </w: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Singapore</w:t>
            </w: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 Hsieh,</w:t>
            </w: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50,000</w:t>
            </w: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50,000</w:t>
            </w:r>
          </w:p>
        </w:tc>
        <w:tc>
          <w:tcPr>
            <w:tcW w:w="120" w:type="dxa"/>
            <w:vAlign w:val="bottom"/>
          </w:tcPr>
          <w:p>
            <w:pPr>
              <w:spacing w:after="0"/>
              <w:rPr>
                <w:sz w:val="9"/>
                <w:szCs w:val="9"/>
                <w:color w:val="auto"/>
              </w:rPr>
            </w:pPr>
          </w:p>
        </w:tc>
        <w:tc>
          <w:tcPr>
            <w:tcW w:w="11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Nil</w:t>
            </w:r>
          </w:p>
        </w:tc>
        <w:tc>
          <w:tcPr>
            <w:tcW w:w="100" w:type="dxa"/>
            <w:vAlign w:val="bottom"/>
          </w:tcPr>
          <w:p>
            <w:pPr>
              <w:spacing w:after="0"/>
              <w:rPr>
                <w:sz w:val="9"/>
                <w:szCs w:val="9"/>
                <w:color w:val="auto"/>
              </w:rPr>
            </w:pPr>
          </w:p>
        </w:tc>
        <w:tc>
          <w:tcPr>
            <w:tcW w:w="11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Optimix Media</w:t>
            </w: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(Singapore) Pte.</w:t>
            </w:r>
          </w:p>
        </w:tc>
        <w:tc>
          <w:tcPr>
            <w:tcW w:w="23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Complex, Singapore (200809)</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rPr>
              <w:t>23M</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Wing Hong</w:t>
            </w: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ordinary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Asia Limited</w:t>
            </w:r>
          </w:p>
        </w:tc>
        <w:tc>
          <w:tcPr>
            <w:tcW w:w="0" w:type="dxa"/>
            <w:vAlign w:val="bottom"/>
          </w:tcPr>
          <w:p>
            <w:pPr>
              <w:spacing w:after="0"/>
              <w:rPr>
                <w:sz w:val="1"/>
                <w:szCs w:val="1"/>
                <w:color w:val="auto"/>
              </w:rPr>
            </w:pPr>
          </w:p>
        </w:tc>
      </w:tr>
      <w:tr>
        <w:trPr>
          <w:trHeight w:val="157"/>
        </w:trPr>
        <w:tc>
          <w:tcPr>
            <w:tcW w:w="1220" w:type="dxa"/>
            <w:vAlign w:val="bottom"/>
            <w:gridSpan w:val="2"/>
          </w:tcPr>
          <w:p>
            <w:pPr>
              <w:spacing w:after="0" w:line="157" w:lineRule="exact"/>
              <w:rPr>
                <w:sz w:val="20"/>
                <w:szCs w:val="20"/>
                <w:color w:val="auto"/>
              </w:rPr>
            </w:pPr>
            <w:r>
              <w:rPr>
                <w:rFonts w:ascii="Arial" w:cs="Arial" w:eastAsia="Arial" w:hAnsi="Arial"/>
                <w:sz w:val="14"/>
                <w:szCs w:val="14"/>
                <w:color w:val="auto"/>
              </w:rPr>
              <w:t>Ltd.</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gridSpan w:val="3"/>
          </w:tcPr>
          <w:p>
            <w:pPr>
              <w:ind w:left="100"/>
              <w:spacing w:after="0" w:line="157" w:lineRule="exact"/>
              <w:rPr>
                <w:sz w:val="20"/>
                <w:szCs w:val="20"/>
                <w:color w:val="auto"/>
              </w:rPr>
            </w:pPr>
            <w:r>
              <w:rPr>
                <w:rFonts w:ascii="Arial" w:cs="Arial" w:eastAsia="Arial" w:hAnsi="Arial"/>
                <w:sz w:val="14"/>
                <w:szCs w:val="14"/>
                <w:color w:val="auto"/>
              </w:rPr>
              <w:t>Sammy</w:t>
            </w:r>
          </w:p>
        </w:tc>
        <w:tc>
          <w:tcPr>
            <w:tcW w:w="900" w:type="dxa"/>
            <w:vAlign w:val="bottom"/>
            <w:gridSpan w:val="2"/>
          </w:tcPr>
          <w:p>
            <w:pPr>
              <w:spacing w:after="0" w:line="157" w:lineRule="exact"/>
              <w:rPr>
                <w:sz w:val="20"/>
                <w:szCs w:val="20"/>
                <w:color w:val="auto"/>
              </w:rPr>
            </w:pPr>
            <w:r>
              <w:rPr>
                <w:rFonts w:ascii="Arial" w:cs="Arial" w:eastAsia="Arial" w:hAnsi="Arial"/>
                <w:sz w:val="14"/>
                <w:szCs w:val="14"/>
                <w:color w:val="auto"/>
              </w:rPr>
              <w:t>shares of</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color w:val="auto"/>
              </w:rPr>
              <w:t>2. Goh Soo</w:t>
            </w:r>
          </w:p>
        </w:tc>
        <w:tc>
          <w:tcPr>
            <w:tcW w:w="900" w:type="dxa"/>
            <w:vAlign w:val="bottom"/>
            <w:gridSpan w:val="2"/>
          </w:tcPr>
          <w:p>
            <w:pPr>
              <w:spacing w:after="0"/>
              <w:rPr>
                <w:sz w:val="20"/>
                <w:szCs w:val="20"/>
                <w:color w:val="auto"/>
              </w:rPr>
            </w:pPr>
            <w:r>
              <w:rPr>
                <w:rFonts w:ascii="Arial" w:cs="Arial" w:eastAsia="Arial" w:hAnsi="Arial"/>
                <w:sz w:val="14"/>
                <w:szCs w:val="14"/>
                <w:color w:val="auto"/>
              </w:rPr>
              <w:t>SGD1 each</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Chao</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220" w:type="dxa"/>
            <w:vAlign w:val="bottom"/>
            <w:gridSpan w:val="2"/>
          </w:tcPr>
          <w:p>
            <w:pPr>
              <w:spacing w:after="0"/>
              <w:rPr>
                <w:sz w:val="20"/>
                <w:szCs w:val="20"/>
                <w:color w:val="auto"/>
              </w:rPr>
            </w:pPr>
            <w:r>
              <w:rPr>
                <w:rFonts w:ascii="Arial" w:cs="Arial" w:eastAsia="Arial" w:hAnsi="Arial"/>
                <w:sz w:val="14"/>
                <w:szCs w:val="14"/>
                <w:color w:val="auto"/>
              </w:rPr>
              <w:t>iClick Interactive</w:t>
            </w:r>
          </w:p>
        </w:tc>
        <w:tc>
          <w:tcPr>
            <w:tcW w:w="2280" w:type="dxa"/>
            <w:vAlign w:val="bottom"/>
            <w:gridSpan w:val="2"/>
          </w:tcPr>
          <w:p>
            <w:pPr>
              <w:ind w:left="4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April 9, 2015</w:t>
            </w:r>
          </w:p>
        </w:tc>
        <w:tc>
          <w:tcPr>
            <w:tcW w:w="660" w:type="dxa"/>
            <w:vAlign w:val="bottom"/>
          </w:tcPr>
          <w:p>
            <w:pPr>
              <w:spacing w:after="0"/>
              <w:rPr>
                <w:sz w:val="20"/>
                <w:szCs w:val="20"/>
                <w:color w:val="auto"/>
              </w:rPr>
            </w:pPr>
            <w:r>
              <w:rPr>
                <w:rFonts w:ascii="Arial" w:cs="Arial" w:eastAsia="Arial" w:hAnsi="Arial"/>
                <w:sz w:val="14"/>
                <w:szCs w:val="14"/>
                <w:color w:val="auto"/>
              </w:rPr>
              <w:t>1040105</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w w:val="92"/>
              </w:rPr>
              <w:t>Taipei, Taiwan</w:t>
            </w: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Hsieh, Wing</w:t>
            </w:r>
          </w:p>
        </w:tc>
        <w:tc>
          <w:tcPr>
            <w:tcW w:w="900" w:type="dxa"/>
            <w:vAlign w:val="bottom"/>
            <w:gridSpan w:val="2"/>
          </w:tcPr>
          <w:p>
            <w:pPr>
              <w:spacing w:after="0"/>
              <w:rPr>
                <w:sz w:val="20"/>
                <w:szCs w:val="20"/>
                <w:color w:val="auto"/>
              </w:rPr>
            </w:pPr>
            <w:r>
              <w:rPr>
                <w:rFonts w:ascii="Arial" w:cs="Arial" w:eastAsia="Arial" w:hAnsi="Arial"/>
                <w:sz w:val="14"/>
                <w:szCs w:val="14"/>
                <w:color w:val="auto"/>
              </w:rPr>
              <w:t>NTD</w:t>
            </w:r>
          </w:p>
        </w:tc>
        <w:tc>
          <w:tcPr>
            <w:tcW w:w="900" w:type="dxa"/>
            <w:vAlign w:val="bottom"/>
            <w:gridSpan w:val="2"/>
          </w:tcPr>
          <w:p>
            <w:pPr>
              <w:spacing w:after="0"/>
              <w:rPr>
                <w:sz w:val="20"/>
                <w:szCs w:val="20"/>
                <w:color w:val="auto"/>
              </w:rPr>
            </w:pPr>
            <w:r>
              <w:rPr>
                <w:rFonts w:ascii="Arial" w:cs="Arial" w:eastAsia="Arial" w:hAnsi="Arial"/>
                <w:sz w:val="14"/>
                <w:szCs w:val="14"/>
                <w:color w:val="auto"/>
              </w:rPr>
              <w:t>NTD</w:t>
            </w:r>
          </w:p>
        </w:tc>
        <w:tc>
          <w:tcPr>
            <w:tcW w:w="1160" w:type="dxa"/>
            <w:vAlign w:val="bottom"/>
          </w:tcPr>
          <w:p>
            <w:pPr>
              <w:spacing w:after="0"/>
              <w:rPr>
                <w:sz w:val="20"/>
                <w:szCs w:val="20"/>
                <w:color w:val="auto"/>
              </w:rPr>
            </w:pPr>
            <w:r>
              <w:rPr>
                <w:rFonts w:ascii="Arial" w:cs="Arial" w:eastAsia="Arial" w:hAnsi="Arial"/>
                <w:sz w:val="14"/>
                <w:szCs w:val="14"/>
                <w:color w:val="auto"/>
              </w:rPr>
              <w:t>Nil</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iClick Interactive</w:t>
            </w:r>
          </w:p>
        </w:tc>
        <w:tc>
          <w:tcPr>
            <w:tcW w:w="0" w:type="dxa"/>
            <w:vAlign w:val="bottom"/>
          </w:tcPr>
          <w:p>
            <w:pPr>
              <w:spacing w:after="0"/>
              <w:rPr>
                <w:sz w:val="1"/>
                <w:szCs w:val="1"/>
                <w:color w:val="auto"/>
              </w:rPr>
            </w:pPr>
          </w:p>
        </w:tc>
      </w:tr>
      <w:tr>
        <w:trPr>
          <w:trHeight w:val="137"/>
        </w:trPr>
        <w:tc>
          <w:tcPr>
            <w:tcW w:w="1220" w:type="dxa"/>
            <w:vAlign w:val="bottom"/>
            <w:gridSpan w:val="2"/>
          </w:tcPr>
          <w:p>
            <w:pPr>
              <w:spacing w:after="0" w:line="137" w:lineRule="exact"/>
              <w:rPr>
                <w:sz w:val="20"/>
                <w:szCs w:val="20"/>
                <w:color w:val="auto"/>
              </w:rPr>
            </w:pPr>
            <w:r>
              <w:rPr>
                <w:rFonts w:ascii="Arial" w:cs="Arial" w:eastAsia="Arial" w:hAnsi="Arial"/>
                <w:sz w:val="14"/>
                <w:szCs w:val="14"/>
                <w:color w:val="auto"/>
              </w:rPr>
              <w:t>Asia Limited</w:t>
            </w: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7" w:lineRule="exact"/>
              <w:rPr>
                <w:sz w:val="20"/>
                <w:szCs w:val="20"/>
                <w:color w:val="auto"/>
              </w:rPr>
            </w:pPr>
            <w:r>
              <w:rPr>
                <w:rFonts w:ascii="Arial" w:cs="Arial" w:eastAsia="Arial" w:hAnsi="Arial"/>
                <w:sz w:val="14"/>
                <w:szCs w:val="14"/>
                <w:color w:val="auto"/>
              </w:rPr>
              <w:t>1470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3"/>
          </w:tcPr>
          <w:p>
            <w:pPr>
              <w:ind w:left="100"/>
              <w:spacing w:after="0" w:line="137" w:lineRule="exact"/>
              <w:rPr>
                <w:sz w:val="20"/>
                <w:szCs w:val="20"/>
                <w:color w:val="auto"/>
              </w:rPr>
            </w:pPr>
            <w:r>
              <w:rPr>
                <w:rFonts w:ascii="Arial" w:cs="Arial" w:eastAsia="Arial" w:hAnsi="Arial"/>
                <w:sz w:val="14"/>
                <w:szCs w:val="14"/>
                <w:color w:val="auto"/>
              </w:rPr>
              <w:t>Hong Sammy</w:t>
            </w:r>
          </w:p>
        </w:tc>
        <w:tc>
          <w:tcPr>
            <w:tcW w:w="800" w:type="dxa"/>
            <w:vAlign w:val="bottom"/>
          </w:tcPr>
          <w:p>
            <w:pPr>
              <w:spacing w:after="0" w:line="137"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1"/>
                <w:szCs w:val="11"/>
                <w:color w:val="auto"/>
              </w:rPr>
            </w:pPr>
          </w:p>
        </w:tc>
        <w:tc>
          <w:tcPr>
            <w:tcW w:w="780" w:type="dxa"/>
            <w:vAlign w:val="bottom"/>
          </w:tcPr>
          <w:p>
            <w:pPr>
              <w:spacing w:after="0" w:line="137"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Asia Limited</w:t>
            </w:r>
          </w:p>
        </w:tc>
        <w:tc>
          <w:tcPr>
            <w:tcW w:w="0" w:type="dxa"/>
            <w:vAlign w:val="bottom"/>
          </w:tcPr>
          <w:p>
            <w:pPr>
              <w:spacing w:after="0"/>
              <w:rPr>
                <w:sz w:val="1"/>
                <w:szCs w:val="1"/>
                <w:color w:val="auto"/>
              </w:rPr>
            </w:pPr>
          </w:p>
        </w:tc>
      </w:tr>
      <w:tr>
        <w:trPr>
          <w:trHeight w:val="182"/>
        </w:trPr>
        <w:tc>
          <w:tcPr>
            <w:tcW w:w="1220" w:type="dxa"/>
            <w:vAlign w:val="bottom"/>
            <w:gridSpan w:val="2"/>
          </w:tcPr>
          <w:p>
            <w:pPr>
              <w:spacing w:after="0"/>
              <w:rPr>
                <w:sz w:val="20"/>
                <w:szCs w:val="20"/>
                <w:color w:val="auto"/>
              </w:rPr>
            </w:pPr>
            <w:r>
              <w:rPr>
                <w:rFonts w:ascii="Arial" w:cs="Arial" w:eastAsia="Arial" w:hAnsi="Arial"/>
                <w:sz w:val="14"/>
                <w:szCs w:val="14"/>
                <w:color w:val="auto"/>
              </w:rPr>
              <w:t>Taiwan Branch</w:t>
            </w: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236"/>
        </w:trPr>
        <w:tc>
          <w:tcPr>
            <w:tcW w:w="1220" w:type="dxa"/>
            <w:vAlign w:val="bottom"/>
            <w:gridSpan w:val="2"/>
          </w:tcPr>
          <w:p>
            <w:pPr>
              <w:spacing w:after="0"/>
              <w:rPr>
                <w:sz w:val="20"/>
                <w:szCs w:val="20"/>
                <w:color w:val="auto"/>
              </w:rPr>
            </w:pPr>
            <w:r>
              <w:rPr>
                <w:rFonts w:ascii="Arial" w:cs="Arial" w:eastAsia="Arial" w:hAnsi="Arial"/>
                <w:sz w:val="14"/>
                <w:szCs w:val="14"/>
                <w:color w:val="auto"/>
              </w:rPr>
              <w:t>iClick Interactive</w:t>
            </w:r>
          </w:p>
        </w:tc>
        <w:tc>
          <w:tcPr>
            <w:tcW w:w="2360" w:type="dxa"/>
            <w:vAlign w:val="bottom"/>
            <w:gridSpan w:val="3"/>
          </w:tcPr>
          <w:p>
            <w:pPr>
              <w:ind w:left="40"/>
              <w:spacing w:after="0"/>
              <w:rPr>
                <w:sz w:val="20"/>
                <w:szCs w:val="20"/>
                <w:color w:val="auto"/>
              </w:rPr>
            </w:pPr>
            <w:r>
              <w:rPr>
                <w:rFonts w:ascii="Arial" w:cs="Arial" w:eastAsia="Arial" w:hAnsi="Arial"/>
                <w:sz w:val="14"/>
                <w:szCs w:val="14"/>
                <w:color w:val="auto"/>
              </w:rPr>
              <w:t>Room 806, Floor 7, Block 237,</w:t>
            </w:r>
          </w:p>
        </w:tc>
        <w:tc>
          <w:tcPr>
            <w:tcW w:w="1000" w:type="dxa"/>
            <w:vAlign w:val="bottom"/>
            <w:gridSpan w:val="2"/>
          </w:tcPr>
          <w:p>
            <w:pPr>
              <w:spacing w:after="0"/>
              <w:rPr>
                <w:sz w:val="20"/>
                <w:szCs w:val="20"/>
                <w:color w:val="auto"/>
              </w:rPr>
            </w:pPr>
            <w:r>
              <w:rPr>
                <w:rFonts w:ascii="Arial" w:cs="Arial" w:eastAsia="Arial" w:hAnsi="Arial"/>
                <w:sz w:val="14"/>
                <w:szCs w:val="14"/>
                <w:color w:val="auto"/>
              </w:rPr>
              <w:t>January 25,</w:t>
            </w:r>
          </w:p>
        </w:tc>
        <w:tc>
          <w:tcPr>
            <w:tcW w:w="660" w:type="dxa"/>
            <w:vAlign w:val="bottom"/>
          </w:tcPr>
          <w:p>
            <w:pPr>
              <w:spacing w:after="0"/>
              <w:rPr>
                <w:sz w:val="20"/>
                <w:szCs w:val="20"/>
                <w:color w:val="auto"/>
              </w:rPr>
            </w:pPr>
            <w:r>
              <w:rPr>
                <w:rFonts w:ascii="Arial" w:cs="Arial" w:eastAsia="Arial" w:hAnsi="Arial"/>
                <w:sz w:val="14"/>
                <w:szCs w:val="14"/>
                <w:color w:val="auto"/>
              </w:rPr>
              <w:t>9111010</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The People’s</w:t>
            </w: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Ng Yau Ping</w:t>
            </w:r>
          </w:p>
        </w:tc>
        <w:tc>
          <w:tcPr>
            <w:tcW w:w="900" w:type="dxa"/>
            <w:vAlign w:val="bottom"/>
            <w:gridSpan w:val="2"/>
          </w:tcPr>
          <w:p>
            <w:pPr>
              <w:spacing w:after="0"/>
              <w:rPr>
                <w:sz w:val="20"/>
                <w:szCs w:val="20"/>
                <w:color w:val="auto"/>
              </w:rPr>
            </w:pPr>
            <w:r>
              <w:rPr>
                <w:rFonts w:ascii="Arial" w:cs="Arial" w:eastAsia="Arial" w:hAnsi="Arial"/>
                <w:sz w:val="14"/>
                <w:szCs w:val="14"/>
                <w:color w:val="auto"/>
              </w:rPr>
              <w:t>RMB90,000,</w:t>
            </w:r>
          </w:p>
        </w:tc>
        <w:tc>
          <w:tcPr>
            <w:tcW w:w="900" w:type="dxa"/>
            <w:vAlign w:val="bottom"/>
            <w:gridSpan w:val="2"/>
          </w:tcPr>
          <w:p>
            <w:pPr>
              <w:spacing w:after="0"/>
              <w:rPr>
                <w:sz w:val="20"/>
                <w:szCs w:val="20"/>
                <w:color w:val="auto"/>
              </w:rPr>
            </w:pPr>
            <w:r>
              <w:rPr>
                <w:rFonts w:ascii="Arial" w:cs="Arial" w:eastAsia="Arial" w:hAnsi="Arial"/>
                <w:sz w:val="14"/>
                <w:szCs w:val="14"/>
                <w:color w:val="auto"/>
              </w:rPr>
              <w:t>RMB90,00</w:t>
            </w:r>
          </w:p>
        </w:tc>
        <w:tc>
          <w:tcPr>
            <w:tcW w:w="1160" w:type="dxa"/>
            <w:vAlign w:val="bottom"/>
          </w:tcPr>
          <w:p>
            <w:pPr>
              <w:spacing w:after="0"/>
              <w:rPr>
                <w:sz w:val="20"/>
                <w:szCs w:val="20"/>
                <w:color w:val="auto"/>
              </w:rPr>
            </w:pPr>
            <w:r>
              <w:rPr>
                <w:rFonts w:ascii="Arial" w:cs="Arial" w:eastAsia="Arial" w:hAnsi="Arial"/>
                <w:sz w:val="14"/>
                <w:szCs w:val="14"/>
                <w:color w:val="auto"/>
              </w:rPr>
              <w:t>Nil</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Digital Marketing</w:t>
            </w: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(Beijing)</w:t>
            </w:r>
          </w:p>
        </w:tc>
        <w:tc>
          <w:tcPr>
            <w:tcW w:w="23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Chaoyang North Road, Chaoyang,</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rPr>
              <w:t>5563603</w:t>
            </w: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Republic of</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color w:val="auto"/>
              </w:rPr>
              <w:t>0,000</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Group Limited</w:t>
            </w: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Advertisement</w:t>
            </w:r>
          </w:p>
        </w:tc>
        <w:tc>
          <w:tcPr>
            <w:tcW w:w="23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Beijing, China, 100123</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rPr>
              <w:t>77XH</w:t>
            </w: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China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20" w:type="dxa"/>
            <w:vAlign w:val="bottom"/>
            <w:gridSpan w:val="2"/>
          </w:tcPr>
          <w:p>
            <w:pPr>
              <w:spacing w:after="0"/>
              <w:rPr>
                <w:sz w:val="20"/>
                <w:szCs w:val="20"/>
                <w:color w:val="auto"/>
              </w:rPr>
            </w:pPr>
            <w:r>
              <w:rPr>
                <w:rFonts w:ascii="Arial" w:cs="Arial" w:eastAsia="Arial" w:hAnsi="Arial"/>
                <w:sz w:val="14"/>
                <w:szCs w:val="14"/>
                <w:color w:val="auto"/>
              </w:rPr>
              <w:t>Co., Ltd.</w:t>
            </w: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1"/>
        </w:trPr>
        <w:tc>
          <w:tcPr>
            <w:tcW w:w="1220" w:type="dxa"/>
            <w:vAlign w:val="bottom"/>
            <w:gridSpan w:val="2"/>
          </w:tcPr>
          <w:p>
            <w:pPr>
              <w:spacing w:after="0"/>
              <w:rPr>
                <w:sz w:val="20"/>
                <w:szCs w:val="20"/>
                <w:color w:val="auto"/>
              </w:rPr>
            </w:pPr>
            <w:r>
              <w:rPr>
                <w:rFonts w:ascii="Arial" w:cs="Arial" w:eastAsia="Arial" w:hAnsi="Arial"/>
                <w:sz w:val="14"/>
                <w:szCs w:val="14"/>
                <w:color w:val="auto"/>
              </w:rPr>
              <w:t>Search Asia</w:t>
            </w:r>
          </w:p>
        </w:tc>
        <w:tc>
          <w:tcPr>
            <w:tcW w:w="2360" w:type="dxa"/>
            <w:vAlign w:val="bottom"/>
            <w:gridSpan w:val="3"/>
          </w:tcPr>
          <w:p>
            <w:pPr>
              <w:ind w:left="40"/>
              <w:spacing w:after="0"/>
              <w:rPr>
                <w:sz w:val="20"/>
                <w:szCs w:val="20"/>
                <w:color w:val="auto"/>
              </w:rPr>
            </w:pPr>
            <w:r>
              <w:rPr>
                <w:rFonts w:ascii="Arial" w:cs="Arial" w:eastAsia="Arial" w:hAnsi="Arial"/>
                <w:sz w:val="14"/>
                <w:szCs w:val="14"/>
                <w:color w:val="auto"/>
                <w:w w:val="98"/>
              </w:rPr>
              <w:t>Room 206, Floor 2, Honglong Central</w:t>
            </w:r>
          </w:p>
        </w:tc>
        <w:tc>
          <w:tcPr>
            <w:tcW w:w="1000" w:type="dxa"/>
            <w:vAlign w:val="bottom"/>
            <w:gridSpan w:val="2"/>
          </w:tcPr>
          <w:p>
            <w:pPr>
              <w:spacing w:after="0"/>
              <w:rPr>
                <w:sz w:val="20"/>
                <w:szCs w:val="20"/>
                <w:color w:val="auto"/>
              </w:rPr>
            </w:pPr>
            <w:r>
              <w:rPr>
                <w:rFonts w:ascii="Arial" w:cs="Arial" w:eastAsia="Arial" w:hAnsi="Arial"/>
                <w:sz w:val="14"/>
                <w:szCs w:val="14"/>
                <w:color w:val="auto"/>
              </w:rPr>
              <w:t>January 30,</w:t>
            </w:r>
          </w:p>
        </w:tc>
        <w:tc>
          <w:tcPr>
            <w:tcW w:w="660" w:type="dxa"/>
            <w:vAlign w:val="bottom"/>
          </w:tcPr>
          <w:p>
            <w:pPr>
              <w:spacing w:after="0"/>
              <w:rPr>
                <w:sz w:val="20"/>
                <w:szCs w:val="20"/>
                <w:color w:val="auto"/>
              </w:rPr>
            </w:pPr>
            <w:r>
              <w:rPr>
                <w:rFonts w:ascii="Arial" w:cs="Arial" w:eastAsia="Arial" w:hAnsi="Arial"/>
                <w:sz w:val="14"/>
                <w:szCs w:val="14"/>
                <w:color w:val="auto"/>
              </w:rPr>
              <w:t>4403015</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The People’s</w:t>
            </w: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Hsieh, Wing</w:t>
            </w:r>
          </w:p>
        </w:tc>
        <w:tc>
          <w:tcPr>
            <w:tcW w:w="900" w:type="dxa"/>
            <w:vAlign w:val="bottom"/>
            <w:gridSpan w:val="2"/>
          </w:tcPr>
          <w:p>
            <w:pPr>
              <w:spacing w:after="0"/>
              <w:rPr>
                <w:sz w:val="20"/>
                <w:szCs w:val="20"/>
                <w:color w:val="auto"/>
              </w:rPr>
            </w:pPr>
            <w:r>
              <w:rPr>
                <w:rFonts w:ascii="Arial" w:cs="Arial" w:eastAsia="Arial" w:hAnsi="Arial"/>
                <w:sz w:val="14"/>
                <w:szCs w:val="14"/>
                <w:color w:val="auto"/>
              </w:rPr>
              <w:t>RMB1,000,0</w:t>
            </w:r>
          </w:p>
        </w:tc>
        <w:tc>
          <w:tcPr>
            <w:tcW w:w="900" w:type="dxa"/>
            <w:vAlign w:val="bottom"/>
            <w:gridSpan w:val="2"/>
          </w:tcPr>
          <w:p>
            <w:pPr>
              <w:spacing w:after="0"/>
              <w:rPr>
                <w:sz w:val="20"/>
                <w:szCs w:val="20"/>
                <w:color w:val="auto"/>
              </w:rPr>
            </w:pPr>
            <w:r>
              <w:rPr>
                <w:rFonts w:ascii="Arial" w:cs="Arial" w:eastAsia="Arial" w:hAnsi="Arial"/>
                <w:sz w:val="14"/>
                <w:szCs w:val="14"/>
                <w:color w:val="auto"/>
              </w:rPr>
              <w:t>RMB1,000,</w:t>
            </w:r>
          </w:p>
        </w:tc>
        <w:tc>
          <w:tcPr>
            <w:tcW w:w="1160" w:type="dxa"/>
            <w:vAlign w:val="bottom"/>
          </w:tcPr>
          <w:p>
            <w:pPr>
              <w:spacing w:after="0"/>
              <w:rPr>
                <w:sz w:val="20"/>
                <w:szCs w:val="20"/>
                <w:color w:val="auto"/>
              </w:rPr>
            </w:pPr>
            <w:r>
              <w:rPr>
                <w:rFonts w:ascii="Arial" w:cs="Arial" w:eastAsia="Arial" w:hAnsi="Arial"/>
                <w:sz w:val="14"/>
                <w:szCs w:val="14"/>
                <w:color w:val="auto"/>
              </w:rPr>
              <w:t>Nil</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China Search</w:t>
            </w: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Technology (SZ)</w:t>
            </w:r>
          </w:p>
        </w:tc>
        <w:tc>
          <w:tcPr>
            <w:tcW w:w="23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Square, Guiyuan Road, Luohu,</w:t>
            </w:r>
          </w:p>
        </w:tc>
        <w:tc>
          <w:tcPr>
            <w:tcW w:w="9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w w:val="96"/>
              </w:rPr>
              <w:t>0339322 7</w:t>
            </w: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Republic of</w:t>
            </w:r>
          </w:p>
        </w:tc>
        <w:tc>
          <w:tcPr>
            <w:tcW w:w="1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Hong Sammy</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00</w:t>
            </w:r>
          </w:p>
        </w:tc>
        <w:tc>
          <w:tcPr>
            <w:tcW w:w="10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color w:val="auto"/>
              </w:rPr>
              <w:t>000</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(Asia) Limited</w:t>
            </w:r>
          </w:p>
        </w:tc>
        <w:tc>
          <w:tcPr>
            <w:tcW w:w="0" w:type="dxa"/>
            <w:vAlign w:val="bottom"/>
          </w:tcPr>
          <w:p>
            <w:pPr>
              <w:spacing w:after="0"/>
              <w:rPr>
                <w:sz w:val="1"/>
                <w:szCs w:val="1"/>
                <w:color w:val="auto"/>
              </w:rPr>
            </w:pPr>
          </w:p>
        </w:tc>
      </w:tr>
      <w:tr>
        <w:trPr>
          <w:trHeight w:val="182"/>
        </w:trPr>
        <w:tc>
          <w:tcPr>
            <w:tcW w:w="1220" w:type="dxa"/>
            <w:vAlign w:val="bottom"/>
            <w:gridSpan w:val="2"/>
          </w:tcPr>
          <w:p>
            <w:pPr>
              <w:spacing w:after="0"/>
              <w:rPr>
                <w:sz w:val="20"/>
                <w:szCs w:val="20"/>
                <w:color w:val="auto"/>
              </w:rPr>
            </w:pPr>
            <w:r>
              <w:rPr>
                <w:rFonts w:ascii="Arial" w:cs="Arial" w:eastAsia="Arial" w:hAnsi="Arial"/>
                <w:sz w:val="14"/>
                <w:szCs w:val="14"/>
                <w:color w:val="auto"/>
              </w:rPr>
              <w:t>Ltd</w:t>
            </w:r>
          </w:p>
        </w:tc>
        <w:tc>
          <w:tcPr>
            <w:tcW w:w="2360" w:type="dxa"/>
            <w:vAlign w:val="bottom"/>
            <w:gridSpan w:val="3"/>
          </w:tcPr>
          <w:p>
            <w:pPr>
              <w:ind w:left="40"/>
              <w:spacing w:after="0"/>
              <w:rPr>
                <w:sz w:val="20"/>
                <w:szCs w:val="20"/>
                <w:color w:val="auto"/>
              </w:rPr>
            </w:pPr>
            <w:r>
              <w:rPr>
                <w:rFonts w:ascii="Arial" w:cs="Arial" w:eastAsia="Arial" w:hAnsi="Arial"/>
                <w:sz w:val="14"/>
                <w:szCs w:val="14"/>
                <w:color w:val="auto"/>
                <w:w w:val="94"/>
              </w:rPr>
              <w:t>Shenzhen, Guangdong, China, 518001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China</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-1337945</wp:posOffset>
            </wp:positionV>
            <wp:extent cx="1140460" cy="10287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140460" cy="10287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-1192530</wp:posOffset>
            </wp:positionV>
            <wp:extent cx="531495" cy="1028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-695325</wp:posOffset>
            </wp:positionV>
            <wp:extent cx="2178050" cy="3263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78050" cy="3263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2212340" cy="3600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2123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420"/>
          </w:cols>
          <w:pgMar w:left="240" w:top="253" w:right="239"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161"/>
        </w:trPr>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Name of Company</w:t>
            </w:r>
          </w:p>
        </w:tc>
        <w:tc>
          <w:tcPr>
            <w:tcW w:w="40" w:type="dxa"/>
            <w:vAlign w:val="bottom"/>
          </w:tcPr>
          <w:p>
            <w:pPr>
              <w:spacing w:after="0"/>
              <w:rPr>
                <w:sz w:val="14"/>
                <w:szCs w:val="14"/>
                <w:color w:val="auto"/>
              </w:rPr>
            </w:pPr>
          </w:p>
        </w:tc>
        <w:tc>
          <w:tcPr>
            <w:tcW w:w="23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Registered Address</w:t>
            </w:r>
          </w:p>
        </w:tc>
        <w:tc>
          <w:tcPr>
            <w:tcW w:w="8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95"/>
              </w:rPr>
              <w:t>Incorporation</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860" w:type="dxa"/>
            <w:vAlign w:val="bottom"/>
          </w:tcPr>
          <w:p>
            <w:pPr>
              <w:ind w:left="180"/>
              <w:spacing w:after="0"/>
              <w:rPr>
                <w:sz w:val="20"/>
                <w:szCs w:val="20"/>
                <w:color w:val="auto"/>
              </w:rPr>
            </w:pPr>
            <w:r>
              <w:rPr>
                <w:rFonts w:ascii="Arial" w:cs="Arial" w:eastAsia="Arial" w:hAnsi="Arial"/>
                <w:sz w:val="14"/>
                <w:szCs w:val="14"/>
                <w:b w:val="1"/>
                <w:bCs w:val="1"/>
                <w:color w:val="auto"/>
              </w:rPr>
              <w:t>Place of</w:t>
            </w:r>
          </w:p>
        </w:tc>
        <w:tc>
          <w:tcPr>
            <w:tcW w:w="8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Director(s)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Authorised</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4"/>
                <w:szCs w:val="14"/>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860" w:type="dxa"/>
            <w:vAlign w:val="bottom"/>
          </w:tcPr>
          <w:p>
            <w:pPr>
              <w:spacing w:after="0"/>
              <w:rPr>
                <w:sz w:val="20"/>
                <w:szCs w:val="20"/>
                <w:color w:val="auto"/>
              </w:rPr>
            </w:pPr>
            <w:r>
              <w:rPr>
                <w:rFonts w:ascii="Arial" w:cs="Arial" w:eastAsia="Arial" w:hAnsi="Arial"/>
                <w:sz w:val="14"/>
                <w:szCs w:val="14"/>
                <w:b w:val="1"/>
                <w:bCs w:val="1"/>
                <w:color w:val="auto"/>
                <w:w w:val="93"/>
              </w:rPr>
              <w:t>Incorporation</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1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Performance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3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31</w:t>
            </w:r>
            <w:r>
              <w:rPr>
                <w:rFonts w:ascii="Arial" w:cs="Arial" w:eastAsia="Arial" w:hAnsi="Arial"/>
                <w:sz w:val="10"/>
                <w:szCs w:val="10"/>
                <w:color w:val="auto"/>
              </w:rPr>
              <w:t>st</w:t>
            </w:r>
            <w:r>
              <w:rPr>
                <w:rFonts w:ascii="Arial" w:cs="Arial" w:eastAsia="Arial" w:hAnsi="Arial"/>
                <w:sz w:val="12"/>
                <w:szCs w:val="12"/>
                <w:color w:val="auto"/>
              </w:rPr>
              <w:t xml:space="preserve"> Floor, Prosperity Millennia Plaza,</w:t>
            </w:r>
          </w:p>
        </w:tc>
        <w:tc>
          <w:tcPr>
            <w:tcW w:w="80" w:type="dxa"/>
            <w:vAlign w:val="bottom"/>
          </w:tcPr>
          <w:p>
            <w:pPr>
              <w:spacing w:after="0"/>
              <w:rPr>
                <w:sz w:val="9"/>
                <w:szCs w:val="9"/>
                <w:color w:val="auto"/>
              </w:rPr>
            </w:pPr>
          </w:p>
        </w:tc>
        <w:tc>
          <w:tcPr>
            <w:tcW w:w="9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January</w:t>
            </w: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1854204</w:t>
            </w: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Hong Kong</w:t>
            </w:r>
          </w:p>
        </w:tc>
        <w:tc>
          <w:tcPr>
            <w:tcW w:w="80" w:type="dxa"/>
            <w:vAlign w:val="bottom"/>
          </w:tcPr>
          <w:p>
            <w:pPr>
              <w:spacing w:after="0"/>
              <w:rPr>
                <w:sz w:val="9"/>
                <w:szCs w:val="9"/>
                <w:color w:val="auto"/>
              </w:rPr>
            </w:pPr>
          </w:p>
        </w:tc>
        <w:tc>
          <w:tcPr>
            <w:tcW w:w="92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 Optimix</w:t>
            </w:r>
          </w:p>
        </w:tc>
        <w:tc>
          <w:tcPr>
            <w:tcW w:w="80" w:type="dxa"/>
            <w:vAlign w:val="bottom"/>
          </w:tcPr>
          <w:p>
            <w:pPr>
              <w:spacing w:after="0"/>
              <w:rPr>
                <w:sz w:val="9"/>
                <w:szCs w:val="9"/>
                <w:color w:val="auto"/>
              </w:rPr>
            </w:pPr>
          </w:p>
        </w:tc>
        <w:tc>
          <w:tcPr>
            <w:tcW w:w="8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 ordinary</w:t>
            </w: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1</w:t>
            </w:r>
          </w:p>
        </w:tc>
        <w:tc>
          <w:tcPr>
            <w:tcW w:w="100" w:type="dxa"/>
            <w:vAlign w:val="bottom"/>
          </w:tcPr>
          <w:p>
            <w:pPr>
              <w:spacing w:after="0"/>
              <w:rPr>
                <w:sz w:val="9"/>
                <w:szCs w:val="9"/>
                <w:color w:val="auto"/>
              </w:rPr>
            </w:pPr>
          </w:p>
        </w:tc>
        <w:tc>
          <w:tcPr>
            <w:tcW w:w="114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Nil</w:t>
            </w:r>
          </w:p>
        </w:tc>
        <w:tc>
          <w:tcPr>
            <w:tcW w:w="100" w:type="dxa"/>
            <w:vAlign w:val="bottom"/>
          </w:tcPr>
          <w:p>
            <w:pPr>
              <w:spacing w:after="0"/>
              <w:rPr>
                <w:sz w:val="9"/>
                <w:szCs w:val="9"/>
                <w:color w:val="auto"/>
              </w:rPr>
            </w:pPr>
          </w:p>
        </w:tc>
        <w:tc>
          <w:tcPr>
            <w:tcW w:w="106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Optimix Media</w:t>
            </w: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Media Group</w:t>
            </w: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663 King’s Road, North Point, Hong</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21, 2013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Media Asia</w:t>
            </w: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share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Asia Limited</w:t>
            </w:r>
          </w:p>
        </w:tc>
        <w:tc>
          <w:tcPr>
            <w:tcW w:w="0" w:type="dxa"/>
            <w:vAlign w:val="bottom"/>
          </w:tcPr>
          <w:p>
            <w:pPr>
              <w:spacing w:after="0"/>
              <w:rPr>
                <w:sz w:val="1"/>
                <w:szCs w:val="1"/>
                <w:color w:val="auto"/>
              </w:rPr>
            </w:pPr>
          </w:p>
        </w:tc>
      </w:tr>
      <w:tr>
        <w:trPr>
          <w:trHeight w:val="157"/>
        </w:trPr>
        <w:tc>
          <w:tcPr>
            <w:tcW w:w="1200" w:type="dxa"/>
            <w:vAlign w:val="bottom"/>
            <w:gridSpan w:val="2"/>
          </w:tcPr>
          <w:p>
            <w:pPr>
              <w:spacing w:after="0" w:line="157" w:lineRule="exact"/>
              <w:rPr>
                <w:sz w:val="20"/>
                <w:szCs w:val="20"/>
                <w:color w:val="auto"/>
              </w:rPr>
            </w:pPr>
            <w:r>
              <w:rPr>
                <w:rFonts w:ascii="Arial" w:cs="Arial" w:eastAsia="Arial" w:hAnsi="Arial"/>
                <w:sz w:val="14"/>
                <w:szCs w:val="14"/>
                <w:color w:val="auto"/>
              </w:rPr>
              <w:t>Limited</w:t>
            </w: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Kong</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Limited (Hong</w:t>
            </w:r>
          </w:p>
        </w:tc>
        <w:tc>
          <w:tcPr>
            <w:tcW w:w="900" w:type="dxa"/>
            <w:vAlign w:val="bottom"/>
            <w:gridSpan w:val="2"/>
          </w:tcPr>
          <w:p>
            <w:pPr>
              <w:spacing w:after="0" w:line="157" w:lineRule="exact"/>
              <w:rPr>
                <w:sz w:val="20"/>
                <w:szCs w:val="20"/>
                <w:color w:val="auto"/>
              </w:rPr>
            </w:pPr>
            <w:r>
              <w:rPr>
                <w:rFonts w:ascii="Arial" w:cs="Arial" w:eastAsia="Arial" w:hAnsi="Arial"/>
                <w:sz w:val="14"/>
                <w:szCs w:val="14"/>
                <w:color w:val="auto"/>
              </w:rPr>
              <w:t>HK$1 each</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Kong)</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2. Wong Pi Yan</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200" w:type="dxa"/>
            <w:vAlign w:val="bottom"/>
            <w:gridSpan w:val="2"/>
          </w:tcPr>
          <w:p>
            <w:pPr>
              <w:spacing w:after="0"/>
              <w:rPr>
                <w:sz w:val="20"/>
                <w:szCs w:val="20"/>
                <w:color w:val="auto"/>
              </w:rPr>
            </w:pPr>
            <w:r>
              <w:rPr>
                <w:rFonts w:ascii="Arial" w:cs="Arial" w:eastAsia="Arial" w:hAnsi="Arial"/>
                <w:sz w:val="14"/>
                <w:szCs w:val="14"/>
                <w:color w:val="auto"/>
              </w:rPr>
              <w:t>Tetris Media</w:t>
            </w: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Room108, Block 4, 925 Ye Cheng Lu</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July 5, 2013</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9131000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The People’s</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Ng Yau Ping</w:t>
            </w:r>
          </w:p>
        </w:tc>
        <w:tc>
          <w:tcPr>
            <w:tcW w:w="900" w:type="dxa"/>
            <w:vAlign w:val="bottom"/>
            <w:gridSpan w:val="2"/>
          </w:tcPr>
          <w:p>
            <w:pPr>
              <w:spacing w:after="0"/>
              <w:rPr>
                <w:sz w:val="20"/>
                <w:szCs w:val="20"/>
                <w:color w:val="auto"/>
              </w:rPr>
            </w:pPr>
            <w:r>
              <w:rPr>
                <w:rFonts w:ascii="Arial" w:cs="Arial" w:eastAsia="Arial" w:hAnsi="Arial"/>
                <w:sz w:val="14"/>
                <w:szCs w:val="14"/>
                <w:color w:val="auto"/>
              </w:rPr>
              <w:t>USD2,000,0</w:t>
            </w:r>
          </w:p>
        </w:tc>
        <w:tc>
          <w:tcPr>
            <w:tcW w:w="760" w:type="dxa"/>
            <w:vAlign w:val="bottom"/>
          </w:tcPr>
          <w:p>
            <w:pPr>
              <w:spacing w:after="0"/>
              <w:rPr>
                <w:sz w:val="20"/>
                <w:szCs w:val="20"/>
                <w:color w:val="auto"/>
              </w:rPr>
            </w:pPr>
            <w:r>
              <w:rPr>
                <w:rFonts w:ascii="Arial" w:cs="Arial" w:eastAsia="Arial" w:hAnsi="Arial"/>
                <w:sz w:val="14"/>
                <w:szCs w:val="14"/>
                <w:color w:val="auto"/>
              </w:rPr>
              <w:t>USD2,000,</w:t>
            </w: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Nil</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Tetris Media</w:t>
            </w: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(Shanghai) Co.</w:t>
            </w: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7"/>
              </w:rPr>
              <w:t>Jia Ding Qu, Shanghai, China, 201821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0071239</w:t>
            </w:r>
          </w:p>
        </w:tc>
        <w:tc>
          <w:tcPr>
            <w:tcW w:w="1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Republic of</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00</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Limited</w:t>
            </w:r>
          </w:p>
        </w:tc>
        <w:tc>
          <w:tcPr>
            <w:tcW w:w="0" w:type="dxa"/>
            <w:vAlign w:val="bottom"/>
          </w:tcPr>
          <w:p>
            <w:pPr>
              <w:spacing w:after="0"/>
              <w:rPr>
                <w:sz w:val="1"/>
                <w:szCs w:val="1"/>
                <w:color w:val="auto"/>
              </w:rPr>
            </w:pPr>
          </w:p>
        </w:tc>
      </w:tr>
      <w:tr>
        <w:trPr>
          <w:trHeight w:val="182"/>
        </w:trPr>
        <w:tc>
          <w:tcPr>
            <w:tcW w:w="1200" w:type="dxa"/>
            <w:vAlign w:val="bottom"/>
            <w:gridSpan w:val="2"/>
          </w:tcPr>
          <w:p>
            <w:pPr>
              <w:spacing w:after="0"/>
              <w:rPr>
                <w:sz w:val="20"/>
                <w:szCs w:val="20"/>
                <w:color w:val="auto"/>
              </w:rPr>
            </w:pPr>
            <w:r>
              <w:rPr>
                <w:rFonts w:ascii="Arial" w:cs="Arial" w:eastAsia="Arial" w:hAnsi="Arial"/>
                <w:sz w:val="14"/>
                <w:szCs w:val="14"/>
                <w:color w:val="auto"/>
              </w:rPr>
              <w:t>Ltd.</w:t>
            </w:r>
          </w:p>
        </w:tc>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4735</w:t>
            </w:r>
          </w:p>
        </w:tc>
        <w:tc>
          <w:tcPr>
            <w:tcW w:w="1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China</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7"/>
        </w:trPr>
        <w:tc>
          <w:tcPr>
            <w:tcW w:w="1200" w:type="dxa"/>
            <w:vAlign w:val="bottom"/>
            <w:gridSpan w:val="2"/>
          </w:tcPr>
          <w:p>
            <w:pPr>
              <w:spacing w:after="0"/>
              <w:rPr>
                <w:sz w:val="20"/>
                <w:szCs w:val="20"/>
                <w:color w:val="auto"/>
              </w:rPr>
            </w:pPr>
            <w:r>
              <w:rPr>
                <w:rFonts w:ascii="Arial" w:cs="Arial" w:eastAsia="Arial" w:hAnsi="Arial"/>
                <w:sz w:val="14"/>
                <w:szCs w:val="14"/>
                <w:color w:val="auto"/>
              </w:rPr>
              <w:t>i-Click Interactive</w:t>
            </w: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Unit 1508, Prosperity Millennia</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May 23, 2011</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1605453</w:t>
            </w:r>
          </w:p>
        </w:tc>
        <w:tc>
          <w:tcPr>
            <w:tcW w:w="1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Hong Kong</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Hsieh, Wing</w:t>
            </w:r>
          </w:p>
        </w:tc>
        <w:tc>
          <w:tcPr>
            <w:tcW w:w="800" w:type="dxa"/>
            <w:vAlign w:val="bottom"/>
          </w:tcPr>
          <w:p>
            <w:pP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1</w:t>
            </w: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i-Click Interactive</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Diablo Holdings</w:t>
            </w: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Taiwan Limited</w:t>
            </w: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Plaza, 663 King’s Road, Quarry</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Hong Sammy</w:t>
            </w: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ordinary</w:t>
            </w:r>
          </w:p>
        </w:tc>
        <w:tc>
          <w:tcPr>
            <w:tcW w:w="76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Taiwan Limited –</w:t>
            </w: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Bay, Hong Kong</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shares of</w:t>
            </w:r>
          </w:p>
        </w:tc>
        <w:tc>
          <w:tcPr>
            <w:tcW w:w="76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Taiwan Branch</w:t>
            </w: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(through trust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HK$1 each</w:t>
            </w:r>
          </w:p>
        </w:tc>
        <w:tc>
          <w:tcPr>
            <w:tcW w:w="76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(100%)</w:t>
            </w: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agreement)</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4"/>
                <w:szCs w:val="14"/>
                <w:color w:val="auto"/>
              </w:rPr>
              <w:t>i-Click Interactive</w:t>
            </w:r>
          </w:p>
        </w:tc>
        <w:tc>
          <w:tcPr>
            <w:tcW w:w="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7 September,</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w w:val="96"/>
              </w:rPr>
              <w:t>5301731 0</w:t>
            </w:r>
          </w:p>
        </w:tc>
        <w:tc>
          <w:tcPr>
            <w:tcW w:w="10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2"/>
              </w:rPr>
              <w:t>Taipei, Taiwan</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1. Hsieh, Wing</w:t>
            </w:r>
          </w:p>
        </w:tc>
        <w:tc>
          <w:tcPr>
            <w:tcW w:w="900" w:type="dxa"/>
            <w:vAlign w:val="bottom"/>
            <w:gridSpan w:val="2"/>
          </w:tcPr>
          <w:p>
            <w:pPr>
              <w:spacing w:after="0"/>
              <w:rPr>
                <w:sz w:val="20"/>
                <w:szCs w:val="20"/>
                <w:color w:val="auto"/>
              </w:rPr>
            </w:pPr>
            <w:r>
              <w:rPr>
                <w:rFonts w:ascii="Arial" w:cs="Arial" w:eastAsia="Arial" w:hAnsi="Arial"/>
                <w:sz w:val="14"/>
                <w:szCs w:val="14"/>
                <w:color w:val="auto"/>
              </w:rPr>
              <w:t>NTD350,000</w:t>
            </w:r>
          </w:p>
        </w:tc>
        <w:tc>
          <w:tcPr>
            <w:tcW w:w="760" w:type="dxa"/>
            <w:vAlign w:val="bottom"/>
          </w:tcPr>
          <w:p>
            <w:pPr>
              <w:spacing w:after="0"/>
              <w:rPr>
                <w:sz w:val="20"/>
                <w:szCs w:val="20"/>
                <w:color w:val="auto"/>
              </w:rPr>
            </w:pPr>
            <w:r>
              <w:rPr>
                <w:rFonts w:ascii="Arial" w:cs="Arial" w:eastAsia="Arial" w:hAnsi="Arial"/>
                <w:sz w:val="14"/>
                <w:szCs w:val="14"/>
                <w:color w:val="auto"/>
              </w:rPr>
              <w:t>NTD350,0</w:t>
            </w: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Nil</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w w:val="97"/>
              </w:rPr>
              <w:t>i-Click Interactive</w:t>
            </w:r>
          </w:p>
        </w:tc>
        <w:tc>
          <w:tcPr>
            <w:tcW w:w="0" w:type="dxa"/>
            <w:vAlign w:val="bottom"/>
          </w:tcPr>
          <w:p>
            <w:pPr>
              <w:spacing w:after="0"/>
              <w:rPr>
                <w:sz w:val="1"/>
                <w:szCs w:val="1"/>
                <w:color w:val="auto"/>
              </w:rPr>
            </w:pPr>
          </w:p>
        </w:tc>
      </w:tr>
      <w:tr>
        <w:trPr>
          <w:trHeight w:val="149"/>
        </w:trPr>
        <w:tc>
          <w:tcPr>
            <w:tcW w:w="1200" w:type="dxa"/>
            <w:vAlign w:val="bottom"/>
            <w:gridSpan w:val="2"/>
          </w:tcPr>
          <w:p>
            <w:pPr>
              <w:spacing w:after="0" w:line="149" w:lineRule="exact"/>
              <w:rPr>
                <w:sz w:val="20"/>
                <w:szCs w:val="20"/>
                <w:color w:val="auto"/>
              </w:rPr>
            </w:pPr>
            <w:r>
              <w:rPr>
                <w:rFonts w:ascii="Arial" w:cs="Arial" w:eastAsia="Arial" w:hAnsi="Arial"/>
                <w:sz w:val="14"/>
                <w:szCs w:val="14"/>
                <w:color w:val="auto"/>
              </w:rPr>
              <w:t>Taiwan Limited</w:t>
            </w: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Hong Sammy</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Taiwan Limited</w:t>
            </w:r>
          </w:p>
        </w:tc>
        <w:tc>
          <w:tcPr>
            <w:tcW w:w="0" w:type="dxa"/>
            <w:vAlign w:val="bottom"/>
          </w:tcPr>
          <w:p>
            <w:pPr>
              <w:spacing w:after="0"/>
              <w:rPr>
                <w:sz w:val="1"/>
                <w:szCs w:val="1"/>
                <w:color w:val="auto"/>
              </w:rPr>
            </w:pPr>
          </w:p>
        </w:tc>
      </w:tr>
      <w:tr>
        <w:trPr>
          <w:trHeight w:val="182"/>
        </w:trPr>
        <w:tc>
          <w:tcPr>
            <w:tcW w:w="1200" w:type="dxa"/>
            <w:vAlign w:val="bottom"/>
            <w:gridSpan w:val="2"/>
          </w:tcPr>
          <w:p>
            <w:pPr>
              <w:spacing w:after="0"/>
              <w:rPr>
                <w:sz w:val="20"/>
                <w:szCs w:val="20"/>
                <w:color w:val="auto"/>
              </w:rPr>
            </w:pPr>
            <w:r>
              <w:rPr>
                <w:rFonts w:ascii="Arial" w:cs="Arial" w:eastAsia="Arial" w:hAnsi="Arial"/>
                <w:sz w:val="14"/>
                <w:szCs w:val="14"/>
                <w:color w:val="auto"/>
              </w:rPr>
              <w:t>Taiwan Branch</w:t>
            </w:r>
          </w:p>
        </w:tc>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color w:val="auto"/>
              </w:rPr>
              <w:t>2. Chang, Hsi-</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-1435735</wp:posOffset>
            </wp:positionV>
            <wp:extent cx="2280920" cy="2057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280920" cy="20574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-354965</wp:posOffset>
            </wp:positionV>
            <wp:extent cx="1320800" cy="2057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20800" cy="205740"/>
                    </a:xfrm>
                    <a:prstGeom prst="rect">
                      <a:avLst/>
                    </a:prstGeom>
                    <a:noFill/>
                  </pic:spPr>
                </pic:pic>
              </a:graphicData>
            </a:graphic>
          </wp:anchor>
        </w:drawing>
      </w:r>
    </w:p>
    <w:p>
      <w:pPr>
        <w:ind w:left="6360"/>
        <w:spacing w:after="0"/>
        <w:rPr>
          <w:sz w:val="20"/>
          <w:szCs w:val="20"/>
          <w:color w:val="auto"/>
        </w:rPr>
      </w:pPr>
      <w:r>
        <w:rPr>
          <w:rFonts w:ascii="Arial" w:cs="Arial" w:eastAsia="Arial" w:hAnsi="Arial"/>
          <w:sz w:val="14"/>
          <w:szCs w:val="14"/>
          <w:color w:val="auto"/>
        </w:rPr>
        <w:t>Ning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420"/>
          </w:cols>
          <w:pgMar w:left="240" w:top="253" w:right="239" w:bottom="1440" w:gutter="0" w:footer="0" w:header="0"/>
        </w:sectPr>
      </w:pPr>
    </w:p>
    <w:bookmarkStart w:id="445" w:name="page446"/>
    <w:bookmarkEnd w:id="445"/>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 of Company</w:t>
      </w:r>
    </w:p>
    <w:p>
      <w:pPr>
        <w:spacing w:after="0" w:line="29" w:lineRule="exact"/>
        <w:rPr>
          <w:sz w:val="20"/>
          <w:szCs w:val="20"/>
          <w:color w:val="auto"/>
        </w:rPr>
      </w:pPr>
    </w:p>
    <w:p>
      <w:pPr>
        <w:ind w:right="100"/>
        <w:spacing w:after="0" w:line="271" w:lineRule="auto"/>
        <w:rPr>
          <w:sz w:val="20"/>
          <w:szCs w:val="20"/>
          <w:color w:val="auto"/>
        </w:rPr>
      </w:pPr>
      <w:r>
        <w:rPr>
          <w:rFonts w:ascii="Arial" w:cs="Arial" w:eastAsia="Arial" w:hAnsi="Arial"/>
          <w:sz w:val="13"/>
          <w:szCs w:val="13"/>
          <w:color w:val="auto"/>
        </w:rPr>
        <w:t>Buzzinate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835" cy="10287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183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582930" cy="10287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8293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Registered Address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Incorporation</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Place of</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Director(s)</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Authorised</w:t>
            </w:r>
          </w:p>
        </w:tc>
        <w:tc>
          <w:tcPr>
            <w:tcW w:w="8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Issued</w:t>
            </w:r>
          </w:p>
        </w:tc>
        <w:tc>
          <w:tcPr>
            <w:tcW w:w="0" w:type="dxa"/>
            <w:vAlign w:val="bottom"/>
          </w:tcPr>
          <w:p>
            <w:pPr>
              <w:spacing w:after="0"/>
              <w:rPr>
                <w:sz w:val="1"/>
                <w:szCs w:val="1"/>
                <w:color w:val="auto"/>
              </w:rPr>
            </w:pPr>
          </w:p>
        </w:tc>
      </w:tr>
      <w:tr>
        <w:trPr>
          <w:trHeight w:val="185"/>
        </w:trPr>
        <w:tc>
          <w:tcPr>
            <w:tcW w:w="2360" w:type="dxa"/>
            <w:vAlign w:val="bottom"/>
            <w:gridSpan w:val="2"/>
            <w:vMerge w:val="continue"/>
          </w:tcPr>
          <w:p>
            <w:pPr>
              <w:spacing w:after="0"/>
              <w:rPr>
                <w:sz w:val="16"/>
                <w:szCs w:val="16"/>
                <w:color w:val="auto"/>
              </w:rPr>
            </w:pP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No.</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Incorporation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23"/>
        </w:trPr>
        <w:tc>
          <w:tcPr>
            <w:tcW w:w="22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15th Floor, Prosperity Millennia</w:t>
            </w: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25 March,</w:t>
            </w: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w w:val="91"/>
              </w:rPr>
              <w:t>1323609</w:t>
            </w:r>
          </w:p>
        </w:tc>
        <w:tc>
          <w:tcPr>
            <w:tcW w:w="80" w:type="dxa"/>
            <w:vAlign w:val="bottom"/>
          </w:tcPr>
          <w:p>
            <w:pPr>
              <w:spacing w:after="0"/>
              <w:rPr>
                <w:sz w:val="10"/>
                <w:szCs w:val="10"/>
                <w:color w:val="auto"/>
              </w:rPr>
            </w:pPr>
          </w:p>
        </w:tc>
        <w:tc>
          <w:tcPr>
            <w:tcW w:w="860" w:type="dxa"/>
            <w:vAlign w:val="bottom"/>
            <w:tcBorders>
              <w:top w:val="single" w:sz="8" w:color="auto"/>
            </w:tcBorders>
          </w:tcPr>
          <w:p>
            <w:pPr>
              <w:jc w:val="right"/>
              <w:ind w:right="108"/>
              <w:spacing w:after="0" w:line="123" w:lineRule="exact"/>
              <w:rPr>
                <w:sz w:val="20"/>
                <w:szCs w:val="20"/>
                <w:color w:val="auto"/>
              </w:rPr>
            </w:pPr>
            <w:r>
              <w:rPr>
                <w:rFonts w:ascii="Arial" w:cs="Arial" w:eastAsia="Arial" w:hAnsi="Arial"/>
                <w:sz w:val="14"/>
                <w:szCs w:val="14"/>
                <w:color w:val="auto"/>
                <w:w w:val="94"/>
              </w:rPr>
              <w:t>Hong Kong</w:t>
            </w: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5"/>
              </w:rPr>
              <w:t>1. Lee Yan Shu</w:t>
            </w: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15,600,000</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w w:val="88"/>
              </w:rPr>
              <w:t>36,386,667</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Plaza, 663 King’s Road, Quarry Bay,</w:t>
            </w:r>
          </w:p>
        </w:tc>
        <w:tc>
          <w:tcPr>
            <w:tcW w:w="88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w w:val="91"/>
              </w:rPr>
              <w:t>2. John B. Chen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ordinary</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Hong Kong</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3. Hsieh Wing</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shares of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Hong Sammy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HK$1 each</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w w:val="94"/>
              </w:rPr>
              <w:t>4. Wong Pi Yan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and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5. Jiao Jie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20,786,667</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ordinary</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shares of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0.09621552</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each</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-1346200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00"/>
        <w:spacing w:after="0"/>
        <w:tabs>
          <w:tab w:leader="none" w:pos="1500" w:val="left"/>
        </w:tabs>
        <w:rPr>
          <w:sz w:val="20"/>
          <w:szCs w:val="20"/>
          <w:color w:val="auto"/>
        </w:rPr>
      </w:pPr>
      <w:r>
        <w:rPr>
          <w:rFonts w:ascii="Arial" w:cs="Arial" w:eastAsia="Arial" w:hAnsi="Arial"/>
          <w:sz w:val="14"/>
          <w:szCs w:val="14"/>
          <w:b w:val="1"/>
          <w:bCs w:val="1"/>
          <w:color w:val="auto"/>
        </w:rPr>
        <w:t>Subsidiaries</w:t>
      </w:r>
      <w:r>
        <w:rPr>
          <w:sz w:val="20"/>
          <w:szCs w:val="20"/>
          <w:color w:val="auto"/>
        </w:rPr>
        <w:tab/>
      </w:r>
      <w:r>
        <w:rPr>
          <w:rFonts w:ascii="Arial" w:cs="Arial" w:eastAsia="Arial" w:hAnsi="Arial"/>
          <w:sz w:val="14"/>
          <w:szCs w:val="14"/>
          <w:b w:val="1"/>
          <w:bCs w:val="1"/>
          <w:color w:val="auto"/>
        </w:rPr>
        <w:t>Shareholders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Optimix Media</w:t>
            </w:r>
          </w:p>
        </w:tc>
      </w:tr>
      <w:tr>
        <w:trPr>
          <w:trHeight w:val="196"/>
        </w:trPr>
        <w:tc>
          <w:tcPr>
            <w:tcW w:w="1340" w:type="dxa"/>
            <w:vAlign w:val="bottom"/>
          </w:tcPr>
          <w:p>
            <w:pPr>
              <w:jc w:val="right"/>
              <w:ind w:right="1173"/>
              <w:spacing w:after="0"/>
              <w:rPr>
                <w:sz w:val="20"/>
                <w:szCs w:val="20"/>
                <w:color w:val="auto"/>
              </w:rPr>
            </w:pPr>
            <w:r>
              <w:rPr>
                <w:rFonts w:ascii="Arial" w:cs="Arial" w:eastAsia="Arial" w:hAnsi="Arial"/>
                <w:sz w:val="13"/>
                <w:szCs w:val="13"/>
                <w:color w:val="auto"/>
                <w:w w:val="73"/>
              </w:rPr>
              <w:t>1.</w:t>
            </w:r>
          </w:p>
        </w:tc>
        <w:tc>
          <w:tcPr>
            <w:tcW w:w="8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Asia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-128905</wp:posOffset>
            </wp:positionV>
            <wp:extent cx="694690" cy="1028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4690" cy="1028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857885" cy="1028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57885" cy="102870"/>
                    </a:xfrm>
                    <a:prstGeom prst="rect">
                      <a:avLst/>
                    </a:prstGeom>
                    <a:noFill/>
                  </pic:spPr>
                </pic:pic>
              </a:graphicData>
            </a:graphic>
          </wp:anchor>
        </w:drawing>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(Cayman)</w:t>
      </w:r>
    </w:p>
    <w:p>
      <w:pPr>
        <w:ind w:left="1420"/>
        <w:spacing w:after="0" w:line="187" w:lineRule="auto"/>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-20320</wp:posOffset>
            </wp:positionV>
            <wp:extent cx="746125" cy="10287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46125"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37235" cy="10287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37235" cy="102870"/>
                    </a:xfrm>
                    <a:prstGeom prst="rect">
                      <a:avLst/>
                    </a:prstGeom>
                    <a:noFill/>
                  </pic:spPr>
                </pic:pic>
              </a:graphicData>
            </a:graphic>
          </wp:anchor>
        </w:drawing>
      </w:r>
    </w:p>
    <w:p>
      <w:pPr>
        <w:spacing w:after="0" w:line="881" w:lineRule="exact"/>
        <w:rPr>
          <w:sz w:val="20"/>
          <w:szCs w:val="20"/>
          <w:color w:val="auto"/>
        </w:rPr>
      </w:pPr>
    </w:p>
    <w:p>
      <w:pPr>
        <w:sectPr>
          <w:pgSz w:w="11900" w:h="16838" w:orient="portrait"/>
          <w:cols w:equalWidth="0" w:num="3">
            <w:col w:w="1160" w:space="100"/>
            <w:col w:w="7640" w:space="80"/>
            <w:col w:w="2440"/>
          </w:cols>
          <w:pgMar w:left="240" w:top="252" w:right="239" w:bottom="1440" w:gutter="0" w:footer="0" w:header="0"/>
        </w:sectPr>
      </w:pPr>
    </w:p>
    <w:tbl>
      <w:tblPr>
        <w:tblLayout w:type="fixed"/>
        <w:tblInd w:w="126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color w:val="auto"/>
              </w:rPr>
              <w:t>Room 103/05, Block 1, No. 498,</w:t>
            </w:r>
          </w:p>
        </w:tc>
        <w:tc>
          <w:tcPr>
            <w:tcW w:w="940" w:type="dxa"/>
            <w:vAlign w:val="bottom"/>
          </w:tcPr>
          <w:p>
            <w:pPr>
              <w:ind w:left="80"/>
              <w:spacing w:after="0"/>
              <w:rPr>
                <w:sz w:val="20"/>
                <w:szCs w:val="20"/>
                <w:color w:val="auto"/>
              </w:rPr>
            </w:pPr>
            <w:r>
              <w:rPr>
                <w:rFonts w:ascii="Arial" w:cs="Arial" w:eastAsia="Arial" w:hAnsi="Arial"/>
                <w:sz w:val="14"/>
                <w:szCs w:val="14"/>
                <w:color w:val="auto"/>
              </w:rPr>
              <w:t>15 July, 2009</w:t>
            </w:r>
          </w:p>
        </w:tc>
        <w:tc>
          <w:tcPr>
            <w:tcW w:w="780" w:type="dxa"/>
            <w:vAlign w:val="bottom"/>
          </w:tcPr>
          <w:p>
            <w:pPr>
              <w:ind w:left="100"/>
              <w:spacing w:after="0"/>
              <w:rPr>
                <w:sz w:val="20"/>
                <w:szCs w:val="20"/>
                <w:color w:val="auto"/>
              </w:rPr>
            </w:pPr>
            <w:r>
              <w:rPr>
                <w:rFonts w:ascii="Arial" w:cs="Arial" w:eastAsia="Arial" w:hAnsi="Arial"/>
                <w:sz w:val="14"/>
                <w:szCs w:val="14"/>
                <w:color w:val="auto"/>
              </w:rPr>
              <w:t>3101154</w:t>
            </w:r>
          </w:p>
        </w:tc>
        <w:tc>
          <w:tcPr>
            <w:tcW w:w="960" w:type="dxa"/>
            <w:vAlign w:val="bottom"/>
          </w:tcPr>
          <w:p>
            <w:pPr>
              <w:ind w:left="60"/>
              <w:spacing w:after="0"/>
              <w:rPr>
                <w:sz w:val="20"/>
                <w:szCs w:val="20"/>
                <w:color w:val="auto"/>
              </w:rPr>
            </w:pPr>
            <w:r>
              <w:rPr>
                <w:rFonts w:ascii="Arial" w:cs="Arial" w:eastAsia="Arial" w:hAnsi="Arial"/>
                <w:sz w:val="14"/>
                <w:szCs w:val="14"/>
                <w:color w:val="auto"/>
              </w:rPr>
              <w:t>The People’s</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1.</w:t>
            </w:r>
          </w:p>
        </w:tc>
        <w:tc>
          <w:tcPr>
            <w:tcW w:w="840" w:type="dxa"/>
            <w:vAlign w:val="bottom"/>
          </w:tcPr>
          <w:p>
            <w:pPr>
              <w:ind w:left="20"/>
              <w:spacing w:after="0"/>
              <w:rPr>
                <w:sz w:val="20"/>
                <w:szCs w:val="20"/>
                <w:color w:val="auto"/>
              </w:rPr>
            </w:pPr>
            <w:r>
              <w:rPr>
                <w:rFonts w:ascii="Arial" w:cs="Arial" w:eastAsia="Arial" w:hAnsi="Arial"/>
                <w:sz w:val="14"/>
                <w:szCs w:val="14"/>
                <w:color w:val="auto"/>
                <w:w w:val="98"/>
              </w:rPr>
              <w:t>Lee Yan Shu</w:t>
            </w:r>
          </w:p>
        </w:tc>
        <w:tc>
          <w:tcPr>
            <w:tcW w:w="880" w:type="dxa"/>
            <w:vAlign w:val="bottom"/>
          </w:tcPr>
          <w:p>
            <w:pPr>
              <w:ind w:left="60"/>
              <w:spacing w:after="0"/>
              <w:rPr>
                <w:sz w:val="20"/>
                <w:szCs w:val="20"/>
                <w:color w:val="auto"/>
              </w:rPr>
            </w:pPr>
            <w:r>
              <w:rPr>
                <w:rFonts w:ascii="Arial" w:cs="Arial" w:eastAsia="Arial" w:hAnsi="Arial"/>
                <w:sz w:val="14"/>
                <w:szCs w:val="14"/>
                <w:color w:val="auto"/>
              </w:rPr>
              <w:t>RMB16,200,</w:t>
            </w:r>
          </w:p>
        </w:tc>
        <w:tc>
          <w:tcPr>
            <w:tcW w:w="780" w:type="dxa"/>
            <w:vAlign w:val="bottom"/>
          </w:tcPr>
          <w:p>
            <w:pPr>
              <w:ind w:left="60"/>
              <w:spacing w:after="0"/>
              <w:rPr>
                <w:sz w:val="20"/>
                <w:szCs w:val="20"/>
                <w:color w:val="auto"/>
              </w:rPr>
            </w:pPr>
            <w:r>
              <w:rPr>
                <w:rFonts w:ascii="Arial" w:cs="Arial" w:eastAsia="Arial" w:hAnsi="Arial"/>
                <w:sz w:val="14"/>
                <w:szCs w:val="14"/>
                <w:color w:val="auto"/>
              </w:rPr>
              <w:t>RMB16,20</w:t>
            </w:r>
          </w:p>
        </w:tc>
        <w:tc>
          <w:tcPr>
            <w:tcW w:w="900" w:type="dxa"/>
            <w:vAlign w:val="bottom"/>
          </w:tcPr>
          <w:p>
            <w:pPr>
              <w:ind w:left="100"/>
              <w:spacing w:after="0"/>
              <w:rPr>
                <w:sz w:val="20"/>
                <w:szCs w:val="20"/>
                <w:color w:val="auto"/>
              </w:rPr>
            </w:pPr>
            <w:r>
              <w:rPr>
                <w:rFonts w:ascii="Arial" w:cs="Arial" w:eastAsia="Arial" w:hAnsi="Arial"/>
                <w:sz w:val="14"/>
                <w:szCs w:val="14"/>
                <w:color w:val="auto"/>
              </w:rPr>
              <w:t>Nil</w:t>
            </w:r>
          </w:p>
        </w:tc>
        <w:tc>
          <w:tcPr>
            <w:tcW w:w="1560" w:type="dxa"/>
            <w:vAlign w:val="bottom"/>
          </w:tcPr>
          <w:p>
            <w:pPr>
              <w:ind w:left="620"/>
              <w:spacing w:after="0"/>
              <w:rPr>
                <w:sz w:val="20"/>
                <w:szCs w:val="20"/>
                <w:color w:val="auto"/>
              </w:rPr>
            </w:pPr>
            <w:r>
              <w:rPr>
                <w:rFonts w:ascii="Arial" w:cs="Arial" w:eastAsia="Arial" w:hAnsi="Arial"/>
                <w:sz w:val="14"/>
                <w:szCs w:val="14"/>
                <w:color w:val="auto"/>
              </w:rPr>
              <w:t>Buzzinate</w:t>
            </w: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w w:val="96"/>
              </w:rPr>
              <w:t>GuoShouJing Rd, Pudong, Shanghai,</w:t>
            </w:r>
          </w:p>
        </w:tc>
        <w:tc>
          <w:tcPr>
            <w:tcW w:w="940" w:type="dxa"/>
            <w:vAlign w:val="bottom"/>
          </w:tcPr>
          <w:p>
            <w:pPr>
              <w:spacing w:after="0"/>
              <w:rPr>
                <w:sz w:val="12"/>
                <w:szCs w:val="12"/>
                <w:color w:val="auto"/>
              </w:rPr>
            </w:pP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w w:val="99"/>
              </w:rPr>
              <w:t>0025377 5</w:t>
            </w: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rPr>
              <w:t>Republic of</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w w:val="85"/>
              </w:rPr>
              <w:t>2.</w:t>
            </w:r>
          </w:p>
        </w:tc>
        <w:tc>
          <w:tcPr>
            <w:tcW w:w="840" w:type="dxa"/>
            <w:vAlign w:val="bottom"/>
          </w:tcPr>
          <w:p>
            <w:pPr>
              <w:ind w:left="20"/>
              <w:spacing w:after="0" w:line="149" w:lineRule="exact"/>
              <w:rPr>
                <w:sz w:val="20"/>
                <w:szCs w:val="20"/>
                <w:color w:val="auto"/>
              </w:rPr>
            </w:pPr>
            <w:r>
              <w:rPr>
                <w:rFonts w:ascii="Arial" w:cs="Arial" w:eastAsia="Arial" w:hAnsi="Arial"/>
                <w:sz w:val="14"/>
                <w:szCs w:val="14"/>
                <w:color w:val="auto"/>
                <w:w w:val="94"/>
              </w:rPr>
              <w:t>John B. Chen</w:t>
            </w:r>
          </w:p>
        </w:tc>
        <w:tc>
          <w:tcPr>
            <w:tcW w:w="880" w:type="dxa"/>
            <w:vAlign w:val="bottom"/>
          </w:tcPr>
          <w:p>
            <w:pPr>
              <w:ind w:left="60"/>
              <w:spacing w:after="0" w:line="149" w:lineRule="exact"/>
              <w:rPr>
                <w:sz w:val="20"/>
                <w:szCs w:val="20"/>
                <w:color w:val="auto"/>
              </w:rPr>
            </w:pPr>
            <w:r>
              <w:rPr>
                <w:rFonts w:ascii="Arial" w:cs="Arial" w:eastAsia="Arial" w:hAnsi="Arial"/>
                <w:sz w:val="14"/>
                <w:szCs w:val="14"/>
                <w:color w:val="auto"/>
              </w:rPr>
              <w:t>000</w:t>
            </w:r>
          </w:p>
        </w:tc>
        <w:tc>
          <w:tcPr>
            <w:tcW w:w="780" w:type="dxa"/>
            <w:vAlign w:val="bottom"/>
          </w:tcPr>
          <w:p>
            <w:pPr>
              <w:ind w:left="60"/>
              <w:spacing w:after="0" w:line="149" w:lineRule="exact"/>
              <w:rPr>
                <w:sz w:val="20"/>
                <w:szCs w:val="20"/>
                <w:color w:val="auto"/>
              </w:rPr>
            </w:pPr>
            <w:r>
              <w:rPr>
                <w:rFonts w:ascii="Arial" w:cs="Arial" w:eastAsia="Arial" w:hAnsi="Arial"/>
                <w:sz w:val="14"/>
                <w:szCs w:val="14"/>
                <w:color w:val="auto"/>
              </w:rPr>
              <w:t>0,000</w:t>
            </w:r>
          </w:p>
        </w:tc>
        <w:tc>
          <w:tcPr>
            <w:tcW w:w="900" w:type="dxa"/>
            <w:vAlign w:val="bottom"/>
          </w:tcPr>
          <w:p>
            <w:pPr>
              <w:spacing w:after="0"/>
              <w:rPr>
                <w:sz w:val="12"/>
                <w:szCs w:val="12"/>
                <w:color w:val="auto"/>
              </w:rPr>
            </w:pPr>
          </w:p>
        </w:tc>
        <w:tc>
          <w:tcPr>
            <w:tcW w:w="1560" w:type="dxa"/>
            <w:vAlign w:val="bottom"/>
          </w:tcPr>
          <w:p>
            <w:pPr>
              <w:ind w:left="620"/>
              <w:spacing w:after="0" w:line="149" w:lineRule="exact"/>
              <w:rPr>
                <w:sz w:val="20"/>
                <w:szCs w:val="20"/>
                <w:color w:val="auto"/>
              </w:rPr>
            </w:pPr>
            <w:r>
              <w:rPr>
                <w:rFonts w:ascii="Arial" w:cs="Arial" w:eastAsia="Arial" w:hAnsi="Arial"/>
                <w:sz w:val="14"/>
                <w:szCs w:val="14"/>
                <w:color w:val="auto"/>
              </w:rPr>
              <w:t>Company</w:t>
            </w: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P.R.C.</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rPr>
              <w:t>China</w:t>
            </w: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w w:val="85"/>
              </w:rPr>
              <w:t>3.</w:t>
            </w:r>
          </w:p>
        </w:tc>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Wang Hau</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60" w:type="dxa"/>
            <w:vAlign w:val="bottom"/>
          </w:tcPr>
          <w:p>
            <w:pPr>
              <w:ind w:left="620"/>
              <w:spacing w:after="0" w:line="149" w:lineRule="exact"/>
              <w:rPr>
                <w:sz w:val="20"/>
                <w:szCs w:val="20"/>
                <w:color w:val="auto"/>
              </w:rPr>
            </w:pPr>
            <w:r>
              <w:rPr>
                <w:rFonts w:ascii="Arial" w:cs="Arial" w:eastAsia="Arial" w:hAnsi="Arial"/>
                <w:sz w:val="14"/>
                <w:szCs w:val="14"/>
                <w:color w:val="auto"/>
                <w:w w:val="97"/>
              </w:rPr>
              <w:t>Limited (100%)</w:t>
            </w:r>
          </w:p>
        </w:tc>
      </w:tr>
      <w:tr>
        <w:trPr>
          <w:trHeight w:val="182"/>
        </w:trPr>
        <w:tc>
          <w:tcPr>
            <w:tcW w:w="2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Wei</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452"/>
        </w:trPr>
        <w:tc>
          <w:tcPr>
            <w:tcW w:w="2280" w:type="dxa"/>
            <w:vAlign w:val="bottom"/>
          </w:tcPr>
          <w:p>
            <w:pPr>
              <w:spacing w:after="0"/>
              <w:rPr>
                <w:sz w:val="20"/>
                <w:szCs w:val="20"/>
                <w:color w:val="auto"/>
              </w:rPr>
            </w:pPr>
            <w:r>
              <w:rPr>
                <w:rFonts w:ascii="Arial" w:cs="Arial" w:eastAsia="Arial" w:hAnsi="Arial"/>
                <w:sz w:val="14"/>
                <w:szCs w:val="14"/>
                <w:color w:val="auto"/>
                <w:w w:val="94"/>
              </w:rPr>
              <w:t>8F, No. 37, Section 4, Muzha Rd, 116,</w:t>
            </w:r>
          </w:p>
        </w:tc>
        <w:tc>
          <w:tcPr>
            <w:tcW w:w="940" w:type="dxa"/>
            <w:vAlign w:val="bottom"/>
          </w:tcPr>
          <w:p>
            <w:pPr>
              <w:ind w:left="80"/>
              <w:spacing w:after="0"/>
              <w:rPr>
                <w:sz w:val="20"/>
                <w:szCs w:val="20"/>
                <w:color w:val="auto"/>
              </w:rPr>
            </w:pPr>
            <w:r>
              <w:rPr>
                <w:rFonts w:ascii="Arial" w:cs="Arial" w:eastAsia="Arial" w:hAnsi="Arial"/>
                <w:sz w:val="14"/>
                <w:szCs w:val="14"/>
                <w:color w:val="auto"/>
              </w:rPr>
              <w:t>9 February,</w:t>
            </w:r>
          </w:p>
        </w:tc>
        <w:tc>
          <w:tcPr>
            <w:tcW w:w="780" w:type="dxa"/>
            <w:vAlign w:val="bottom"/>
          </w:tcPr>
          <w:p>
            <w:pPr>
              <w:ind w:left="100"/>
              <w:spacing w:after="0"/>
              <w:rPr>
                <w:sz w:val="20"/>
                <w:szCs w:val="20"/>
                <w:color w:val="auto"/>
              </w:rPr>
            </w:pPr>
            <w:r>
              <w:rPr>
                <w:rFonts w:ascii="Arial" w:cs="Arial" w:eastAsia="Arial" w:hAnsi="Arial"/>
                <w:sz w:val="14"/>
                <w:szCs w:val="14"/>
                <w:color w:val="auto"/>
              </w:rPr>
              <w:t>6915765</w:t>
            </w:r>
          </w:p>
        </w:tc>
        <w:tc>
          <w:tcPr>
            <w:tcW w:w="960" w:type="dxa"/>
            <w:vAlign w:val="bottom"/>
          </w:tcPr>
          <w:p>
            <w:pPr>
              <w:ind w:left="60"/>
              <w:spacing w:after="0"/>
              <w:rPr>
                <w:sz w:val="20"/>
                <w:szCs w:val="20"/>
                <w:color w:val="auto"/>
              </w:rPr>
            </w:pPr>
            <w:r>
              <w:rPr>
                <w:rFonts w:ascii="Arial" w:cs="Arial" w:eastAsia="Arial" w:hAnsi="Arial"/>
                <w:sz w:val="14"/>
                <w:szCs w:val="14"/>
                <w:color w:val="auto"/>
                <w:w w:val="96"/>
              </w:rPr>
              <w:t>Taipei, Taiwan</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1.</w:t>
            </w:r>
          </w:p>
        </w:tc>
        <w:tc>
          <w:tcPr>
            <w:tcW w:w="840" w:type="dxa"/>
            <w:vAlign w:val="bottom"/>
          </w:tcPr>
          <w:p>
            <w:pPr>
              <w:ind w:left="20"/>
              <w:spacing w:after="0"/>
              <w:rPr>
                <w:sz w:val="20"/>
                <w:szCs w:val="20"/>
                <w:color w:val="auto"/>
              </w:rPr>
            </w:pPr>
            <w:r>
              <w:rPr>
                <w:rFonts w:ascii="Arial" w:cs="Arial" w:eastAsia="Arial" w:hAnsi="Arial"/>
                <w:sz w:val="14"/>
                <w:szCs w:val="14"/>
                <w:color w:val="auto"/>
                <w:w w:val="98"/>
              </w:rPr>
              <w:t>Lee Yan Shu</w:t>
            </w:r>
          </w:p>
        </w:tc>
        <w:tc>
          <w:tcPr>
            <w:tcW w:w="880" w:type="dxa"/>
            <w:vAlign w:val="bottom"/>
          </w:tcPr>
          <w:p>
            <w:pPr>
              <w:ind w:left="60"/>
              <w:spacing w:after="0"/>
              <w:rPr>
                <w:sz w:val="20"/>
                <w:szCs w:val="20"/>
                <w:color w:val="auto"/>
              </w:rPr>
            </w:pPr>
            <w:r>
              <w:rPr>
                <w:rFonts w:ascii="Arial" w:cs="Arial" w:eastAsia="Arial" w:hAnsi="Arial"/>
                <w:sz w:val="14"/>
                <w:szCs w:val="14"/>
                <w:color w:val="auto"/>
              </w:rPr>
              <w:t>NTD500,000</w:t>
            </w:r>
          </w:p>
        </w:tc>
        <w:tc>
          <w:tcPr>
            <w:tcW w:w="780" w:type="dxa"/>
            <w:vAlign w:val="bottom"/>
          </w:tcPr>
          <w:p>
            <w:pPr>
              <w:ind w:left="60"/>
              <w:spacing w:after="0"/>
              <w:rPr>
                <w:sz w:val="20"/>
                <w:szCs w:val="20"/>
                <w:color w:val="auto"/>
              </w:rPr>
            </w:pPr>
            <w:r>
              <w:rPr>
                <w:rFonts w:ascii="Arial" w:cs="Arial" w:eastAsia="Arial" w:hAnsi="Arial"/>
                <w:sz w:val="14"/>
                <w:szCs w:val="14"/>
                <w:color w:val="auto"/>
              </w:rPr>
              <w:t>NTD500,0</w:t>
            </w:r>
          </w:p>
        </w:tc>
        <w:tc>
          <w:tcPr>
            <w:tcW w:w="900" w:type="dxa"/>
            <w:vAlign w:val="bottom"/>
          </w:tcPr>
          <w:p>
            <w:pPr>
              <w:ind w:left="100"/>
              <w:spacing w:after="0"/>
              <w:rPr>
                <w:sz w:val="20"/>
                <w:szCs w:val="20"/>
                <w:color w:val="auto"/>
              </w:rPr>
            </w:pPr>
            <w:r>
              <w:rPr>
                <w:rFonts w:ascii="Arial" w:cs="Arial" w:eastAsia="Arial" w:hAnsi="Arial"/>
                <w:sz w:val="14"/>
                <w:szCs w:val="14"/>
                <w:color w:val="auto"/>
              </w:rPr>
              <w:t>Nil</w:t>
            </w:r>
          </w:p>
        </w:tc>
        <w:tc>
          <w:tcPr>
            <w:tcW w:w="1560" w:type="dxa"/>
            <w:vAlign w:val="bottom"/>
          </w:tcPr>
          <w:p>
            <w:pPr>
              <w:ind w:left="620"/>
              <w:spacing w:after="0"/>
              <w:rPr>
                <w:sz w:val="20"/>
                <w:szCs w:val="20"/>
                <w:color w:val="auto"/>
              </w:rPr>
            </w:pPr>
            <w:r>
              <w:rPr>
                <w:rFonts w:ascii="Arial" w:cs="Arial" w:eastAsia="Arial" w:hAnsi="Arial"/>
                <w:sz w:val="14"/>
                <w:szCs w:val="14"/>
                <w:color w:val="auto"/>
              </w:rPr>
              <w:t>Buzzinate</w:t>
            </w: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Taipei City, Taiwan</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2010</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rPr>
              <w:t>6-9</w:t>
            </w:r>
          </w:p>
        </w:tc>
        <w:tc>
          <w:tcPr>
            <w:tcW w:w="960" w:type="dxa"/>
            <w:vAlign w:val="bottom"/>
          </w:tcPr>
          <w:p>
            <w:pPr>
              <w:spacing w:after="0"/>
              <w:rPr>
                <w:sz w:val="12"/>
                <w:szCs w:val="12"/>
                <w:color w:val="auto"/>
              </w:rPr>
            </w:pP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w w:val="85"/>
              </w:rPr>
              <w:t>2.</w:t>
            </w:r>
          </w:p>
        </w:tc>
        <w:tc>
          <w:tcPr>
            <w:tcW w:w="840" w:type="dxa"/>
            <w:vAlign w:val="bottom"/>
          </w:tcPr>
          <w:p>
            <w:pPr>
              <w:ind w:left="20"/>
              <w:spacing w:after="0" w:line="149" w:lineRule="exact"/>
              <w:rPr>
                <w:sz w:val="20"/>
                <w:szCs w:val="20"/>
                <w:color w:val="auto"/>
              </w:rPr>
            </w:pPr>
            <w:r>
              <w:rPr>
                <w:rFonts w:ascii="Arial" w:cs="Arial" w:eastAsia="Arial" w:hAnsi="Arial"/>
                <w:sz w:val="14"/>
                <w:szCs w:val="14"/>
                <w:color w:val="auto"/>
                <w:w w:val="94"/>
              </w:rPr>
              <w:t>John B. Chen</w:t>
            </w:r>
          </w:p>
        </w:tc>
        <w:tc>
          <w:tcPr>
            <w:tcW w:w="88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color w:val="auto"/>
              </w:rPr>
              <w:t>00</w:t>
            </w:r>
          </w:p>
        </w:tc>
        <w:tc>
          <w:tcPr>
            <w:tcW w:w="900" w:type="dxa"/>
            <w:vAlign w:val="bottom"/>
          </w:tcPr>
          <w:p>
            <w:pPr>
              <w:spacing w:after="0"/>
              <w:rPr>
                <w:sz w:val="12"/>
                <w:szCs w:val="12"/>
                <w:color w:val="auto"/>
              </w:rPr>
            </w:pPr>
          </w:p>
        </w:tc>
        <w:tc>
          <w:tcPr>
            <w:tcW w:w="1560" w:type="dxa"/>
            <w:vAlign w:val="bottom"/>
          </w:tcPr>
          <w:p>
            <w:pPr>
              <w:ind w:left="620"/>
              <w:spacing w:after="0" w:line="149" w:lineRule="exact"/>
              <w:rPr>
                <w:sz w:val="20"/>
                <w:szCs w:val="20"/>
                <w:color w:val="auto"/>
              </w:rPr>
            </w:pPr>
            <w:r>
              <w:rPr>
                <w:rFonts w:ascii="Arial" w:cs="Arial" w:eastAsia="Arial" w:hAnsi="Arial"/>
                <w:sz w:val="14"/>
                <w:szCs w:val="14"/>
                <w:color w:val="auto"/>
              </w:rPr>
              <w:t>Company</w:t>
            </w:r>
          </w:p>
        </w:tc>
      </w:tr>
      <w:tr>
        <w:trPr>
          <w:trHeight w:val="149"/>
        </w:trPr>
        <w:tc>
          <w:tcPr>
            <w:tcW w:w="2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ind w:left="40"/>
              <w:spacing w:after="0" w:line="149" w:lineRule="exact"/>
              <w:rPr>
                <w:sz w:val="20"/>
                <w:szCs w:val="20"/>
                <w:color w:val="auto"/>
              </w:rPr>
            </w:pPr>
            <w:r>
              <w:rPr>
                <w:rFonts w:ascii="Arial" w:cs="Arial" w:eastAsia="Arial" w:hAnsi="Arial"/>
                <w:sz w:val="14"/>
                <w:szCs w:val="14"/>
                <w:color w:val="auto"/>
                <w:w w:val="85"/>
              </w:rPr>
              <w:t>3.</w:t>
            </w:r>
          </w:p>
        </w:tc>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Wang Hau</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60" w:type="dxa"/>
            <w:vAlign w:val="bottom"/>
          </w:tcPr>
          <w:p>
            <w:pPr>
              <w:ind w:left="620"/>
              <w:spacing w:after="0" w:line="149" w:lineRule="exact"/>
              <w:rPr>
                <w:sz w:val="20"/>
                <w:szCs w:val="20"/>
                <w:color w:val="auto"/>
              </w:rPr>
            </w:pPr>
            <w:r>
              <w:rPr>
                <w:rFonts w:ascii="Arial" w:cs="Arial" w:eastAsia="Arial" w:hAnsi="Arial"/>
                <w:sz w:val="14"/>
                <w:szCs w:val="14"/>
                <w:color w:val="auto"/>
                <w:w w:val="97"/>
              </w:rPr>
              <w:t>Limited (100%)</w:t>
            </w:r>
          </w:p>
        </w:tc>
      </w:tr>
      <w:tr>
        <w:trPr>
          <w:trHeight w:val="182"/>
        </w:trPr>
        <w:tc>
          <w:tcPr>
            <w:tcW w:w="2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Wei</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746125" cy="10287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4612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-848995</wp:posOffset>
            </wp:positionV>
            <wp:extent cx="523240" cy="1028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3240" cy="10287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-694690</wp:posOffset>
            </wp:positionV>
            <wp:extent cx="1457960" cy="10287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457960" cy="10287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-566420</wp:posOffset>
            </wp:positionV>
            <wp:extent cx="1329055" cy="10287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2905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46125" cy="10287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4612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420370" cy="10287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20370" cy="10287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420"/>
          </w:cols>
          <w:pgMar w:left="240" w:top="252" w:right="239" w:bottom="1440" w:gutter="0" w:footer="0" w:header="0"/>
          <w:type w:val="continuous"/>
        </w:sectPr>
      </w:pPr>
    </w:p>
    <w:bookmarkStart w:id="446" w:name="page447"/>
    <w:bookmarkEnd w:id="446"/>
    <w:p>
      <w:pPr>
        <w:spacing w:after="0" w:line="161" w:lineRule="exact"/>
        <w:rPr>
          <w:sz w:val="20"/>
          <w:szCs w:val="20"/>
          <w:color w:val="auto"/>
        </w:rPr>
      </w:pPr>
    </w:p>
    <w:p>
      <w:pPr>
        <w:spacing w:after="0" w:line="319" w:lineRule="auto"/>
        <w:rPr>
          <w:sz w:val="20"/>
          <w:szCs w:val="20"/>
          <w:color w:val="auto"/>
        </w:rPr>
      </w:pPr>
      <w:r>
        <w:rPr>
          <w:rFonts w:ascii="Arial" w:cs="Arial" w:eastAsia="Arial" w:hAnsi="Arial"/>
          <w:sz w:val="13"/>
          <w:szCs w:val="13"/>
          <w:b w:val="1"/>
          <w:bCs w:val="1"/>
          <w:u w:val="single" w:color="auto"/>
          <w:color w:val="auto"/>
        </w:rPr>
        <w:t xml:space="preserve">Name of Company </w:t>
      </w:r>
      <w:r>
        <w:rPr>
          <w:rFonts w:ascii="Arial" w:cs="Arial" w:eastAsia="Arial" w:hAnsi="Arial"/>
          <w:sz w:val="13"/>
          <w:szCs w:val="13"/>
          <w:color w:val="auto"/>
        </w:rPr>
        <w:t>OptAim Ltd.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309" w:lineRule="auto"/>
        <w:rPr>
          <w:sz w:val="20"/>
          <w:szCs w:val="20"/>
          <w:color w:val="auto"/>
        </w:rPr>
      </w:pPr>
      <w:r>
        <w:rPr>
          <w:rFonts w:ascii="Arial" w:cs="Arial" w:eastAsia="Arial" w:hAnsi="Arial"/>
          <w:sz w:val="12"/>
          <w:szCs w:val="12"/>
          <w:color w:val="auto"/>
        </w:rPr>
        <w:t xml:space="preserve">OptAim (HK) Limited </w:t>
      </w:r>
      <w:r>
        <w:rPr>
          <w:sz w:val="1"/>
          <w:szCs w:val="1"/>
          <w:color w:val="auto"/>
        </w:rPr>
        <w:drawing>
          <wp:inline distT="0" distB="0" distL="0" distR="0">
            <wp:extent cx="360045" cy="10287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60045"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51510" cy="10287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5151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154305" cy="10287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543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Registered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142367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P.O. Box 2075, George Town, Grand Cayman KY1-1105, Cayman Islands</w:t>
      </w:r>
    </w:p>
    <w:p>
      <w:pPr>
        <w:spacing w:after="0" w:line="373" w:lineRule="exact"/>
        <w:rPr>
          <w:sz w:val="20"/>
          <w:szCs w:val="20"/>
          <w:color w:val="auto"/>
        </w:rPr>
      </w:pPr>
    </w:p>
    <w:p>
      <w:pPr>
        <w:ind w:right="100"/>
        <w:spacing w:after="0" w:line="234" w:lineRule="auto"/>
        <w:rPr>
          <w:sz w:val="20"/>
          <w:szCs w:val="20"/>
          <w:color w:val="auto"/>
        </w:rPr>
      </w:pPr>
      <w:r>
        <w:rPr>
          <w:rFonts w:ascii="Arial" w:cs="Arial" w:eastAsia="Arial" w:hAnsi="Arial"/>
          <w:sz w:val="14"/>
          <w:szCs w:val="14"/>
          <w:color w:val="auto"/>
        </w:rPr>
        <w:t>Flat/RM 806, Tower II, 8/F, Cheung Sha Wan Plaza, 833 Cheung Sha Wan Road, Kowloon, Hong Kong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9"/>
              </w:rPr>
              <w:t>Incorporation</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Place of</w:t>
            </w:r>
          </w:p>
        </w:tc>
        <w:tc>
          <w:tcPr>
            <w:tcW w:w="120" w:type="dxa"/>
            <w:vAlign w:val="bottom"/>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Director(s)</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Authorised</w:t>
            </w:r>
          </w:p>
        </w:tc>
        <w:tc>
          <w:tcPr>
            <w:tcW w:w="8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Issued</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Subsidiaries</w:t>
            </w:r>
          </w:p>
        </w:tc>
        <w:tc>
          <w:tcPr>
            <w:tcW w:w="1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9"/>
              </w:rPr>
              <w:t>Incorporation</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22 July, 2014</w:t>
            </w: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MS-</w:t>
            </w: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The Cayman</w:t>
            </w: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5"/>
              </w:rPr>
              <w:t>1.</w:t>
            </w:r>
          </w:p>
        </w:tc>
        <w:tc>
          <w:tcPr>
            <w:tcW w:w="80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rPr>
              <w:t>Tang, Jian</w:t>
            </w: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2"/>
              </w:rPr>
              <w:t>250,000,000</w:t>
            </w: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4"/>
              </w:rPr>
              <w:t>98,911,990</w:t>
            </w:r>
          </w:p>
        </w:tc>
        <w:tc>
          <w:tcPr>
            <w:tcW w:w="80" w:type="dxa"/>
            <w:vAlign w:val="bottom"/>
          </w:tcPr>
          <w:p>
            <w:pPr>
              <w:spacing w:after="0"/>
              <w:rPr>
                <w:sz w:val="10"/>
                <w:szCs w:val="10"/>
                <w:color w:val="auto"/>
              </w:rPr>
            </w:pPr>
          </w:p>
        </w:tc>
        <w:tc>
          <w:tcPr>
            <w:tcW w:w="13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OptAim (HK)</w:t>
            </w:r>
          </w:p>
        </w:tc>
        <w:tc>
          <w:tcPr>
            <w:tcW w:w="60" w:type="dxa"/>
            <w:vAlign w:val="bottom"/>
          </w:tcPr>
          <w:p>
            <w:pPr>
              <w:spacing w:after="0"/>
              <w:rPr>
                <w:sz w:val="10"/>
                <w:szCs w:val="10"/>
                <w:color w:val="auto"/>
              </w:rPr>
            </w:pPr>
          </w:p>
        </w:tc>
        <w:tc>
          <w:tcPr>
            <w:tcW w:w="14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Optimix Media Asia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color w:val="auto"/>
              </w:rPr>
              <w:t>290063</w:t>
            </w: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Islands</w:t>
            </w: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2.</w:t>
            </w:r>
          </w:p>
        </w:tc>
        <w:tc>
          <w:tcPr>
            <w:tcW w:w="800" w:type="dxa"/>
            <w:vAlign w:val="bottom"/>
          </w:tcPr>
          <w:p>
            <w:pPr>
              <w:ind w:left="20"/>
              <w:spacing w:after="0" w:line="149" w:lineRule="exact"/>
              <w:rPr>
                <w:sz w:val="20"/>
                <w:szCs w:val="20"/>
                <w:color w:val="auto"/>
              </w:rPr>
            </w:pPr>
            <w:r>
              <w:rPr>
                <w:rFonts w:ascii="Arial" w:cs="Arial" w:eastAsia="Arial" w:hAnsi="Arial"/>
                <w:sz w:val="14"/>
                <w:szCs w:val="14"/>
                <w:color w:val="auto"/>
                <w:w w:val="92"/>
              </w:rPr>
              <w:t>Ng, Yau Ping</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ordinary</w:t>
            </w: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ordinary</w:t>
            </w:r>
          </w:p>
        </w:tc>
        <w:tc>
          <w:tcPr>
            <w:tcW w:w="1360" w:type="dxa"/>
            <w:vAlign w:val="bottom"/>
            <w:gridSpan w:val="2"/>
          </w:tcPr>
          <w:p>
            <w:pPr>
              <w:spacing w:after="0" w:line="149" w:lineRule="exact"/>
              <w:rPr>
                <w:sz w:val="20"/>
                <w:szCs w:val="20"/>
                <w:color w:val="auto"/>
              </w:rPr>
            </w:pPr>
            <w:r>
              <w:rPr>
                <w:rFonts w:ascii="Arial" w:cs="Arial" w:eastAsia="Arial" w:hAnsi="Arial"/>
                <w:sz w:val="14"/>
                <w:szCs w:val="14"/>
                <w:color w:val="auto"/>
              </w:rPr>
              <w:t>Limited</w:t>
            </w: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Limited (Cayman)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3.</w:t>
            </w:r>
          </w:p>
        </w:tc>
        <w:tc>
          <w:tcPr>
            <w:tcW w:w="800" w:type="dxa"/>
            <w:vAlign w:val="bottom"/>
          </w:tcPr>
          <w:p>
            <w:pPr>
              <w:ind w:left="20"/>
              <w:spacing w:after="0" w:line="149" w:lineRule="exact"/>
              <w:rPr>
                <w:sz w:val="20"/>
                <w:szCs w:val="20"/>
                <w:color w:val="auto"/>
              </w:rPr>
            </w:pPr>
            <w:r>
              <w:rPr>
                <w:rFonts w:ascii="Arial" w:cs="Arial" w:eastAsia="Arial" w:hAnsi="Arial"/>
                <w:sz w:val="14"/>
                <w:szCs w:val="14"/>
                <w:color w:val="auto"/>
              </w:rPr>
              <w:t>Hsieh, Wing</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shares of</w:t>
            </w: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shares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Hong Sammy</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US$0.0002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each</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gridSpan w:val="3"/>
          </w:tcPr>
          <w:p>
            <w:pPr>
              <w:spacing w:after="0"/>
              <w:rPr>
                <w:sz w:val="20"/>
                <w:szCs w:val="20"/>
                <w:color w:val="auto"/>
              </w:rPr>
            </w:pPr>
            <w:r>
              <w:rPr>
                <w:rFonts w:ascii="Arial" w:cs="Arial" w:eastAsia="Arial" w:hAnsi="Arial"/>
                <w:sz w:val="14"/>
                <w:szCs w:val="14"/>
                <w:color w:val="auto"/>
              </w:rPr>
              <w:t>30 July, 2014</w:t>
            </w:r>
          </w:p>
        </w:tc>
        <w:tc>
          <w:tcPr>
            <w:tcW w:w="620" w:type="dxa"/>
            <w:vAlign w:val="bottom"/>
          </w:tcPr>
          <w:p>
            <w:pPr>
              <w:spacing w:after="0"/>
              <w:rPr>
                <w:sz w:val="20"/>
                <w:szCs w:val="20"/>
                <w:color w:val="auto"/>
              </w:rPr>
            </w:pPr>
            <w:r>
              <w:rPr>
                <w:rFonts w:ascii="Arial" w:cs="Arial" w:eastAsia="Arial" w:hAnsi="Arial"/>
                <w:sz w:val="14"/>
                <w:szCs w:val="14"/>
                <w:color w:val="auto"/>
              </w:rPr>
              <w:t>2126575</w:t>
            </w:r>
          </w:p>
        </w:tc>
        <w:tc>
          <w:tcPr>
            <w:tcW w:w="8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920" w:type="dxa"/>
            <w:vAlign w:val="bottom"/>
            <w:gridSpan w:val="2"/>
          </w:tcPr>
          <w:p>
            <w:pPr>
              <w:spacing w:after="0"/>
              <w:rPr>
                <w:sz w:val="20"/>
                <w:szCs w:val="20"/>
                <w:color w:val="auto"/>
              </w:rPr>
            </w:pPr>
            <w:r>
              <w:rPr>
                <w:rFonts w:ascii="Arial" w:cs="Arial" w:eastAsia="Arial" w:hAnsi="Arial"/>
                <w:sz w:val="14"/>
                <w:szCs w:val="14"/>
                <w:color w:val="auto"/>
              </w:rPr>
              <w:t>1.Tang, Jian</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1 ordinary</w:t>
            </w: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4"/>
                <w:szCs w:val="14"/>
                <w:color w:val="auto"/>
                <w:w w:val="99"/>
              </w:rPr>
              <w:t>OptAim Ltd. (Cayman)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2.</w:t>
            </w:r>
          </w:p>
        </w:tc>
        <w:tc>
          <w:tcPr>
            <w:tcW w:w="800" w:type="dxa"/>
            <w:vAlign w:val="bottom"/>
          </w:tcPr>
          <w:p>
            <w:pPr>
              <w:ind w:left="20"/>
              <w:spacing w:after="0" w:line="149" w:lineRule="exact"/>
              <w:rPr>
                <w:sz w:val="20"/>
                <w:szCs w:val="20"/>
                <w:color w:val="auto"/>
              </w:rPr>
            </w:pPr>
            <w:r>
              <w:rPr>
                <w:rFonts w:ascii="Arial" w:cs="Arial" w:eastAsia="Arial" w:hAnsi="Arial"/>
                <w:sz w:val="14"/>
                <w:szCs w:val="14"/>
                <w:color w:val="auto"/>
                <w:w w:val="92"/>
              </w:rPr>
              <w:t>Ng, Yau Ping</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shares of</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85"/>
              </w:rPr>
              <w:t>3.</w:t>
            </w:r>
          </w:p>
        </w:tc>
        <w:tc>
          <w:tcPr>
            <w:tcW w:w="800" w:type="dxa"/>
            <w:vAlign w:val="bottom"/>
          </w:tcPr>
          <w:p>
            <w:pPr>
              <w:ind w:left="20"/>
              <w:spacing w:after="0"/>
              <w:rPr>
                <w:sz w:val="20"/>
                <w:szCs w:val="20"/>
                <w:color w:val="auto"/>
              </w:rPr>
            </w:pPr>
            <w:r>
              <w:rPr>
                <w:rFonts w:ascii="Arial" w:cs="Arial" w:eastAsia="Arial" w:hAnsi="Arial"/>
                <w:sz w:val="14"/>
                <w:szCs w:val="14"/>
                <w:color w:val="auto"/>
              </w:rPr>
              <w:t>Hsieh, Wing</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HK$1 each</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-1118235</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-278130</wp:posOffset>
            </wp:positionV>
            <wp:extent cx="823595" cy="10287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3595" cy="10287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-149860</wp:posOffset>
            </wp:positionV>
            <wp:extent cx="711835" cy="1028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1835" cy="102870"/>
                    </a:xfrm>
                    <a:prstGeom prst="rect">
                      <a:avLst/>
                    </a:prstGeom>
                    <a:noFill/>
                  </pic:spPr>
                </pic:pic>
              </a:graphicData>
            </a:graphic>
          </wp:anchor>
        </w:drawing>
      </w:r>
    </w:p>
    <w:p>
      <w:pPr>
        <w:ind w:left="2560"/>
        <w:spacing w:after="0"/>
        <w:rPr>
          <w:sz w:val="20"/>
          <w:szCs w:val="20"/>
          <w:color w:val="auto"/>
        </w:rPr>
      </w:pPr>
      <w:r>
        <w:rPr>
          <w:rFonts w:ascii="Arial" w:cs="Arial" w:eastAsia="Arial" w:hAnsi="Arial"/>
          <w:sz w:val="14"/>
          <w:szCs w:val="14"/>
          <w:color w:val="auto"/>
        </w:rPr>
        <w:t>Hong Sammy</w:t>
      </w:r>
    </w:p>
    <w:p>
      <w:pPr>
        <w:spacing w:after="0" w:line="209" w:lineRule="exact"/>
        <w:rPr>
          <w:sz w:val="20"/>
          <w:szCs w:val="20"/>
          <w:color w:val="auto"/>
        </w:rPr>
      </w:pPr>
    </w:p>
    <w:p>
      <w:pPr>
        <w:sectPr>
          <w:pgSz w:w="11900" w:h="16838" w:orient="portrait"/>
          <w:cols w:equalWidth="0" w:num="3">
            <w:col w:w="1160" w:space="60"/>
            <w:col w:w="2080" w:space="220"/>
            <w:col w:w="7900"/>
          </w:cols>
          <w:pgMar w:left="240" w:top="253" w:right="239" w:bottom="1440" w:gutter="0" w:footer="0" w:header="0"/>
        </w:sectPr>
      </w:pPr>
    </w:p>
    <w:p>
      <w:pPr>
        <w:spacing w:after="0" w:line="24"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120" w:type="dxa"/>
            <w:vAlign w:val="bottom"/>
          </w:tcPr>
          <w:p>
            <w:pPr>
              <w:ind w:left="2300"/>
              <w:spacing w:after="0"/>
              <w:rPr>
                <w:sz w:val="20"/>
                <w:szCs w:val="20"/>
                <w:color w:val="auto"/>
              </w:rPr>
            </w:pPr>
            <w:r>
              <w:rPr>
                <w:rFonts w:ascii="Arial" w:cs="Arial" w:eastAsia="Arial" w:hAnsi="Arial"/>
                <w:sz w:val="14"/>
                <w:szCs w:val="14"/>
                <w:color w:val="auto"/>
              </w:rPr>
              <w:t>4 Nov, 2014</w:t>
            </w:r>
          </w:p>
        </w:tc>
        <w:tc>
          <w:tcPr>
            <w:tcW w:w="720" w:type="dxa"/>
            <w:vAlign w:val="bottom"/>
          </w:tcPr>
          <w:p>
            <w:pPr>
              <w:ind w:left="120"/>
              <w:spacing w:after="0"/>
              <w:rPr>
                <w:sz w:val="20"/>
                <w:szCs w:val="20"/>
                <w:color w:val="auto"/>
              </w:rPr>
            </w:pPr>
            <w:r>
              <w:rPr>
                <w:rFonts w:ascii="Arial" w:cs="Arial" w:eastAsia="Arial" w:hAnsi="Arial"/>
                <w:sz w:val="14"/>
                <w:szCs w:val="14"/>
                <w:color w:val="auto"/>
              </w:rPr>
              <w:t>9111010</w:t>
            </w:r>
          </w:p>
        </w:tc>
        <w:tc>
          <w:tcPr>
            <w:tcW w:w="940" w:type="dxa"/>
            <w:vAlign w:val="bottom"/>
          </w:tcPr>
          <w:p>
            <w:pPr>
              <w:ind w:left="100"/>
              <w:spacing w:after="0"/>
              <w:rPr>
                <w:sz w:val="20"/>
                <w:szCs w:val="20"/>
                <w:color w:val="auto"/>
              </w:rPr>
            </w:pPr>
            <w:r>
              <w:rPr>
                <w:rFonts w:ascii="Arial" w:cs="Arial" w:eastAsia="Arial" w:hAnsi="Arial"/>
                <w:sz w:val="14"/>
                <w:szCs w:val="14"/>
                <w:color w:val="auto"/>
              </w:rPr>
              <w:t>The People’s</w:t>
            </w:r>
          </w:p>
        </w:tc>
        <w:tc>
          <w:tcPr>
            <w:tcW w:w="220" w:type="dxa"/>
            <w:vAlign w:val="bottom"/>
          </w:tcPr>
          <w:p>
            <w:pPr>
              <w:ind w:left="80"/>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20"/>
                <w:szCs w:val="20"/>
                <w:color w:val="auto"/>
              </w:rPr>
            </w:pPr>
            <w:r>
              <w:rPr>
                <w:rFonts w:ascii="Arial" w:cs="Arial" w:eastAsia="Arial" w:hAnsi="Arial"/>
                <w:sz w:val="14"/>
                <w:szCs w:val="14"/>
                <w:color w:val="auto"/>
              </w:rPr>
              <w:t>Tang, Jian</w:t>
            </w:r>
          </w:p>
        </w:tc>
        <w:tc>
          <w:tcPr>
            <w:tcW w:w="740" w:type="dxa"/>
            <w:vAlign w:val="bottom"/>
          </w:tcPr>
          <w:p>
            <w:pPr>
              <w:ind w:left="40"/>
              <w:spacing w:after="0"/>
              <w:rPr>
                <w:sz w:val="20"/>
                <w:szCs w:val="20"/>
                <w:color w:val="auto"/>
              </w:rPr>
            </w:pPr>
            <w:r>
              <w:rPr>
                <w:rFonts w:ascii="Arial" w:cs="Arial" w:eastAsia="Arial" w:hAnsi="Arial"/>
                <w:sz w:val="14"/>
                <w:szCs w:val="14"/>
                <w:color w:val="auto"/>
              </w:rPr>
              <w:t>USD</w:t>
            </w:r>
          </w:p>
        </w:tc>
        <w:tc>
          <w:tcPr>
            <w:tcW w:w="1460" w:type="dxa"/>
            <w:vAlign w:val="bottom"/>
          </w:tcPr>
          <w:p>
            <w:pPr>
              <w:ind w:left="120"/>
              <w:spacing w:after="0"/>
              <w:rPr>
                <w:sz w:val="20"/>
                <w:szCs w:val="20"/>
                <w:color w:val="auto"/>
              </w:rPr>
            </w:pPr>
            <w:r>
              <w:rPr>
                <w:rFonts w:ascii="Arial" w:cs="Arial" w:eastAsia="Arial" w:hAnsi="Arial"/>
                <w:sz w:val="14"/>
                <w:szCs w:val="14"/>
                <w:color w:val="auto"/>
              </w:rPr>
              <w:t>USD</w:t>
            </w:r>
          </w:p>
        </w:tc>
        <w:tc>
          <w:tcPr>
            <w:tcW w:w="2100" w:type="dxa"/>
            <w:vAlign w:val="bottom"/>
          </w:tcPr>
          <w:p>
            <w:pPr>
              <w:ind w:left="780"/>
              <w:spacing w:after="0"/>
              <w:rPr>
                <w:sz w:val="20"/>
                <w:szCs w:val="20"/>
                <w:color w:val="auto"/>
              </w:rPr>
            </w:pPr>
            <w:r>
              <w:rPr>
                <w:rFonts w:ascii="Arial" w:cs="Arial" w:eastAsia="Arial" w:hAnsi="Arial"/>
                <w:sz w:val="14"/>
                <w:szCs w:val="14"/>
                <w:color w:val="auto"/>
              </w:rPr>
              <w:t>OptAim (HK) Limited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20" w:type="dxa"/>
            <w:vAlign w:val="bottom"/>
          </w:tcPr>
          <w:p>
            <w:pPr>
              <w:ind w:left="120"/>
              <w:spacing w:after="0" w:line="149" w:lineRule="exact"/>
              <w:rPr>
                <w:sz w:val="20"/>
                <w:szCs w:val="20"/>
                <w:color w:val="auto"/>
              </w:rPr>
            </w:pPr>
            <w:r>
              <w:rPr>
                <w:rFonts w:ascii="Arial" w:cs="Arial" w:eastAsia="Arial" w:hAnsi="Arial"/>
                <w:sz w:val="14"/>
                <w:szCs w:val="14"/>
                <w:color w:val="auto"/>
              </w:rPr>
              <w:t>8396035</w:t>
            </w: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Republic of</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2.</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6"/>
              </w:rPr>
              <w:t>Ng, Yau Ping</w:t>
            </w:r>
          </w:p>
        </w:tc>
        <w:tc>
          <w:tcPr>
            <w:tcW w:w="740" w:type="dxa"/>
            <w:vAlign w:val="bottom"/>
          </w:tcPr>
          <w:p>
            <w:pPr>
              <w:ind w:left="40"/>
              <w:spacing w:after="0" w:line="149" w:lineRule="exact"/>
              <w:rPr>
                <w:sz w:val="20"/>
                <w:szCs w:val="20"/>
                <w:color w:val="auto"/>
              </w:rPr>
            </w:pPr>
            <w:r>
              <w:rPr>
                <w:rFonts w:ascii="Arial" w:cs="Arial" w:eastAsia="Arial" w:hAnsi="Arial"/>
                <w:sz w:val="14"/>
                <w:szCs w:val="14"/>
                <w:color w:val="auto"/>
              </w:rPr>
              <w:t>1,400,000</w:t>
            </w:r>
          </w:p>
        </w:tc>
        <w:tc>
          <w:tcPr>
            <w:tcW w:w="1460" w:type="dxa"/>
            <w:vAlign w:val="bottom"/>
          </w:tcPr>
          <w:p>
            <w:pPr>
              <w:ind w:left="120"/>
              <w:spacing w:after="0" w:line="149" w:lineRule="exact"/>
              <w:rPr>
                <w:sz w:val="20"/>
                <w:szCs w:val="20"/>
                <w:color w:val="auto"/>
              </w:rPr>
            </w:pPr>
            <w:r>
              <w:rPr>
                <w:rFonts w:ascii="Arial" w:cs="Arial" w:eastAsia="Arial" w:hAnsi="Arial"/>
                <w:sz w:val="14"/>
                <w:szCs w:val="14"/>
                <w:color w:val="auto"/>
              </w:rPr>
              <w:t>1,400,000</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vMerge w:val="restart"/>
          </w:tcPr>
          <w:p>
            <w:pPr>
              <w:spacing w:after="0"/>
              <w:rPr>
                <w:sz w:val="20"/>
                <w:szCs w:val="20"/>
                <w:color w:val="auto"/>
              </w:rPr>
            </w:pPr>
            <w:r>
              <w:rPr>
                <w:rFonts w:ascii="Arial" w:cs="Arial" w:eastAsia="Arial" w:hAnsi="Arial"/>
                <w:sz w:val="14"/>
                <w:szCs w:val="14"/>
                <w:color w:val="auto"/>
              </w:rPr>
              <w:t>Room 2-9D, Block 3, No. 48 Zhichun</w:t>
            </w:r>
          </w:p>
        </w:tc>
        <w:tc>
          <w:tcPr>
            <w:tcW w:w="720" w:type="dxa"/>
            <w:vAlign w:val="bottom"/>
          </w:tcPr>
          <w:p>
            <w:pPr>
              <w:ind w:left="120"/>
              <w:spacing w:after="0" w:line="149" w:lineRule="exact"/>
              <w:rPr>
                <w:sz w:val="20"/>
                <w:szCs w:val="20"/>
                <w:color w:val="auto"/>
              </w:rPr>
            </w:pPr>
            <w:r>
              <w:rPr>
                <w:rFonts w:ascii="Arial" w:cs="Arial" w:eastAsia="Arial" w:hAnsi="Arial"/>
                <w:sz w:val="14"/>
                <w:szCs w:val="14"/>
                <w:color w:val="auto"/>
              </w:rPr>
              <w:t>604T</w:t>
            </w: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China</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3.</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Hsieh, Wing</w:t>
            </w:r>
          </w:p>
        </w:tc>
        <w:tc>
          <w:tcPr>
            <w:tcW w:w="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color w:val="auto"/>
              </w:rPr>
              <w:t>Hong Sammy</w:t>
            </w: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120" w:type="dxa"/>
            <w:vAlign w:val="bottom"/>
            <w:vMerge w:val="restart"/>
          </w:tcPr>
          <w:p>
            <w:pPr>
              <w:spacing w:after="0"/>
              <w:rPr>
                <w:sz w:val="20"/>
                <w:szCs w:val="20"/>
                <w:color w:val="auto"/>
              </w:rPr>
            </w:pPr>
            <w:r>
              <w:rPr>
                <w:rFonts w:ascii="Arial" w:cs="Arial" w:eastAsia="Arial" w:hAnsi="Arial"/>
                <w:sz w:val="14"/>
                <w:szCs w:val="14"/>
                <w:color w:val="auto"/>
              </w:rPr>
              <w:t>Road I, Haidian, Beijing</w:t>
            </w: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300"/>
              <w:spacing w:after="0"/>
              <w:rPr>
                <w:sz w:val="20"/>
                <w:szCs w:val="20"/>
                <w:color w:val="auto"/>
              </w:rPr>
            </w:pPr>
            <w:r>
              <w:rPr>
                <w:rFonts w:ascii="Arial" w:cs="Arial" w:eastAsia="Arial" w:hAnsi="Arial"/>
                <w:sz w:val="14"/>
                <w:szCs w:val="14"/>
                <w:color w:val="auto"/>
              </w:rPr>
              <w:t>7 Sep, 2012</w:t>
            </w:r>
          </w:p>
        </w:tc>
        <w:tc>
          <w:tcPr>
            <w:tcW w:w="720" w:type="dxa"/>
            <w:vAlign w:val="bottom"/>
          </w:tcPr>
          <w:p>
            <w:pPr>
              <w:ind w:left="120"/>
              <w:spacing w:after="0"/>
              <w:rPr>
                <w:sz w:val="20"/>
                <w:szCs w:val="20"/>
                <w:color w:val="auto"/>
              </w:rPr>
            </w:pPr>
            <w:r>
              <w:rPr>
                <w:rFonts w:ascii="Arial" w:cs="Arial" w:eastAsia="Arial" w:hAnsi="Arial"/>
                <w:sz w:val="14"/>
                <w:szCs w:val="14"/>
                <w:color w:val="auto"/>
              </w:rPr>
              <w:t>9111010</w:t>
            </w:r>
          </w:p>
        </w:tc>
        <w:tc>
          <w:tcPr>
            <w:tcW w:w="940" w:type="dxa"/>
            <w:vAlign w:val="bottom"/>
          </w:tcPr>
          <w:p>
            <w:pPr>
              <w:ind w:left="100"/>
              <w:spacing w:after="0"/>
              <w:rPr>
                <w:sz w:val="20"/>
                <w:szCs w:val="20"/>
                <w:color w:val="auto"/>
              </w:rPr>
            </w:pPr>
            <w:r>
              <w:rPr>
                <w:rFonts w:ascii="Arial" w:cs="Arial" w:eastAsia="Arial" w:hAnsi="Arial"/>
                <w:sz w:val="14"/>
                <w:szCs w:val="14"/>
                <w:color w:val="auto"/>
              </w:rPr>
              <w:t>The People’s</w:t>
            </w:r>
          </w:p>
        </w:tc>
        <w:tc>
          <w:tcPr>
            <w:tcW w:w="220" w:type="dxa"/>
            <w:vAlign w:val="bottom"/>
          </w:tcPr>
          <w:p>
            <w:pPr>
              <w:ind w:left="80"/>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20"/>
                <w:szCs w:val="20"/>
                <w:color w:val="auto"/>
              </w:rPr>
            </w:pPr>
            <w:r>
              <w:rPr>
                <w:rFonts w:ascii="Arial" w:cs="Arial" w:eastAsia="Arial" w:hAnsi="Arial"/>
                <w:sz w:val="14"/>
                <w:szCs w:val="14"/>
                <w:color w:val="auto"/>
              </w:rPr>
              <w:t>Tang, Jian</w:t>
            </w:r>
          </w:p>
        </w:tc>
        <w:tc>
          <w:tcPr>
            <w:tcW w:w="740" w:type="dxa"/>
            <w:vAlign w:val="bottom"/>
          </w:tcPr>
          <w:p>
            <w:pPr>
              <w:ind w:left="40"/>
              <w:spacing w:after="0"/>
              <w:rPr>
                <w:sz w:val="20"/>
                <w:szCs w:val="20"/>
                <w:color w:val="auto"/>
              </w:rPr>
            </w:pPr>
            <w:r>
              <w:rPr>
                <w:rFonts w:ascii="Arial" w:cs="Arial" w:eastAsia="Arial" w:hAnsi="Arial"/>
                <w:sz w:val="14"/>
                <w:szCs w:val="14"/>
                <w:color w:val="auto"/>
              </w:rPr>
              <w:t>RMB</w:t>
            </w:r>
          </w:p>
        </w:tc>
        <w:tc>
          <w:tcPr>
            <w:tcW w:w="1460" w:type="dxa"/>
            <w:vAlign w:val="bottom"/>
          </w:tcPr>
          <w:p>
            <w:pPr>
              <w:ind w:left="120"/>
              <w:spacing w:after="0"/>
              <w:rPr>
                <w:sz w:val="20"/>
                <w:szCs w:val="20"/>
                <w:color w:val="auto"/>
              </w:rPr>
            </w:pPr>
            <w:r>
              <w:rPr>
                <w:rFonts w:ascii="Arial" w:cs="Arial" w:eastAsia="Arial" w:hAnsi="Arial"/>
                <w:sz w:val="14"/>
                <w:szCs w:val="14"/>
                <w:color w:val="auto"/>
              </w:rPr>
              <w:t>RMB</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20" w:type="dxa"/>
            <w:vAlign w:val="bottom"/>
          </w:tcPr>
          <w:p>
            <w:pPr>
              <w:ind w:left="120"/>
              <w:spacing w:after="0" w:line="149" w:lineRule="exact"/>
              <w:rPr>
                <w:sz w:val="20"/>
                <w:szCs w:val="20"/>
                <w:color w:val="auto"/>
              </w:rPr>
            </w:pPr>
            <w:r>
              <w:rPr>
                <w:rFonts w:ascii="Arial" w:cs="Arial" w:eastAsia="Arial" w:hAnsi="Arial"/>
                <w:sz w:val="14"/>
                <w:szCs w:val="14"/>
                <w:color w:val="auto"/>
              </w:rPr>
              <w:t>8053601</w:t>
            </w:r>
          </w:p>
        </w:tc>
        <w:tc>
          <w:tcPr>
            <w:tcW w:w="940" w:type="dxa"/>
            <w:vAlign w:val="bottom"/>
          </w:tcPr>
          <w:p>
            <w:pPr>
              <w:ind w:left="100"/>
              <w:spacing w:after="0" w:line="149" w:lineRule="exact"/>
              <w:rPr>
                <w:sz w:val="20"/>
                <w:szCs w:val="20"/>
                <w:color w:val="auto"/>
              </w:rPr>
            </w:pPr>
            <w:r>
              <w:rPr>
                <w:rFonts w:ascii="Arial" w:cs="Arial" w:eastAsia="Arial" w:hAnsi="Arial"/>
                <w:sz w:val="14"/>
                <w:szCs w:val="14"/>
                <w:color w:val="auto"/>
              </w:rPr>
              <w:t>Republic of</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2.</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6"/>
              </w:rPr>
              <w:t>Ng, Yau Ping</w:t>
            </w:r>
          </w:p>
        </w:tc>
        <w:tc>
          <w:tcPr>
            <w:tcW w:w="740" w:type="dxa"/>
            <w:vAlign w:val="bottom"/>
          </w:tcPr>
          <w:p>
            <w:pPr>
              <w:ind w:left="40"/>
              <w:spacing w:after="0" w:line="149" w:lineRule="exact"/>
              <w:rPr>
                <w:sz w:val="20"/>
                <w:szCs w:val="20"/>
                <w:color w:val="auto"/>
              </w:rPr>
            </w:pPr>
            <w:r>
              <w:rPr>
                <w:rFonts w:ascii="Arial" w:cs="Arial" w:eastAsia="Arial" w:hAnsi="Arial"/>
                <w:sz w:val="14"/>
                <w:szCs w:val="14"/>
                <w:color w:val="auto"/>
              </w:rPr>
              <w:t>1,000,000</w:t>
            </w:r>
          </w:p>
        </w:tc>
        <w:tc>
          <w:tcPr>
            <w:tcW w:w="1460" w:type="dxa"/>
            <w:vAlign w:val="bottom"/>
          </w:tcPr>
          <w:p>
            <w:pPr>
              <w:ind w:left="120"/>
              <w:spacing w:after="0" w:line="149" w:lineRule="exact"/>
              <w:rPr>
                <w:sz w:val="20"/>
                <w:szCs w:val="20"/>
                <w:color w:val="auto"/>
              </w:rPr>
            </w:pPr>
            <w:r>
              <w:rPr>
                <w:rFonts w:ascii="Arial" w:cs="Arial" w:eastAsia="Arial" w:hAnsi="Arial"/>
                <w:sz w:val="14"/>
                <w:szCs w:val="14"/>
                <w:color w:val="auto"/>
              </w:rPr>
              <w:t>1,000,000</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Room 2-18B, Block 3, No. 48</w:t>
            </w:r>
          </w:p>
        </w:tc>
        <w:tc>
          <w:tcPr>
            <w:tcW w:w="720" w:type="dxa"/>
            <w:vAlign w:val="bottom"/>
          </w:tcPr>
          <w:p>
            <w:pPr>
              <w:ind w:left="120"/>
              <w:spacing w:after="0"/>
              <w:rPr>
                <w:sz w:val="20"/>
                <w:szCs w:val="20"/>
                <w:color w:val="auto"/>
              </w:rPr>
            </w:pPr>
            <w:r>
              <w:rPr>
                <w:rFonts w:ascii="Arial" w:cs="Arial" w:eastAsia="Arial" w:hAnsi="Arial"/>
                <w:sz w:val="14"/>
                <w:szCs w:val="14"/>
                <w:color w:val="auto"/>
              </w:rPr>
              <w:t>4758</w:t>
            </w:r>
          </w:p>
        </w:tc>
        <w:tc>
          <w:tcPr>
            <w:tcW w:w="940" w:type="dxa"/>
            <w:vAlign w:val="bottom"/>
          </w:tcPr>
          <w:p>
            <w:pPr>
              <w:ind w:left="100"/>
              <w:spacing w:after="0"/>
              <w:rPr>
                <w:sz w:val="20"/>
                <w:szCs w:val="20"/>
                <w:color w:val="auto"/>
              </w:rPr>
            </w:pPr>
            <w:r>
              <w:rPr>
                <w:rFonts w:ascii="Arial" w:cs="Arial" w:eastAsia="Arial" w:hAnsi="Arial"/>
                <w:sz w:val="14"/>
                <w:szCs w:val="14"/>
                <w:color w:val="auto"/>
              </w:rPr>
              <w:t>China</w:t>
            </w:r>
          </w:p>
        </w:tc>
        <w:tc>
          <w:tcPr>
            <w:tcW w:w="220" w:type="dxa"/>
            <w:vAlign w:val="bottom"/>
          </w:tcPr>
          <w:p>
            <w:pPr>
              <w:ind w:left="80"/>
              <w:spacing w:after="0"/>
              <w:rPr>
                <w:sz w:val="20"/>
                <w:szCs w:val="20"/>
                <w:color w:val="auto"/>
              </w:rPr>
            </w:pPr>
            <w:r>
              <w:rPr>
                <w:rFonts w:ascii="Arial" w:cs="Arial" w:eastAsia="Arial" w:hAnsi="Arial"/>
                <w:sz w:val="14"/>
                <w:szCs w:val="14"/>
                <w:color w:val="auto"/>
              </w:rPr>
              <w:t>3.</w:t>
            </w:r>
          </w:p>
        </w:tc>
        <w:tc>
          <w:tcPr>
            <w:tcW w:w="820" w:type="dxa"/>
            <w:vAlign w:val="bottom"/>
          </w:tcPr>
          <w:p>
            <w:pPr>
              <w:spacing w:after="0"/>
              <w:rPr>
                <w:sz w:val="20"/>
                <w:szCs w:val="20"/>
                <w:color w:val="auto"/>
              </w:rPr>
            </w:pPr>
            <w:r>
              <w:rPr>
                <w:rFonts w:ascii="Arial" w:cs="Arial" w:eastAsia="Arial" w:hAnsi="Arial"/>
                <w:sz w:val="14"/>
                <w:szCs w:val="14"/>
                <w:color w:val="auto"/>
              </w:rPr>
              <w:t>Hsieh, Wing</w:t>
            </w: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2195195" cy="3606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95195" cy="36068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-789305</wp:posOffset>
            </wp:positionV>
            <wp:extent cx="831850" cy="10287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31850" cy="10287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-660400</wp:posOffset>
            </wp:positionV>
            <wp:extent cx="514350" cy="10287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195195" cy="2311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95195" cy="23114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-291465</wp:posOffset>
            </wp:positionV>
            <wp:extent cx="1758315" cy="2311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58315" cy="231140"/>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196"/>
        </w:trPr>
        <w:tc>
          <w:tcPr>
            <w:tcW w:w="3400" w:type="dxa"/>
            <w:vAlign w:val="bottom"/>
            <w:vMerge w:val="restart"/>
          </w:tcPr>
          <w:p>
            <w:pPr>
              <w:spacing w:after="0"/>
              <w:rPr>
                <w:sz w:val="20"/>
                <w:szCs w:val="20"/>
                <w:color w:val="auto"/>
              </w:rPr>
            </w:pPr>
            <w:r>
              <w:rPr>
                <w:rFonts w:ascii="Arial" w:cs="Arial" w:eastAsia="Arial" w:hAnsi="Arial"/>
                <w:sz w:val="14"/>
                <w:szCs w:val="14"/>
                <w:color w:val="auto"/>
              </w:rPr>
              <w:t>Zhichun Road I, Haidian, Beijing</w:t>
            </w:r>
          </w:p>
        </w:tc>
        <w:tc>
          <w:tcPr>
            <w:tcW w:w="2260" w:type="dxa"/>
            <w:vAlign w:val="bottom"/>
          </w:tcPr>
          <w:p>
            <w:pPr>
              <w:ind w:left="1460"/>
              <w:spacing w:after="0"/>
              <w:rPr>
                <w:sz w:val="20"/>
                <w:szCs w:val="20"/>
                <w:color w:val="auto"/>
              </w:rPr>
            </w:pPr>
            <w:r>
              <w:rPr>
                <w:rFonts w:ascii="Arial" w:cs="Arial" w:eastAsia="Arial" w:hAnsi="Arial"/>
                <w:sz w:val="14"/>
                <w:szCs w:val="14"/>
                <w:color w:val="auto"/>
                <w:w w:val="91"/>
              </w:rPr>
              <w:t>Hong Sammy</w:t>
            </w:r>
          </w:p>
        </w:tc>
        <w:tc>
          <w:tcPr>
            <w:tcW w:w="0" w:type="dxa"/>
            <w:vAlign w:val="bottom"/>
          </w:tcPr>
          <w:p>
            <w:pPr>
              <w:spacing w:after="0"/>
              <w:rPr>
                <w:sz w:val="1"/>
                <w:szCs w:val="1"/>
                <w:color w:val="auto"/>
              </w:rPr>
            </w:pPr>
          </w:p>
        </w:tc>
      </w:tr>
      <w:tr>
        <w:trPr>
          <w:trHeight w:val="42"/>
        </w:trPr>
        <w:tc>
          <w:tcPr>
            <w:tcW w:w="3400" w:type="dxa"/>
            <w:vAlign w:val="bottom"/>
            <w:vMerge w:val="continue"/>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420"/>
          </w:cols>
          <w:pgMar w:left="240" w:top="253" w:right="239" w:bottom="1440" w:gutter="0" w:footer="0" w:header="0"/>
          <w:type w:val="continuous"/>
        </w:sectPr>
      </w:pPr>
    </w:p>
    <w:bookmarkStart w:id="447" w:name="page448"/>
    <w:bookmarkEnd w:id="447"/>
    <w:tbl>
      <w:tblPr>
        <w:tblLayout w:type="fixed"/>
        <w:tblInd w:w="0" w:type="dxa"/>
        <w:tblCellMar>
          <w:top w:w="0" w:type="dxa"/>
          <w:left w:w="0" w:type="dxa"/>
          <w:bottom w:w="0" w:type="dxa"/>
          <w:right w:w="0" w:type="dxa"/>
        </w:tblCellMar>
      </w:tblPr>
      <w:tr>
        <w:trPr>
          <w:trHeight w:val="161"/>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Name of Company</w:t>
            </w: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Registered Address</w:t>
            </w:r>
          </w:p>
        </w:tc>
        <w:tc>
          <w:tcPr>
            <w:tcW w:w="8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95"/>
              </w:rPr>
              <w:t>Incorporation</w:t>
            </w:r>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Company</w:t>
            </w: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Place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Director(s)</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Authorised</w:t>
            </w:r>
          </w:p>
        </w:tc>
        <w:tc>
          <w:tcPr>
            <w:tcW w:w="8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Subsidiaries</w:t>
            </w: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8"/>
        </w:trPr>
        <w:tc>
          <w:tcPr>
            <w:tcW w:w="1240" w:type="dxa"/>
            <w:vAlign w:val="bottom"/>
            <w:gridSpan w:val="2"/>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tcPr>
          <w:p>
            <w:pPr>
              <w:spacing w:after="0"/>
              <w:rPr>
                <w:sz w:val="20"/>
                <w:szCs w:val="20"/>
                <w:color w:val="auto"/>
              </w:rPr>
            </w:pPr>
            <w:r>
              <w:rPr>
                <w:rFonts w:ascii="Arial" w:cs="Arial" w:eastAsia="Arial" w:hAnsi="Arial"/>
                <w:sz w:val="14"/>
                <w:szCs w:val="14"/>
                <w:b w:val="1"/>
                <w:bCs w:val="1"/>
                <w:color w:val="auto"/>
                <w:w w:val="95"/>
              </w:rPr>
              <w:t>Incorporation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25 Sep, 2014</w:t>
            </w: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3101120</w:t>
            </w: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The People’s</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w w:val="73"/>
              </w:rPr>
              <w:t>1.</w:t>
            </w:r>
          </w:p>
        </w:tc>
        <w:tc>
          <w:tcPr>
            <w:tcW w:w="8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Tang, Jian</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1"/>
                <w:szCs w:val="11"/>
                <w:color w:val="auto"/>
              </w:rPr>
            </w:pPr>
          </w:p>
        </w:tc>
        <w:tc>
          <w:tcPr>
            <w:tcW w:w="100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Nil</w:t>
            </w:r>
          </w:p>
        </w:tc>
        <w:tc>
          <w:tcPr>
            <w:tcW w:w="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0142629 4</w:t>
            </w:r>
          </w:p>
        </w:tc>
        <w:tc>
          <w:tcPr>
            <w:tcW w:w="8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color w:val="auto"/>
              </w:rPr>
              <w:t>Republic of</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00" w:type="dxa"/>
            <w:vAlign w:val="bottom"/>
          </w:tcPr>
          <w:p>
            <w:pPr>
              <w:ind w:left="20"/>
              <w:spacing w:after="0" w:line="149" w:lineRule="exact"/>
              <w:rPr>
                <w:sz w:val="20"/>
                <w:szCs w:val="20"/>
                <w:color w:val="auto"/>
              </w:rPr>
            </w:pPr>
            <w:r>
              <w:rPr>
                <w:rFonts w:ascii="Arial" w:cs="Arial" w:eastAsia="Arial" w:hAnsi="Arial"/>
                <w:sz w:val="14"/>
                <w:szCs w:val="14"/>
                <w:color w:val="auto"/>
                <w:w w:val="92"/>
              </w:rPr>
              <w:t>Ng, Yau Ping</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1,000,000</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China</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0" w:type="dxa"/>
            <w:vAlign w:val="bottom"/>
          </w:tcPr>
          <w:p>
            <w:pPr>
              <w:ind w:left="20"/>
              <w:spacing w:after="0"/>
              <w:rPr>
                <w:sz w:val="20"/>
                <w:szCs w:val="20"/>
                <w:color w:val="auto"/>
              </w:rPr>
            </w:pPr>
            <w:r>
              <w:rPr>
                <w:rFonts w:ascii="Arial" w:cs="Arial" w:eastAsia="Arial" w:hAnsi="Arial"/>
                <w:sz w:val="14"/>
                <w:szCs w:val="14"/>
                <w:color w:val="auto"/>
              </w:rPr>
              <w:t>Hsieh, Wing</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2246630" cy="2400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246630" cy="24003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-266065</wp:posOffset>
            </wp:positionV>
            <wp:extent cx="934720" cy="10287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934720" cy="10287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-137795</wp:posOffset>
            </wp:positionV>
            <wp:extent cx="411480" cy="10287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11480" cy="102870"/>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sectPr>
      </w:pPr>
    </w:p>
    <w:p>
      <w:pPr>
        <w:ind w:left="1240" w:right="2360"/>
        <w:spacing w:after="0" w:line="221" w:lineRule="auto"/>
        <w:rPr>
          <w:sz w:val="20"/>
          <w:szCs w:val="20"/>
          <w:color w:val="auto"/>
        </w:rPr>
      </w:pPr>
      <w:r>
        <w:rPr>
          <w:rFonts w:ascii="Arial" w:cs="Arial" w:eastAsia="Arial" w:hAnsi="Arial"/>
          <w:sz w:val="14"/>
          <w:szCs w:val="14"/>
          <w:color w:val="auto"/>
        </w:rPr>
        <w:t>Room CB1109, Floor 1, No. 1755 Hongmei South Road, Minhang, Shanghai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Hong Sammy</w:t>
      </w:r>
    </w:p>
    <w:p>
      <w:pPr>
        <w:spacing w:after="0" w:line="429" w:lineRule="exact"/>
        <w:rPr>
          <w:sz w:val="20"/>
          <w:szCs w:val="20"/>
          <w:color w:val="auto"/>
        </w:rPr>
      </w:pPr>
    </w:p>
    <w:p>
      <w:pPr>
        <w:sectPr>
          <w:pgSz w:w="11900" w:h="16838" w:orient="portrait"/>
          <w:cols w:equalWidth="0" w:num="2">
            <w:col w:w="5560" w:space="720"/>
            <w:col w:w="5140"/>
          </w:cols>
          <w:pgMar w:left="240" w:top="253"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SCHEDULE B-1</w:t>
      </w:r>
    </w:p>
    <w:p>
      <w:pPr>
        <w:sectPr>
          <w:pgSz w:w="11900" w:h="16838" w:orient="portrait"/>
          <w:cols w:equalWidth="0" w:num="1">
            <w:col w:w="11420"/>
          </w:cols>
          <w:pgMar w:left="240" w:top="253" w:right="239" w:bottom="1440" w:gutter="0" w:footer="0" w:header="0"/>
          <w:type w:val="continuous"/>
        </w:sectPr>
      </w:pPr>
    </w:p>
    <w:bookmarkStart w:id="448" w:name="page449"/>
    <w:bookmarkEnd w:id="44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B-2</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SENIOR MANAGEMENT TEAM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Hsieh, Wing Hong Sammy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Ng, Yau 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Wong Pi Yan, Selina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Tran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Tang Jian </w:t>
      </w:r>
      <w:r>
        <w:rPr>
          <w:sz w:val="1"/>
          <w:szCs w:val="1"/>
          <w:color w:val="auto"/>
        </w:rPr>
        <w:drawing>
          <wp:inline distT="0" distB="0" distL="0" distR="0">
            <wp:extent cx="291465" cy="10287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91465" cy="102870"/>
                    </a:xfrm>
                    <a:prstGeom prst="rect">
                      <a:avLst/>
                    </a:prstGeom>
                    <a:noFill/>
                    <a:ln>
                      <a:noFill/>
                    </a:ln>
                  </pic:spPr>
                </pic:pic>
              </a:graphicData>
            </a:graphic>
          </wp:inline>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Lee Yanshu </w:t>
      </w:r>
      <w:r>
        <w:rPr>
          <w:sz w:val="1"/>
          <w:szCs w:val="1"/>
          <w:color w:val="auto"/>
        </w:rPr>
        <w:drawing>
          <wp:inline distT="0" distB="0" distL="0" distR="0">
            <wp:extent cx="394335" cy="11176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94335" cy="111760"/>
                    </a:xfrm>
                    <a:prstGeom prst="rect">
                      <a:avLst/>
                    </a:prstGeom>
                    <a:noFill/>
                    <a:ln>
                      <a:noFill/>
                    </a:ln>
                  </pic:spPr>
                </pic:pic>
              </a:graphicData>
            </a:graphic>
          </wp:inline>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TANG Min </w:t>
      </w:r>
      <w:r>
        <w:rPr>
          <w:sz w:val="1"/>
          <w:szCs w:val="1"/>
          <w:color w:val="auto"/>
        </w:rPr>
        <w:drawing>
          <wp:inline distT="0" distB="0" distL="0" distR="0">
            <wp:extent cx="300355" cy="10287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00355" cy="102870"/>
                    </a:xfrm>
                    <a:prstGeom prst="rect">
                      <a:avLst/>
                    </a:prstGeom>
                    <a:noFill/>
                    <a:ln>
                      <a:noFill/>
                    </a:ln>
                  </pic:spPr>
                </pic:pic>
              </a:graphicData>
            </a:graphic>
          </wp:inline>
        </w:drawing>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SCHEDULE B-2</w:t>
      </w:r>
    </w:p>
    <w:p>
      <w:pPr>
        <w:sectPr>
          <w:pgSz w:w="11900" w:h="16838" w:orient="portrait"/>
          <w:cols w:equalWidth="0" w:num="1">
            <w:col w:w="10219"/>
          </w:cols>
          <w:pgMar w:left="240" w:top="270" w:right="1440" w:bottom="1440" w:gutter="0" w:footer="0" w:header="0"/>
        </w:sectPr>
      </w:pPr>
    </w:p>
    <w:bookmarkStart w:id="449" w:name="page450"/>
    <w:bookmarkEnd w:id="4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DISCLOSURE SCHEDULE</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C</w:t>
      </w:r>
    </w:p>
    <w:p>
      <w:pPr>
        <w:sectPr>
          <w:pgSz w:w="11900" w:h="16838" w:orient="portrait"/>
          <w:cols w:equalWidth="0" w:num="1">
            <w:col w:w="9019"/>
          </w:cols>
          <w:pgMar w:left="1440" w:top="270" w:right="1440" w:bottom="1440" w:gutter="0" w:footer="0" w:header="0"/>
        </w:sectPr>
      </w:pPr>
    </w:p>
    <w:bookmarkStart w:id="450" w:name="page451"/>
    <w:bookmarkEnd w:id="4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MEMORANDUM AND ARTICLES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D</w:t>
      </w:r>
    </w:p>
    <w:p>
      <w:pPr>
        <w:sectPr>
          <w:pgSz w:w="11900" w:h="16838" w:orient="portrait"/>
          <w:cols w:equalWidth="0" w:num="1">
            <w:col w:w="9019"/>
          </w:cols>
          <w:pgMar w:left="1440" w:top="269" w:right="1440" w:bottom="1440" w:gutter="0" w:footer="0" w:header="0"/>
        </w:sectPr>
      </w:pPr>
    </w:p>
    <w:bookmarkStart w:id="451" w:name="page452"/>
    <w:bookmarkEnd w:id="4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RIGHT OF FIRST REFUSAL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E</w:t>
      </w:r>
    </w:p>
    <w:p>
      <w:pPr>
        <w:sectPr>
          <w:pgSz w:w="11900" w:h="16838" w:orient="portrait"/>
          <w:cols w:equalWidth="0" w:num="1">
            <w:col w:w="9019"/>
          </w:cols>
          <w:pgMar w:left="1440" w:top="270" w:right="1440"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SHAREHOLDERS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F</w:t>
      </w:r>
    </w:p>
    <w:p>
      <w:pPr>
        <w:sectPr>
          <w:pgSz w:w="11900" w:h="16838" w:orient="portrait"/>
          <w:cols w:equalWidth="0" w:num="1">
            <w:col w:w="9019"/>
          </w:cols>
          <w:pgMar w:left="1440" w:top="269"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DEEDS OF GUARANTEE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G</w:t>
      </w:r>
    </w:p>
    <w:p>
      <w:pPr>
        <w:sectPr>
          <w:pgSz w:w="11900" w:h="16838" w:orient="portrait"/>
          <w:cols w:equalWidth="0" w:num="1">
            <w:col w:w="9019"/>
          </w:cols>
          <w:pgMar w:left="1440" w:top="270" w:right="1440" w:bottom="1440" w:gutter="0" w:footer="0" w:header="0"/>
        </w:sectPr>
      </w:pPr>
    </w:p>
    <w:bookmarkStart w:id="454" w:name="page455"/>
    <w:bookmarkEnd w:id="45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NON-COMPETE AGREEMENT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H</w:t>
      </w:r>
    </w:p>
    <w:p>
      <w:pPr>
        <w:sectPr>
          <w:pgSz w:w="11900" w:h="16838" w:orient="portrait"/>
          <w:cols w:equalWidth="0" w:num="1">
            <w:col w:w="9019"/>
          </w:cols>
          <w:pgMar w:left="1440" w:top="270" w:right="1440" w:bottom="1440" w:gutter="0" w:footer="0" w:header="0"/>
        </w:sectPr>
      </w:pPr>
    </w:p>
    <w:bookmarkStart w:id="455" w:name="page456"/>
    <w:bookmarkEnd w:id="4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KEY MANAGEMENT EMPLOYMENT AGREEMENT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9019"/>
          </w:cols>
          <w:pgMar w:left="1440" w:top="269" w:right="1440"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color w:val="auto"/>
        </w:rPr>
        <w:t>Execution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FOURTH AMENDED AND RESTATED SHAREHOLDERS AGREEMENT</w:t>
      </w:r>
    </w:p>
    <w:p>
      <w:pPr>
        <w:spacing w:after="0" w:line="23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OPTIMIX MEDIA ASIA LIMITED</w:t>
      </w:r>
    </w:p>
    <w:p>
      <w:pPr>
        <w:sectPr>
          <w:pgSz w:w="11900" w:h="16838" w:orient="portrait"/>
          <w:cols w:equalWidth="0" w:num="1">
            <w:col w:w="10220"/>
          </w:cols>
          <w:pgMar w:left="1440" w:top="125" w:right="239" w:bottom="1440"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AMENDED AND RESTATED SHAREHOLDERS AGREEMENT</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THIS FOURTH AMENDED AND RESTATED SHAREHOLDERS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December 28, 2016, by and among the following parties: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Optimix Media Asia Limited, a company duly incorporated and existing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Person set forth on Schedule A (the “</w:t>
      </w:r>
      <w:r>
        <w:rPr>
          <w:rFonts w:ascii="Arial" w:cs="Arial" w:eastAsia="Arial" w:hAnsi="Arial"/>
          <w:sz w:val="18"/>
          <w:szCs w:val="18"/>
          <w:b w:val="1"/>
          <w:bCs w:val="1"/>
          <w:color w:val="auto"/>
        </w:rPr>
        <w:t>Series A Investor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Person or Persons set forth on Schedule B (the “</w:t>
      </w:r>
      <w:r>
        <w:rPr>
          <w:rFonts w:ascii="Arial" w:cs="Arial" w:eastAsia="Arial" w:hAnsi="Arial"/>
          <w:sz w:val="18"/>
          <w:szCs w:val="18"/>
          <w:b w:val="1"/>
          <w:bCs w:val="1"/>
          <w:color w:val="auto"/>
        </w:rPr>
        <w:t>Series B Investors</w:t>
      </w:r>
      <w:r>
        <w:rPr>
          <w:rFonts w:ascii="Arial" w:cs="Arial" w:eastAsia="Arial" w:hAnsi="Arial"/>
          <w:sz w:val="18"/>
          <w:szCs w:val="18"/>
          <w:color w:val="auto"/>
        </w:rPr>
        <w:t>” and each, a “</w:t>
      </w:r>
      <w:r>
        <w:rPr>
          <w:rFonts w:ascii="Arial" w:cs="Arial" w:eastAsia="Arial" w:hAnsi="Arial"/>
          <w:sz w:val="18"/>
          <w:szCs w:val="18"/>
          <w:b w:val="1"/>
          <w:bCs w:val="1"/>
          <w:color w:val="auto"/>
        </w:rPr>
        <w:t>Series B Investor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the Person set forth on Schedule C (the “</w:t>
      </w:r>
      <w:r>
        <w:rPr>
          <w:rFonts w:ascii="Arial" w:cs="Arial" w:eastAsia="Arial" w:hAnsi="Arial"/>
          <w:sz w:val="18"/>
          <w:szCs w:val="18"/>
          <w:b w:val="1"/>
          <w:bCs w:val="1"/>
          <w:color w:val="auto"/>
        </w:rPr>
        <w:t>Series C Investor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the Person set forth on Schedule D (the “</w:t>
      </w:r>
      <w:r>
        <w:rPr>
          <w:rFonts w:ascii="Arial" w:cs="Arial" w:eastAsia="Arial" w:hAnsi="Arial"/>
          <w:sz w:val="18"/>
          <w:szCs w:val="18"/>
          <w:b w:val="1"/>
          <w:bCs w:val="1"/>
          <w:color w:val="auto"/>
        </w:rPr>
        <w:t>Series D Investor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the Person set forth on Schedule E (the “</w:t>
      </w:r>
      <w:r>
        <w:rPr>
          <w:rFonts w:ascii="Arial" w:cs="Arial" w:eastAsia="Arial" w:hAnsi="Arial"/>
          <w:sz w:val="18"/>
          <w:szCs w:val="18"/>
          <w:b w:val="1"/>
          <w:bCs w:val="1"/>
          <w:color w:val="auto"/>
        </w:rPr>
        <w:t>Series E Investor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the Person or Persons set forth on Schedule F (the “</w:t>
      </w:r>
      <w:r>
        <w:rPr>
          <w:rFonts w:ascii="Arial" w:cs="Arial" w:eastAsia="Arial" w:hAnsi="Arial"/>
          <w:sz w:val="18"/>
          <w:szCs w:val="18"/>
          <w:b w:val="1"/>
          <w:bCs w:val="1"/>
          <w:color w:val="auto"/>
        </w:rPr>
        <w:t>Founders</w:t>
      </w:r>
      <w:r>
        <w:rPr>
          <w:rFonts w:ascii="Arial" w:cs="Arial" w:eastAsia="Arial" w:hAnsi="Arial"/>
          <w:sz w:val="18"/>
          <w:szCs w:val="18"/>
          <w:color w:val="auto"/>
        </w:rPr>
        <w:t>” and each, a “</w:t>
      </w:r>
      <w:r>
        <w:rPr>
          <w:rFonts w:ascii="Arial" w:cs="Arial" w:eastAsia="Arial" w:hAnsi="Arial"/>
          <w:sz w:val="18"/>
          <w:szCs w:val="18"/>
          <w:b w:val="1"/>
          <w:bCs w:val="1"/>
          <w:color w:val="auto"/>
        </w:rPr>
        <w:t>Founder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the Person or Persons set forth on Schedule G (the “</w:t>
      </w:r>
      <w:r>
        <w:rPr>
          <w:rFonts w:ascii="Arial" w:cs="Arial" w:eastAsia="Arial" w:hAnsi="Arial"/>
          <w:sz w:val="18"/>
          <w:szCs w:val="18"/>
          <w:b w:val="1"/>
          <w:bCs w:val="1"/>
          <w:color w:val="auto"/>
        </w:rPr>
        <w:t>Shareholders</w:t>
      </w:r>
      <w:r>
        <w:rPr>
          <w:rFonts w:ascii="Arial" w:cs="Arial" w:eastAsia="Arial" w:hAnsi="Arial"/>
          <w:sz w:val="18"/>
          <w:szCs w:val="18"/>
          <w:color w:val="auto"/>
        </w:rPr>
        <w:t>” and each a “</w:t>
      </w:r>
      <w:r>
        <w:rPr>
          <w:rFonts w:ascii="Arial" w:cs="Arial" w:eastAsia="Arial" w:hAnsi="Arial"/>
          <w:sz w:val="18"/>
          <w:szCs w:val="18"/>
          <w:b w:val="1"/>
          <w:bCs w:val="1"/>
          <w:color w:val="auto"/>
        </w:rPr>
        <w:t>Shareholder</w:t>
      </w:r>
      <w:r>
        <w:rPr>
          <w:rFonts w:ascii="Arial" w:cs="Arial" w:eastAsia="Arial" w:hAnsi="Arial"/>
          <w:sz w:val="18"/>
          <w:szCs w:val="18"/>
          <w:color w:val="auto"/>
        </w:rPr>
        <w:t>”), and</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 TANG Jian, a natural person with PRC ID number 43292219760810035 and residential address at Room 1504, Building 2, Yard 106, East of North 4</w:t>
      </w:r>
      <w:r>
        <w:rPr>
          <w:rFonts w:ascii="Arial" w:cs="Arial" w:eastAsia="Arial" w:hAnsi="Arial"/>
          <w:sz w:val="15"/>
          <w:szCs w:val="15"/>
          <w:color w:val="auto"/>
        </w:rPr>
        <w:t>th</w:t>
      </w:r>
      <w:r>
        <w:rPr>
          <w:rFonts w:ascii="Arial" w:cs="Arial" w:eastAsia="Arial" w:hAnsi="Arial"/>
          <w:sz w:val="18"/>
          <w:szCs w:val="18"/>
          <w:color w:val="auto"/>
        </w:rPr>
        <w:t xml:space="preserve"> Ring Road, Chaoyang District, Beijing 100029, PRC.</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Company, the Series A Investor, the Series B Investors, the Series C Investor, the Series D Investor, the Series E Investor, the Founders, the Shareholders and TANG Jian shall be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 Capitalized terms used herein without definition shall have the meanings set forth in the Series E SPA (as defined below).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left="460" w:hanging="452"/>
        <w:spacing w:after="0"/>
        <w:tabs>
          <w:tab w:leader="none" w:pos="4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Company, the Series E Investor and the Founders have entered into a Subscription Agreement dated December 19, 2016 (the “</w:t>
      </w:r>
      <w:r>
        <w:rPr>
          <w:rFonts w:ascii="Arial" w:cs="Arial" w:eastAsia="Arial" w:hAnsi="Arial"/>
          <w:sz w:val="16"/>
          <w:szCs w:val="16"/>
          <w:b w:val="1"/>
          <w:bCs w:val="1"/>
          <w:color w:val="auto"/>
        </w:rPr>
        <w:t>Series E SPA</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460" w:hanging="452"/>
        <w:spacing w:after="0" w:line="342" w:lineRule="auto"/>
        <w:tabs>
          <w:tab w:leader="none" w:pos="4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It is a condition precedent under the Series E SPA that the Company and the parties hereto enter into this Agreement, which shall amend and restate that certain Third Amended and Restated Shareholders Agreement dated July 24, 2015 between the Company and certain parties thereto (the “</w:t>
      </w:r>
      <w:r>
        <w:rPr>
          <w:rFonts w:ascii="Arial" w:cs="Arial" w:eastAsia="Arial" w:hAnsi="Arial"/>
          <w:sz w:val="16"/>
          <w:szCs w:val="16"/>
          <w:b w:val="1"/>
          <w:bCs w:val="1"/>
          <w:color w:val="auto"/>
        </w:rPr>
        <w:t>Prior SHA</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460" w:right="240" w:hanging="452"/>
        <w:spacing w:after="0" w:line="277" w:lineRule="auto"/>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Parties desire to enter into this Agreement and make the respective representations, warranties, covenants and agreements set forth herein on the terms and conditions set forth herein.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Company, OptAim Ltd. and its shareholders have entered into a Share Purchase Agreement dated July 10, 2015.</w:t>
      </w:r>
    </w:p>
    <w:p>
      <w:pPr>
        <w:sectPr>
          <w:pgSz w:w="11900" w:h="16838" w:orient="portrait"/>
          <w:cols w:equalWidth="0" w:num="1">
            <w:col w:w="11400"/>
          </w:cols>
          <w:pgMar w:left="240" w:top="269" w:right="259" w:bottom="1440" w:gutter="0" w:footer="0" w:header="0"/>
        </w:sectPr>
      </w:pPr>
    </w:p>
    <w:bookmarkStart w:id="458" w:name="page459"/>
    <w:bookmarkEnd w:id="45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WITNESSETH</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NOW, THEREFORE, in consideration of the foregoing recitals, the mutual promises hereinafter set forth, and other good and valuable consideration, the receipt and sufficiency of which are hereby acknowledged, the Parties intending to be legally bound hereto hereby agree as follows:</w:t>
      </w:r>
    </w:p>
    <w:p>
      <w:pPr>
        <w:spacing w:after="0" w:line="147" w:lineRule="exact"/>
        <w:rPr>
          <w:sz w:val="20"/>
          <w:szCs w:val="20"/>
          <w:color w:val="auto"/>
        </w:rPr>
      </w:pPr>
    </w:p>
    <w:p>
      <w:pPr>
        <w:ind w:left="460" w:hanging="452"/>
        <w:spacing w:after="0"/>
        <w:tabs>
          <w:tab w:leader="none" w:pos="4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shall have the meanings ascribed to them below:</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that, directly or indirectly, Controls, is Controlled by or is under common Control with such Person.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means, collectively, this Agreement, the Deeds of Guarantee, the Right of First Refusal and Co-Sale Agreement, Strategic Cooperation Agreement and the Indemnification Agreement, each as defined herein.</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Securities Laws</w:t>
      </w:r>
      <w:r>
        <w:rPr>
          <w:rFonts w:ascii="Arial" w:cs="Arial" w:eastAsia="Arial" w:hAnsi="Arial"/>
          <w:sz w:val="18"/>
          <w:szCs w:val="18"/>
          <w:color w:val="auto"/>
        </w:rPr>
        <w:t>” means (i) with respect to any offering of securities in the United States, or any other act or omission within that jurisdiction, the securities Law of the United States, including the Exchange Act and the Securities Act, and any applicable securities Laws of any state of the United States, and (ii) with respect to any offering of securities in any jurisdiction other than the United States, or any related act or omission in that jurisdiction, the applicable securities Laws of that jurisdiction.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12.4(ii)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w:t>
      </w:r>
      <w:r>
        <w:rPr>
          <w:rFonts w:ascii="Arial" w:cs="Arial" w:eastAsia="Arial" w:hAnsi="Arial"/>
          <w:sz w:val="18"/>
          <w:szCs w:val="18"/>
          <w:color w:val="auto"/>
        </w:rPr>
        <w:t>” means BAI GmbH, a company duly incorporated and existing under the laws of Germany.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Bertelsmann</w:t>
      </w:r>
      <w:r>
        <w:rPr>
          <w:rFonts w:ascii="Arial" w:cs="Arial" w:eastAsia="Arial" w:hAnsi="Arial"/>
          <w:sz w:val="18"/>
          <w:szCs w:val="18"/>
          <w:color w:val="auto"/>
        </w:rPr>
        <w:t>” means Bertelsmann Asia Investments AG, a company duly incorporated and existing under the Laws of Switzerland.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Bertelsmann Ordinary Shares</w:t>
      </w:r>
      <w:r>
        <w:rPr>
          <w:rFonts w:ascii="Arial" w:cs="Arial" w:eastAsia="Arial" w:hAnsi="Arial"/>
          <w:sz w:val="18"/>
          <w:szCs w:val="18"/>
          <w:color w:val="auto"/>
        </w:rPr>
        <w:t>” means the Ordinary Shares acquired by Bertelsmann pursuant to the Series B SPA.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BlueFocus</w:t>
      </w:r>
      <w:r>
        <w:rPr>
          <w:rFonts w:ascii="Arial" w:cs="Arial" w:eastAsia="Arial" w:hAnsi="Arial"/>
          <w:sz w:val="18"/>
          <w:szCs w:val="18"/>
          <w:color w:val="auto"/>
        </w:rPr>
        <w:t>” means BlueFocus International Limited, a limited corporation duly incorporated and existing under the Laws of Hong Kong.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or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as defined in Section 957(a)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 37</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11.4(ii)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means (i) with respect to any offering of securities in the United States, the Securities and Exchange Commission of the United States or any other federal agency at the time administering the Securities Act, and (ii) with respect to any offering of securities in a jurisdiction other than the United States, the regulatory body of the jurisdiction with authority to supervise and regulate the offering and sale of securities in that jurisdiction.</w:t>
      </w:r>
    </w:p>
    <w:p>
      <w:pPr>
        <w:sectPr>
          <w:pgSz w:w="11900" w:h="16838" w:orient="portrait"/>
          <w:cols w:equalWidth="0" w:num="1">
            <w:col w:w="11360"/>
          </w:cols>
          <w:pgMar w:left="240" w:top="270" w:right="299" w:bottom="1440" w:gutter="0" w:footer="0" w:header="0"/>
        </w:sectPr>
      </w:pPr>
    </w:p>
    <w:bookmarkStart w:id="459" w:name="page460"/>
    <w:bookmarkEnd w:id="4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Security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11.4(ii)</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w:t>
      </w:r>
      <w:r>
        <w:rPr>
          <w:rFonts w:ascii="Arial" w:cs="Arial" w:eastAsia="Arial" w:hAnsi="Arial"/>
          <w:sz w:val="18"/>
          <w:szCs w:val="18"/>
          <w:b w:val="1"/>
          <w:bCs w:val="1"/>
          <w:color w:val="auto"/>
        </w:rPr>
        <w:t>Controlled</w:t>
      </w:r>
      <w:r>
        <w:rPr>
          <w:rFonts w:ascii="Arial" w:cs="Arial" w:eastAsia="Arial" w:hAnsi="Arial"/>
          <w:sz w:val="18"/>
          <w:szCs w:val="18"/>
          <w:color w:val="auto"/>
        </w:rPr>
        <w:t>” has the meaning correlative to the foregoing.</w:t>
      </w:r>
    </w:p>
    <w:p>
      <w:pPr>
        <w:spacing w:after="0" w:line="184"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Deeds of Guarantee</w:t>
      </w:r>
      <w:r>
        <w:rPr>
          <w:rFonts w:ascii="Arial" w:cs="Arial" w:eastAsia="Arial" w:hAnsi="Arial"/>
          <w:sz w:val="18"/>
          <w:szCs w:val="18"/>
          <w:color w:val="auto"/>
        </w:rPr>
        <w:t>” means the deeds of guarantee entered into by the Guarantors in favour of the Series C Investor, Series D Investor and Series E Investor, respectively.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12.4(i)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 any Ordinary Shares and/or Ordinary Share Equivalents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ESOP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Pre-emptive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 F-3</w:t>
      </w:r>
      <w:r>
        <w:rPr>
          <w:rFonts w:ascii="Arial" w:cs="Arial" w:eastAsia="Arial" w:hAnsi="Arial"/>
          <w:sz w:val="17"/>
          <w:szCs w:val="17"/>
          <w:color w:val="auto"/>
        </w:rPr>
        <w:t>” means Form F-3 promulgated by the Commission under the Securities Act or any successor form or substantially similar form then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“Fourth Notice”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“Fourth Remaining Securities”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Fifth Notice</w:t>
      </w:r>
      <w:r>
        <w:rPr>
          <w:rFonts w:ascii="Arial" w:cs="Arial" w:eastAsia="Arial" w:hAnsi="Arial"/>
          <w:sz w:val="18"/>
          <w:szCs w:val="18"/>
          <w:color w:val="auto"/>
        </w:rPr>
        <w:t>” has the meaning set forth in Section 7.6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Fifth Remaining Securities</w:t>
      </w:r>
      <w:r>
        <w:rPr>
          <w:rFonts w:ascii="Arial" w:cs="Arial" w:eastAsia="Arial" w:hAnsi="Arial"/>
          <w:sz w:val="18"/>
          <w:szCs w:val="18"/>
          <w:color w:val="auto"/>
        </w:rPr>
        <w:t>” has the meaning set forth in Section 7.6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w:t>
      </w:r>
      <w:r>
        <w:rPr>
          <w:rFonts w:ascii="Arial" w:cs="Arial" w:eastAsia="Arial" w:hAnsi="Arial"/>
          <w:sz w:val="18"/>
          <w:szCs w:val="18"/>
          <w:color w:val="auto"/>
        </w:rPr>
        <w:t>” or “</w:t>
      </w:r>
      <w:r>
        <w:rPr>
          <w:rFonts w:ascii="Arial" w:cs="Arial" w:eastAsia="Arial" w:hAnsi="Arial"/>
          <w:sz w:val="18"/>
          <w:szCs w:val="18"/>
          <w:b w:val="1"/>
          <w:bCs w:val="1"/>
          <w:color w:val="auto"/>
        </w:rPr>
        <w:t>Founders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the PRC, the Cayman Islands or any other country, or any political subdivision thereof, any court, tribunal or arbitrator, and any self-regulatory organization.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60" w:name="page461"/>
    <w:bookmarkEnd w:id="460"/>
    <w:p>
      <w:pPr>
        <w:ind w:right="120" w:firstLine="456"/>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Governmental Order</w:t>
      </w:r>
      <w:r>
        <w:rPr>
          <w:rFonts w:ascii="Arial" w:cs="Arial" w:eastAsia="Arial" w:hAnsi="Arial"/>
          <w:sz w:val="16"/>
          <w:szCs w:val="16"/>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1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Companies</w:t>
      </w:r>
      <w:r>
        <w:rPr>
          <w:rFonts w:ascii="Arial" w:cs="Arial" w:eastAsia="Arial" w:hAnsi="Arial"/>
          <w:sz w:val="18"/>
          <w:szCs w:val="18"/>
          <w:color w:val="auto"/>
        </w:rPr>
        <w:t>” or “</w:t>
      </w:r>
      <w:r>
        <w:rPr>
          <w:rFonts w:ascii="Arial" w:cs="Arial" w:eastAsia="Arial" w:hAnsi="Arial"/>
          <w:sz w:val="18"/>
          <w:szCs w:val="18"/>
          <w:b w:val="1"/>
          <w:bCs w:val="1"/>
          <w:color w:val="auto"/>
        </w:rPr>
        <w:t>Group</w:t>
      </w:r>
      <w:r>
        <w:rPr>
          <w:rFonts w:ascii="Arial" w:cs="Arial" w:eastAsia="Arial" w:hAnsi="Arial"/>
          <w:sz w:val="18"/>
          <w:szCs w:val="18"/>
          <w:color w:val="auto"/>
        </w:rPr>
        <w:t>” means, collectively, the Company together with its Subsidiaries, and each Person (other than a natural person) that is, directly or indirectly, Controlled by any of the foregoing, including but not limited to each joint venture in which any of the foregoing holds more than fifty percent (50%) of the voting power.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has the meaning ascribed thereto in the Series D SPA.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HKIAC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12.4(iii)</w:t>
      </w:r>
      <w:r>
        <w:rPr>
          <w:rFonts w:ascii="Arial" w:cs="Arial" w:eastAsia="Arial" w:hAnsi="Arial"/>
          <w:sz w:val="18"/>
          <w:szCs w:val="18"/>
          <w:color w:val="auto"/>
        </w:rPr>
        <w:t xml:space="preserve"> hereof.</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w:t>
      </w:r>
      <w:r>
        <w:rPr>
          <w:rFonts w:ascii="Arial" w:cs="Arial" w:eastAsia="Arial" w:hAnsi="Arial"/>
          <w:sz w:val="18"/>
          <w:szCs w:val="18"/>
          <w:color w:val="auto"/>
        </w:rPr>
        <w:t>” means the holders of Registrable Securities who are parties to this Agreement from time to time, and their permitted transferees that become parties to this Agreement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Igomax</w:t>
      </w:r>
      <w:r>
        <w:rPr>
          <w:rFonts w:ascii="Arial" w:cs="Arial" w:eastAsia="Arial" w:hAnsi="Arial"/>
          <w:sz w:val="18"/>
          <w:szCs w:val="18"/>
          <w:color w:val="auto"/>
        </w:rPr>
        <w:t>” means Igomax Inc., a limited corporation duly incorporated and existing under the Laws of the British Virgin Islands.</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Igomax QIPO</w:t>
      </w:r>
      <w:r>
        <w:rPr>
          <w:rFonts w:ascii="Arial" w:cs="Arial" w:eastAsia="Arial" w:hAnsi="Arial"/>
          <w:sz w:val="18"/>
          <w:szCs w:val="18"/>
          <w:color w:val="auto"/>
        </w:rPr>
        <w:t>” means the first firm commitment underwritten registered public offering by the Company of its Ordinary Shares with an offering price (net of underwriting commissions and expenses) that implies a market capitalization of the Company immediately prior to such offering of not less than US$500,000,000.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Igomax Shares</w:t>
      </w:r>
      <w:r>
        <w:rPr>
          <w:rFonts w:ascii="Arial" w:cs="Arial" w:eastAsia="Arial" w:hAnsi="Arial"/>
          <w:sz w:val="18"/>
          <w:szCs w:val="18"/>
          <w:color w:val="auto"/>
        </w:rPr>
        <w:t>” means the Ordinary Shares held by Igomax as of July 24,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Indemnification Agreement</w:t>
      </w:r>
      <w:r>
        <w:rPr>
          <w:rFonts w:ascii="Arial" w:cs="Arial" w:eastAsia="Arial" w:hAnsi="Arial"/>
          <w:sz w:val="16"/>
          <w:szCs w:val="16"/>
          <w:color w:val="auto"/>
        </w:rPr>
        <w:t>” has the meaning ascribed thereto in the Series B SPA, the Series C SPA and the Series D SPA, as the case may be.</w:t>
      </w:r>
    </w:p>
    <w:p>
      <w:pPr>
        <w:spacing w:after="0" w:line="24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Holders</w:t>
      </w:r>
      <w:r>
        <w:rPr>
          <w:rFonts w:ascii="Arial" w:cs="Arial" w:eastAsia="Arial" w:hAnsi="Arial"/>
          <w:sz w:val="18"/>
          <w:szCs w:val="18"/>
          <w:color w:val="auto"/>
        </w:rPr>
        <w:t xml:space="preserve">” means, with respect to a request duly made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Register any Registrable Securities, the Holders initiating such request.</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first firm underwritten registered public offering by the Company of its Ordinary Shares pursuant to a Registration Statement that is filed with and declared effective by either the Commission under the Securities Act or another Governmental Authority for a public offering in a jurisdiction other than the United States.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Employees</w:t>
      </w:r>
      <w:r>
        <w:rPr>
          <w:rFonts w:ascii="Arial" w:cs="Arial" w:eastAsia="Arial" w:hAnsi="Arial"/>
          <w:sz w:val="18"/>
          <w:szCs w:val="18"/>
          <w:color w:val="auto"/>
        </w:rPr>
        <w:t>” has the meaning set forth in the Series E SPA.</w:t>
      </w:r>
    </w:p>
    <w:p>
      <w:pPr>
        <w:spacing w:after="0" w:line="225" w:lineRule="exact"/>
        <w:rPr>
          <w:sz w:val="20"/>
          <w:szCs w:val="20"/>
          <w:color w:val="auto"/>
        </w:rPr>
      </w:pPr>
    </w:p>
    <w:p>
      <w:pPr>
        <w:jc w:val="both"/>
        <w:ind w:right="26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or “</w:t>
      </w:r>
      <w:r>
        <w:rPr>
          <w:rFonts w:ascii="Arial" w:cs="Arial" w:eastAsia="Arial" w:hAnsi="Arial"/>
          <w:sz w:val="17"/>
          <w:szCs w:val="17"/>
          <w:b w:val="1"/>
          <w:bCs w:val="1"/>
          <w:color w:val="auto"/>
        </w:rPr>
        <w:t>Laws</w:t>
      </w:r>
      <w:r>
        <w:rPr>
          <w:rFonts w:ascii="Arial" w:cs="Arial" w:eastAsia="Arial" w:hAnsi="Arial"/>
          <w:sz w:val="17"/>
          <w:szCs w:val="17"/>
          <w:color w:val="auto"/>
        </w:rPr>
        <w:t>” means any constitutional provision, statute, ordinance or other law, rule, regulation, official policy or interpretation of applicable Governmental Authority and any Governmental Order in the jurisdiction of incorporation of each Group Company and where they ordinarily conduct their business, including without limitation, the British Virgin Islands, Cayman Islands, the Hong Kong S.A.R. and the PRC.</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61" w:name="page462"/>
    <w:bookmarkEnd w:id="4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Liquidating Transaction</w:t>
      </w:r>
      <w:r>
        <w:rPr>
          <w:rFonts w:ascii="Arial" w:cs="Arial" w:eastAsia="Arial" w:hAnsi="Arial"/>
          <w:sz w:val="18"/>
          <w:szCs w:val="18"/>
          <w:color w:val="auto"/>
        </w:rPr>
        <w:t>” has the meaning set forth in the Memorandum and Articles.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Majority-in-Interest</w:t>
      </w:r>
      <w:r>
        <w:rPr>
          <w:rFonts w:ascii="Arial" w:cs="Arial" w:eastAsia="Arial" w:hAnsi="Arial"/>
          <w:sz w:val="18"/>
          <w:szCs w:val="18"/>
          <w:color w:val="auto"/>
        </w:rPr>
        <w:t>” means an interest in the voting securities of a Person that exceeds 50% of such voting securities of such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8.1(i)</w:t>
      </w:r>
      <w:r>
        <w:rPr>
          <w:rFonts w:ascii="Arial" w:cs="Arial" w:eastAsia="Arial" w:hAnsi="Arial"/>
          <w:sz w:val="18"/>
          <w:szCs w:val="18"/>
          <w:color w:val="auto"/>
        </w:rPr>
        <w:t xml:space="preserve"> hereof.</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 and Articles</w:t>
      </w:r>
      <w:r>
        <w:rPr>
          <w:rFonts w:ascii="Arial" w:cs="Arial" w:eastAsia="Arial" w:hAnsi="Arial"/>
          <w:sz w:val="18"/>
          <w:szCs w:val="18"/>
          <w:color w:val="auto"/>
        </w:rPr>
        <w:t>” means the seventh amended and restated Memorandum and Articles of Association of the Company, as such may be amended and/or restated from time to time.</w:t>
      </w:r>
    </w:p>
    <w:p>
      <w:pPr>
        <w:spacing w:after="0" w:line="1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Securities</w:t>
      </w:r>
      <w:r>
        <w:rPr>
          <w:rFonts w:ascii="Arial" w:cs="Arial" w:eastAsia="Arial" w:hAnsi="Arial"/>
          <w:sz w:val="16"/>
          <w:szCs w:val="16"/>
          <w:color w:val="auto"/>
        </w:rPr>
        <w:t xml:space="preserve">” means, subject to the terms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any newly issued Equity Securities of the Company, except for (i) any Ordinary Shares, or any option or warrant to acquire any Ordinary Shares, issued to employees, officers, consultants or directors of the Company pursuant to a stock option plan, stock purchase plan, or other equity incentive plan, in any case that is approved by at least 2/3 of the members of the Board (which majority must include the Series D Director, the Series B Director and the Series A Director); (ii) Equity Securities issued upon conversion of the Preference Shares;</w:t>
      </w:r>
    </w:p>
    <w:p>
      <w:pPr>
        <w:spacing w:after="0" w:line="3" w:lineRule="exact"/>
        <w:rPr>
          <w:sz w:val="20"/>
          <w:szCs w:val="20"/>
          <w:color w:val="auto"/>
        </w:rPr>
      </w:pPr>
    </w:p>
    <w:p>
      <w:pPr>
        <w:ind w:right="40" w:firstLine="8"/>
        <w:spacing w:after="0" w:line="277" w:lineRule="auto"/>
        <w:tabs>
          <w:tab w:leader="none" w:pos="315" w:val="left"/>
        </w:tabs>
        <w:numPr>
          <w:ilvl w:val="0"/>
          <w:numId w:val="435"/>
        </w:numPr>
        <w:rPr>
          <w:rFonts w:ascii="Arial" w:cs="Arial" w:eastAsia="Arial" w:hAnsi="Arial"/>
          <w:sz w:val="17"/>
          <w:szCs w:val="17"/>
          <w:color w:val="auto"/>
        </w:rPr>
      </w:pPr>
      <w:r>
        <w:rPr>
          <w:rFonts w:ascii="Arial" w:cs="Arial" w:eastAsia="Arial" w:hAnsi="Arial"/>
          <w:sz w:val="17"/>
          <w:szCs w:val="17"/>
          <w:color w:val="auto"/>
        </w:rPr>
        <w:t xml:space="preserve">Equity Securities issued in connection with any share split, share dividend, combination, or similar transaction of the Company; (iv) Equity Securities issued in a Qualified IPO; (v) Equity Securities issued upon the conversion of any debenture, warrant, option, or other convertible securities outstanding prior to the issuance of the Series B Preference Shares; or (vi) any Equity Securities issued or allotted pursuant to </w:t>
      </w:r>
      <w:r>
        <w:rPr>
          <w:rFonts w:ascii="Arial" w:cs="Arial" w:eastAsia="Arial" w:hAnsi="Arial"/>
          <w:sz w:val="17"/>
          <w:szCs w:val="17"/>
          <w:u w:val="single" w:color="auto"/>
          <w:color w:val="auto"/>
        </w:rPr>
        <w:t>Section 10.5.</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Non-Exercising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Non-Liquidation M&amp;A</w:t>
      </w:r>
      <w:r>
        <w:rPr>
          <w:rFonts w:ascii="Arial" w:cs="Arial" w:eastAsia="Arial" w:hAnsi="Arial"/>
          <w:sz w:val="16"/>
          <w:szCs w:val="16"/>
          <w:color w:val="auto"/>
        </w:rPr>
        <w:t>” means either (A) a merger or acquisition of the Company or any of its Subsidiaries in which the shareholders of the Company do not directly or indirectly own a majority of the outstanding shares of the surviving corporation or (B) a sale of all or substantially all of the assets of the Company or the assets of its Subsidiaries, in each case that implies a valuation on a fully-diluted basis of the Company of US$550,000,000 or higher.</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OptAim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OptAim Subsidiaries</w:t>
      </w:r>
      <w:r>
        <w:rPr>
          <w:rFonts w:ascii="Arial" w:cs="Arial" w:eastAsia="Arial" w:hAnsi="Arial"/>
          <w:sz w:val="17"/>
          <w:szCs w:val="17"/>
          <w:color w:val="auto"/>
        </w:rPr>
        <w:t xml:space="preserve">” means OptAim (HK) Limited, OptAim (Beijing) Information Technology Co., Ltd. </w:t>
      </w:r>
      <w:r>
        <w:rPr>
          <w:sz w:val="1"/>
          <w:szCs w:val="1"/>
          <w:color w:val="auto"/>
        </w:rPr>
        <w:drawing>
          <wp:inline distT="0" distB="0" distL="0" distR="0">
            <wp:extent cx="1818005" cy="10287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818005" cy="102870"/>
                    </a:xfrm>
                    <a:prstGeom prst="rect">
                      <a:avLst/>
                    </a:prstGeom>
                    <a:noFill/>
                    <a:ln>
                      <a:noFill/>
                    </a:ln>
                  </pic:spPr>
                </pic:pic>
              </a:graphicData>
            </a:graphic>
          </wp:inline>
        </w:drawing>
      </w:r>
      <w:r>
        <w:rPr>
          <w:rFonts w:ascii="Arial" w:cs="Arial" w:eastAsia="Arial" w:hAnsi="Arial"/>
          <w:sz w:val="17"/>
          <w:szCs w:val="17"/>
          <w:color w:val="auto"/>
        </w:rPr>
        <w:t xml:space="preserve"> ,</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Beijing OptAim Network Technology Co., Ltd. </w:t>
      </w:r>
      <w:r>
        <w:rPr>
          <w:sz w:val="1"/>
          <w:szCs w:val="1"/>
          <w:color w:val="auto"/>
        </w:rPr>
        <w:drawing>
          <wp:inline distT="0" distB="0" distL="0" distR="0">
            <wp:extent cx="1818005" cy="11176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818005" cy="111760"/>
                    </a:xfrm>
                    <a:prstGeom prst="rect">
                      <a:avLst/>
                    </a:prstGeom>
                    <a:noFill/>
                    <a:ln>
                      <a:noFill/>
                    </a:ln>
                  </pic:spPr>
                </pic:pic>
              </a:graphicData>
            </a:graphic>
          </wp:inline>
        </w:drawing>
      </w:r>
      <w:r>
        <w:rPr>
          <w:rFonts w:ascii="Arial" w:cs="Arial" w:eastAsia="Arial" w:hAnsi="Arial"/>
          <w:sz w:val="18"/>
          <w:szCs w:val="18"/>
          <w:color w:val="auto"/>
        </w:rPr>
        <w:t xml:space="preserve"> , Zhiyunzhong (Shanghai) Technology Co., Ltd.</w:t>
      </w:r>
    </w:p>
    <w:p>
      <w:pPr>
        <w:spacing w:after="0" w:line="2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and their successor(s).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Investor Ordinary Shares</w:t>
      </w:r>
      <w:r>
        <w:rPr>
          <w:rFonts w:ascii="Arial" w:cs="Arial" w:eastAsia="Arial" w:hAnsi="Arial"/>
          <w:sz w:val="18"/>
          <w:szCs w:val="18"/>
          <w:color w:val="auto"/>
        </w:rPr>
        <w:t>” means the Bertelsmann Ordinary Shares and the SSG I Ordinary Shares.</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62" w:name="page463"/>
    <w:bookmarkEnd w:id="4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Ordinary Investors</w:t>
      </w:r>
      <w:r>
        <w:rPr>
          <w:rFonts w:ascii="Arial" w:cs="Arial" w:eastAsia="Arial" w:hAnsi="Arial"/>
          <w:sz w:val="18"/>
          <w:szCs w:val="18"/>
          <w:color w:val="auto"/>
        </w:rPr>
        <w:t>” means SSG I, Bertelsmann and BlueFocus, in their capacities as holders of Ordinary Shares.</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 Equivalents</w:t>
      </w:r>
      <w:r>
        <w:rPr>
          <w:rFonts w:ascii="Arial" w:cs="Arial" w:eastAsia="Arial" w:hAnsi="Arial"/>
          <w:sz w:val="18"/>
          <w:szCs w:val="18"/>
          <w:color w:val="auto"/>
        </w:rPr>
        <w:t>” means warrants, options and rights exercisable for Ordinary Shares and instruments convertible into or exchangeable for Ordinary Shares, including, without limitation, the Preference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Company’s ordinary shares, par value US$0.001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“Overallotment Notice” </w:t>
      </w:r>
      <w:r>
        <w:rPr>
          <w:rFonts w:ascii="Arial" w:cs="Arial" w:eastAsia="Arial" w:hAnsi="Arial"/>
          <w:sz w:val="18"/>
          <w:szCs w:val="18"/>
          <w:color w:val="auto"/>
        </w:rPr>
        <w:t>has the meaning set forth in Section 7.3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proprietorship, association, limited liability company, firm, trust, estate or other enterprise or entity.</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but solely for the purposes of this Agreement and the other Transaction Documents, excluding the Hong Kong S.A.R., the Macau Special Administrative Region and the islands of Taiwan.</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Shares</w:t>
      </w:r>
      <w:r>
        <w:rPr>
          <w:rFonts w:ascii="Arial" w:cs="Arial" w:eastAsia="Arial" w:hAnsi="Arial"/>
          <w:sz w:val="18"/>
          <w:szCs w:val="18"/>
          <w:color w:val="auto"/>
        </w:rPr>
        <w:t>” means, collectively, the Series E Preference Shares, the Series D Preference Shares, the Series C Preference Shares, the Series B Preference Shares and the Series A Preference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Tribunal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12.4(viii)(a)</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has the meaning set forth in the Series E SPA.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IPO</w:t>
      </w:r>
      <w:r>
        <w:rPr>
          <w:rFonts w:ascii="Arial" w:cs="Arial" w:eastAsia="Arial" w:hAnsi="Arial"/>
          <w:sz w:val="16"/>
          <w:szCs w:val="16"/>
          <w:color w:val="auto"/>
        </w:rPr>
        <w:t>” means the first firm commitment underwritten registered public offering by the Company of its Ordinary Shares for its own account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that results in such securities being listed or registered on NASDAQ Stock Exchange, New York Stock Exchange, Hong Kong Stock Exchange, Shenzhen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Exchange, Shanghai Stock Exchange or such other internationally recognized stock exchange approved in writing by SWHY, BlueFocus, Bertelsmann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Holders of the majority outstanding Series A Preference Shares (i) with an offering price (net of underwriting commissions and expenses) that implies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market capitalization of the Company immediately prior to such offering of not less than US$600,000,000 (if on or prior to December 31, 2017)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US$650,000,000 (if on or after January 1, 2018); and (ii) which results in aggregate cash proceeds to the Company of not less than US$150,000,000 (or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 amount thereof in another currency) prior to deduction of underwriting discounts, commissions and expenses, except that if such first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commitment underwritten registered public offering by the Company is on NASDAQ or NYSE, then the aggregate cash proceeds to the Company resulting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such could be less than US$150,000,000 (or an equivalent amount thereof in another currency) prior to deduction of underwriting discounts,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expenses. For the avoidance of doubt, the total amount of deduction in item (ii) shall not exceed US$30,000,000 unless otherwise approved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Board of Directors including the affirmative consent of the Series D Director, the Series A Director and Series B Director.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Ordinary Investor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hereof.</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463" w:name="page464"/>
    <w:bookmarkEnd w:id="463"/>
    <w:p>
      <w:pPr>
        <w:ind w:right="20" w:firstLine="456"/>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(i) the Ordinary Shares issued or issuable to the Shareholders (ii) Ordinary Shares issued or issuable upon conversion of the Preference Shares, (iii) any Ordinary Shares owned or hereafter acquired by the Series A Investor, Series B Investors, Series C Investor, Series D Investor, Series E Investor or the Ordinary Investors, and (iv) any Ordinary Shares of the Company issued as a dividend or other distribution with respect to, in exchange for, or in replacement of, the shares referenced in (i), (ii) and (iii) herein, excluding in all cases, however, any of the foregoing sold by a Person in a transaction other than an assignment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For purposes of this Agreement, Registrable Securities shall cease to be Registrable Securities when a Registration Statement covering such Registrable Securities has been declared or ordered effective under the Securities Act by the Commission whether or not such Registrable Securities have been disposed of pursuant to such effective Registration Statement.</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w:t>
      </w:r>
      <w:r>
        <w:rPr>
          <w:rFonts w:ascii="Arial" w:cs="Arial" w:eastAsia="Arial" w:hAnsi="Arial"/>
          <w:sz w:val="18"/>
          <w:szCs w:val="18"/>
          <w:color w:val="auto"/>
        </w:rPr>
        <w:t>” means a registration effected by preparing and filing a Registration Statement and the declaration or ordering of the effectiveness of that Registration Statement; and the terms “</w:t>
      </w:r>
      <w:r>
        <w:rPr>
          <w:rFonts w:ascii="Arial" w:cs="Arial" w:eastAsia="Arial" w:hAnsi="Arial"/>
          <w:sz w:val="18"/>
          <w:szCs w:val="18"/>
          <w:b w:val="1"/>
          <w:bCs w:val="1"/>
          <w:color w:val="auto"/>
        </w:rPr>
        <w:t>Register</w:t>
      </w:r>
      <w:r>
        <w:rPr>
          <w:rFonts w:ascii="Arial" w:cs="Arial" w:eastAsia="Arial" w:hAnsi="Arial"/>
          <w:sz w:val="18"/>
          <w:szCs w:val="18"/>
          <w:color w:val="auto"/>
        </w:rPr>
        <w:t>” and “</w:t>
      </w:r>
      <w:r>
        <w:rPr>
          <w:rFonts w:ascii="Arial" w:cs="Arial" w:eastAsia="Arial" w:hAnsi="Arial"/>
          <w:sz w:val="18"/>
          <w:szCs w:val="18"/>
          <w:b w:val="1"/>
          <w:bCs w:val="1"/>
          <w:color w:val="auto"/>
        </w:rPr>
        <w:t>Registered</w:t>
      </w:r>
      <w:r>
        <w:rPr>
          <w:rFonts w:ascii="Arial" w:cs="Arial" w:eastAsia="Arial" w:hAnsi="Arial"/>
          <w:sz w:val="18"/>
          <w:szCs w:val="18"/>
          <w:color w:val="auto"/>
        </w:rPr>
        <w:t>” have meanings concomitant with the foregoing.</w:t>
      </w:r>
    </w:p>
    <w:p>
      <w:pPr>
        <w:spacing w:after="0" w:line="162"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 registration statement prepared on Form F-1, F-2, F-3, S-1, S-2 or S-3 under the Securities Act (including, without limitation, Rule 415 under the Securities Act), or on any comparable form in connection with registration in a jurisdiction other than the United States.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Residual Amount</w:t>
      </w:r>
      <w:r>
        <w:rPr>
          <w:rFonts w:ascii="Arial" w:cs="Arial" w:eastAsia="Arial" w:hAnsi="Arial"/>
          <w:sz w:val="18"/>
          <w:szCs w:val="18"/>
          <w:color w:val="auto"/>
        </w:rPr>
        <w:t>” has the meaning ascribed thereto in the Series D SPA.</w:t>
      </w:r>
    </w:p>
    <w:p>
      <w:pPr>
        <w:spacing w:after="0" w:line="225"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 of First Refusal &amp; Co-Sale Agreement</w:t>
      </w:r>
      <w:r>
        <w:rPr>
          <w:rFonts w:ascii="Arial" w:cs="Arial" w:eastAsia="Arial" w:hAnsi="Arial"/>
          <w:sz w:val="16"/>
          <w:szCs w:val="16"/>
          <w:color w:val="auto"/>
        </w:rPr>
        <w:t>” means the third amended and restated right of first refusal &amp; co-sale agreement between the Company, the Series A Investor, the Series B Investors, the Series C Investor, the Series D Investor, the Series E Investor, the Founders, the Shareholders and the Principals, all as defined therein, to be entered into on or about the date hereof, as such may be amended and/or restated from time to time.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SAFE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11.4(i)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“Second Notice”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“Second Remaining Securities”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“Second Pre-emptive Rights”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Investor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Preference Shares</w:t>
      </w:r>
      <w:r>
        <w:rPr>
          <w:rFonts w:ascii="Arial" w:cs="Arial" w:eastAsia="Arial" w:hAnsi="Arial"/>
          <w:sz w:val="18"/>
          <w:szCs w:val="18"/>
          <w:color w:val="auto"/>
        </w:rPr>
        <w:t>” means the Series A redeemable convertible preferred shares of the Company, par value US$0.001 per share, with the rights and privileges as set forth in the Memorandum and Articles.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464" w:name="page465"/>
    <w:bookmarkEnd w:id="4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Series B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Investor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Preference Shares</w:t>
      </w:r>
      <w:r>
        <w:rPr>
          <w:rFonts w:ascii="Arial" w:cs="Arial" w:eastAsia="Arial" w:hAnsi="Arial"/>
          <w:sz w:val="18"/>
          <w:szCs w:val="18"/>
          <w:color w:val="auto"/>
        </w:rPr>
        <w:t>” means the Series B redeemable convertible preferred shares of the Company, par value US$0.001 per share, with the rights and privileges as set forth in the Memorandum and Articles.</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SPA</w:t>
      </w:r>
      <w:r>
        <w:rPr>
          <w:rFonts w:ascii="Arial" w:cs="Arial" w:eastAsia="Arial" w:hAnsi="Arial"/>
          <w:sz w:val="18"/>
          <w:szCs w:val="18"/>
          <w:color w:val="auto"/>
        </w:rPr>
        <w:t>” means the Series B Preference Shares and Warrant Purchase Agreement dated February 21, 2011 between the Company, certain of the Founders, the Series A Investor and certain Series B Investors.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Investor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Preference Shares</w:t>
      </w:r>
      <w:r>
        <w:rPr>
          <w:rFonts w:ascii="Arial" w:cs="Arial" w:eastAsia="Arial" w:hAnsi="Arial"/>
          <w:sz w:val="18"/>
          <w:szCs w:val="18"/>
          <w:color w:val="auto"/>
        </w:rPr>
        <w:t>” means the Series C redeemable convertible preferred shares of the Company, par value US$0.001 per share, with the rights and privileges as set forth in the Memorandum and Articles.</w:t>
      </w:r>
    </w:p>
    <w:p>
      <w:pPr>
        <w:spacing w:after="0" w:line="162"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SPA</w:t>
      </w:r>
      <w:r>
        <w:rPr>
          <w:rFonts w:ascii="Arial" w:cs="Arial" w:eastAsia="Arial" w:hAnsi="Arial"/>
          <w:sz w:val="18"/>
          <w:szCs w:val="18"/>
          <w:color w:val="auto"/>
        </w:rPr>
        <w:t>” means the Series C Preference Shares Subscription Agreement dated December 16, 2013 between the Company, certain of the Founders, the Series A Investor, Series B Investors and Series C Investor.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D Investor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D Preference Shares</w:t>
      </w:r>
      <w:r>
        <w:rPr>
          <w:rFonts w:ascii="Arial" w:cs="Arial" w:eastAsia="Arial" w:hAnsi="Arial"/>
          <w:sz w:val="18"/>
          <w:szCs w:val="18"/>
          <w:color w:val="auto"/>
        </w:rPr>
        <w:t>” means the Series D redeemable convertible preferred shares of the Company, par value US$0.001 per share, with the rights and privileges as set forth in the Memorandum and Articles.</w:t>
      </w:r>
    </w:p>
    <w:p>
      <w:pPr>
        <w:spacing w:after="0" w:line="16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D SPA</w:t>
      </w:r>
      <w:r>
        <w:rPr>
          <w:rFonts w:ascii="Arial" w:cs="Arial" w:eastAsia="Arial" w:hAnsi="Arial"/>
          <w:sz w:val="18"/>
          <w:szCs w:val="18"/>
          <w:color w:val="auto"/>
        </w:rPr>
        <w:t>” means the Share Subscription Agreement dated December 16, 2014 between the Company, certain of the Founders, the Series D Investor and certain other parties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E Investor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E Preference Shares</w:t>
      </w:r>
      <w:r>
        <w:rPr>
          <w:rFonts w:ascii="Arial" w:cs="Arial" w:eastAsia="Arial" w:hAnsi="Arial"/>
          <w:sz w:val="18"/>
          <w:szCs w:val="18"/>
          <w:color w:val="auto"/>
        </w:rPr>
        <w:t>” means the Series E redeemable convertible preferred shares of the Company, par value US$0.001 per share, with the rights and privileges as set forth in the Memorandum and Articles.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E SPA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Ordinary Shares and the Preference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“SSG Director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9.1(i)</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SSG I</w:t>
      </w:r>
      <w:r>
        <w:rPr>
          <w:rFonts w:ascii="Arial" w:cs="Arial" w:eastAsia="Arial" w:hAnsi="Arial"/>
          <w:sz w:val="18"/>
          <w:szCs w:val="18"/>
          <w:color w:val="auto"/>
        </w:rPr>
        <w:t>” means SSG Capital Partners I, LP, a limited partnership registered in the Cayman Islands and its correspondence address in Hong Kong being c/o SSG Capital Management (HK) Limited, Suite 4203, 42/F, Gloucester Tower, 15 Queen’s Road Central, Hong Kong.</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0" w:right="339" w:bottom="1440" w:gutter="0" w:footer="0" w:header="0"/>
        </w:sectPr>
      </w:pPr>
    </w:p>
    <w:bookmarkStart w:id="465" w:name="page466"/>
    <w:bookmarkEnd w:id="465"/>
    <w:p>
      <w:pPr>
        <w:ind w:right="340" w:firstLine="456"/>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SSG II</w:t>
      </w:r>
      <w:r>
        <w:rPr>
          <w:rFonts w:ascii="Arial" w:cs="Arial" w:eastAsia="Arial" w:hAnsi="Arial"/>
          <w:sz w:val="17"/>
          <w:szCs w:val="17"/>
          <w:color w:val="auto"/>
        </w:rPr>
        <w:t>” means SSG Capital Partners II, LP, a limited partnership registered in the Cayman Islands and its correspondence address in Hong Kong being c/o SSG Capital Management (HK) Limited, Suite 6303, 63</w:t>
      </w:r>
      <w:r>
        <w:rPr>
          <w:rFonts w:ascii="Arial" w:cs="Arial" w:eastAsia="Arial" w:hAnsi="Arial"/>
          <w:sz w:val="14"/>
          <w:szCs w:val="14"/>
          <w:color w:val="auto"/>
        </w:rPr>
        <w:t>rd</w:t>
      </w:r>
      <w:r>
        <w:rPr>
          <w:rFonts w:ascii="Arial" w:cs="Arial" w:eastAsia="Arial" w:hAnsi="Arial"/>
          <w:sz w:val="17"/>
          <w:szCs w:val="17"/>
          <w:color w:val="auto"/>
        </w:rPr>
        <w:t xml:space="preserve"> Floor, The Center, 99 Queen’s Road Central, Hong Kong.</w:t>
      </w:r>
    </w:p>
    <w:p>
      <w:pPr>
        <w:spacing w:after="0" w:line="138"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SSG I Ordinary Shares</w:t>
      </w:r>
      <w:r>
        <w:rPr>
          <w:rFonts w:ascii="Arial" w:cs="Arial" w:eastAsia="Arial" w:hAnsi="Arial"/>
          <w:sz w:val="17"/>
          <w:szCs w:val="17"/>
          <w:color w:val="auto"/>
        </w:rPr>
        <w:t>” means the Ordinary Shares acquired by SSG pursuant to the Ordinary Shares Purchase Agreement dated January 26, 2011 (the “OSPA”) entered into by and among the Company, SSG I, and certain of the Founders, as amended or restated from time to time.</w:t>
      </w:r>
    </w:p>
    <w:p>
      <w:pPr>
        <w:spacing w:after="0" w:line="13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Person of which the specified Person, directly or indirectly, owns or Controls more than fifty percent (50%) of the issued share capital, voting interests or registered capital.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Sumitomo</w:t>
      </w:r>
      <w:r>
        <w:rPr>
          <w:rFonts w:ascii="Arial" w:cs="Arial" w:eastAsia="Arial" w:hAnsi="Arial"/>
          <w:sz w:val="18"/>
          <w:szCs w:val="18"/>
          <w:color w:val="auto"/>
        </w:rPr>
        <w:t>” means Sumitomo Corporation Equity Asia Limited, a limited liability company, incorporated in the Hong Kong S.A.R.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SWHY</w:t>
      </w:r>
      <w:r>
        <w:rPr>
          <w:rFonts w:ascii="Arial" w:cs="Arial" w:eastAsia="Arial" w:hAnsi="Arial"/>
          <w:sz w:val="18"/>
          <w:szCs w:val="18"/>
          <w:color w:val="auto"/>
        </w:rPr>
        <w:t>” means Shenwan Hongyuan Goldspring Fund I, a limited liability company incorporated in the Cayman Islands.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“Third Notice”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3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Pre-Emptive Holders</w:t>
      </w:r>
      <w:r>
        <w:rPr>
          <w:rFonts w:ascii="Arial" w:cs="Arial" w:eastAsia="Arial" w:hAnsi="Arial"/>
          <w:sz w:val="18"/>
          <w:szCs w:val="18"/>
          <w:color w:val="auto"/>
        </w:rPr>
        <w:t xml:space="preserve">” has the meanings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“Third Remaining Securities”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jc w:val="both"/>
        <w:ind w:right="8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Series B SPA, the Series C SPA, the Series D SPA, the Series E SPA, the Ancillary Agreements, the Memorandum and Articles and each of the agreements and other documents otherwise required in connection with implementing the transactions contemplated by any of the foregoing.</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has the meaning set forth in Section 8.1(i)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described in Section 7701(a)(30)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Violation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5.1(i)</w:t>
      </w:r>
      <w:r>
        <w:rPr>
          <w:rFonts w:ascii="Arial" w:cs="Arial" w:eastAsia="Arial" w:hAnsi="Arial"/>
          <w:sz w:val="18"/>
          <w:szCs w:val="18"/>
          <w:color w:val="auto"/>
        </w:rPr>
        <w:t xml:space="preserv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Zaffre</w:t>
      </w:r>
      <w:r>
        <w:rPr>
          <w:rFonts w:ascii="Arial" w:cs="Arial" w:eastAsia="Arial" w:hAnsi="Arial"/>
          <w:sz w:val="18"/>
          <w:szCs w:val="18"/>
          <w:color w:val="auto"/>
        </w:rPr>
        <w:t>” means Zaffre Investments, Inc., a company duly incorporated and existing under the laws of British Virgin Islands.</w:t>
      </w:r>
    </w:p>
    <w:p>
      <w:pPr>
        <w:spacing w:after="0" w:line="374" w:lineRule="exact"/>
        <w:rPr>
          <w:sz w:val="20"/>
          <w:szCs w:val="20"/>
          <w:color w:val="auto"/>
        </w:rPr>
      </w:pPr>
    </w:p>
    <w:p>
      <w:pPr>
        <w:ind w:left="460" w:hanging="452"/>
        <w:spacing w:after="0"/>
        <w:tabs>
          <w:tab w:leader="none" w:pos="46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Demand Registration.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2.1 Registration Other Than on Form F-3 or Form S-3</w:t>
      </w:r>
      <w:r>
        <w:rPr>
          <w:rFonts w:ascii="Arial" w:cs="Arial" w:eastAsia="Arial" w:hAnsi="Arial"/>
          <w:sz w:val="17"/>
          <w:szCs w:val="17"/>
          <w:color w:val="auto"/>
        </w:rPr>
        <w:t>. Subject to the terms of this Agreement, at any time or from time to time after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(1</w:t>
      </w:r>
      <w:r>
        <w:rPr>
          <w:rFonts w:ascii="Arial" w:cs="Arial" w:eastAsia="Arial" w:hAnsi="Arial"/>
          <w:sz w:val="14"/>
          <w:szCs w:val="14"/>
          <w:color w:val="auto"/>
        </w:rPr>
        <w:t>st</w:t>
      </w:r>
      <w:r>
        <w:rPr>
          <w:rFonts w:ascii="Arial" w:cs="Arial" w:eastAsia="Arial" w:hAnsi="Arial"/>
          <w:sz w:val="17"/>
          <w:szCs w:val="17"/>
          <w:color w:val="auto"/>
        </w:rPr>
        <w:t xml:space="preserve">) year anniversary of the closing of the Series D SPA, any Holder(s) that individually or jointly hold at least twenty-five percent (25%) of the then outstanding Registrable Securities of the Company may request in writing that the Company effect a Registration on NASDAQ Stock Exchange, New York Stock Exchange, Hong Kong Stock Exchange, Shenzhen Stock Exchange, Shanghai Stock Exchange or such other internationally recognized stock exchange that is reasonably acceptable to such requesting Holder. Upon receipt of such a request, the Company shall (x) promptly give written notice of the proposed Registration to all other Holders and (y) as soon as practicable, use its reasonable best efforts to cause the Registrable Securities specified in the request, together with any Registrable Securities of any Holder who requests in writing to join such Registration within fifteen (15) days after the Company’s delivery of written notice, to be Registered and/or qualified for sale and distribution in such jurisdiction as the Initiating Holder may request. The Company shall be obligated to effect no more than three (3) Registrations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that have been declared and ordered effective; provided that if the sale of all of the Registrable Securities sought to be included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0" w:right="299" w:bottom="1440" w:gutter="0" w:footer="0" w:header="0"/>
        </w:sectPr>
      </w:pPr>
    </w:p>
    <w:bookmarkStart w:id="466" w:name="page467"/>
    <w:bookmarkEnd w:id="466"/>
    <w:p>
      <w:pPr>
        <w:ind w:firstLine="456"/>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Registration on Form F-3 or Form S-3</w:t>
      </w:r>
      <w:r>
        <w:rPr>
          <w:rFonts w:ascii="Arial" w:cs="Arial" w:eastAsia="Arial" w:hAnsi="Arial"/>
          <w:sz w:val="17"/>
          <w:szCs w:val="17"/>
          <w:color w:val="auto"/>
        </w:rPr>
        <w:t xml:space="preserve">. Subject to the terms of this Agreement, if the Company qualifies for registration on Form F-3 or Form S-3 (or any comparable form for Registration in a jurisdiction other than the United States), any Holder may request the Company to file, in any jurisdiction in which the Company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the Company shall (i) promptly give written notice of the proposed Registration to all other Holders and (ii) as soon as practicable, use its reasonable best efforts to cause the Registrable Securities specified in the request, together with any Registrable Securities of any Holder who requests in writing to join such Registration within fifteen (15) days after the Company’s delivery of written notice, to be Registered and qualified for sale and distribution in such jurisdiction. The Company shall be obligated to effect no more than two (2) Registrations that have been declared and ordered effective within any twelve (12)-month period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sale of all of the Registrable Securities sought to be included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Right of Deferral.</w:t>
      </w:r>
    </w:p>
    <w:p>
      <w:pPr>
        <w:spacing w:after="0" w:line="121" w:lineRule="exact"/>
        <w:rPr>
          <w:sz w:val="20"/>
          <w:szCs w:val="20"/>
          <w:color w:val="auto"/>
        </w:rPr>
      </w:pPr>
    </w:p>
    <w:p>
      <w:pPr>
        <w:ind w:left="1120" w:hanging="217"/>
        <w:spacing w:after="0"/>
        <w:tabs>
          <w:tab w:leader="none" w:pos="11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Register or qualify Registrable Securities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40" w:firstLine="421"/>
        <w:spacing w:after="0" w:line="273" w:lineRule="auto"/>
        <w:tabs>
          <w:tab w:leader="none" w:pos="1585" w:val="left"/>
        </w:tabs>
        <w:numPr>
          <w:ilvl w:val="1"/>
          <w:numId w:val="437"/>
        </w:numPr>
        <w:rPr>
          <w:rFonts w:ascii="Arial" w:cs="Arial" w:eastAsia="Arial" w:hAnsi="Arial"/>
          <w:sz w:val="17"/>
          <w:szCs w:val="17"/>
          <w:color w:val="auto"/>
        </w:rPr>
      </w:pPr>
      <w:r>
        <w:rPr>
          <w:rFonts w:ascii="Arial" w:cs="Arial" w:eastAsia="Arial" w:hAnsi="Arial"/>
          <w:sz w:val="17"/>
          <w:szCs w:val="17"/>
          <w:color w:val="auto"/>
        </w:rPr>
        <w:t xml:space="preserve">if, within ten (10) days of the receipt of any request of the Holders to Register any Registrable Securities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the Company gives notice to the Initiating Holders of its bona fide intention to effect the filing for its own account of a Registration Statement pertaining to Ordinary Shares within sixty (60) days of receipt of that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its reasonable best efforts to cause that Registration Statement to become effective within sixty (60) days of receipt of that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Holders are entitled to join such Registration subject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(other than a registration of securities in a transaction under Rule 145 of the Securities Act or with respect to an employee benefit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467" w:name="page468"/>
    <w:bookmarkEnd w:id="467"/>
    <w:p>
      <w:pPr>
        <w:ind w:left="920" w:right="300" w:firstLine="421"/>
        <w:spacing w:after="0" w:line="259" w:lineRule="auto"/>
        <w:tabs>
          <w:tab w:leader="none" w:pos="1595" w:val="left"/>
        </w:tabs>
        <w:numPr>
          <w:ilvl w:val="2"/>
          <w:numId w:val="4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during the period starting with the date of filing by the Company of, and ending six (6) months following the effective date of, any Registration Statement pertaining to Ordinary Shares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Holders are entitled to join the Registration effected pursuant to such Registration Statement subject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(other than a registration of securities in a transaction under Rule 145 of the Securities Act or with respect to an employee benefit plan); or</w:t>
      </w:r>
    </w:p>
    <w:p>
      <w:pPr>
        <w:spacing w:after="0" w:line="78" w:lineRule="exact"/>
        <w:rPr>
          <w:rFonts w:ascii="Arial" w:cs="Arial" w:eastAsia="Arial" w:hAnsi="Arial"/>
          <w:sz w:val="18"/>
          <w:szCs w:val="18"/>
          <w:color w:val="auto"/>
        </w:rPr>
      </w:pPr>
    </w:p>
    <w:p>
      <w:pPr>
        <w:ind w:left="920" w:right="640" w:firstLine="421"/>
        <w:spacing w:after="0" w:line="277" w:lineRule="auto"/>
        <w:tabs>
          <w:tab w:leader="none" w:pos="1585" w:val="left"/>
        </w:tabs>
        <w:numPr>
          <w:ilvl w:val="2"/>
          <w:numId w:val="438"/>
        </w:numPr>
        <w:rPr>
          <w:rFonts w:ascii="Arial" w:cs="Arial" w:eastAsia="Arial" w:hAnsi="Arial"/>
          <w:sz w:val="18"/>
          <w:szCs w:val="18"/>
          <w:color w:val="auto"/>
        </w:rPr>
      </w:pPr>
      <w:r>
        <w:rPr>
          <w:rFonts w:ascii="Arial" w:cs="Arial" w:eastAsia="Arial" w:hAnsi="Arial"/>
          <w:sz w:val="18"/>
          <w:szCs w:val="18"/>
          <w:color w:val="auto"/>
        </w:rPr>
        <w:t>in any jurisdiction in which the Company would be required to execute a general consent to service of process in effecting such Registration or qualification, unless the Company is already subject to service of process in such jurisdiction.</w:t>
      </w:r>
    </w:p>
    <w:p>
      <w:pPr>
        <w:spacing w:after="0" w:line="62" w:lineRule="exact"/>
        <w:rPr>
          <w:rFonts w:ascii="Arial" w:cs="Arial" w:eastAsia="Arial" w:hAnsi="Arial"/>
          <w:sz w:val="18"/>
          <w:szCs w:val="18"/>
          <w:color w:val="auto"/>
        </w:rPr>
      </w:pPr>
    </w:p>
    <w:p>
      <w:pPr>
        <w:ind w:left="460" w:right="240" w:firstLine="443"/>
        <w:spacing w:after="0" w:line="285" w:lineRule="auto"/>
        <w:tabs>
          <w:tab w:leader="none" w:pos="1163" w:val="left"/>
        </w:tabs>
        <w:numPr>
          <w:ilvl w:val="1"/>
          <w:numId w:val="439"/>
        </w:numPr>
        <w:rPr>
          <w:rFonts w:ascii="Arial" w:cs="Arial" w:eastAsia="Arial" w:hAnsi="Arial"/>
          <w:sz w:val="16"/>
          <w:szCs w:val="16"/>
          <w:color w:val="auto"/>
        </w:rPr>
      </w:pPr>
      <w:r>
        <w:rPr>
          <w:rFonts w:ascii="Arial" w:cs="Arial" w:eastAsia="Arial" w:hAnsi="Arial"/>
          <w:sz w:val="16"/>
          <w:szCs w:val="16"/>
          <w:color w:val="auto"/>
        </w:rPr>
        <w:t xml:space="preserve">If, after receiving a request from Holders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the Company furnishes to the Holders a certificate signed by the chief executive officer of the Company stating that, in the good faith judgment of the Board, it would be materially detrimental to the Company or its members for a Registration Statement to be filed in the near future, then the Company shall have the right to defer such filing for the period during which such filing would be materially detrimental,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may not utilize this right and/or the deferral right contained in this clause (ii) for more than forty-five (45) days on any one occasion or for more than a total of ninety (90) days during any twelve</w:t>
      </w:r>
    </w:p>
    <w:p>
      <w:pPr>
        <w:spacing w:after="0" w:line="2" w:lineRule="exact"/>
        <w:rPr>
          <w:rFonts w:ascii="Arial" w:cs="Arial" w:eastAsia="Arial" w:hAnsi="Arial"/>
          <w:sz w:val="16"/>
          <w:szCs w:val="16"/>
          <w:color w:val="auto"/>
        </w:rPr>
      </w:pPr>
    </w:p>
    <w:p>
      <w:pPr>
        <w:ind w:left="460" w:right="560" w:firstLine="4"/>
        <w:spacing w:after="0" w:line="261" w:lineRule="auto"/>
        <w:tabs>
          <w:tab w:leader="none" w:pos="80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Company may not Register any other of its Securities during such period (except for Registrations contemplated by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2.4 Underwritten Offerings</w:t>
      </w:r>
      <w:r>
        <w:rPr>
          <w:rFonts w:ascii="Arial" w:cs="Arial" w:eastAsia="Arial" w:hAnsi="Arial"/>
          <w:sz w:val="17"/>
          <w:szCs w:val="17"/>
          <w:color w:val="auto"/>
        </w:rPr>
        <w:t>. If, in connection with a request to Register Registrable Securities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the Initiating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seek to distribute such Registrable Securities in an underwritten offering, they shall so advise the Company as a part of the request, and the Company shall include such information in the written notice to the other Holders described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 such event, the right of any Holder to include its Registrable Securities in such Registration shall be conditioned upon such Holder’s participation in such underwritten offering and the inclusion of such Holder’s Registrable Securities in the underwritten offering (unless otherwise mutually agreed by a Majority-in-Interest of the Initiating Holders and such Holder, taken together) to the extent provided herein. All Holders proposing to distribute their securities through such underwritten offering shall enter into an underwriting agreement in customary form with the underwriter or underwriters of internationally recognized standing selected for such underwritten offering by the Company and reasonably acceptable to the holders of a majority of the voting power of all Registrable Securities proposed to be included in such Registration. Notwithstanding any other provision of this Agreement, if the managing underwriter advises the Company that marketing factors (including without limitation the aggregate number of securities requested to be Registered, the general condition of the market, and the status of the Persons proposing to sell securities pursuant to the Registration) require a limitation of the number of Registrable Securities to be underwritten in a Registration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the underwriters may (i) if the offering is the Company’s IPO, exclude from the underwritten offering all of the Registrable Securities (so long as the only securities included in such offering are those sold for the account of the Company),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 Any Registrable Securities excluded or withdrawn from such underwritten offering shall be withdrawn from the Registration. To facilitate the allocation of shares in accordance with the above provisions, the Company or the underwriters may round the number of shares allocated to a Holder to the nearest one hundred (100) shares.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468" w:name="page469"/>
    <w:bookmarkEnd w:id="468"/>
    <w:p>
      <w:pPr>
        <w:ind w:left="460" w:hanging="452"/>
        <w:spacing w:after="0"/>
        <w:tabs>
          <w:tab w:leader="none" w:pos="46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Piggyback Registrations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3.1 Registration of the Company’s Securities</w:t>
      </w:r>
      <w:r>
        <w:rPr>
          <w:rFonts w:ascii="Arial" w:cs="Arial" w:eastAsia="Arial" w:hAnsi="Arial"/>
          <w:sz w:val="18"/>
          <w:szCs w:val="18"/>
          <w:color w:val="auto"/>
        </w:rPr>
        <w:t>. Subject to the terms of this Agreement, if the Company proposes to Register for its own account any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Equity Securities, or for the account of any holder (other than a Holder) of Equity Securities any of such holder’s Equity Securities, in connection with the public offering of such securities (except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the Company shall promptly give each Holder written notice of such Registration and, upon the written request of any Holder given within fifteen (15) days after delivery of such notice, the Company shall use its reasonable best efforts to include in such Registration any Registrable Securities thereby requested to be Registered by such Holder. If a Holder decides not to include all or any of its Registrable Securities in such Registration by the Company, such Holder shall nevertheless continue to have the right to include any Registrable Securities in any subsequent Registration Statement or Registration Statements as may be filed by the Company, all upon the terms and subject to the conditions set forth herein.</w:t>
      </w:r>
    </w:p>
    <w:p>
      <w:pPr>
        <w:spacing w:after="0" w:line="18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3.2 Right to Terminate Registration. </w:t>
      </w:r>
      <w:r>
        <w:rPr>
          <w:rFonts w:ascii="Arial" w:cs="Arial" w:eastAsia="Arial" w:hAnsi="Arial"/>
          <w:sz w:val="18"/>
          <w:szCs w:val="18"/>
          <w:color w:val="auto"/>
        </w:rPr>
        <w:t>The Company shall have the right to terminate or withdraw any Registration initiated by it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effectiveness of such Registration, whether or not any Holder has elected to participate therein. The expenses of such withdrawn Registration shall be borne by the Company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Underwriting Requirements.</w:t>
      </w:r>
    </w:p>
    <w:p>
      <w:pPr>
        <w:spacing w:after="0" w:line="121" w:lineRule="exact"/>
        <w:rPr>
          <w:sz w:val="20"/>
          <w:szCs w:val="20"/>
          <w:color w:val="auto"/>
        </w:rPr>
      </w:pPr>
    </w:p>
    <w:p>
      <w:pPr>
        <w:ind w:left="460" w:firstLine="443"/>
        <w:spacing w:after="0" w:line="286" w:lineRule="auto"/>
        <w:tabs>
          <w:tab w:leader="none" w:pos="1113"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the Company’s Equity Securities, the Company shall not be required to Register the Registrable Securities of a Holder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unless such Holder’s Registrable Securities are included in the underwritten offering and such Holder enters into an underwriting agreement in customary form with the underwriter or underwriters of internationally recognized standing selected by the Company and setting forth such terms for the underwritten offering as have been agreed upon between the Company and the underwriters. In the event the underwriters advise Holders seeking Registration of Registrable Securities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writing that market factors (including the aggregate number of Registrable Securities requested to be Registered, the general condition of the market, and the status of the Persons proposing to sell securities pursuant to the Registration) require a limitation of the number of Registrable Securities to be underwritten, the underwriters may (i) if the offering is the Company’s IPO, exclude all of the Registrable Securities (so long as the only securities included in such offering are those sold for the account of the Company and no securities of other selling shareholders are included), or (ii) otherwise exclude up to twenty-five percent (25%) of the Registrable Securities requested to be Registered but only after first excluding all other Equity Securities (except for securities sold for the account of the Company) from the Registration and underwriting and so long as the Registrable Securities to be included in such Registration on behalf of any non-excluded Holders are allocated among all Holders in proportion, as nearly as practicable, to the respective amounts of Registrable Securities requested by such Holders to be included. To facilitate the allocation of shares in accordance with the above provisions, the Company or the underwriters may round the number of shares allocated to a Holder to the nearest one hundred (100)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469" w:name="page470"/>
    <w:bookmarkEnd w:id="469"/>
    <w:p>
      <w:pPr>
        <w:ind w:left="460" w:right="40" w:firstLine="443"/>
        <w:spacing w:after="0" w:line="291" w:lineRule="auto"/>
        <w:tabs>
          <w:tab w:leader="none" w:pos="1163" w:val="left"/>
        </w:tabs>
        <w:numPr>
          <w:ilvl w:val="0"/>
          <w:numId w:val="4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Holder disapproves of the terms of any underwriting, the Holder may elect to withdraw therefrom by written notice to the Company and the underwriters delivered at least ten (10) days prior to the effective date of the Registration Statement. Any Registrable Securities excluded or withdrawn from the underwritten offering shall be withdrawn from the Registration. Notwithstanding the foregoing, the Company shall not be required to pay for any expenses of any Registration proceeding begun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such withdrawal is due to an action or inaction of the Company or an event outside of the reasonable control of such Holders.</w:t>
      </w:r>
    </w:p>
    <w:p>
      <w:pPr>
        <w:spacing w:after="0" w:line="16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3.4 Exempt Transactions</w:t>
      </w:r>
      <w:r>
        <w:rPr>
          <w:rFonts w:ascii="Arial" w:cs="Arial" w:eastAsia="Arial" w:hAnsi="Arial"/>
          <w:sz w:val="18"/>
          <w:szCs w:val="18"/>
          <w:color w:val="auto"/>
        </w:rPr>
        <w:t>. The Company shall have no obligation to Register any Registrable Securities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by the Company (i) relating solely to the sale of securities to participants in a Company share plan; (ii) relating to a corporate reorganization or other transaction under Rule 145 of the Securities Act (or comparable provision under the Laws of another jurisdiction, as applicable); (iii) on any form that does not include substantially the same information as would be required to be included in a registration statement covering the sale of the Registrable Securities; or (iv) relating to a registration in which the only Ordinary Shares being registered are Ordinary Shares issuable upon conversion of debt securities that are also being registered.</w:t>
      </w:r>
    </w:p>
    <w:p>
      <w:pPr>
        <w:spacing w:after="0" w:line="336" w:lineRule="exact"/>
        <w:rPr>
          <w:sz w:val="20"/>
          <w:szCs w:val="20"/>
          <w:color w:val="auto"/>
        </w:rPr>
      </w:pPr>
    </w:p>
    <w:p>
      <w:pPr>
        <w:ind w:left="460" w:hanging="452"/>
        <w:spacing w:after="0"/>
        <w:tabs>
          <w:tab w:leader="none" w:pos="46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 xml:space="preserve">4.1 Registration Procedures and Obligations. </w:t>
      </w:r>
      <w:r>
        <w:rPr>
          <w:rFonts w:ascii="Arial" w:cs="Arial" w:eastAsia="Arial" w:hAnsi="Arial"/>
          <w:sz w:val="16"/>
          <w:szCs w:val="16"/>
          <w:color w:val="auto"/>
        </w:rPr>
        <w:t>If as a result of any action, proposed action or request by a Holder, the Company is required to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any Registrable Securities held by the Holders under the Securities Act with the Commission, the Company shall, as expeditiously as reasonably possible:</w:t>
      </w:r>
    </w:p>
    <w:p>
      <w:pPr>
        <w:spacing w:after="0" w:line="12" w:lineRule="exact"/>
        <w:rPr>
          <w:sz w:val="20"/>
          <w:szCs w:val="20"/>
          <w:color w:val="auto"/>
        </w:rPr>
      </w:pPr>
    </w:p>
    <w:p>
      <w:pPr>
        <w:ind w:left="460" w:right="120" w:firstLine="443"/>
        <w:spacing w:after="0" w:line="253" w:lineRule="auto"/>
        <w:tabs>
          <w:tab w:leader="none" w:pos="111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Prepare and file with the Commission a Registration Statement with respect to those Registrable Securities and use its reasonable best efforts to cause that Registration Statement to become effective, and, upon the request of the Holders holding a majority of the Registrable Securities Registered thereunder, keep the Registration Statement effective for up to one hundred and eighty (180) days or, if earlier, until the distribution thereunder has been completed;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such one hundred and eighty (180) day period shall be extended for a period of time equal to the period any Holder refrains from selling any Registrable Securities included in such Registration at the written request of the underwriter(s) for such Registration, and (b) in the case of any Registration of Registrable Securities on Form F-3 or Form S-3 that are intended to be offered on a continuous or delayed basis, subject to compliance with applicable rules promulgated by the Commission, such one hundred and eighty (180) day period shall be extended, if necessary, to keep the Registration Statement or such comparable form, as the case may be, effective until all such Registrable Securities are sold;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70" w:name="page471"/>
    <w:bookmarkEnd w:id="470"/>
    <w:p>
      <w:pPr>
        <w:ind w:right="140" w:firstLine="443"/>
        <w:spacing w:after="0" w:line="264" w:lineRule="auto"/>
        <w:tabs>
          <w:tab w:leader="none" w:pos="703" w:val="left"/>
        </w:tabs>
        <w:numPr>
          <w:ilvl w:val="0"/>
          <w:numId w:val="4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Prepare and file with the Commission amendments and supplements to that Registration Statement and the prospectus used in connection with the Registration Statement as may be necessary to comply with the provisions of Applicable Securities Laws with respect to the disposition of all securities covered by the Registration Statement;</w:t>
      </w:r>
    </w:p>
    <w:p>
      <w:pPr>
        <w:spacing w:after="0" w:line="73" w:lineRule="exact"/>
        <w:rPr>
          <w:rFonts w:ascii="Arial" w:cs="Arial" w:eastAsia="Arial" w:hAnsi="Arial"/>
          <w:sz w:val="18"/>
          <w:szCs w:val="18"/>
          <w:color w:val="auto"/>
        </w:rPr>
      </w:pPr>
    </w:p>
    <w:p>
      <w:pPr>
        <w:ind w:right="20" w:firstLine="443"/>
        <w:spacing w:after="0" w:line="308" w:lineRule="auto"/>
        <w:tabs>
          <w:tab w:leader="none" w:pos="753" w:val="left"/>
        </w:tabs>
        <w:numPr>
          <w:ilvl w:val="0"/>
          <w:numId w:val="446"/>
        </w:numPr>
        <w:rPr>
          <w:rFonts w:ascii="Arial" w:cs="Arial" w:eastAsia="Arial" w:hAnsi="Arial"/>
          <w:sz w:val="17"/>
          <w:szCs w:val="17"/>
          <w:color w:val="auto"/>
        </w:rPr>
      </w:pPr>
      <w:r>
        <w:rPr>
          <w:rFonts w:ascii="Arial" w:cs="Arial" w:eastAsia="Arial" w:hAnsi="Arial"/>
          <w:sz w:val="17"/>
          <w:szCs w:val="17"/>
          <w:color w:val="auto"/>
        </w:rPr>
        <w:t>Furnish to the Holders the number of copies of a prospectus, including a preliminary prospectus, required by Applicable Securities Laws, and any other documents as they may reasonably request in order to facilitate the disposition of Registrable Securities owned by them;</w:t>
      </w:r>
    </w:p>
    <w:p>
      <w:pPr>
        <w:spacing w:after="0" w:line="38" w:lineRule="exact"/>
        <w:rPr>
          <w:rFonts w:ascii="Arial" w:cs="Arial" w:eastAsia="Arial" w:hAnsi="Arial"/>
          <w:sz w:val="17"/>
          <w:szCs w:val="17"/>
          <w:color w:val="auto"/>
        </w:rPr>
      </w:pPr>
    </w:p>
    <w:p>
      <w:pPr>
        <w:ind w:right="40" w:firstLine="443"/>
        <w:spacing w:after="0" w:line="264" w:lineRule="auto"/>
        <w:tabs>
          <w:tab w:leader="none" w:pos="74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Register and qualify the securities covered by the Registration Statement under the securities Laws of any jurisdiction, as reasonably requested by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qualify to do business or file a general consent to service of process in any such jurisdiction;</w:t>
      </w:r>
    </w:p>
    <w:p>
      <w:pPr>
        <w:spacing w:after="0" w:line="73" w:lineRule="exact"/>
        <w:rPr>
          <w:rFonts w:ascii="Arial" w:cs="Arial" w:eastAsia="Arial" w:hAnsi="Arial"/>
          <w:sz w:val="18"/>
          <w:szCs w:val="18"/>
          <w:color w:val="auto"/>
        </w:rPr>
      </w:pPr>
    </w:p>
    <w:p>
      <w:pPr>
        <w:ind w:right="160" w:firstLine="443"/>
        <w:spacing w:after="0" w:line="277" w:lineRule="auto"/>
        <w:tabs>
          <w:tab w:leader="none" w:pos="69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customary form, with the managing underwriter(s) of the offering;</w:t>
      </w:r>
    </w:p>
    <w:p>
      <w:pPr>
        <w:spacing w:after="0" w:line="62" w:lineRule="exact"/>
        <w:rPr>
          <w:rFonts w:ascii="Arial" w:cs="Arial" w:eastAsia="Arial" w:hAnsi="Arial"/>
          <w:sz w:val="18"/>
          <w:szCs w:val="18"/>
          <w:color w:val="auto"/>
        </w:rPr>
      </w:pPr>
    </w:p>
    <w:p>
      <w:pPr>
        <w:ind w:firstLine="443"/>
        <w:spacing w:after="0" w:line="270" w:lineRule="auto"/>
        <w:tabs>
          <w:tab w:leader="none" w:pos="743" w:val="left"/>
        </w:tabs>
        <w:numPr>
          <w:ilvl w:val="0"/>
          <w:numId w:val="446"/>
        </w:numPr>
        <w:rPr>
          <w:rFonts w:ascii="Arial" w:cs="Arial" w:eastAsia="Arial" w:hAnsi="Arial"/>
          <w:sz w:val="17"/>
          <w:szCs w:val="17"/>
          <w:color w:val="auto"/>
        </w:rPr>
      </w:pPr>
      <w:r>
        <w:rPr>
          <w:rFonts w:ascii="Arial" w:cs="Arial" w:eastAsia="Arial" w:hAnsi="Arial"/>
          <w:sz w:val="17"/>
          <w:szCs w:val="17"/>
          <w:color w:val="auto"/>
        </w:rPr>
        <w:t>Promptly notify each Holder of Registrable Securities covered by the Registration Statement at any time when a prospectus relating thereto is required to be delivered under Applicable Securities Laws of (a) the issuance of any stop order by the Commission, or (b) the happening of any event or the existence of any condition as a result of which any prospectus included in the Registration Statement, as then in effect, includes an untrue statement of a material fact or omits to state a material fact required to be stated therein or necessary to make the statements therein not misleading in the light of the circumstances under which they were made, or if in the opinion of counsel for the Company it is necessary to supplement or amend such prospectus to comply with law, and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or such prospectus, as supplemented or amended, shall comply with law;</w:t>
      </w:r>
    </w:p>
    <w:p>
      <w:pPr>
        <w:spacing w:after="0" w:line="69" w:lineRule="exact"/>
        <w:rPr>
          <w:rFonts w:ascii="Arial" w:cs="Arial" w:eastAsia="Arial" w:hAnsi="Arial"/>
          <w:sz w:val="17"/>
          <w:szCs w:val="17"/>
          <w:color w:val="auto"/>
        </w:rPr>
      </w:pPr>
    </w:p>
    <w:p>
      <w:pPr>
        <w:ind w:right="60" w:firstLine="443"/>
        <w:spacing w:after="0" w:line="255" w:lineRule="auto"/>
        <w:tabs>
          <w:tab w:leader="none" w:pos="79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Furnish, at the request of any Holder requesting Registration of Registrable Securities pursuant to this Agreement, on the date that such Registrable Securities are delivered for sale in connection with a Registration pursuant to this Agreement, (i) an opinion, dated the date of the sale, of the counsel representing the Company for the purposes of the Registration, in form and substance as is customarily given to underwriters in an underwritten public offering; and (ii) a comfort letter dated the date of the sale, from the independent certified public accountants of the Company, in form and substance as is customarily given by independent certified public accountants to underwriters in an underwritten public offering, addressed to the underwriters;</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471" w:name="page472"/>
    <w:bookmarkEnd w:id="471"/>
    <w:p>
      <w:pPr>
        <w:ind w:left="460" w:right="140" w:firstLine="443"/>
        <w:spacing w:after="0" w:line="255" w:lineRule="auto"/>
        <w:tabs>
          <w:tab w:leader="none" w:pos="1303" w:val="left"/>
        </w:tabs>
        <w:numPr>
          <w:ilvl w:val="0"/>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comply with all applicable rules and regulations of the Commission to the extent applicable to the applicable registration statement and use its reasonable best efforts to make generally available to its security holders (or otherwise provide in accordance with Section 11(a) of the Securities Act) an earnings statement satisfying the provisions of Section 11(a) of the Act, no later than forty-five (45) days after the end of a twelve (12) month period (or ninety (90) days, if such period is a fiscal year) beginning with the first month of the Company’s first fiscal quarter commencing after the effective date of such registration statement, which statement shall cover such twelve (12) month period, subject to any proper and necessary extensions;</w:t>
      </w:r>
    </w:p>
    <w:p>
      <w:pPr>
        <w:spacing w:after="0" w:line="85" w:lineRule="exact"/>
        <w:rPr>
          <w:rFonts w:ascii="Arial" w:cs="Arial" w:eastAsia="Arial" w:hAnsi="Arial"/>
          <w:sz w:val="18"/>
          <w:szCs w:val="18"/>
          <w:color w:val="auto"/>
        </w:rPr>
      </w:pPr>
    </w:p>
    <w:p>
      <w:pPr>
        <w:ind w:left="460" w:right="140" w:firstLine="443"/>
        <w:spacing w:after="0" w:line="308" w:lineRule="auto"/>
        <w:tabs>
          <w:tab w:leader="none" w:pos="1203" w:val="left"/>
        </w:tabs>
        <w:numPr>
          <w:ilvl w:val="0"/>
          <w:numId w:val="447"/>
        </w:numPr>
        <w:rPr>
          <w:rFonts w:ascii="Arial" w:cs="Arial" w:eastAsia="Arial" w:hAnsi="Arial"/>
          <w:sz w:val="17"/>
          <w:szCs w:val="17"/>
          <w:color w:val="auto"/>
        </w:rPr>
      </w:pPr>
      <w:r>
        <w:rPr>
          <w:rFonts w:ascii="Arial" w:cs="Arial" w:eastAsia="Arial" w:hAnsi="Arial"/>
          <w:sz w:val="17"/>
          <w:szCs w:val="17"/>
          <w:color w:val="auto"/>
        </w:rPr>
        <w:t>Not, without the prior consent of the holders of at least a majority of voting power of the then outstanding Registrable Securities, make any offer relating to the Securities that would constitute a “free writing prospectus,” as defined in Rule 405 promulgated under the Act;</w:t>
      </w:r>
    </w:p>
    <w:p>
      <w:pPr>
        <w:spacing w:after="0" w:line="38" w:lineRule="exact"/>
        <w:rPr>
          <w:rFonts w:ascii="Arial" w:cs="Arial" w:eastAsia="Arial" w:hAnsi="Arial"/>
          <w:sz w:val="17"/>
          <w:szCs w:val="17"/>
          <w:color w:val="auto"/>
        </w:rPr>
      </w:pPr>
    </w:p>
    <w:p>
      <w:pPr>
        <w:ind w:left="460" w:right="60" w:firstLine="443"/>
        <w:spacing w:after="0" w:line="264" w:lineRule="auto"/>
        <w:tabs>
          <w:tab w:leader="none" w:pos="115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the Registration Statement and, where applicable, a number assigned by the Committee on Uniform Securities Identification Procedures for all those Registrable Securities, in each case not later than the effective date of the Registration; and</w:t>
      </w:r>
    </w:p>
    <w:p>
      <w:pPr>
        <w:spacing w:after="0" w:line="73" w:lineRule="exact"/>
        <w:rPr>
          <w:rFonts w:ascii="Arial" w:cs="Arial" w:eastAsia="Arial" w:hAnsi="Arial"/>
          <w:sz w:val="18"/>
          <w:szCs w:val="18"/>
          <w:color w:val="auto"/>
        </w:rPr>
      </w:pPr>
    </w:p>
    <w:p>
      <w:pPr>
        <w:ind w:left="460" w:right="200" w:firstLine="443"/>
        <w:spacing w:after="0" w:line="308" w:lineRule="auto"/>
        <w:tabs>
          <w:tab w:leader="none" w:pos="1203"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Take all reasonable action necessary to list the Registrable Securities on the primary exchange on which the Company’s securities are then traded or in connection with a Qualified IPO, the primary exchange on which the Company’s securities will be traded.</w:t>
      </w:r>
    </w:p>
    <w:p>
      <w:pPr>
        <w:spacing w:after="0" w:line="143"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4.2 Information from Holder</w:t>
      </w:r>
      <w:r>
        <w:rPr>
          <w:rFonts w:ascii="Arial" w:cs="Arial" w:eastAsia="Arial" w:hAnsi="Arial"/>
          <w:sz w:val="18"/>
          <w:szCs w:val="18"/>
          <w:color w:val="auto"/>
        </w:rPr>
        <w:t>. It shall be a condition precedent to the obligations of the Company to take any action pursuant to this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8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4.3 Expenses of Registration</w:t>
      </w:r>
      <w:r>
        <w:rPr>
          <w:rFonts w:ascii="Arial" w:cs="Arial" w:eastAsia="Arial" w:hAnsi="Arial"/>
          <w:sz w:val="16"/>
          <w:szCs w:val="16"/>
          <w:color w:val="auto"/>
        </w:rPr>
        <w:t>. Save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3.3(ii)</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all expenses, other than the underwriting discounts and selling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the sale of Registrable Securities pursuant to this Agreement (which shall be borne by the Holders requesting Registration on a pro rata basis in proportion to their respective numbers of Registrable Securities sold in such Registration), incurred in connection with Registrations, filings or qualifications pursuant to this Agreement, including (without limitation) all Registration, filing and qualification fees, printers’ and accounting fees, professional fees and disbursements of counsel for the Company and reasonable fees and disbursement of one counsel for all selling Holders, shall be borne by the Company.</w:t>
      </w:r>
    </w:p>
    <w:p>
      <w:pPr>
        <w:spacing w:after="0" w:line="303" w:lineRule="exact"/>
        <w:rPr>
          <w:sz w:val="20"/>
          <w:szCs w:val="20"/>
          <w:color w:val="auto"/>
        </w:rPr>
      </w:pPr>
    </w:p>
    <w:p>
      <w:pPr>
        <w:ind w:left="460" w:hanging="452"/>
        <w:spacing w:after="0"/>
        <w:tabs>
          <w:tab w:leader="none" w:pos="46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Registration-Related 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Company Indemnity</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0" w:right="20" w:firstLine="443"/>
        <w:spacing w:after="0" w:line="284" w:lineRule="auto"/>
        <w:tabs>
          <w:tab w:leader="none" w:pos="1113" w:val="left"/>
        </w:tabs>
        <w:numPr>
          <w:ilvl w:val="2"/>
          <w:numId w:val="448"/>
        </w:numPr>
        <w:rPr>
          <w:rFonts w:ascii="Arial" w:cs="Arial" w:eastAsia="Arial" w:hAnsi="Arial"/>
          <w:sz w:val="16"/>
          <w:szCs w:val="16"/>
          <w:color w:val="auto"/>
        </w:rPr>
      </w:pPr>
      <w:r>
        <w:rPr>
          <w:rFonts w:ascii="Arial" w:cs="Arial" w:eastAsia="Arial" w:hAnsi="Arial"/>
          <w:sz w:val="16"/>
          <w:szCs w:val="16"/>
          <w:color w:val="auto"/>
        </w:rPr>
        <w:t>To the maximum extent permitted by Law, the Company will indemnify and hold harmless each Holder, such Holder’s partners, officers, directors, shareholders, legal counsel and accountants, any underwriter (as defined in the Securities Act) and each Person, if any, who controls (as defined in the Securities Act) such Holder or underwriter, against any losses, claims, damages or liabilities (joint or several) to which they may become subject under Laws which are applicable to the Company and relate to action or inaction required of the Company in connection with any Registration, qualification, or compliance, insofar as such losses, claims, damages, or liabilities (or actions in respect thereof) arise out of or are based upon any of the following statements, omissions or violations (each a “</w:t>
      </w:r>
      <w:r>
        <w:rPr>
          <w:rFonts w:ascii="Arial" w:cs="Arial" w:eastAsia="Arial" w:hAnsi="Arial"/>
          <w:sz w:val="16"/>
          <w:szCs w:val="16"/>
          <w:b w:val="1"/>
          <w:bCs w:val="1"/>
          <w:color w:val="auto"/>
        </w:rPr>
        <w:t>Violation</w:t>
      </w:r>
      <w:r>
        <w:rPr>
          <w:rFonts w:ascii="Arial" w:cs="Arial" w:eastAsia="Arial" w:hAnsi="Arial"/>
          <w:sz w:val="16"/>
          <w:szCs w:val="16"/>
          <w:color w:val="auto"/>
        </w:rPr>
        <w:t>”): (a) any untrue of a material fact contained in such Registration Statement, on the effective date thereof (including any preliminary prospectus or final prospectus contained therein or any amendments or supplements thereto),</w:t>
      </w:r>
    </w:p>
    <w:p>
      <w:pPr>
        <w:spacing w:after="0" w:line="2" w:lineRule="exact"/>
        <w:rPr>
          <w:rFonts w:ascii="Arial" w:cs="Arial" w:eastAsia="Arial" w:hAnsi="Arial"/>
          <w:sz w:val="16"/>
          <w:szCs w:val="16"/>
          <w:color w:val="auto"/>
        </w:rPr>
      </w:pPr>
    </w:p>
    <w:p>
      <w:pPr>
        <w:ind w:left="460" w:firstLine="4"/>
        <w:spacing w:after="0" w:line="271" w:lineRule="auto"/>
        <w:tabs>
          <w:tab w:leader="none" w:pos="715"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the omission to state in the Registration Statement, on the effective date thereof (including any preliminary prospectus or final prospectus contained therein or any amendments or supplements thereto), a material fact required to be stated therein or necessary to make the statements therein not misleading, or (c) any violation by the Company of Applicable Securities Laws, or any rule or regulation promulgated under Applicable Securities Laws. The Company will reimburse each such Holder, underwriter or controlling person for any legal or other expenses reasonably incurred by them in connection with investigating or defending any such loss, claim, damage, liability or action.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472" w:name="page473"/>
    <w:bookmarkEnd w:id="472"/>
    <w:p>
      <w:pPr>
        <w:ind w:firstLine="443"/>
        <w:spacing w:after="0" w:line="289" w:lineRule="auto"/>
        <w:tabs>
          <w:tab w:leader="none" w:pos="703" w:val="left"/>
        </w:tabs>
        <w:numPr>
          <w:ilvl w:val="0"/>
          <w:numId w:val="4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indemnity agreement contained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not apply to amounts paid in settlement of any such loss, claim, damage, liability or action if such settlement is effected without the consent of the Company (which consent shall not be unreasonably withheld or delayed), nor shall the Company be liable in any such case for any such loss, claim, damage, liability or action to the extent that it arises solely out of or is solely based upon a Violation that occurs in reliance upon and in conformity with written information furnished for use in connection with such Registration by any such Holder, underwriter or controlling person. Further, the foregoing indemnity agreement with respect to any preliminary prospectus shall not inure to the benefit of any Holder or other aforementioned person, or any person controlling such Holder, from whom the person asserting any such losses, claims, damages or liabilities purchased shares in the offering, if a copy of the most current prospectus was not sent or given by or on behalf of such Holder or other aforementioned person to such person, if required by law to have been so delivered, at or prior to the written confirmation of the sale of the shares to such person, and if the prospectus (as so amended or supplemented) would have cured the defect giving rise to such loss, claim, damage or liability.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Holder Indemnity</w:t>
      </w:r>
      <w:r>
        <w:rPr>
          <w:rFonts w:ascii="Arial" w:cs="Arial" w:eastAsia="Arial" w:hAnsi="Arial"/>
          <w:sz w:val="18"/>
          <w:szCs w:val="18"/>
          <w:color w:val="auto"/>
        </w:rPr>
        <w:t>.</w:t>
      </w:r>
    </w:p>
    <w:p>
      <w:pPr>
        <w:spacing w:after="0" w:line="121" w:lineRule="exact"/>
        <w:rPr>
          <w:sz w:val="20"/>
          <w:szCs w:val="20"/>
          <w:color w:val="auto"/>
        </w:rPr>
      </w:pPr>
    </w:p>
    <w:p>
      <w:pPr>
        <w:ind w:firstLine="443"/>
        <w:spacing w:after="0" w:line="289" w:lineRule="auto"/>
        <w:tabs>
          <w:tab w:leader="none" w:pos="653"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To the maximum extent permitted by Law, each selling Holder that has included Registrable Securities in a Registration will, severally and not jointly, indemnify and hold harmless the Company, its directors, officers, legal counsel and accountants, any underwriter, any other Holder selling securities in connection with such Registration and each Person, if any, who controls (within the meaning of the Securities Act) the Company, such underwriter or other Holder, against any losses, claims, damages or liabilities (joint or several) to which any of the foregoing persons may become subject, under Applicable Securities Laws, or any rule or regulation promulgated under Applicable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for use in connection with such Registration; and each such Holder will reimburse any Person intended to be indemnified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for any legal or other expenses reasonably incurred by such Person in connection with investigating or defending any such loss, claim, damage, liability or action.</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3" w:right="259" w:bottom="1440" w:gutter="0" w:footer="0" w:header="0"/>
        </w:sectPr>
      </w:pPr>
    </w:p>
    <w:bookmarkStart w:id="473" w:name="page474"/>
    <w:bookmarkEnd w:id="473"/>
    <w:p>
      <w:pPr>
        <w:ind w:left="460" w:firstLine="443"/>
        <w:spacing w:after="0" w:line="308" w:lineRule="auto"/>
        <w:tabs>
          <w:tab w:leader="none" w:pos="1163" w:val="left"/>
        </w:tabs>
        <w:numPr>
          <w:ilvl w:val="0"/>
          <w:numId w:val="4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indemnity contained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not apply to amounts paid in settlement of any such loss, claim, damage, liability or action if such settlement is effected without the consent of the Holder (which consent shall not be unreasonably withheld or delayed).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5.3 Notice of Indemnification Claim. </w:t>
      </w:r>
      <w:r>
        <w:rPr>
          <w:rFonts w:ascii="Arial" w:cs="Arial" w:eastAsia="Arial" w:hAnsi="Arial"/>
          <w:sz w:val="16"/>
          <w:szCs w:val="16"/>
          <w:color w:val="auto"/>
        </w:rPr>
        <w:t>Promptly after receipt by an indemnified party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5.2</w:t>
      </w:r>
      <w:r>
        <w:rPr>
          <w:rFonts w:ascii="Arial" w:cs="Arial" w:eastAsia="Arial" w:hAnsi="Arial"/>
          <w:sz w:val="16"/>
          <w:szCs w:val="16"/>
          <w:b w:val="1"/>
          <w:bCs w:val="1"/>
          <w:color w:val="auto"/>
        </w:rPr>
        <w:t xml:space="preserve"> </w:t>
      </w:r>
      <w:r>
        <w:rPr>
          <w:rFonts w:ascii="Arial" w:cs="Arial" w:eastAsia="Arial" w:hAnsi="Arial"/>
          <w:sz w:val="16"/>
          <w:szCs w:val="16"/>
          <w:color w:val="auto"/>
        </w:rPr>
        <w:t>of notice of the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action (including any governmental action), such indemnified party will, if a claim in respect thereof is to be made against any indemnifying party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indemnifying parties. An indemnified party (together with all other indemnified parties that may be represented without conflict by one counsel) shall have the right to retain one separate counsel, with the reasonably incurred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to the extent so prejudiced, of any liability to the indemnified party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but the omission to deliver written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5.4 Contribution. </w:t>
      </w:r>
      <w:r>
        <w:rPr>
          <w:rFonts w:ascii="Arial" w:cs="Arial" w:eastAsia="Arial" w:hAnsi="Arial"/>
          <w:sz w:val="16"/>
          <w:szCs w:val="16"/>
          <w:color w:val="auto"/>
        </w:rPr>
        <w:t>If any indemnification provided for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5.2</w:t>
      </w:r>
      <w:r>
        <w:rPr>
          <w:rFonts w:ascii="Arial" w:cs="Arial" w:eastAsia="Arial" w:hAnsi="Arial"/>
          <w:sz w:val="16"/>
          <w:szCs w:val="16"/>
          <w:b w:val="1"/>
          <w:bCs w:val="1"/>
          <w:color w:val="auto"/>
        </w:rPr>
        <w:t xml:space="preserve"> </w:t>
      </w:r>
      <w:r>
        <w:rPr>
          <w:rFonts w:ascii="Arial" w:cs="Arial" w:eastAsia="Arial" w:hAnsi="Arial"/>
          <w:sz w:val="16"/>
          <w:szCs w:val="16"/>
          <w:color w:val="auto"/>
        </w:rPr>
        <w:t>is held by a court of competent jurisdiction to be unavailable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party with respect to any loss, liability, claim, damage or expense referred to herein,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6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5.5 Underwriting Agreement. </w:t>
      </w:r>
      <w:r>
        <w:rPr>
          <w:rFonts w:ascii="Arial" w:cs="Arial" w:eastAsia="Arial" w:hAnsi="Arial"/>
          <w:sz w:val="18"/>
          <w:szCs w:val="18"/>
          <w:color w:val="auto"/>
        </w:rPr>
        <w:t>To the extent that the provisions on indemnification and contribution contained in the underwriting agreement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in connection with the underwritten public offering are in conflict with the foregoing provisions, the provisions in the underwriting agreement shall control.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474" w:name="page475"/>
    <w:bookmarkEnd w:id="474"/>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5.6 Survival. </w:t>
      </w:r>
      <w:r>
        <w:rPr>
          <w:rFonts w:ascii="Arial" w:cs="Arial" w:eastAsia="Arial" w:hAnsi="Arial"/>
          <w:sz w:val="18"/>
          <w:szCs w:val="18"/>
          <w:color w:val="auto"/>
        </w:rPr>
        <w:t>The obligations of the Company and Holders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completion of any offering of Registrable Securities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 Registration Statement under this Agreement.</w:t>
      </w:r>
    </w:p>
    <w:p>
      <w:pPr>
        <w:spacing w:after="0" w:line="310" w:lineRule="exact"/>
        <w:rPr>
          <w:sz w:val="20"/>
          <w:szCs w:val="20"/>
          <w:color w:val="auto"/>
        </w:rPr>
      </w:pPr>
    </w:p>
    <w:p>
      <w:pPr>
        <w:ind w:left="460" w:hanging="452"/>
        <w:spacing w:after="0"/>
        <w:tabs>
          <w:tab w:leader="none" w:pos="46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Registration-Related Undertakings</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 xml:space="preserve">6.1 Reports under the Exchange Act. </w:t>
      </w:r>
      <w:r>
        <w:rPr>
          <w:rFonts w:ascii="Arial" w:cs="Arial" w:eastAsia="Arial" w:hAnsi="Arial"/>
          <w:sz w:val="18"/>
          <w:szCs w:val="18"/>
          <w:color w:val="auto"/>
        </w:rPr>
        <w:t>Where necessary and with a view to making available to the Holders the benefits of Rule 144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and any comparable provision of any Applicable Securities Laws that may at any time permit a Holder to sell securities of the Company to the public without Registration or pursuant to a Registration on Form F-3 or Form S-3 (or any comparable form in a jurisdiction other than the United States), the Company agrees to:</w:t>
      </w:r>
    </w:p>
    <w:p>
      <w:pPr>
        <w:spacing w:after="0" w:line="76" w:lineRule="exact"/>
        <w:rPr>
          <w:sz w:val="20"/>
          <w:szCs w:val="20"/>
          <w:color w:val="auto"/>
        </w:rPr>
      </w:pPr>
    </w:p>
    <w:p>
      <w:pPr>
        <w:ind w:left="460" w:right="20" w:firstLine="443"/>
        <w:spacing w:after="0" w:line="286" w:lineRule="auto"/>
        <w:tabs>
          <w:tab w:leader="none" w:pos="1113" w:val="left"/>
        </w:tabs>
        <w:numPr>
          <w:ilvl w:val="0"/>
          <w:numId w:val="453"/>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Rule 144 (or comparable provision, if any, under Applicable Securities Laws in any jurisdiction where the Company’s securities are listed), at all times following ninety (90) days after the effective date of the first Registration under the Securities Act filed by the Company for an offering of its securities to the general public;</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file with the Commission in a timely manner all reports and other documents required of the Company under all Applicable Securities Laws;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60" w:firstLine="443"/>
        <w:spacing w:after="0" w:line="270" w:lineRule="auto"/>
        <w:tabs>
          <w:tab w:leader="none" w:pos="1213"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at any time following ninety (90) days after the effective date of the first Registration under the Securities Act filed by the Company for an offering of its securities to the general public by the Company, promptly furnish to any Holder holding Registrable Securities, upon request (a) a written statement by the Company that it has complied with the reporting requirements of all Applicable Securities Laws at any time after it has become subject to such reporting requirements or, at any time after so qualified, that it qualifies as a registrant whose securities may be resold pursuant to Form F-3 or Form S-3 (or any form comparable thereto under Applicable Securities Laws of any jurisdiction where the Company’s securities are listed), (b) a copy of the most recent annual or quarterly report of the Company and such other reports and documents as filed by the Company with the Commission, and (c) such other information as may be reasonably requested in availing any Holder of any rule or regulation of the Commission, that permits the selling of any such securities without Registration or pursuant to Form F-3 or Form S-3 (or any form comparable thereto under Applicable Securities Laws of any jurisdiction where the Company’s Securities are listed).</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6.2 Limitations on Subsequent Registration Rights</w:t>
      </w:r>
      <w:r>
        <w:rPr>
          <w:rFonts w:ascii="Arial" w:cs="Arial" w:eastAsia="Arial" w:hAnsi="Arial"/>
          <w:sz w:val="18"/>
          <w:szCs w:val="18"/>
          <w:color w:val="auto"/>
        </w:rPr>
        <w:t>. From and after the date of this Agreement, the Company shall not, without the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consent of holders of at least a majority of the voting power of the then outstanding Registrable Securities held by all Holders, enter into any agreement with any holder or prospective holder of any Equity Securities of the Company that would allow such holder or prospective holder (i) to include such Equity Securities in any Registration filed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unless under the terms of such agreement such holder or prospective holder may include such Equity Securities in any such Registration only to the extent that the inclusion of such Equity Securities will not reduce the amount of the Registrable Securities of the Holders that are included, (ii) to demand Registration of their Equity Securities, or (iii) cause the Company to include such Equity Securities in any Registration filed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on a basis pari passu with or more favorable to such holder or prospective holder than is provided to the Holders of Registrable Securities.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475" w:name="page476"/>
    <w:bookmarkEnd w:id="475"/>
    <w:p>
      <w:pPr>
        <w:ind w:firstLine="456"/>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 “Market Stand-Off</w:t>
      </w:r>
      <w:r>
        <w:rPr>
          <w:rFonts w:ascii="Arial" w:cs="Arial" w:eastAsia="Arial" w:hAnsi="Arial"/>
          <w:sz w:val="17"/>
          <w:szCs w:val="17"/>
          <w:color w:val="auto"/>
        </w:rPr>
        <w:t>”</w:t>
      </w:r>
      <w:r>
        <w:rPr>
          <w:rFonts w:ascii="Arial" w:cs="Arial" w:eastAsia="Arial" w:hAnsi="Arial"/>
          <w:sz w:val="17"/>
          <w:szCs w:val="17"/>
          <w:b w:val="1"/>
          <w:bCs w:val="1"/>
          <w:color w:val="auto"/>
        </w:rPr>
        <w:t xml:space="preserve"> Agreement</w:t>
      </w:r>
      <w:r>
        <w:rPr>
          <w:rFonts w:ascii="Arial" w:cs="Arial" w:eastAsia="Arial" w:hAnsi="Arial"/>
          <w:sz w:val="17"/>
          <w:szCs w:val="17"/>
          <w:color w:val="auto"/>
        </w:rPr>
        <w:t>. Each holder of Shares agrees, if so required by the managing underwriter(s), that it will not during the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commencing on the date of the final prospectus relating to the Company’s IPO and ending on the date specified by the Company and the managing underwriter (such period not to exceed one hundred and eighty (180) days from the date of such final prospectus) (i) lend, offer, pledge, hypothecate, hedge, sell, make any short sale of, loan, contract to sell, sell any option or contract to purchase, purchase any option or contract to sell, grant any option, right or warrant to purchase, or otherwise transfer or dispose of, directly or indirectly, any Equity Securities (other than those included in such offering) or (ii) enter into any swap or other arrangement that transfers to another, in whole or in part, any of the economic consequences of ownership of the Equity Securities, whether any such transaction described in clause (i) or (ii) above is to be settled by delivery of Equity Securities or such other securities, in cash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all directors, officers and all other holders of at least one percent (1%) of the outstanding share capital of the Company must be bound by restrictions at least as restrictive as those applicable to any such holder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(y)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to the extent that any other members of the Company subject to substantially similar restrictions are released, and (z) the lockup agreements shall permit such holders to transfer their Registrable Securities to their respective Affiliates so long as the transferee enters into the same lockup agreement. The underwriters in connection with the Company’s IPO are intended third party beneficiaries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shall have the right, power and authority to enforce the provisions hereof as though they were a party hereto. In order to enforce the foregoing covenant, the Company may place restrictive legends on the certificates and impose stop-transfer instructions with respect to the Registrable Securities of each shareholder (and the shares or securities of every other person subject to the foregoing restriction) until the end of such period.</w:t>
      </w:r>
    </w:p>
    <w:p>
      <w:pPr>
        <w:spacing w:after="0" w:line="18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6.4 Termination of Registration Rights</w:t>
      </w:r>
      <w:r>
        <w:rPr>
          <w:rFonts w:ascii="Arial" w:cs="Arial" w:eastAsia="Arial" w:hAnsi="Arial"/>
          <w:sz w:val="18"/>
          <w:szCs w:val="18"/>
          <w:color w:val="auto"/>
        </w:rPr>
        <w:t>. This section shall only have application if the Company’s Shares are listed on a U.S. stock exchange.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rights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shall terminate on the later of (i) the date that is five (5) years from the date of closing of a Qualified IPO and (ii) with respect to any Holder, the date on which such Holder may sell all of such Holder’s Registrable Securities under Rule 144 of the Securities Act in any ninety (90)-day period.</w:t>
      </w:r>
    </w:p>
    <w:p>
      <w:pPr>
        <w:spacing w:after="0" w:line="180"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6.5 Exercise of Preference Shares</w:t>
      </w:r>
      <w:r>
        <w:rPr>
          <w:rFonts w:ascii="Arial" w:cs="Arial" w:eastAsia="Arial" w:hAnsi="Arial"/>
          <w:sz w:val="18"/>
          <w:szCs w:val="18"/>
          <w:color w:val="auto"/>
        </w:rPr>
        <w:t>. Notwithstanding anything to the contrary provided in this Agreement, the Company shall have no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Registrable Securities which, if constituting Ordinary Share Equivalents, have not been exercised, converted or exchanged, as applicable, for Ordinary Shares.</w:t>
      </w:r>
    </w:p>
    <w:p>
      <w:pPr>
        <w:spacing w:after="0" w:line="325" w:lineRule="exact"/>
        <w:rPr>
          <w:sz w:val="20"/>
          <w:szCs w:val="20"/>
          <w:color w:val="auto"/>
        </w:rPr>
      </w:pPr>
    </w:p>
    <w:p>
      <w:pPr>
        <w:ind w:left="460" w:hanging="452"/>
        <w:spacing w:after="0"/>
        <w:tabs>
          <w:tab w:leader="none" w:pos="46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Preemptive Right</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7.1 Issuance Notice</w:t>
      </w:r>
      <w:r>
        <w:rPr>
          <w:rFonts w:ascii="Arial" w:cs="Arial" w:eastAsia="Arial" w:hAnsi="Arial"/>
          <w:sz w:val="17"/>
          <w:szCs w:val="17"/>
          <w:color w:val="auto"/>
        </w:rPr>
        <w:t>. In the event the Company proposes to undertake an issuance of New Securities, it shall give Series E Investor a written notice (an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Issuance Notice</w:t>
      </w:r>
      <w:r>
        <w:rPr>
          <w:rFonts w:ascii="Arial" w:cs="Arial" w:eastAsia="Arial" w:hAnsi="Arial"/>
          <w:sz w:val="17"/>
          <w:szCs w:val="17"/>
          <w:color w:val="auto"/>
        </w:rPr>
        <w:t>”) of such intention, describing (i) the type of New Securities, (ii) the identity of the prospective transferee, and (iii) the price and the general terms upon which the Company proposes to issue the same. Series E Investor shall have thirty (30) days after the receipt of the Issuance Notice to agree to purchase all or a portion of such New Securities for the price and upon the terms specified in the Issuance Notice by giving written notice to the Company and stating therein the quantity of New Securities to be purchased (“</w:t>
      </w:r>
      <w:r>
        <w:rPr>
          <w:rFonts w:ascii="Arial" w:cs="Arial" w:eastAsia="Arial" w:hAnsi="Arial"/>
          <w:sz w:val="17"/>
          <w:szCs w:val="17"/>
          <w:b w:val="1"/>
          <w:bCs w:val="1"/>
          <w:color w:val="auto"/>
        </w:rPr>
        <w:t>First Pre-emptive Rights</w:t>
      </w:r>
      <w:r>
        <w:rPr>
          <w:rFonts w:ascii="Arial" w:cs="Arial" w:eastAsia="Arial" w:hAnsi="Arial"/>
          <w:sz w:val="17"/>
          <w:szCs w:val="17"/>
          <w:color w:val="auto"/>
        </w:rPr>
        <w: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0" w:right="279" w:bottom="1440" w:gutter="0" w:footer="0" w:header="0"/>
        </w:sectPr>
      </w:pPr>
    </w:p>
    <w:bookmarkStart w:id="476" w:name="page477"/>
    <w:bookmarkEnd w:id="476"/>
    <w:p>
      <w:pPr>
        <w:ind w:right="20" w:firstLine="456"/>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7.2 Second Notice. </w:t>
      </w:r>
      <w:r>
        <w:rPr>
          <w:rFonts w:ascii="Arial" w:cs="Arial" w:eastAsia="Arial" w:hAnsi="Arial"/>
          <w:sz w:val="16"/>
          <w:szCs w:val="16"/>
          <w:color w:val="auto"/>
        </w:rPr>
        <w:t>If Series E Investor fails to exercise its First Pre-emptive Rights to purchase all of the New Securities specified in the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 Company shall, within five (5) days after the expiration of the thirty (30) day period described in the Issuance Notice, deliver a written notice (“</w:t>
      </w:r>
      <w:r>
        <w:rPr>
          <w:rFonts w:ascii="Arial" w:cs="Arial" w:eastAsia="Arial" w:hAnsi="Arial"/>
          <w:sz w:val="16"/>
          <w:szCs w:val="16"/>
          <w:b w:val="1"/>
          <w:bCs w:val="1"/>
          <w:color w:val="auto"/>
        </w:rPr>
        <w:t>Second Notice</w:t>
      </w:r>
      <w:r>
        <w:rPr>
          <w:rFonts w:ascii="Arial" w:cs="Arial" w:eastAsia="Arial" w:hAnsi="Arial"/>
          <w:sz w:val="16"/>
          <w:szCs w:val="16"/>
          <w:color w:val="auto"/>
        </w:rPr>
        <w:t xml:space="preserve">”) specifying the aggregate number of New Securities that remain unpurchased by Series E Investor following the procedures set out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(the “</w:t>
      </w:r>
      <w:r>
        <w:rPr>
          <w:rFonts w:ascii="Arial" w:cs="Arial" w:eastAsia="Arial" w:hAnsi="Arial"/>
          <w:sz w:val="16"/>
          <w:szCs w:val="16"/>
          <w:b w:val="1"/>
          <w:bCs w:val="1"/>
          <w:color w:val="auto"/>
        </w:rPr>
        <w:t>Remaining Securities</w:t>
      </w:r>
      <w:r>
        <w:rPr>
          <w:rFonts w:ascii="Arial" w:cs="Arial" w:eastAsia="Arial" w:hAnsi="Arial"/>
          <w:sz w:val="16"/>
          <w:szCs w:val="16"/>
          <w:color w:val="auto"/>
        </w:rPr>
        <w:t>”) to Series D Investor who shall have a right to purchase all or a portion of the Remaining Securities by notifying the Company in writing within thirty (30) days after receipt of the Second Notice from the Company (“</w:t>
      </w:r>
      <w:r>
        <w:rPr>
          <w:rFonts w:ascii="Arial" w:cs="Arial" w:eastAsia="Arial" w:hAnsi="Arial"/>
          <w:sz w:val="16"/>
          <w:szCs w:val="16"/>
          <w:b w:val="1"/>
          <w:bCs w:val="1"/>
          <w:color w:val="auto"/>
        </w:rPr>
        <w:t>Second Pre-emptive Rights</w:t>
      </w:r>
      <w:r>
        <w:rPr>
          <w:rFonts w:ascii="Arial" w:cs="Arial" w:eastAsia="Arial" w:hAnsi="Arial"/>
          <w:sz w:val="16"/>
          <w:szCs w:val="16"/>
          <w:color w:val="auto"/>
        </w:rPr>
        <w:t>”).</w:t>
      </w:r>
    </w:p>
    <w:p>
      <w:pPr>
        <w:spacing w:after="0" w:line="15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color w:val="auto"/>
        </w:rPr>
        <w:t>If Series D Investor fails to exercise its Second Pre-emptive Rights to purchase all Remaining Securities, the Company shall, within five (5)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expiration of the thirty (30) day period described in the Second Notice, deliver a written notice (“</w:t>
      </w:r>
      <w:r>
        <w:rPr>
          <w:rFonts w:ascii="Arial" w:cs="Arial" w:eastAsia="Arial" w:hAnsi="Arial"/>
          <w:sz w:val="16"/>
          <w:szCs w:val="16"/>
          <w:b w:val="1"/>
          <w:bCs w:val="1"/>
          <w:color w:val="auto"/>
        </w:rPr>
        <w:t>Third Notice</w:t>
      </w:r>
      <w:r>
        <w:rPr>
          <w:rFonts w:ascii="Arial" w:cs="Arial" w:eastAsia="Arial" w:hAnsi="Arial"/>
          <w:sz w:val="16"/>
          <w:szCs w:val="16"/>
          <w:color w:val="auto"/>
        </w:rPr>
        <w:t xml:space="preserve">”) specifying the number of Remaining Securities that remain unpurchased by Series D Investor following the procedures set out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(the “</w:t>
      </w:r>
      <w:r>
        <w:rPr>
          <w:rFonts w:ascii="Arial" w:cs="Arial" w:eastAsia="Arial" w:hAnsi="Arial"/>
          <w:sz w:val="16"/>
          <w:szCs w:val="16"/>
          <w:b w:val="1"/>
          <w:bCs w:val="1"/>
          <w:color w:val="auto"/>
        </w:rPr>
        <w:t>Second Remaining Securities</w:t>
      </w:r>
      <w:r>
        <w:rPr>
          <w:rFonts w:ascii="Arial" w:cs="Arial" w:eastAsia="Arial" w:hAnsi="Arial"/>
          <w:sz w:val="16"/>
          <w:szCs w:val="16"/>
          <w:color w:val="auto"/>
        </w:rPr>
        <w:t>”) to each holder of Series A Preference Shares and Series B Preference Shares (“</w:t>
      </w:r>
      <w:r>
        <w:rPr>
          <w:rFonts w:ascii="Arial" w:cs="Arial" w:eastAsia="Arial" w:hAnsi="Arial"/>
          <w:sz w:val="16"/>
          <w:szCs w:val="16"/>
          <w:b w:val="1"/>
          <w:bCs w:val="1"/>
          <w:color w:val="auto"/>
        </w:rPr>
        <w:t>Third Pre-emptive Holders</w:t>
      </w:r>
      <w:r>
        <w:rPr>
          <w:rFonts w:ascii="Arial" w:cs="Arial" w:eastAsia="Arial" w:hAnsi="Arial"/>
          <w:sz w:val="16"/>
          <w:szCs w:val="16"/>
          <w:color w:val="auto"/>
        </w:rPr>
        <w:t xml:space="preserve">”) who shall have a right to purchase up to such Third Pre-emptive Holder’s Pro-Rata Share (and any overallotment, as provided below in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any Second Remaining Securities by giving written notice to the Company within ten (10) days after the receipt of the Third Notice. Each Third Pre-emptive Holder’s “Pro-Rata Share” for purposes of this </w:t>
      </w:r>
      <w:r>
        <w:rPr>
          <w:rFonts w:ascii="Arial" w:cs="Arial" w:eastAsia="Arial" w:hAnsi="Arial"/>
          <w:sz w:val="16"/>
          <w:szCs w:val="16"/>
          <w:u w:val="single" w:color="auto"/>
          <w:color w:val="auto"/>
        </w:rPr>
        <w:t>Sections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shall be equal to the Second Remaining Securities multiplied by a fraction, the numerator of which shall be the aggregate number of Ordinary Shares held by such Third Pre-emptive Holder (on a fully diluted and as converted basis) and the denominator of which shall be the total number of Ordinary Shares held by all of the Third Pre-emptive Holders (on a fully diluted and as converted basis), on the date of the Third Notice.</w:t>
      </w:r>
    </w:p>
    <w:p>
      <w:pPr>
        <w:spacing w:after="0" w:line="16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7.4 Overallotment</w:t>
      </w:r>
      <w:r>
        <w:rPr>
          <w:rFonts w:ascii="Arial" w:cs="Arial" w:eastAsia="Arial" w:hAnsi="Arial"/>
          <w:sz w:val="18"/>
          <w:szCs w:val="18"/>
          <w:color w:val="auto"/>
        </w:rPr>
        <w:t>. If any Third Pre-emptive Holder fails to exercise its right to purchase its full Pro Rata Share of any Second Remaining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color w:val="auto"/>
        </w:rPr>
        <w:t>Non-Exercising Holder</w:t>
      </w:r>
      <w:r>
        <w:rPr>
          <w:rFonts w:ascii="Arial" w:cs="Arial" w:eastAsia="Arial" w:hAnsi="Arial"/>
          <w:sz w:val="18"/>
          <w:szCs w:val="18"/>
          <w:color w:val="auto"/>
        </w:rPr>
        <w:t>”), the Company shall, within five (5) days after the expiration of the ten (10) day period described in the Third Notice, deliver a written notice (“</w:t>
      </w:r>
      <w:r>
        <w:rPr>
          <w:rFonts w:ascii="Arial" w:cs="Arial" w:eastAsia="Arial" w:hAnsi="Arial"/>
          <w:sz w:val="18"/>
          <w:szCs w:val="18"/>
          <w:b w:val="1"/>
          <w:bCs w:val="1"/>
          <w:color w:val="auto"/>
        </w:rPr>
        <w:t>Overallotment Notice</w:t>
      </w:r>
      <w:r>
        <w:rPr>
          <w:rFonts w:ascii="Arial" w:cs="Arial" w:eastAsia="Arial" w:hAnsi="Arial"/>
          <w:sz w:val="18"/>
          <w:szCs w:val="18"/>
          <w:color w:val="auto"/>
        </w:rPr>
        <w:t>”) specifying the aggregate number of unpurchased Second Remaining Securities that were eligible for purchase by all Non-Exercising Holders (the “</w:t>
      </w:r>
      <w:r>
        <w:rPr>
          <w:rFonts w:ascii="Arial" w:cs="Arial" w:eastAsia="Arial" w:hAnsi="Arial"/>
          <w:sz w:val="18"/>
          <w:szCs w:val="18"/>
          <w:b w:val="1"/>
          <w:bCs w:val="1"/>
          <w:color w:val="auto"/>
        </w:rPr>
        <w:t>Third Remaining Securities</w:t>
      </w:r>
      <w:r>
        <w:rPr>
          <w:rFonts w:ascii="Arial" w:cs="Arial" w:eastAsia="Arial" w:hAnsi="Arial"/>
          <w:sz w:val="18"/>
          <w:szCs w:val="18"/>
          <w:color w:val="auto"/>
        </w:rPr>
        <w:t>”) to each Third Pre-emptive Holder that exercised its right to purchase its full Pro Rata Share of the Second Remaining Securities (each, an “</w:t>
      </w:r>
      <w:r>
        <w:rPr>
          <w:rFonts w:ascii="Arial" w:cs="Arial" w:eastAsia="Arial" w:hAnsi="Arial"/>
          <w:sz w:val="18"/>
          <w:szCs w:val="18"/>
          <w:b w:val="1"/>
          <w:bCs w:val="1"/>
          <w:color w:val="auto"/>
        </w:rPr>
        <w:t>Exercising Holder</w:t>
      </w:r>
      <w:r>
        <w:rPr>
          <w:rFonts w:ascii="Arial" w:cs="Arial" w:eastAsia="Arial" w:hAnsi="Arial"/>
          <w:sz w:val="18"/>
          <w:szCs w:val="18"/>
          <w:color w:val="auto"/>
        </w:rPr>
        <w:t>”). Each Exercising Holder shall have a right of overallotment, and may exercise an additional right to purchase the Third Remaining Securities by notifying the Company in writing within ten (10) days after receipt of the Overallotment Notice; provided, however, that if the Exercising Holders desire to purchase in aggregate more than the total number of Third Remaining Securities, then the Third Remaining Securities will be allocated to the extent necessary among such Exercising Holders in accordance with their relative Pro Rata Shares.</w:t>
      </w:r>
    </w:p>
    <w:p>
      <w:pPr>
        <w:spacing w:after="0" w:line="18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7.5 Fourth Notice</w:t>
      </w:r>
      <w:r>
        <w:rPr>
          <w:rFonts w:ascii="Arial" w:cs="Arial" w:eastAsia="Arial" w:hAnsi="Arial"/>
          <w:sz w:val="18"/>
          <w:szCs w:val="18"/>
          <w:color w:val="auto"/>
        </w:rPr>
        <w:t>. Within five (5) days after the expiration of the ten (10) day period described in the Third Notice or the Overallotment Notice,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the Company shall deliver a written notice (“</w:t>
      </w:r>
      <w:r>
        <w:rPr>
          <w:rFonts w:ascii="Arial" w:cs="Arial" w:eastAsia="Arial" w:hAnsi="Arial"/>
          <w:sz w:val="18"/>
          <w:szCs w:val="18"/>
          <w:b w:val="1"/>
          <w:bCs w:val="1"/>
          <w:color w:val="auto"/>
        </w:rPr>
        <w:t>Fourth Notice</w:t>
      </w:r>
      <w:r>
        <w:rPr>
          <w:rFonts w:ascii="Arial" w:cs="Arial" w:eastAsia="Arial" w:hAnsi="Arial"/>
          <w:sz w:val="18"/>
          <w:szCs w:val="18"/>
          <w:color w:val="auto"/>
        </w:rPr>
        <w:t xml:space="preserve">”) specifying the aggregate number of Third Remaining Securities that remain unpurchased by the Third Pre-emptive Holders following the procedures set out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(the “</w:t>
      </w:r>
      <w:r>
        <w:rPr>
          <w:rFonts w:ascii="Arial" w:cs="Arial" w:eastAsia="Arial" w:hAnsi="Arial"/>
          <w:sz w:val="18"/>
          <w:szCs w:val="18"/>
          <w:b w:val="1"/>
          <w:bCs w:val="1"/>
          <w:color w:val="auto"/>
        </w:rPr>
        <w:t>Fourth Remaining Securities</w:t>
      </w:r>
      <w:r>
        <w:rPr>
          <w:rFonts w:ascii="Arial" w:cs="Arial" w:eastAsia="Arial" w:hAnsi="Arial"/>
          <w:sz w:val="18"/>
          <w:szCs w:val="18"/>
          <w:color w:val="auto"/>
        </w:rPr>
        <w:t>”) to Series C Investor who shall have a right to purchase all or a portion of the Fourth Remaining Securities by notifying the Company in writing within ten (10) days after receipt of the Fourth Notice from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477" w:name="page478"/>
    <w:bookmarkEnd w:id="477"/>
    <w:p>
      <w:pPr>
        <w:ind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 Fifth Notice</w:t>
      </w:r>
      <w:r>
        <w:rPr>
          <w:rFonts w:ascii="Arial" w:cs="Arial" w:eastAsia="Arial" w:hAnsi="Arial"/>
          <w:sz w:val="17"/>
          <w:szCs w:val="17"/>
          <w:color w:val="auto"/>
        </w:rPr>
        <w:t>. Within five (5) days after the expiration of the ten (10) day period described in the Fourth Notice, the Company shall deliver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w:t>
      </w:r>
      <w:r>
        <w:rPr>
          <w:rFonts w:ascii="Arial" w:cs="Arial" w:eastAsia="Arial" w:hAnsi="Arial"/>
          <w:sz w:val="17"/>
          <w:szCs w:val="17"/>
          <w:b w:val="1"/>
          <w:bCs w:val="1"/>
          <w:color w:val="auto"/>
        </w:rPr>
        <w:t>Fifth Notice</w:t>
      </w:r>
      <w:r>
        <w:rPr>
          <w:rFonts w:ascii="Arial" w:cs="Arial" w:eastAsia="Arial" w:hAnsi="Arial"/>
          <w:sz w:val="17"/>
          <w:szCs w:val="17"/>
          <w:color w:val="auto"/>
        </w:rPr>
        <w:t xml:space="preserve">”) specifying the aggregate number of Fourth Remaining Securities that remain unpurchased by Series C Investor following the procedures set out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(the “</w:t>
      </w:r>
      <w:r>
        <w:rPr>
          <w:rFonts w:ascii="Arial" w:cs="Arial" w:eastAsia="Arial" w:hAnsi="Arial"/>
          <w:sz w:val="17"/>
          <w:szCs w:val="17"/>
          <w:b w:val="1"/>
          <w:bCs w:val="1"/>
          <w:color w:val="auto"/>
        </w:rPr>
        <w:t>Fifth Remaining Securities</w:t>
      </w:r>
      <w:r>
        <w:rPr>
          <w:rFonts w:ascii="Arial" w:cs="Arial" w:eastAsia="Arial" w:hAnsi="Arial"/>
          <w:sz w:val="17"/>
          <w:szCs w:val="17"/>
          <w:color w:val="auto"/>
        </w:rPr>
        <w:t>”) to the Ordinary Investors (other than any Ordinary Investor who is also the Series D Investor or a Third Pre-emptive Holder) who shall have a right to purchase the Fifth Remaining Securities (“</w:t>
      </w:r>
      <w:r>
        <w:rPr>
          <w:rFonts w:ascii="Arial" w:cs="Arial" w:eastAsia="Arial" w:hAnsi="Arial"/>
          <w:sz w:val="17"/>
          <w:szCs w:val="17"/>
          <w:b w:val="1"/>
          <w:bCs w:val="1"/>
          <w:color w:val="auto"/>
        </w:rPr>
        <w:t>Qualifying Ordinary Investor</w:t>
      </w:r>
      <w:r>
        <w:rPr>
          <w:rFonts w:ascii="Arial" w:cs="Arial" w:eastAsia="Arial" w:hAnsi="Arial"/>
          <w:sz w:val="17"/>
          <w:szCs w:val="17"/>
          <w:color w:val="auto"/>
        </w:rPr>
        <w:t>”), and each Qualifying Ordinary Investor may exercise its right to purchase the Fifth Remaining Securities on a pro-rata basis (based on the aggregate number of Ordinary Shares held by such Qualifying Ordinary Investor (on a fully diluted and as converted basis) in relation to the total number of Ordinary Shares held by all Qualifying Ordinary Investors (on a fully diluted and as converted basis) on the date of the Fifth Notice by notifying the Company in writing within ten (10) days after receipt of the Fifth Notice from the Company.</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7.7 Sales by the Company</w:t>
      </w:r>
      <w:r>
        <w:rPr>
          <w:rFonts w:ascii="Arial" w:cs="Arial" w:eastAsia="Arial" w:hAnsi="Arial"/>
          <w:sz w:val="18"/>
          <w:szCs w:val="18"/>
          <w:color w:val="auto"/>
        </w:rPr>
        <w:t>. Within a period of ninety (90) days following the expiration of the last of ten (10) day period as described in the Fifth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the Company may sell any New Securities with respect to which the Series E Investor’s, the Series D Investor’s, the Third Pre-emptive Holders’, the Series C Investor’s and the Ordinary Investors’ rights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were not exercised, to the purchasers identified in the Issuance Notice and at a price and upon terms not more favorable to the purchasers thereof than specified in the Issuance Notice. In the event the Company has not sold such New Securities within such ninety (90) day period, the Company shall not thereafter issue or sell any New Securities, without first again offering such securities to the Series E Investor, the Series D Investor, the Third Pre-emptive Holders, the Series C Investor and the Ordinary Investors in the manner provided in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9"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7.8 Termination of Preemptive Rights. </w:t>
      </w:r>
      <w:r>
        <w:rPr>
          <w:rFonts w:ascii="Arial" w:cs="Arial" w:eastAsia="Arial" w:hAnsi="Arial"/>
          <w:sz w:val="18"/>
          <w:szCs w:val="18"/>
          <w:color w:val="auto"/>
        </w:rPr>
        <w:t>The preemptive rights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on the earlier of (i) the closing of the Qualified IPO,</w:t>
      </w:r>
      <w:r>
        <w:rPr>
          <w:rFonts w:ascii="Arial" w:cs="Arial" w:eastAsia="Arial" w:hAnsi="Arial"/>
          <w:sz w:val="18"/>
          <w:szCs w:val="18"/>
          <w:b w:val="1"/>
          <w:bCs w:val="1"/>
          <w:color w:val="auto"/>
        </w:rPr>
        <w:t xml:space="preserve"> </w:t>
      </w:r>
      <w:r>
        <w:rPr>
          <w:rFonts w:ascii="Arial" w:cs="Arial" w:eastAsia="Arial" w:hAnsi="Arial"/>
          <w:sz w:val="18"/>
          <w:szCs w:val="18"/>
          <w:color w:val="auto"/>
        </w:rPr>
        <w:t>(ii) the consummation of a Liquidating Transaction and (iii) the consummation of a Non-Liquidation M&amp;A.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color w:val="auto"/>
        </w:rPr>
        <w:t>Nothing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any holder of Ordinary Share that is not an Ordinary Investor any preemptive rights over the New Securities.</w:t>
      </w:r>
    </w:p>
    <w:p>
      <w:pPr>
        <w:spacing w:after="0" w:line="397" w:lineRule="exact"/>
        <w:rPr>
          <w:sz w:val="20"/>
          <w:szCs w:val="20"/>
          <w:color w:val="auto"/>
        </w:rPr>
      </w:pPr>
    </w:p>
    <w:p>
      <w:pPr>
        <w:ind w:left="460" w:hanging="452"/>
        <w:spacing w:after="0"/>
        <w:tabs>
          <w:tab w:leader="none" w:pos="46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and Inspection Rights</w:t>
      </w:r>
      <w:r>
        <w:rPr>
          <w:rFonts w:ascii="Arial" w:cs="Arial" w:eastAsia="Arial" w:hAnsi="Arial"/>
          <w:sz w:val="18"/>
          <w:szCs w:val="18"/>
          <w:color w:val="auto"/>
        </w:rPr>
        <w:t>.</w:t>
      </w:r>
    </w:p>
    <w:p>
      <w:pPr>
        <w:spacing w:after="0" w:line="117"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8.1 Delivery of Financial Statements</w:t>
      </w:r>
      <w:r>
        <w:rPr>
          <w:rFonts w:ascii="Arial" w:cs="Arial" w:eastAsia="Arial" w:hAnsi="Arial"/>
          <w:sz w:val="18"/>
          <w:szCs w:val="18"/>
          <w:color w:val="auto"/>
        </w:rPr>
        <w:t>. For so long as SWHY, BlueFocus, Bertelsmann, Sumitomo, SSG I, SSG II and Igomax hold Shares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capital of the Company they shall be entitled to the following documents or reports:</w:t>
      </w:r>
    </w:p>
    <w:p>
      <w:pPr>
        <w:spacing w:after="0" w:line="58" w:lineRule="exact"/>
        <w:rPr>
          <w:sz w:val="20"/>
          <w:szCs w:val="20"/>
          <w:color w:val="auto"/>
        </w:rPr>
      </w:pPr>
    </w:p>
    <w:p>
      <w:pPr>
        <w:ind w:left="460" w:right="40" w:firstLine="443"/>
        <w:spacing w:after="0" w:line="297" w:lineRule="auto"/>
        <w:tabs>
          <w:tab w:leader="none" w:pos="1113" w:val="left"/>
        </w:tabs>
        <w:numPr>
          <w:ilvl w:val="0"/>
          <w:numId w:val="456"/>
        </w:numPr>
        <w:rPr>
          <w:rFonts w:ascii="Arial" w:cs="Arial" w:eastAsia="Arial" w:hAnsi="Arial"/>
          <w:sz w:val="16"/>
          <w:szCs w:val="16"/>
          <w:color w:val="auto"/>
        </w:rPr>
      </w:pPr>
      <w:r>
        <w:rPr>
          <w:rFonts w:ascii="Arial" w:cs="Arial" w:eastAsia="Arial" w:hAnsi="Arial"/>
          <w:sz w:val="16"/>
          <w:szCs w:val="16"/>
          <w:color w:val="auto"/>
        </w:rPr>
        <w:t>within one hundred and twenty (120) days after the end of each fiscal year of the Company, a consolidated income statement and statement of cash flows for the Company for such fiscal year and a consolidated balance sheet for the Company as of the end of the fiscal year, audited and certified by an accredited accounting firm approved by the Board, and a management report including a comparison of the financial results of such fiscal year with the corresponding annual budget (a “</w:t>
      </w:r>
      <w:r>
        <w:rPr>
          <w:rFonts w:ascii="Arial" w:cs="Arial" w:eastAsia="Arial" w:hAnsi="Arial"/>
          <w:sz w:val="16"/>
          <w:szCs w:val="16"/>
          <w:b w:val="1"/>
          <w:bCs w:val="1"/>
          <w:color w:val="auto"/>
        </w:rPr>
        <w:t>Management Report</w:t>
      </w:r>
      <w:r>
        <w:rPr>
          <w:rFonts w:ascii="Arial" w:cs="Arial" w:eastAsia="Arial" w:hAnsi="Arial"/>
          <w:sz w:val="16"/>
          <w:szCs w:val="16"/>
          <w:color w:val="auto"/>
        </w:rPr>
        <w:t>”), all prepared in accordance with U.S. Generally Accepted Accounting Principles (“</w:t>
      </w:r>
      <w:r>
        <w:rPr>
          <w:rFonts w:ascii="Arial" w:cs="Arial" w:eastAsia="Arial" w:hAnsi="Arial"/>
          <w:sz w:val="16"/>
          <w:szCs w:val="16"/>
          <w:b w:val="1"/>
          <w:bCs w:val="1"/>
          <w:color w:val="auto"/>
        </w:rPr>
        <w:t>U.S. GAAP</w:t>
      </w:r>
      <w:r>
        <w:rPr>
          <w:rFonts w:ascii="Arial" w:cs="Arial" w:eastAsia="Arial" w:hAnsi="Arial"/>
          <w:sz w:val="16"/>
          <w:szCs w:val="16"/>
          <w:color w:val="auto"/>
        </w:rPr>
        <w:t>”), consistently applied throughout the period (except for year-end adjustments and except for the absence of notes);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69" w:right="279" w:bottom="1440" w:gutter="0" w:footer="0" w:header="0"/>
        </w:sectPr>
      </w:pPr>
    </w:p>
    <w:bookmarkStart w:id="478" w:name="page479"/>
    <w:bookmarkEnd w:id="478"/>
    <w:p>
      <w:pPr>
        <w:ind w:left="460" w:right="420" w:firstLine="443"/>
        <w:spacing w:after="0" w:line="264" w:lineRule="auto"/>
        <w:tabs>
          <w:tab w:leader="none" w:pos="1163" w:val="left"/>
        </w:tabs>
        <w:numPr>
          <w:ilvl w:val="0"/>
          <w:numId w:val="4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thirty (30) days after the end of each quarter, the unaudited consolidated income statement and statement of cash flows for the Company for such quarter and a consolidated balance sheet for the Company as of the end of the quarter, and a Management Report (based on the corresponding quarterly budget), all prepared in accordance with U.S. GAAP;</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21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within thirty (30) days of the end of each month, a consolidated unaudited income statement and statement of cash flows for such month and a consolidated balance sheet for the Company as of the end of such month, and a Management Report (based on the corresponding monthly budget), all prepared in accordance with U.S. GAAP;</w:t>
      </w:r>
    </w:p>
    <w:p>
      <w:pPr>
        <w:spacing w:after="0" w:line="73" w:lineRule="exact"/>
        <w:rPr>
          <w:rFonts w:ascii="Arial" w:cs="Arial" w:eastAsia="Arial" w:hAnsi="Arial"/>
          <w:sz w:val="18"/>
          <w:szCs w:val="18"/>
          <w:color w:val="auto"/>
        </w:rPr>
      </w:pPr>
    </w:p>
    <w:p>
      <w:pPr>
        <w:ind w:left="460" w:right="180" w:firstLine="443"/>
        <w:spacing w:after="0" w:line="264" w:lineRule="auto"/>
        <w:tabs>
          <w:tab w:leader="none" w:pos="120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copies of all documents or other information sent to all other shareholders and any reports publicly filed by the Company with any relevant securities exchange, regulatory authority or governmental agency, no later than five (5) days after such documents or information are filed by the Company;</w:t>
      </w:r>
    </w:p>
    <w:p>
      <w:pPr>
        <w:spacing w:after="0" w:line="73" w:lineRule="exact"/>
        <w:rPr>
          <w:rFonts w:ascii="Arial" w:cs="Arial" w:eastAsia="Arial" w:hAnsi="Arial"/>
          <w:sz w:val="18"/>
          <w:szCs w:val="18"/>
          <w:color w:val="auto"/>
        </w:rPr>
      </w:pPr>
    </w:p>
    <w:p>
      <w:pPr>
        <w:jc w:val="both"/>
        <w:ind w:left="460" w:right="80" w:firstLine="443"/>
        <w:spacing w:after="0" w:line="264" w:lineRule="auto"/>
        <w:tabs>
          <w:tab w:leader="none" w:pos="115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as soon as practicable, but in any event at least thirty (30) days prior to the end of each fiscal year, an annual budget and business plan for the succeeding fiscal year for the Group Companies, setting forth for each month during such succeeding fiscal year projected revenues, profits, operating expenses and cash position, and certified by the chief financial officer of the Company;</w:t>
      </w:r>
    </w:p>
    <w:p>
      <w:pPr>
        <w:spacing w:after="0" w:line="73" w:lineRule="exact"/>
        <w:rPr>
          <w:rFonts w:ascii="Arial" w:cs="Arial" w:eastAsia="Arial" w:hAnsi="Arial"/>
          <w:sz w:val="18"/>
          <w:szCs w:val="18"/>
          <w:color w:val="auto"/>
        </w:rPr>
      </w:pPr>
    </w:p>
    <w:p>
      <w:pPr>
        <w:ind w:left="460" w:right="320" w:firstLine="443"/>
        <w:spacing w:after="0" w:line="308" w:lineRule="auto"/>
        <w:tabs>
          <w:tab w:leader="none" w:pos="120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as soon as practicable, but in any event within fifteen (15) days after the end of each quarter, updated and detailed capitalization tables of each Group Company as of the end of such quarter, certified by the chief financial officer or financial controller of the Company; and</w:t>
      </w:r>
    </w:p>
    <w:p>
      <w:pPr>
        <w:spacing w:after="0" w:line="38" w:lineRule="exact"/>
        <w:rPr>
          <w:rFonts w:ascii="Arial" w:cs="Arial" w:eastAsia="Arial" w:hAnsi="Arial"/>
          <w:sz w:val="17"/>
          <w:szCs w:val="17"/>
          <w:color w:val="auto"/>
        </w:rPr>
      </w:pPr>
    </w:p>
    <w:p>
      <w:pPr>
        <w:ind w:left="1260" w:hanging="357"/>
        <w:spacing w:after="0"/>
        <w:tabs>
          <w:tab w:leader="none" w:pos="12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as soon as practicable, any other information reasonably requested by any such holder.</w:t>
      </w:r>
    </w:p>
    <w:p>
      <w:pPr>
        <w:spacing w:after="0" w:line="221" w:lineRule="exact"/>
        <w:rPr>
          <w:sz w:val="20"/>
          <w:szCs w:val="20"/>
          <w:color w:val="auto"/>
        </w:rPr>
      </w:pPr>
    </w:p>
    <w:p>
      <w:pPr>
        <w:ind w:right="400" w:firstLine="456"/>
        <w:spacing w:after="0" w:line="285" w:lineRule="auto"/>
        <w:rPr>
          <w:sz w:val="20"/>
          <w:szCs w:val="20"/>
          <w:color w:val="auto"/>
        </w:rPr>
      </w:pPr>
      <w:r>
        <w:rPr>
          <w:rFonts w:ascii="Arial" w:cs="Arial" w:eastAsia="Arial" w:hAnsi="Arial"/>
          <w:sz w:val="16"/>
          <w:szCs w:val="16"/>
          <w:b w:val="1"/>
          <w:bCs w:val="1"/>
          <w:color w:val="auto"/>
        </w:rPr>
        <w:t>8.2 Inspection</w:t>
      </w:r>
      <w:r>
        <w:rPr>
          <w:rFonts w:ascii="Arial" w:cs="Arial" w:eastAsia="Arial" w:hAnsi="Arial"/>
          <w:sz w:val="16"/>
          <w:szCs w:val="16"/>
          <w:color w:val="auto"/>
        </w:rPr>
        <w:t>. The Company shall permit SWHY, BlueFocus, Bertelsmann, Sumitomo, SSG I , SSG II and Igomax, at their own expense, during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normal business hours following not less than seven (7) business days prior written notice, to visit and inspect the Company, its Subsidiaries, any of the properties of the Company or its Subsidiaries, and to examine the books of account and records of the Company and its Subsidiaries, and to discuss the affairs, finances and accounts of the Company and its Subsidiaries with the directors, officers, management employees, accountants, legal counsel and investment bankers of such entities. SWHY, BlueFocus, Bertelsmann, Sumitomo, SSG I ,SSG II and Igomax, as the case may be, shall protect and keep confidential all confidential information of the Company obtained in exercising its inspection rights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except to the extent that</w:t>
      </w:r>
    </w:p>
    <w:p>
      <w:pPr>
        <w:spacing w:after="0" w:line="4" w:lineRule="exact"/>
        <w:rPr>
          <w:sz w:val="20"/>
          <w:szCs w:val="20"/>
          <w:color w:val="auto"/>
        </w:rPr>
      </w:pPr>
    </w:p>
    <w:p>
      <w:pPr>
        <w:jc w:val="both"/>
        <w:ind w:right="100" w:firstLine="8"/>
        <w:spacing w:after="0" w:line="277" w:lineRule="auto"/>
        <w:tabs>
          <w:tab w:leader="none" w:pos="215" w:val="left"/>
        </w:tabs>
        <w:numPr>
          <w:ilvl w:val="0"/>
          <w:numId w:val="458"/>
        </w:numPr>
        <w:rPr>
          <w:rFonts w:ascii="Arial" w:cs="Arial" w:eastAsia="Arial" w:hAnsi="Arial"/>
          <w:sz w:val="17"/>
          <w:szCs w:val="17"/>
          <w:color w:val="auto"/>
        </w:rPr>
      </w:pPr>
      <w:r>
        <w:rPr>
          <w:rFonts w:ascii="Arial" w:cs="Arial" w:eastAsia="Arial" w:hAnsi="Arial"/>
          <w:sz w:val="17"/>
          <w:szCs w:val="17"/>
          <w:color w:val="auto"/>
        </w:rPr>
        <w:t xml:space="preserve">disclosure is required in accordance with applicable Law, (ii) information becomes publicly available other than due to breach of this obligation by either of SWHY, BlueFocus, Bertelsmann, Sumitomo, SSG I , SSG II or Igomax, or (iii) the holder obtains information independent of its exercise of its inspection rights under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from sources which are not in breach of any confidentiality agreement(s).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of Information and Inspection Rights</w:t>
      </w:r>
      <w:r>
        <w:rPr>
          <w:rFonts w:ascii="Arial" w:cs="Arial" w:eastAsia="Arial" w:hAnsi="Arial"/>
          <w:sz w:val="18"/>
          <w:szCs w:val="18"/>
          <w:color w:val="auto"/>
        </w:rPr>
        <w:t>. The rights and covenants set forth in:</w:t>
      </w:r>
    </w:p>
    <w:p>
      <w:pPr>
        <w:spacing w:after="0" w:line="229" w:lineRule="exact"/>
        <w:rPr>
          <w:sz w:val="20"/>
          <w:szCs w:val="20"/>
          <w:color w:val="auto"/>
        </w:rPr>
      </w:pPr>
    </w:p>
    <w:p>
      <w:pPr>
        <w:ind w:right="840" w:firstLine="464"/>
        <w:spacing w:after="0" w:line="277" w:lineRule="auto"/>
        <w:tabs>
          <w:tab w:leader="none" w:pos="751"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terminate and be of no further force or effect upon the earlier occurrence of (i) the closing of the Qualified IPO, (ii) the consummation of a Liquidating Transaction or (iii) the consummation of a Non-Liquidation M&amp;A.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479" w:name="page480"/>
    <w:bookmarkEnd w:id="479"/>
    <w:p>
      <w:pPr>
        <w:ind w:left="-8" w:right="80" w:firstLine="464"/>
        <w:spacing w:after="0" w:line="271" w:lineRule="auto"/>
        <w:tabs>
          <w:tab w:leader="none" w:pos="733" w:val="left"/>
        </w:tabs>
        <w:numPr>
          <w:ilvl w:val="1"/>
          <w:numId w:val="4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8.2</w:t>
      </w:r>
      <w:r>
        <w:rPr>
          <w:rFonts w:ascii="Arial" w:cs="Arial" w:eastAsia="Arial" w:hAnsi="Arial"/>
          <w:sz w:val="17"/>
          <w:szCs w:val="17"/>
          <w:color w:val="auto"/>
        </w:rPr>
        <w:t xml:space="preserve"> shall terminate and be of no further force or effect upon the earlier occurrence of (i) the closing of the Qualified IPO or (ii) the consummation of a Liquidating Transaction or (iii) the consummation of a Non-Liquidation M&amp;A or (iv) (in respect of BlueFocus only) BlueFocus holding less than 161,767 Shares (subject to adjustments made for share split, subdivision, consolidation, reorganization and the like events), (in respect of Bertelsmann only) Bertelsmann holding less than 112,200 Shares (subject to adjustments made for share split, subdivision, consolidation, reorganization and the like events), (in respect of Sumitomo only) Sumitomo holding less than 109,407 Shares (subject to adjustments made for share split, subdivision, consolidation, reorganization and the like events), (in respect of SSG I only) SSG I holding less than 58,776 SSG Ordinary Shares (subject to adjustments made for share split, subdivision, consolidation, reorganization and the like events) and (in respect of SSG II only) SSG II holding less than 79,959 Shares (subject to adjustments made for share split, subdivision, consolidation, reorganization and the like events).</w:t>
      </w:r>
    </w:p>
    <w:p>
      <w:pPr>
        <w:spacing w:after="0" w:line="323" w:lineRule="exact"/>
        <w:rPr>
          <w:rFonts w:ascii="Arial" w:cs="Arial" w:eastAsia="Arial" w:hAnsi="Arial"/>
          <w:sz w:val="17"/>
          <w:szCs w:val="17"/>
          <w:color w:val="auto"/>
        </w:rPr>
      </w:pPr>
    </w:p>
    <w:p>
      <w:pPr>
        <w:ind w:left="452" w:hanging="452"/>
        <w:spacing w:after="0"/>
        <w:tabs>
          <w:tab w:leader="none" w:pos="452"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Board of Directors and Observers; Voting Agreement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52" w:firstLine="443"/>
        <w:spacing w:after="0" w:line="285" w:lineRule="auto"/>
        <w:tabs>
          <w:tab w:leader="none" w:pos="1105" w:val="left"/>
        </w:tabs>
        <w:numPr>
          <w:ilvl w:val="2"/>
          <w:numId w:val="461"/>
        </w:numPr>
        <w:rPr>
          <w:rFonts w:ascii="Arial" w:cs="Arial" w:eastAsia="Arial" w:hAnsi="Arial"/>
          <w:sz w:val="16"/>
          <w:szCs w:val="16"/>
          <w:color w:val="auto"/>
        </w:rPr>
      </w:pPr>
      <w:r>
        <w:rPr>
          <w:rFonts w:ascii="Arial" w:cs="Arial" w:eastAsia="Arial" w:hAnsi="Arial"/>
          <w:sz w:val="16"/>
          <w:szCs w:val="16"/>
          <w:color w:val="auto"/>
        </w:rPr>
        <w:t>From and after the date hereof, the Company shall have a Board consisting of six (6) directors, of which, (a) for so long as it continues to hold no less than 808,835 Shares (subject to adjustments made for share split, subdivision, consolidation, reorganization and the like events), BlueFocus shall have the right but not the obligation to designate one (1) Director (“</w:t>
      </w:r>
      <w:r>
        <w:rPr>
          <w:rFonts w:ascii="Arial" w:cs="Arial" w:eastAsia="Arial" w:hAnsi="Arial"/>
          <w:sz w:val="16"/>
          <w:szCs w:val="16"/>
          <w:b w:val="1"/>
          <w:bCs w:val="1"/>
          <w:color w:val="auto"/>
        </w:rPr>
        <w:t>Series D Director</w:t>
      </w:r>
      <w:r>
        <w:rPr>
          <w:rFonts w:ascii="Arial" w:cs="Arial" w:eastAsia="Arial" w:hAnsi="Arial"/>
          <w:sz w:val="16"/>
          <w:szCs w:val="16"/>
          <w:color w:val="auto"/>
        </w:rPr>
        <w:t>”); (b) for so long as it continues to hold no less than 448,801 Shares (subject to adjustments made for share split, subdivision, consolidation, reorganization and the like events), Bertelsmann shall have the right but not the obligation to designate one (1) Director (the “</w:t>
      </w:r>
      <w:r>
        <w:rPr>
          <w:rFonts w:ascii="Arial" w:cs="Arial" w:eastAsia="Arial" w:hAnsi="Arial"/>
          <w:sz w:val="16"/>
          <w:szCs w:val="16"/>
          <w:b w:val="1"/>
          <w:bCs w:val="1"/>
          <w:color w:val="auto"/>
        </w:rPr>
        <w:t>Series B Director</w:t>
      </w:r>
      <w:r>
        <w:rPr>
          <w:rFonts w:ascii="Arial" w:cs="Arial" w:eastAsia="Arial" w:hAnsi="Arial"/>
          <w:sz w:val="16"/>
          <w:szCs w:val="16"/>
          <w:color w:val="auto"/>
        </w:rPr>
        <w:t>”); (c) for so long as it continue to hold no less than 437,629 Shares (subject to adjustments made for share split, subdivision, consolidation, reorganization and the like events), Sumitomo shall have the right but not the obligation to designate one (1) Director (the “</w:t>
      </w:r>
      <w:r>
        <w:rPr>
          <w:rFonts w:ascii="Arial" w:cs="Arial" w:eastAsia="Arial" w:hAnsi="Arial"/>
          <w:sz w:val="16"/>
          <w:szCs w:val="16"/>
          <w:b w:val="1"/>
          <w:bCs w:val="1"/>
          <w:color w:val="auto"/>
        </w:rPr>
        <w:t>Series A Director</w:t>
      </w:r>
      <w:r>
        <w:rPr>
          <w:rFonts w:ascii="Arial" w:cs="Arial" w:eastAsia="Arial" w:hAnsi="Arial"/>
          <w:sz w:val="16"/>
          <w:szCs w:val="16"/>
          <w:color w:val="auto"/>
        </w:rPr>
        <w:t>”); (d) the holders of a majority of the then outstanding Ordinary Shares (excluding any Ordinary Shares issued or issuable upon conversion of Preference Shares), voting separately as a single class, have the right but not the obligation to designate three (3) Directors (the “</w:t>
      </w:r>
      <w:r>
        <w:rPr>
          <w:rFonts w:ascii="Arial" w:cs="Arial" w:eastAsia="Arial" w:hAnsi="Arial"/>
          <w:sz w:val="16"/>
          <w:szCs w:val="16"/>
          <w:b w:val="1"/>
          <w:bCs w:val="1"/>
          <w:color w:val="auto"/>
        </w:rPr>
        <w:t>Ordinary Directors</w:t>
      </w:r>
      <w:r>
        <w:rPr>
          <w:rFonts w:ascii="Arial" w:cs="Arial" w:eastAsia="Arial" w:hAnsi="Arial"/>
          <w:sz w:val="16"/>
          <w:szCs w:val="16"/>
          <w:color w:val="auto"/>
        </w:rPr>
        <w:t>”), of which, for so long as either (x) SSG I holds all the SSG I Ordinary Shares (as adjusted for share dividends, splits, combinations, recapitalisations or similar events) or (y) SSG II or its Affiliates, in the aggregate, hold no less than 399,796 Series C Preference Shares (as adjusted for share dividends, splits, combinations, recapitalisations or similar events), SSG I and SSG II shall have the collective right to designate one (1) out of the three (3) Ordinary Directors (the “</w:t>
      </w:r>
      <w:r>
        <w:rPr>
          <w:rFonts w:ascii="Arial" w:cs="Arial" w:eastAsia="Arial" w:hAnsi="Arial"/>
          <w:sz w:val="16"/>
          <w:szCs w:val="16"/>
          <w:b w:val="1"/>
          <w:bCs w:val="1"/>
          <w:color w:val="auto"/>
        </w:rPr>
        <w:t>SSG Director</w:t>
      </w:r>
      <w:r>
        <w:rPr>
          <w:rFonts w:ascii="Arial" w:cs="Arial" w:eastAsia="Arial" w:hAnsi="Arial"/>
          <w:sz w:val="16"/>
          <w:szCs w:val="16"/>
          <w:color w:val="auto"/>
        </w:rPr>
        <w:t>”); and notwithstanding any other provision in this Agreement, for so long as Igomax continues to hold no less than 5% of the Igomax Shares (as adjusted for share dividends, splits, combinations, recapitalisations or similar events), (x) Igomax shall have the right but not the obligation to designate one (1) out of the three (3) Ordinary Directors (the “</w:t>
      </w:r>
      <w:r>
        <w:rPr>
          <w:rFonts w:ascii="Arial" w:cs="Arial" w:eastAsia="Arial" w:hAnsi="Arial"/>
          <w:sz w:val="16"/>
          <w:szCs w:val="16"/>
          <w:b w:val="1"/>
          <w:bCs w:val="1"/>
          <w:color w:val="auto"/>
        </w:rPr>
        <w:t>OptAim Director</w:t>
      </w:r>
      <w:r>
        <w:rPr>
          <w:rFonts w:ascii="Arial" w:cs="Arial" w:eastAsia="Arial" w:hAnsi="Arial"/>
          <w:sz w:val="16"/>
          <w:szCs w:val="16"/>
          <w:color w:val="auto"/>
        </w:rPr>
        <w:t>”), and (y) the OptAim Director shall not be removed without the prior written consent of Igomax. Subject to applicable law and listing rules, the right to appoint the OptAim Director by Igomax shall survive the closing of a Qualified IPO.</w:t>
      </w:r>
    </w:p>
    <w:p>
      <w:pPr>
        <w:spacing w:after="0" w:line="11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74" w:right="279" w:bottom="1440" w:gutter="0" w:footer="0" w:header="0"/>
        </w:sectPr>
      </w:pPr>
    </w:p>
    <w:bookmarkStart w:id="480" w:name="page481"/>
    <w:bookmarkEnd w:id="480"/>
    <w:p>
      <w:pPr>
        <w:ind w:right="20" w:firstLine="443"/>
        <w:spacing w:after="0" w:line="270" w:lineRule="auto"/>
        <w:tabs>
          <w:tab w:leader="none" w:pos="703" w:val="left"/>
        </w:tabs>
        <w:numPr>
          <w:ilvl w:val="0"/>
          <w:numId w:val="4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each election of the directors of the Board, each holder of Shares shall vote at any meeting of members of the Company, such number of Shares as may be necessary, or in lieu of any such meeting, shall give such holder’s written consent, as the case may be, with respect to such number of Shares to keep the size of the Board at six (6) directors and in addition (a) as may be necessary to cause the election or re-election as members of the Board, and during such period to continue in office, each of the individuals designated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and (b) against any nominees not designated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The Series A Director shall initially be Mr. Genichiro Higaki, the Series B Director shall initially be Annabelle Long, the Series D Director shall initially be Anmin Pan, the Ordinary Shares Directors shall initially be Mr. Hsieh, Wing Hong Sammy, Mr. Antares Au (who shall be the initial SSG Director) and Mr. Ng, Yau Ping, and the OptAim Director shall initially be TANG, Jian. Notwithstanding anything to the contrary in this Agreement, and without limiting any of the rights of the Parties hereto, each of the Parties acknowledges that the Chairman and chief executive officer of the Company and each Group Company shall initially be Mr. Hsieh, Wing Hong Sammy, and the general manager of the Company shall be appointed by the Founders and confirmed by the Board.</w:t>
      </w:r>
    </w:p>
    <w:p>
      <w:pPr>
        <w:spacing w:after="0" w:line="69" w:lineRule="exact"/>
        <w:rPr>
          <w:rFonts w:ascii="Arial" w:cs="Arial" w:eastAsia="Arial" w:hAnsi="Arial"/>
          <w:sz w:val="17"/>
          <w:szCs w:val="17"/>
          <w:color w:val="auto"/>
        </w:rPr>
      </w:pPr>
    </w:p>
    <w:p>
      <w:pPr>
        <w:ind w:firstLine="443"/>
        <w:spacing w:after="0" w:line="290" w:lineRule="auto"/>
        <w:tabs>
          <w:tab w:leader="none" w:pos="75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Any Person or group of Persons entitled to designate any individual to be elected as a director of the Board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have the right to remove any such director occupying such position and to fill any vacancy caused by the death, disability, retirement, resignation or removal of any director occupying such position. Each holder of Shares agrees to always vote such holder’s respective Shares in support of the principle that a director to the Board designated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be removed from the Board with or without cause only upon the vote or written consent of the shareholders entitled to designate such director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each such holder further agrees not to seek, vote for or otherwise effect the removal with or without cause of any such director without such vote or written consent. If a vacancy is created on the Board at any time by the death, disability, retirement, resignation or removal of any director designated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the replacement to fill such vacancy shall be designated in the same manner,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 as the director whose seat was vacated.</w:t>
      </w:r>
    </w:p>
    <w:p>
      <w:pPr>
        <w:spacing w:after="0" w:line="58" w:lineRule="exact"/>
        <w:rPr>
          <w:rFonts w:ascii="Arial" w:cs="Arial" w:eastAsia="Arial" w:hAnsi="Arial"/>
          <w:sz w:val="16"/>
          <w:szCs w:val="16"/>
          <w:color w:val="auto"/>
        </w:rPr>
      </w:pPr>
    </w:p>
    <w:p>
      <w:pPr>
        <w:ind w:right="440" w:firstLine="443"/>
        <w:spacing w:after="0" w:line="342" w:lineRule="auto"/>
        <w:tabs>
          <w:tab w:leader="none" w:pos="74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Any director not elected in the manner provided in sub-paragraphs (i), (ii), or (iii) shall be elected by the members of the Company at a general meeting, with holders of Preference Shares and Ordinary Shares voting together on an as-converted basis and not as separate classes.</w:t>
      </w:r>
    </w:p>
    <w:p>
      <w:pPr>
        <w:spacing w:after="0" w:line="15" w:lineRule="exact"/>
        <w:rPr>
          <w:rFonts w:ascii="Arial" w:cs="Arial" w:eastAsia="Arial" w:hAnsi="Arial"/>
          <w:sz w:val="16"/>
          <w:szCs w:val="16"/>
          <w:color w:val="auto"/>
        </w:rPr>
      </w:pPr>
    </w:p>
    <w:p>
      <w:pPr>
        <w:ind w:right="40" w:firstLine="443"/>
        <w:spacing w:after="0" w:line="289" w:lineRule="auto"/>
        <w:tabs>
          <w:tab w:leader="none" w:pos="69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For so long as (a) Bertelsmann holds no less than 448,801 Shares (subject to adjustments made for share split, subdivision, consolidation, reorganization and the like events), (b) Sumitomo hold no less than 437,629 Shares (subject to adjustments made for share split, subdivision, consolidation, reorganization and the like events), (c) SSG I holds all of the SSG I Ordinary Shares (subject to adjustments made for share split, subdivision, consolidation, reorganization and the like events) or SSG II or any Person that, directly or indirectly, Controls, is Controlled by or is under common Control with SSG II, in the aggregate, hold no less than 399,796 Series C Preference Shares (as adjusted for share dividends, splits, combinations, recapitalisations or similar events), (iv) BlueFocus holds no less than 808,835 Shares (subject to adjustments made for share split, subdivision, consolidation, reorganization and the like events), and (v) SWHY holds any Shares, each of (i) Bertelsmann, (ii) Sumitomo, (iii) SSG I or SSG II (but not both of them) and (iv) BlueFocus, and (v) SWHY shall be entitled to designate one (1) observer to attend all meetings and receive all notices and materials of the Board or of any committee of the Board in a non-voting observer capacity.</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481" w:name="page482"/>
    <w:bookmarkEnd w:id="481"/>
    <w:p>
      <w:pPr>
        <w:jc w:val="both"/>
        <w:ind w:right="3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 Alternates</w:t>
      </w:r>
      <w:r>
        <w:rPr>
          <w:rFonts w:ascii="Arial" w:cs="Arial" w:eastAsia="Arial" w:hAnsi="Arial"/>
          <w:sz w:val="18"/>
          <w:szCs w:val="18"/>
          <w:color w:val="auto"/>
        </w:rPr>
        <w:t>. Subject to applicable Law, each of the Series D Director, the Series B Director, the Series A Director and the SSG Director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appoint an alternate to serve at any Board meeting, and such alternate shall be permitted to attend all Board meetings and vote on behalf of the director for whom she or he is serving as an alternate.</w:t>
      </w:r>
    </w:p>
    <w:p>
      <w:pPr>
        <w:spacing w:after="0" w:line="17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9.3 Establishment of Audit Committee</w:t>
      </w:r>
      <w:r>
        <w:rPr>
          <w:rFonts w:ascii="Arial" w:cs="Arial" w:eastAsia="Arial" w:hAnsi="Arial"/>
          <w:sz w:val="18"/>
          <w:szCs w:val="18"/>
          <w:color w:val="auto"/>
        </w:rPr>
        <w:t>. Unless already established, the Company shall promptly establish and maintain an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four (4) directors, none of whom shall be an employee of the Company or any of its Subsidiaries (the “</w:t>
      </w:r>
      <w:r>
        <w:rPr>
          <w:rFonts w:ascii="Arial" w:cs="Arial" w:eastAsia="Arial" w:hAnsi="Arial"/>
          <w:sz w:val="18"/>
          <w:szCs w:val="18"/>
          <w:b w:val="1"/>
          <w:bCs w:val="1"/>
          <w:color w:val="auto"/>
        </w:rPr>
        <w:t>Audit Committee</w:t>
      </w:r>
      <w:r>
        <w:rPr>
          <w:rFonts w:ascii="Arial" w:cs="Arial" w:eastAsia="Arial" w:hAnsi="Arial"/>
          <w:sz w:val="18"/>
          <w:szCs w:val="18"/>
          <w:color w:val="auto"/>
        </w:rPr>
        <w:t>”). Each of (i) the Series A Investor (as a group), (ii) the Series B Investors (as a group), (iii) the Series C Investor and SSG I (as a group) and (iv) the Series D Investor shall have the right, but not the obligation, to designate one (1) director each as a member of each and every committee of the Board, including without limitation the Audit Committee provided that such Investor(s) has the rights to appoint a director in accordance with Section 9.1. The Audit Committee shall select the auditors of the Company and approve the scope of the Company’s annual audit, and shall have such other powers and authorities as the Board shall delegate to it.</w:t>
      </w:r>
    </w:p>
    <w:p>
      <w:pPr>
        <w:spacing w:after="0" w:line="189"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9.4 D&amp;O Insurance</w:t>
      </w:r>
      <w:r>
        <w:rPr>
          <w:rFonts w:ascii="Arial" w:cs="Arial" w:eastAsia="Arial" w:hAnsi="Arial"/>
          <w:sz w:val="16"/>
          <w:szCs w:val="16"/>
          <w:color w:val="auto"/>
        </w:rPr>
        <w:t>. At any time prior to the closing of any Liquidating Transaction or Qualified IPO, the Company shall, upon request of the Series</w:t>
      </w:r>
      <w:r>
        <w:rPr>
          <w:rFonts w:ascii="Arial" w:cs="Arial" w:eastAsia="Arial" w:hAnsi="Arial"/>
          <w:sz w:val="16"/>
          <w:szCs w:val="16"/>
          <w:b w:val="1"/>
          <w:bCs w:val="1"/>
          <w:color w:val="auto"/>
        </w:rPr>
        <w:t xml:space="preserve"> </w:t>
      </w:r>
      <w:r>
        <w:rPr>
          <w:rFonts w:ascii="Arial" w:cs="Arial" w:eastAsia="Arial" w:hAnsi="Arial"/>
          <w:sz w:val="16"/>
          <w:szCs w:val="16"/>
          <w:color w:val="auto"/>
        </w:rPr>
        <w:t>D Director, the Series A Director, the Series B Director or the SSG Director, purchase, and thereafter shall maintain, directors’ and officers’ insurance on commercially reasonable and customary terms approved by a majority of the Board, including the Series D Director, the Series B Director, the Series A Director and the SSG Director, in relation to any person who is or was a director or an officer of the Company, or who at the request of the Company is or was serving as a director or an officer of, or in any other capacity is or was acting for, another company or a partnership, joint venture, trust or other enterprise, against any liability asserted against the Person and incurred by the Person in that capacity. The Memorandum and Articles shall at all times provide that the Company shall indemnify the members of the Board to the maximum extent permitted by the Law of the jurisdiction in which the Company is organized.</w:t>
      </w:r>
    </w:p>
    <w:p>
      <w:pPr>
        <w:spacing w:after="0" w:line="162"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9.5 Amendment</w:t>
      </w:r>
      <w:r>
        <w:rPr>
          <w:rFonts w:ascii="Arial" w:cs="Arial" w:eastAsia="Arial" w:hAnsi="Arial"/>
          <w:sz w:val="18"/>
          <w:szCs w:val="18"/>
          <w:color w:val="auto"/>
        </w:rPr>
        <w:t>. So long as a Person, or group of Persons, holds the requisite number of Shares to be entitled to designate a director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9.1(i)</w:t>
      </w:r>
      <w:r>
        <w:rPr>
          <w:rFonts w:ascii="Arial" w:cs="Arial" w:eastAsia="Arial" w:hAnsi="Arial"/>
          <w:sz w:val="18"/>
          <w:szCs w:val="18"/>
          <w:color w:val="auto"/>
        </w:rPr>
        <w:t xml:space="preserve">, the right of such Person or group of Persons to designate a director under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may not be amended or waived (either generally or in a particular instance and either retroactively or prospectively) without the written consent of such Person, or the holders of a majority of the voting power of such group of Persons, respectively.</w:t>
      </w:r>
    </w:p>
    <w:p>
      <w:pPr>
        <w:spacing w:after="0" w:line="180"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b w:val="1"/>
          <w:bCs w:val="1"/>
          <w:color w:val="auto"/>
        </w:rPr>
        <w:t xml:space="preserve">9.6 Board Meetings. </w:t>
      </w:r>
      <w:r>
        <w:rPr>
          <w:rFonts w:ascii="Arial" w:cs="Arial" w:eastAsia="Arial" w:hAnsi="Arial"/>
          <w:sz w:val="16"/>
          <w:szCs w:val="16"/>
          <w:color w:val="auto"/>
        </w:rPr>
        <w:t>The Company shall hold no less than one (1) Board meeting during each fiscal quarter unless otherwise approved by 2/3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including the Series D Director, the Series A Director and Series B Director. A quorum for a Board meeting shall consist of four</w:t>
      </w:r>
    </w:p>
    <w:p>
      <w:pPr>
        <w:spacing w:after="0" w:line="1" w:lineRule="exact"/>
        <w:rPr>
          <w:sz w:val="20"/>
          <w:szCs w:val="20"/>
          <w:color w:val="auto"/>
        </w:rPr>
      </w:pPr>
    </w:p>
    <w:p>
      <w:pPr>
        <w:ind w:right="60" w:firstLine="8"/>
        <w:spacing w:after="0" w:line="287" w:lineRule="auto"/>
        <w:tabs>
          <w:tab w:leader="none" w:pos="255" w:val="left"/>
        </w:tabs>
        <w:numPr>
          <w:ilvl w:val="0"/>
          <w:numId w:val="463"/>
        </w:numPr>
        <w:rPr>
          <w:rFonts w:ascii="Arial" w:cs="Arial" w:eastAsia="Arial" w:hAnsi="Arial"/>
          <w:sz w:val="16"/>
          <w:szCs w:val="16"/>
          <w:color w:val="auto"/>
        </w:rPr>
      </w:pPr>
      <w:r>
        <w:rPr>
          <w:rFonts w:ascii="Arial" w:cs="Arial" w:eastAsia="Arial" w:hAnsi="Arial"/>
          <w:sz w:val="16"/>
          <w:szCs w:val="16"/>
          <w:color w:val="auto"/>
        </w:rPr>
        <w:t>directors, including the Series A Director, the Series B Director, the Series D Director and the SSG Director. If the Series D Director, the SSG Director, Series A Director or the Series B Director is not present within half an hour from the time appointed for the meeting or if during such a meeting a quorum ceases to be present, the meeting shall be adjourned for 48 hours later to the same time and place or to such other day, time or such other place as the Directors present may determine, and if at the adjourned meeting, the Series D Director, the SSG Director, the Series A Director or the Series B Director is not present within half an hour from the time scheduled for the adjourned meeting, the Directors present shall form the quorum. The Company shall promptly reimburse each member of the Board of Directors that participates in or attends Board and/or committee meetings for all reasonable, documented expenses incurred in connection with such participation or attendance, including without limitation round-trip travel and lodging and/or long-distance telephone charges. Notices and agenda of every meeting of the Board shall be given in accordance with Article 29.5 of the Memorandum and Articles.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482" w:name="page483"/>
    <w:bookmarkEnd w:id="482"/>
    <w:p>
      <w:pPr>
        <w:ind w:right="20" w:firstLine="456"/>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9.7 Covenants. </w:t>
      </w:r>
      <w:r>
        <w:rPr>
          <w:rFonts w:ascii="Arial" w:cs="Arial" w:eastAsia="Arial" w:hAnsi="Arial"/>
          <w:sz w:val="17"/>
          <w:szCs w:val="17"/>
          <w:color w:val="auto"/>
        </w:rPr>
        <w:t>The Company agrees to use its reasonable best efforts to ensure that the rights granted hereunder are effective and that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enjoy the benefits thereof. Such actions include, without limitation, the use of the Company’s reasonable best efforts to cause the nomination and election of the directors as provided above. The Company will not, by any voluntary action, avoid or seek to avoid the observance or performance of any of the terms to be performed hereunder by the Company, and the Company will at all times in good faith assist and take action as appropriate in the carrying out of all of the provisions of this Agreement. Each holder of Shares agrees that it shall not enter into any other agreements or arrangements of any kind with respect to the voting of any Shares or deposit any Shares in a voting trust or other similar arrangement.</w:t>
      </w:r>
    </w:p>
    <w:p>
      <w:pPr>
        <w:spacing w:after="0" w:line="174"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b w:val="1"/>
          <w:bCs w:val="1"/>
          <w:color w:val="auto"/>
        </w:rPr>
        <w:t xml:space="preserve">9.8 Termination.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on the earlier of (i) the closing of the Qualified IPO, (ii) the consummation of a Liquidating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(iii) the consummation of a Non-Liquidation M&amp;A.</w:t>
      </w:r>
    </w:p>
    <w:p>
      <w:pPr>
        <w:spacing w:after="0" w:line="310" w:lineRule="exact"/>
        <w:rPr>
          <w:sz w:val="20"/>
          <w:szCs w:val="20"/>
          <w:color w:val="auto"/>
        </w:rPr>
      </w:pPr>
    </w:p>
    <w:p>
      <w:pPr>
        <w:ind w:left="460" w:hanging="452"/>
        <w:spacing w:after="0"/>
        <w:tabs>
          <w:tab w:leader="none" w:pos="4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Protective Provisions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10.1 Approval of Series A Preference Shares, Series B Preference Shares, Series D Preference Shares</w:t>
      </w:r>
      <w:r>
        <w:rPr>
          <w:rFonts w:ascii="Arial" w:cs="Arial" w:eastAsia="Arial" w:hAnsi="Arial"/>
          <w:sz w:val="17"/>
          <w:szCs w:val="17"/>
          <w:color w:val="auto"/>
        </w:rPr>
        <w:t>. For so long as Bertelsmann, Sumitomo and</w:t>
      </w:r>
      <w:r>
        <w:rPr>
          <w:rFonts w:ascii="Arial" w:cs="Arial" w:eastAsia="Arial" w:hAnsi="Arial"/>
          <w:sz w:val="17"/>
          <w:szCs w:val="17"/>
          <w:b w:val="1"/>
          <w:bCs w:val="1"/>
          <w:color w:val="auto"/>
        </w:rPr>
        <w:t xml:space="preserve"> </w:t>
      </w:r>
      <w:r>
        <w:rPr>
          <w:rFonts w:ascii="Arial" w:cs="Arial" w:eastAsia="Arial" w:hAnsi="Arial"/>
          <w:sz w:val="17"/>
          <w:szCs w:val="17"/>
          <w:color w:val="auto"/>
        </w:rPr>
        <w:t>BlueFocus respectively holds no less than 448,801 Shares, 437,629 Shares and 808,835 Shares (subject to adjustments made for share split, subdivision, consolidation, reorganization and the like events), in addition to any other vote or consent required elsewhere in the Memorandum and Articles or by applicable Law, the Company shall not, and Members of the Company shall procure that the Company and each of its Subsidiaries shall not (directly or by amendment, merger, consolidation, amalgamation, scheme of arrangement or otherwise) take any of the following actions (other than those in connection with a Non-Liquidation M&amp;A) without the prior vote or written consent of the holders of at least 50% of the then outstanding Series D Preference Shares, the holders of at least 50% of the then outstanding Series B Preference Shares and the holders of at least 50% of the then outstanding Series A Preference Shares, each voting separately as a single class.</w:t>
      </w:r>
    </w:p>
    <w:p>
      <w:pPr>
        <w:spacing w:after="0" w:line="176" w:lineRule="exact"/>
        <w:rPr>
          <w:sz w:val="20"/>
          <w:szCs w:val="20"/>
          <w:color w:val="auto"/>
        </w:rPr>
      </w:pPr>
    </w:p>
    <w:p>
      <w:pPr>
        <w:ind w:left="1160" w:hanging="239"/>
        <w:spacing w:after="0"/>
        <w:tabs>
          <w:tab w:leader="none" w:pos="11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to liquidate, dissolve or wind up the affairs of the Company, or effect any Liquidating Transaction;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to amend, alter, or repeal any provision of the Memorandum and Articles;</w:t>
      </w:r>
    </w:p>
    <w:p>
      <w:pPr>
        <w:spacing w:after="0" w:line="225" w:lineRule="exact"/>
        <w:rPr>
          <w:rFonts w:ascii="Arial" w:cs="Arial" w:eastAsia="Arial" w:hAnsi="Arial"/>
          <w:sz w:val="18"/>
          <w:szCs w:val="18"/>
          <w:color w:val="auto"/>
        </w:rPr>
      </w:pPr>
    </w:p>
    <w:p>
      <w:pPr>
        <w:ind w:right="80" w:firstLine="921"/>
        <w:spacing w:after="0" w:line="272" w:lineRule="auto"/>
        <w:tabs>
          <w:tab w:leader="none" w:pos="1158"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to create or authorize the creation of or issue any other security convertible into or exercisable for any equity security, having rights, preferences or privileges senior to or on parity with the Series A Preference Shares, the Series B Preference Shares or the Series D Preference Shares, or increase the authorized number of shares of the Series A Preference Shares, the Series B Preference Shares or the Series D Preference Shares or do any act which has the effect of diluting or reducing the effective shareholding of the holders of the Series A Preference Shares, the Series B Preference Shares or the Series D Preference Shares, provided that, no vote or written consent under this Section shall be required from the Holders of Series D Shares before the Company may enforce any paramount lien on, make a call on or forfeit any Shares held by BlueFocus representing the unpaid Residual Amount (if any) in accordance with in the Memorandum and Articles after July 1, 2015;</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69" w:right="299" w:bottom="1440" w:gutter="0" w:footer="0" w:header="0"/>
        </w:sectPr>
      </w:pPr>
    </w:p>
    <w:bookmarkStart w:id="483" w:name="page484"/>
    <w:bookmarkEnd w:id="483"/>
    <w:p>
      <w:pPr>
        <w:ind w:right="80" w:firstLine="921"/>
        <w:spacing w:after="0" w:line="342" w:lineRule="auto"/>
        <w:tabs>
          <w:tab w:leader="none" w:pos="1168" w:val="left"/>
        </w:tabs>
        <w:numPr>
          <w:ilvl w:val="0"/>
          <w:numId w:val="4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create, or issue of any debenture or any obligation convertible into, any securities convertible into, any option to purchase or subscribe for, or warrants exercisable for, Shares of the Company (other than grant stock options to employees or consultant as ESOP pursuant to this Agreement);</w:t>
      </w:r>
    </w:p>
    <w:p>
      <w:pPr>
        <w:spacing w:after="0" w:line="123" w:lineRule="exact"/>
        <w:rPr>
          <w:rFonts w:ascii="Arial" w:cs="Arial" w:eastAsia="Arial" w:hAnsi="Arial"/>
          <w:sz w:val="16"/>
          <w:szCs w:val="16"/>
          <w:color w:val="auto"/>
        </w:rPr>
      </w:pPr>
    </w:p>
    <w:p>
      <w:pPr>
        <w:ind w:firstLine="921"/>
        <w:spacing w:after="0" w:line="276" w:lineRule="auto"/>
        <w:tabs>
          <w:tab w:leader="none" w:pos="1158"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to purchase or redeem or pay any dividend on any capital stock prior to the Series A Preference Shares, the Series B Preference Shares or the Series D Preference Shares (other than stock repurchased from former employees or consultants in connection with the cessation of their employment/services, at the lower of fair market value or cost), provided that, no vote or written consent under this Section shall be required from the Holders of Series D Shares before the Company may enforce any paramount lien on, make a call on or forfeit any Shares held by BlueFocus representing the unpaid Residual Amount (if any) in accordance with the Memorandum and Articles after July 1, 2015;</w:t>
      </w:r>
    </w:p>
    <w:p>
      <w:pPr>
        <w:spacing w:after="0" w:line="172" w:lineRule="exact"/>
        <w:rPr>
          <w:rFonts w:ascii="Arial" w:cs="Arial" w:eastAsia="Arial" w:hAnsi="Arial"/>
          <w:sz w:val="17"/>
          <w:szCs w:val="17"/>
          <w:color w:val="auto"/>
        </w:rPr>
      </w:pPr>
    </w:p>
    <w:p>
      <w:pPr>
        <w:ind w:right="480" w:firstLine="921"/>
        <w:spacing w:after="0" w:line="342" w:lineRule="auto"/>
        <w:tabs>
          <w:tab w:leader="none" w:pos="1138"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to create or authorize the creation of any debt security (other than equipment leases or bank lines of credit) unless such debt security has received the prior approval of the Board, including the approval of the Series A Director, the Series B Director and the Series D Director;</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increase or decrease the size of the Board;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approve any change in the business scope or activities of the Company;</w:t>
      </w:r>
    </w:p>
    <w:p>
      <w:pPr>
        <w:spacing w:after="0" w:line="225" w:lineRule="exact"/>
        <w:rPr>
          <w:rFonts w:ascii="Arial" w:cs="Arial" w:eastAsia="Arial" w:hAnsi="Arial"/>
          <w:sz w:val="18"/>
          <w:szCs w:val="18"/>
          <w:color w:val="auto"/>
        </w:rPr>
      </w:pPr>
    </w:p>
    <w:p>
      <w:pPr>
        <w:ind w:right="100" w:firstLine="921"/>
        <w:spacing w:after="0" w:line="277" w:lineRule="auto"/>
        <w:tabs>
          <w:tab w:leader="none" w:pos="112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take actions subject to other protective provisions to be set forth in the definitive agreements in connection with the Series A financing, the Series B financing or the Series D financing;</w:t>
      </w:r>
    </w:p>
    <w:p>
      <w:pPr>
        <w:spacing w:after="0" w:line="170" w:lineRule="exact"/>
        <w:rPr>
          <w:rFonts w:ascii="Arial" w:cs="Arial" w:eastAsia="Arial" w:hAnsi="Arial"/>
          <w:sz w:val="18"/>
          <w:szCs w:val="18"/>
          <w:color w:val="auto"/>
        </w:rPr>
      </w:pPr>
    </w:p>
    <w:p>
      <w:pPr>
        <w:ind w:right="40" w:firstLine="921"/>
        <w:spacing w:after="0" w:line="277" w:lineRule="auto"/>
        <w:tabs>
          <w:tab w:leader="none" w:pos="112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approve and change any compensation package of the management of the Company, including but not limited to the chief executive officer, general manager, and any other key employee;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10.1A Approval of Series C Preference Shares</w:t>
      </w:r>
      <w:r>
        <w:rPr>
          <w:rFonts w:ascii="Arial" w:cs="Arial" w:eastAsia="Arial" w:hAnsi="Arial"/>
          <w:sz w:val="18"/>
          <w:szCs w:val="18"/>
          <w:color w:val="auto"/>
        </w:rPr>
        <w:t>. For so long as SSG II holds no less than 399,796 Shares (subject to adjustments made for share split,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consolidation, reorganization and the like events), in addition to any other vote or consent required elsewhere in the Memorandum and Articles or by applicable Law, the Company shall not, and Members of the Company shall procure that the Company and each of its Subsidiaries shall not take any of the following actions (other than those in connection with an Non-Liquidation M&amp;A) without the prior vote or written consent of the holders of at least 50% of the then outstanding Series C Preference Shares:</w:t>
      </w:r>
    </w:p>
    <w:p>
      <w:pPr>
        <w:spacing w:after="0" w:line="188" w:lineRule="exact"/>
        <w:rPr>
          <w:sz w:val="20"/>
          <w:szCs w:val="20"/>
          <w:color w:val="auto"/>
        </w:rPr>
      </w:pPr>
    </w:p>
    <w:p>
      <w:pPr>
        <w:ind w:left="1160" w:hanging="239"/>
        <w:spacing w:after="0"/>
        <w:tabs>
          <w:tab w:leader="none" w:pos="11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to liquidate, dissolve or wind up the affairs of the Company, or effect any Liquidating Transaction;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to amend, alter, or repeal any provision of the Memorandum and Articles,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sectPr>
      </w:pPr>
    </w:p>
    <w:bookmarkStart w:id="484" w:name="page485"/>
    <w:bookmarkEnd w:id="484"/>
    <w:p>
      <w:pPr>
        <w:ind w:left="1160" w:hanging="239"/>
        <w:spacing w:after="0"/>
        <w:tabs>
          <w:tab w:leader="none" w:pos="11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increase or decrease the size of the Board; and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1"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10.1B Approval of Series E Preference Shares. </w:t>
      </w:r>
      <w:r>
        <w:rPr>
          <w:rFonts w:ascii="Arial" w:cs="Arial" w:eastAsia="Arial" w:hAnsi="Arial"/>
          <w:sz w:val="17"/>
          <w:szCs w:val="17"/>
          <w:color w:val="auto"/>
        </w:rPr>
        <w:t>For so long as SWHY holds any Shares, in addition to any other vote or consent required elsewhere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in the Memorandum and Articles or by applicable Law, the Company shall not, and Members of the Company shall procure that the Company and each of its Subsidiaries shall not take any of the following actions (other than those in connection with an Non-Liquidation M&amp;A) without the prior affirmative vote or written consent of the holders of at least 50% of the then outstanding Series E Preference Shares:</w:t>
      </w:r>
    </w:p>
    <w:p>
      <w:pPr>
        <w:spacing w:after="0" w:line="169" w:lineRule="exact"/>
        <w:rPr>
          <w:sz w:val="20"/>
          <w:szCs w:val="20"/>
          <w:color w:val="auto"/>
        </w:rPr>
      </w:pPr>
    </w:p>
    <w:p>
      <w:pPr>
        <w:ind w:left="1160" w:hanging="239"/>
        <w:spacing w:after="0"/>
        <w:tabs>
          <w:tab w:leader="none" w:pos="11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liquidate, dissolve or wind up the affairs of the Company, or effect any Liquidating Transaction;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amend, alter, or repeal any provision of the Memorandum and Articles;</w:t>
      </w:r>
    </w:p>
    <w:p>
      <w:pPr>
        <w:spacing w:after="0" w:line="225" w:lineRule="exact"/>
        <w:rPr>
          <w:rFonts w:ascii="Arial" w:cs="Arial" w:eastAsia="Arial" w:hAnsi="Arial"/>
          <w:sz w:val="18"/>
          <w:szCs w:val="18"/>
          <w:color w:val="auto"/>
        </w:rPr>
      </w:pPr>
    </w:p>
    <w:p>
      <w:pPr>
        <w:ind w:right="100" w:firstLine="921"/>
        <w:spacing w:after="0" w:line="342" w:lineRule="auto"/>
        <w:tabs>
          <w:tab w:leader="none" w:pos="1158"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to create, or issue of any debenture or any obligation convertible into, any securities convertible into, any option to purchase or subscribe for, or warrants exercisable for, Shares of the Company (other than grant stock options to employees or consultant as ESOP pursuant to this Agreement);</w:t>
      </w:r>
    </w:p>
    <w:p>
      <w:pPr>
        <w:spacing w:after="0" w:line="123" w:lineRule="exact"/>
        <w:rPr>
          <w:rFonts w:ascii="Arial" w:cs="Arial" w:eastAsia="Arial" w:hAnsi="Arial"/>
          <w:sz w:val="16"/>
          <w:szCs w:val="16"/>
          <w:color w:val="auto"/>
        </w:rPr>
      </w:pPr>
    </w:p>
    <w:p>
      <w:pPr>
        <w:ind w:right="240" w:firstLine="921"/>
        <w:spacing w:after="0" w:line="264" w:lineRule="auto"/>
        <w:tabs>
          <w:tab w:leader="none" w:pos="1168"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purchase or redeem or pay any dividend on any capital stock prior to the Series A Preference Shares, the Series B Preference Shares, the Series D Preference Shares or the Series E Preference Shares (other than stock repurchased from former employees or consultants in connection with the cessation of their employment/services, at the lower of fair market value or cost);</w:t>
      </w:r>
    </w:p>
    <w:p>
      <w:pPr>
        <w:spacing w:after="0" w:line="181" w:lineRule="exact"/>
        <w:rPr>
          <w:rFonts w:ascii="Arial" w:cs="Arial" w:eastAsia="Arial" w:hAnsi="Arial"/>
          <w:sz w:val="18"/>
          <w:szCs w:val="18"/>
          <w:color w:val="auto"/>
        </w:rPr>
      </w:pPr>
    </w:p>
    <w:p>
      <w:pPr>
        <w:ind w:right="460" w:firstLine="921"/>
        <w:spacing w:after="0" w:line="342" w:lineRule="auto"/>
        <w:tabs>
          <w:tab w:leader="none" w:pos="1158"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to create or authorize the creation of any debt security (other than equipment leases or bank lines of credit) unless such debt security has received the prior approval of the Board, including the approval of the Series A Director, the Series B Director and the Series D Director;</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increase or decrease the size of the Board;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approve any change in the business scope or activities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to take actions subject to other protective provisions to be set forth in the definitive agreements in connection with the Series E financing; and</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1"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10.2 Approval by the Board</w:t>
      </w:r>
      <w:r>
        <w:rPr>
          <w:rFonts w:ascii="Arial" w:cs="Arial" w:eastAsia="Arial" w:hAnsi="Arial"/>
          <w:sz w:val="18"/>
          <w:szCs w:val="18"/>
          <w:color w:val="auto"/>
        </w:rPr>
        <w:t>. For so long as any Series A Preference Shares, Series Preference B Shares or Series D Preference Shares remain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and Bertelsmann, Sumitomo and BlueFocus respectively holds no less than 448,801 Shares, 437,629 Shares and 808,835 Shares (subject to adjustments made for share split, subdivision, consolidation, reorganization and the like events), the Company shall not take any of the following actions (other than those in connection with a Non-Liquidation M&amp;A) without 2/3 consent of the Board, including consent by the Series A Director, the Series B Director and the Series D Director: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85" w:name="page486"/>
    <w:bookmarkEnd w:id="485"/>
    <w:p>
      <w:pPr>
        <w:ind w:right="60" w:firstLine="921"/>
        <w:spacing w:after="0" w:line="312" w:lineRule="auto"/>
        <w:tabs>
          <w:tab w:leader="none" w:pos="1158" w:val="left"/>
        </w:tabs>
        <w:numPr>
          <w:ilvl w:val="0"/>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adopt or amend the Memorandum and Articles or similar constitutive documents of any of the Group Companies, provided that, no vote or written consent under this Section shall be required from the Series D Director before the Company may enforce any paramount lien on, make a call on or forfeit any Shares held by BlueFocus representing the unpaid Residual Amount (if any) in accordance with the Memorandum and Articles after July 1, 2015;</w:t>
      </w:r>
    </w:p>
    <w:p>
      <w:pPr>
        <w:spacing w:after="0" w:line="146" w:lineRule="exact"/>
        <w:rPr>
          <w:rFonts w:ascii="Arial" w:cs="Arial" w:eastAsia="Arial" w:hAnsi="Arial"/>
          <w:sz w:val="16"/>
          <w:szCs w:val="16"/>
          <w:color w:val="auto"/>
        </w:rPr>
      </w:pPr>
    </w:p>
    <w:p>
      <w:pPr>
        <w:ind w:right="140" w:firstLine="921"/>
        <w:spacing w:after="0" w:line="264" w:lineRule="auto"/>
        <w:tabs>
          <w:tab w:leader="none" w:pos="116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make any filing with respect to any of the Group Companies for the appointment of a receiver, administrator or other form of external manager for the winding up, liquidation, bankruptcy or insolvency of any of the Group Companies, or the passing of any resolution in respect of the same or any other forms of voluntary liquidation, dissolution or winding up of any of the Group Companies;</w:t>
      </w:r>
    </w:p>
    <w:p>
      <w:pPr>
        <w:spacing w:after="0" w:line="181" w:lineRule="exact"/>
        <w:rPr>
          <w:rFonts w:ascii="Arial" w:cs="Arial" w:eastAsia="Arial" w:hAnsi="Arial"/>
          <w:sz w:val="18"/>
          <w:szCs w:val="18"/>
          <w:color w:val="auto"/>
        </w:rPr>
      </w:pPr>
    </w:p>
    <w:p>
      <w:pPr>
        <w:ind w:firstLine="921"/>
        <w:spacing w:after="0" w:line="277" w:lineRule="auto"/>
        <w:tabs>
          <w:tab w:leader="none" w:pos="115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effect any merger, spin-off, consolidation, scheme of arrangement, reorganization or sale of all or substantially all of the assets of any of the Group Companies;</w:t>
      </w:r>
    </w:p>
    <w:p>
      <w:pPr>
        <w:spacing w:after="0" w:line="170" w:lineRule="exact"/>
        <w:rPr>
          <w:rFonts w:ascii="Arial" w:cs="Arial" w:eastAsia="Arial" w:hAnsi="Arial"/>
          <w:sz w:val="18"/>
          <w:szCs w:val="18"/>
          <w:color w:val="auto"/>
        </w:rPr>
      </w:pPr>
    </w:p>
    <w:p>
      <w:pPr>
        <w:ind w:right="500" w:firstLine="921"/>
        <w:spacing w:after="0" w:line="277" w:lineRule="auto"/>
        <w:tabs>
          <w:tab w:leader="none" w:pos="116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declare or pay any dividend by, or the making of any distribution on or with respect to the shares or any other share capital of, any of Group Companies;</w:t>
      </w:r>
    </w:p>
    <w:p>
      <w:pPr>
        <w:spacing w:after="0" w:line="170" w:lineRule="exact"/>
        <w:rPr>
          <w:rFonts w:ascii="Arial" w:cs="Arial" w:eastAsia="Arial" w:hAnsi="Arial"/>
          <w:sz w:val="18"/>
          <w:szCs w:val="18"/>
          <w:color w:val="auto"/>
        </w:rPr>
      </w:pPr>
    </w:p>
    <w:p>
      <w:pPr>
        <w:jc w:val="both"/>
        <w:ind w:right="100" w:firstLine="921"/>
        <w:spacing w:after="0" w:line="312" w:lineRule="auto"/>
        <w:tabs>
          <w:tab w:leader="none" w:pos="1158"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to make any increase or decrease in capital, or any purchase or redemption of any shares of any of Group Companies; provided that, no vote or written consent under this Section shall be required from the Series D Director before the Company may enforce any paramount lien on, make a call on or forfeit any Shares held by BlueFocus representing the unpaid Residual Amount (if any) in accordance with the Memorandum and Articles after July 1, 2015;</w:t>
      </w:r>
    </w:p>
    <w:p>
      <w:pPr>
        <w:spacing w:after="0" w:line="146" w:lineRule="exact"/>
        <w:rPr>
          <w:rFonts w:ascii="Arial" w:cs="Arial" w:eastAsia="Arial" w:hAnsi="Arial"/>
          <w:sz w:val="16"/>
          <w:szCs w:val="16"/>
          <w:color w:val="auto"/>
        </w:rPr>
      </w:pPr>
    </w:p>
    <w:p>
      <w:pPr>
        <w:ind w:right="180" w:firstLine="921"/>
        <w:spacing w:after="0" w:line="277" w:lineRule="auto"/>
        <w:tabs>
          <w:tab w:leader="none" w:pos="113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make any investment in excess of HK$3,000,000 (or its equivalent in other currency) in the aggregate in the same financial year or in any non-core business investments, or any acquisition of assets or equity interests inside or outside the PRC and Hong Kong SAR;</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to adopt annual budget, or any material change annual budget, or to engage in any new line of business of the Company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120" w:firstLine="921"/>
        <w:spacing w:after="0" w:line="277" w:lineRule="auto"/>
        <w:tabs>
          <w:tab w:leader="none" w:pos="116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appoint and remove the chief executive officer, the chief financial officer, general manager, legal representative, vice-president or any key employee of any Group Company;</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appoint or change of the auditors of any of the Group Companies;</w:t>
      </w:r>
    </w:p>
    <w:p>
      <w:pPr>
        <w:spacing w:after="0" w:line="225" w:lineRule="exact"/>
        <w:rPr>
          <w:rFonts w:ascii="Arial" w:cs="Arial" w:eastAsia="Arial" w:hAnsi="Arial"/>
          <w:sz w:val="18"/>
          <w:szCs w:val="18"/>
          <w:color w:val="auto"/>
        </w:rPr>
      </w:pPr>
    </w:p>
    <w:p>
      <w:pPr>
        <w:ind w:right="100" w:firstLine="921"/>
        <w:spacing w:after="0" w:line="264" w:lineRule="auto"/>
        <w:tabs>
          <w:tab w:leader="none" w:pos="112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grant any indemnity or guarantee, security, or rights having similar or like economic effect over all or any part of the assets or rights of any of Group Company (or by any Founder of its equity interest in any Group Company), except for the purpose of securing borrowings from banks in the ordinary course of business not exceeding HK$3,000,000 in the aggregate (or its equivalent in other currency);</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change in the business scope or activities of any of any Group Company;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adopt or amend any terms of, any of stock option or any bonus or profit sharing scheme;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86" w:name="page487"/>
    <w:bookmarkEnd w:id="486"/>
    <w:p>
      <w:pPr>
        <w:ind w:right="340" w:firstLine="921"/>
        <w:spacing w:after="0" w:line="277" w:lineRule="auto"/>
        <w:tabs>
          <w:tab w:leader="none" w:pos="1218" w:val="left"/>
        </w:tabs>
        <w:numPr>
          <w:ilvl w:val="0"/>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authorize or incur any capital expenditure in excess of HK$5,000,000 for a single purchase or in aggregate more than HK$10,000,000 within the same financial year of the Company;</w:t>
      </w:r>
    </w:p>
    <w:p>
      <w:pPr>
        <w:spacing w:after="0" w:line="170" w:lineRule="exact"/>
        <w:rPr>
          <w:rFonts w:ascii="Arial" w:cs="Arial" w:eastAsia="Arial" w:hAnsi="Arial"/>
          <w:sz w:val="18"/>
          <w:szCs w:val="18"/>
          <w:color w:val="auto"/>
        </w:rPr>
      </w:pPr>
    </w:p>
    <w:p>
      <w:pPr>
        <w:ind w:right="60" w:firstLine="921"/>
        <w:spacing w:after="0" w:line="308" w:lineRule="auto"/>
        <w:tabs>
          <w:tab w:leader="none" w:pos="1168"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to acquire or form any subsidiary or acquire the whole or any substantial part of the undertakings, assets or business of any other company or any entity or any entry into any joint venture or partnership with any other entity or any enter into any merger, consolidation or restructure;</w:t>
      </w:r>
    </w:p>
    <w:p>
      <w:pPr>
        <w:spacing w:after="0" w:line="146" w:lineRule="exact"/>
        <w:rPr>
          <w:rFonts w:ascii="Arial" w:cs="Arial" w:eastAsia="Arial" w:hAnsi="Arial"/>
          <w:sz w:val="17"/>
          <w:szCs w:val="17"/>
          <w:color w:val="auto"/>
        </w:rPr>
      </w:pPr>
    </w:p>
    <w:p>
      <w:pPr>
        <w:ind w:right="100" w:firstLine="921"/>
        <w:spacing w:after="0" w:line="259" w:lineRule="auto"/>
        <w:tabs>
          <w:tab w:leader="none" w:pos="116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enter into any contract, agreement or transaction between the Company or any Subsidiary and any of its directors, officers or shareholders (or their respective affiliates), including without limitation, any loans, credits, undertakings and benefits in favour of such persons and any amendment or termination of any contract, agreement or transaction previously approved by the Board or the holders of the Series A Preference Shares and the Series Preference B Shares;</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sell or dispose of the whole or a substantial part of the good will or the assets of the Company and/or any Subsidiary;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amend or change the existing accounting policies or the financial year of the Company;</w:t>
      </w:r>
    </w:p>
    <w:p>
      <w:pPr>
        <w:spacing w:after="0" w:line="225" w:lineRule="exact"/>
        <w:rPr>
          <w:rFonts w:ascii="Arial" w:cs="Arial" w:eastAsia="Arial" w:hAnsi="Arial"/>
          <w:sz w:val="18"/>
          <w:szCs w:val="18"/>
          <w:color w:val="auto"/>
        </w:rPr>
      </w:pPr>
    </w:p>
    <w:p>
      <w:pPr>
        <w:ind w:firstLine="921"/>
        <w:spacing w:after="0" w:line="277" w:lineRule="auto"/>
        <w:tabs>
          <w:tab w:leader="none" w:pos="113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increase the aggregate compensation (including all benefits and bonus) of any of the five most highly compensated employees or officers of the Company and any Subsidiary by more than 50% in any twelve-month period;</w:t>
      </w:r>
    </w:p>
    <w:p>
      <w:pPr>
        <w:spacing w:after="0" w:line="170" w:lineRule="exact"/>
        <w:rPr>
          <w:rFonts w:ascii="Arial" w:cs="Arial" w:eastAsia="Arial" w:hAnsi="Arial"/>
          <w:sz w:val="18"/>
          <w:szCs w:val="18"/>
          <w:color w:val="auto"/>
        </w:rPr>
      </w:pPr>
    </w:p>
    <w:p>
      <w:pPr>
        <w:ind w:right="100" w:firstLine="921"/>
        <w:spacing w:after="0" w:line="277" w:lineRule="auto"/>
        <w:tabs>
          <w:tab w:leader="none" w:pos="114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borrow any money or obtain any financial facilities except pursuant to trade facilities obtained from banks or other financial institutions in the ordinary course of business</w:t>
      </w:r>
    </w:p>
    <w:p>
      <w:pPr>
        <w:spacing w:after="0" w:line="170" w:lineRule="exact"/>
        <w:rPr>
          <w:rFonts w:ascii="Arial" w:cs="Arial" w:eastAsia="Arial" w:hAnsi="Arial"/>
          <w:sz w:val="18"/>
          <w:szCs w:val="18"/>
          <w:color w:val="auto"/>
        </w:rPr>
      </w:pPr>
    </w:p>
    <w:p>
      <w:pPr>
        <w:ind w:right="560" w:firstLine="921"/>
        <w:spacing w:after="0" w:line="277" w:lineRule="auto"/>
        <w:tabs>
          <w:tab w:leader="none" w:pos="112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sell, transfer, license, charge, encumber or otherwise dispose of all or substantially all of the trademarks, patents, copyrights or other intellectual property owned by the Company and/or Subsidiary;</w:t>
      </w:r>
    </w:p>
    <w:p>
      <w:pPr>
        <w:spacing w:after="0" w:line="170" w:lineRule="exact"/>
        <w:rPr>
          <w:rFonts w:ascii="Arial" w:cs="Arial" w:eastAsia="Arial" w:hAnsi="Arial"/>
          <w:sz w:val="18"/>
          <w:szCs w:val="18"/>
          <w:color w:val="auto"/>
        </w:rPr>
      </w:pPr>
    </w:p>
    <w:p>
      <w:pPr>
        <w:ind w:right="500" w:firstLine="921"/>
        <w:spacing w:after="0" w:line="286" w:lineRule="auto"/>
        <w:tabs>
          <w:tab w:leader="none" w:pos="1168"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to transfer of any shares in the Company or any of its Subsidiaries; provided that, no vote or written consent under this Section shall be required from the Series D Director before the Company may enforce any paramount lien on, make a call on or forfeit any Shares held by BlueFocus representing the unpaid Residual amount (if any) in accordance with the Memorandum and Articles after July 1, 2015;</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enter into any transaction outside of the Company’s ordinary course of business; and</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10.2A </w:t>
      </w:r>
      <w:r>
        <w:rPr>
          <w:rFonts w:ascii="Arial" w:cs="Arial" w:eastAsia="Arial" w:hAnsi="Arial"/>
          <w:sz w:val="18"/>
          <w:szCs w:val="18"/>
          <w:u w:val="single" w:color="auto"/>
          <w:color w:val="auto"/>
        </w:rPr>
        <w:t>Approval by the OptAim Director</w:t>
      </w:r>
      <w:r>
        <w:rPr>
          <w:rFonts w:ascii="Arial" w:cs="Arial" w:eastAsia="Arial" w:hAnsi="Arial"/>
          <w:sz w:val="18"/>
          <w:szCs w:val="18"/>
          <w:color w:val="auto"/>
        </w:rPr>
        <w:t>. For so long as any Igomax Shares remain outstanding and Igomax holds no less than 5% of the Igomax Shares (subject to adjustments made for share split, subdivision, consolidation, reorganization and the like events), the Company shall not take any of the following actions without the consent by OptAim Director:</w:t>
      </w:r>
    </w:p>
    <w:p>
      <w:pPr>
        <w:spacing w:after="0" w:line="181" w:lineRule="exact"/>
        <w:rPr>
          <w:sz w:val="20"/>
          <w:szCs w:val="20"/>
          <w:color w:val="auto"/>
        </w:rPr>
      </w:pPr>
    </w:p>
    <w:p>
      <w:pPr>
        <w:ind w:left="5560" w:right="380" w:hanging="4639"/>
        <w:spacing w:after="0" w:line="449" w:lineRule="auto"/>
        <w:tabs>
          <w:tab w:leader="none" w:pos="116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to adopt or amend the Memorandum and Articles or similar constitutive documents of OptAim Ltd. and any of the OptAim Subsidiaries; -29-</w:t>
      </w:r>
    </w:p>
    <w:p>
      <w:pPr>
        <w:sectPr>
          <w:pgSz w:w="11900" w:h="16838" w:orient="portrait"/>
          <w:cols w:equalWidth="0" w:num="1">
            <w:col w:w="11400"/>
          </w:cols>
          <w:pgMar w:left="240" w:top="274" w:right="259" w:bottom="1440" w:gutter="0" w:footer="0" w:header="0"/>
        </w:sectPr>
      </w:pPr>
    </w:p>
    <w:bookmarkStart w:id="487" w:name="page488"/>
    <w:bookmarkEnd w:id="487"/>
    <w:p>
      <w:pPr>
        <w:ind w:right="120" w:firstLine="921"/>
        <w:spacing w:after="0" w:line="277" w:lineRule="auto"/>
        <w:tabs>
          <w:tab w:leader="none" w:pos="1168" w:val="left"/>
        </w:tabs>
        <w:numPr>
          <w:ilvl w:val="0"/>
          <w:numId w:val="4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effect any merger, spin-off, consolidation, scheme of arrangement, reorganization or sale of all or substantially all of the assets of OptAim Ltd. and/or the OptAim Subsidiaries;</w:t>
      </w:r>
    </w:p>
    <w:p>
      <w:pPr>
        <w:spacing w:after="0" w:line="170" w:lineRule="exact"/>
        <w:rPr>
          <w:rFonts w:ascii="Arial" w:cs="Arial" w:eastAsia="Arial" w:hAnsi="Arial"/>
          <w:sz w:val="18"/>
          <w:szCs w:val="18"/>
          <w:color w:val="auto"/>
        </w:rPr>
      </w:pPr>
    </w:p>
    <w:p>
      <w:pPr>
        <w:ind w:right="20" w:firstLine="921"/>
        <w:spacing w:after="0" w:line="308" w:lineRule="auto"/>
        <w:tabs>
          <w:tab w:leader="none" w:pos="1158"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to transfer any shares in OptAim Ltd. and/or the OptAim Subsidiaries or to sell, transfer, license, charge, encumber or otherwise dispose of all or substantially all of the trademarks, patents, copyrights or other intellectual property owned by OptAim Ltd. and/or the OptAim Subsidiaries;</w:t>
      </w:r>
    </w:p>
    <w:p>
      <w:pPr>
        <w:spacing w:after="0" w:line="146" w:lineRule="exact"/>
        <w:rPr>
          <w:rFonts w:ascii="Arial" w:cs="Arial" w:eastAsia="Arial" w:hAnsi="Arial"/>
          <w:sz w:val="17"/>
          <w:szCs w:val="17"/>
          <w:color w:val="auto"/>
        </w:rPr>
      </w:pPr>
    </w:p>
    <w:p>
      <w:pPr>
        <w:ind w:right="200" w:firstLine="921"/>
        <w:spacing w:after="0" w:line="277" w:lineRule="auto"/>
        <w:tabs>
          <w:tab w:leader="none" w:pos="1168"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adopt or amend or terminate any terms of, any of stock option or any bonus or profit sharing scheme, which are applied to the employees of OptAim Ltd. and/or the OptAim Subsidiaries;</w:t>
      </w:r>
    </w:p>
    <w:p>
      <w:pPr>
        <w:spacing w:after="0" w:line="170" w:lineRule="exact"/>
        <w:rPr>
          <w:rFonts w:ascii="Arial" w:cs="Arial" w:eastAsia="Arial" w:hAnsi="Arial"/>
          <w:sz w:val="18"/>
          <w:szCs w:val="18"/>
          <w:color w:val="auto"/>
        </w:rPr>
      </w:pPr>
    </w:p>
    <w:p>
      <w:pPr>
        <w:ind w:right="600" w:firstLine="921"/>
        <w:spacing w:after="0" w:line="277" w:lineRule="auto"/>
        <w:tabs>
          <w:tab w:leader="none" w:pos="1158"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adopt annual budget, or any material change annual budget, or to engage in any new line of business of OptAim Ltd. and any of the OptAim Subsidiaries;</w:t>
      </w:r>
    </w:p>
    <w:p>
      <w:pPr>
        <w:spacing w:after="0" w:line="170" w:lineRule="exact"/>
        <w:rPr>
          <w:rFonts w:ascii="Arial" w:cs="Arial" w:eastAsia="Arial" w:hAnsi="Arial"/>
          <w:sz w:val="18"/>
          <w:szCs w:val="18"/>
          <w:color w:val="auto"/>
        </w:rPr>
      </w:pPr>
    </w:p>
    <w:p>
      <w:pPr>
        <w:ind w:right="60" w:firstLine="921"/>
        <w:spacing w:after="0" w:line="264" w:lineRule="auto"/>
        <w:tabs>
          <w:tab w:leader="none" w:pos="1138"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grant any indemnity or guarantee, security, or rights having similar or like economic effect over all or any part of the assets or rights of OptAim Ltd. and any of the OptAim Subsidiaries, except for the purpose of securing borrowings from banks in the ordinary course of business not exceeding HK$3,000,000 in the aggregate (or its equivalent in other currency);</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initiate the first firm commitment underwritten registered public offering by the Company which is not an Igomax QIPO;</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remove TANG Jian from the chief executive officer and a director of OptAim Ltd. and any of the OptAim Subsidiaries; and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agree or undertake to do any of the foregoing.</w:t>
      </w:r>
    </w:p>
    <w:p>
      <w:pPr>
        <w:spacing w:after="0" w:line="221"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color w:val="auto"/>
        </w:rPr>
        <w:t>The powers mandated to the Board of Directors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10.2</w:t>
      </w:r>
      <w:r>
        <w:rPr>
          <w:rFonts w:ascii="Arial" w:cs="Arial" w:eastAsia="Arial" w:hAnsi="Arial"/>
          <w:sz w:val="16"/>
          <w:szCs w:val="16"/>
          <w:b w:val="1"/>
          <w:bCs w:val="1"/>
          <w:color w:val="auto"/>
        </w:rPr>
        <w:t xml:space="preserve"> </w:t>
      </w:r>
      <w:r>
        <w:rPr>
          <w:rFonts w:ascii="Arial" w:cs="Arial" w:eastAsia="Arial" w:hAnsi="Arial"/>
          <w:sz w:val="16"/>
          <w:szCs w:val="16"/>
          <w:color w:val="auto"/>
        </w:rPr>
        <w:t>above are irrevocably mandated by the holders of Shares of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shall not be revoked or rescinded in any case unless with the consent of holders of at least a majority of all outstanding Ordinary Shares, holders of at least a majority of all outstanding Series A Preference Shares, holders of at least a majority of all outstanding Series B Preference Shares, holders of at least a majority of all outstanding Series C Preference Shares and holders of at least a majority of all outstanding Series D Preference Shares, each voting separately as a single class. Further, the powers mandated to the OptAim Director in Section 10.2A above are irrevocably mandated by the holders of Shares of the Company to the OptAim Director, and shall not be revoked or rescinded in any case unless with the consent of Igomax.</w:t>
      </w:r>
    </w:p>
    <w:p>
      <w:pPr>
        <w:spacing w:after="0" w:line="15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10.4 Subsidiaries</w:t>
      </w:r>
      <w:r>
        <w:rPr>
          <w:rFonts w:ascii="Arial" w:cs="Arial" w:eastAsia="Arial" w:hAnsi="Arial"/>
          <w:sz w:val="18"/>
          <w:szCs w:val="18"/>
          <w:color w:val="auto"/>
        </w:rPr>
        <w:t>. The protective provisions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10.1B</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to all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affiliates of the Company with respect to actions listed therein or any equivalent actions.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Adjustment Shares to Ordinary Investors.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3" w:right="239" w:bottom="1440" w:gutter="0" w:footer="0" w:header="0"/>
        </w:sectPr>
      </w:pPr>
    </w:p>
    <w:bookmarkStart w:id="488" w:name="page489"/>
    <w:bookmarkEnd w:id="488"/>
    <w:p>
      <w:pPr>
        <w:ind w:left="912" w:firstLine="421"/>
        <w:spacing w:after="0" w:line="291" w:lineRule="auto"/>
        <w:tabs>
          <w:tab w:leader="none" w:pos="1577" w:val="left"/>
        </w:tabs>
        <w:numPr>
          <w:ilvl w:val="2"/>
          <w:numId w:val="4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issuance of any New Securities for a consideration per Ordinary Share (on an as-converted basis) based on the Company’s pre-money valuation to be less than US$308,400,000 (“</w:t>
      </w:r>
      <w:r>
        <w:rPr>
          <w:rFonts w:ascii="Arial" w:cs="Arial" w:eastAsia="Arial" w:hAnsi="Arial"/>
          <w:sz w:val="16"/>
          <w:szCs w:val="16"/>
          <w:b w:val="1"/>
          <w:bCs w:val="1"/>
          <w:color w:val="auto"/>
        </w:rPr>
        <w:t>Anti-dilution Trigger Valuation</w:t>
      </w:r>
      <w:r>
        <w:rPr>
          <w:rFonts w:ascii="Arial" w:cs="Arial" w:eastAsia="Arial" w:hAnsi="Arial"/>
          <w:sz w:val="16"/>
          <w:szCs w:val="16"/>
          <w:color w:val="auto"/>
        </w:rPr>
        <w:t>”), the existing holders of the Company’s Ordinary Shares (other than the Ordinary Investors, Zaffre, BAI and Igomax) shall transfer, at no cost, additional Ordinary Shares to the Ordinary Investors based on a broad-based weighted average calculation. Notwithstanding the foregoing, if any more favorable anti-dilution protection, including, without limitation, a lower Anti-dilution Trigger Valuation or favorable anti-dilution methodology, is provided to any holder of Equity Securities in the next equity financing of the Company, the Company/Founders shall grant the same rights or rights that result in the same economic benefits to Ordinary Investors with respect to the Ordinary Shares they first subscribed for then held by the Ordinary Investors.</w:t>
      </w:r>
    </w:p>
    <w:p>
      <w:pPr>
        <w:spacing w:after="0" w:line="59" w:lineRule="exact"/>
        <w:rPr>
          <w:rFonts w:ascii="Arial" w:cs="Arial" w:eastAsia="Arial" w:hAnsi="Arial"/>
          <w:sz w:val="16"/>
          <w:szCs w:val="16"/>
          <w:color w:val="auto"/>
        </w:rPr>
      </w:pPr>
    </w:p>
    <w:p>
      <w:pPr>
        <w:ind w:left="912" w:right="20" w:firstLine="421"/>
        <w:spacing w:after="0" w:line="297" w:lineRule="auto"/>
        <w:tabs>
          <w:tab w:leader="none" w:pos="1587" w:val="left"/>
        </w:tabs>
        <w:numPr>
          <w:ilvl w:val="2"/>
          <w:numId w:val="474"/>
        </w:numPr>
        <w:rPr>
          <w:rFonts w:ascii="Arial" w:cs="Arial" w:eastAsia="Arial" w:hAnsi="Arial"/>
          <w:sz w:val="16"/>
          <w:szCs w:val="16"/>
          <w:color w:val="auto"/>
        </w:rPr>
      </w:pPr>
      <w:r>
        <w:rPr>
          <w:rFonts w:ascii="Arial" w:cs="Arial" w:eastAsia="Arial" w:hAnsi="Arial"/>
          <w:sz w:val="16"/>
          <w:szCs w:val="16"/>
          <w:color w:val="auto"/>
        </w:rPr>
        <w:t>If, at any time, the Company provides to any holders of Ordinary Shares with rights, preferences or privileges that are more favorable to the rights, preferences or privileges granted to the Ordinary Investors, whether set out in the Company’s Memorandum and Articles and any amendments thereto, this Agreement, and any subsequent amendments, the Right of First Refusal Agreement, and any amendments thereto, or other similar agreements by or among the Company and its shareholders, the Company/Founders shall ensure that such equivalent rights, preferences and privileges be granted to the Ordinary Investors with respect to its Ordinary Shares they first subscribed for.</w:t>
      </w:r>
    </w:p>
    <w:p>
      <w:pPr>
        <w:spacing w:after="0" w:line="302" w:lineRule="exact"/>
        <w:rPr>
          <w:rFonts w:ascii="Arial" w:cs="Arial" w:eastAsia="Arial" w:hAnsi="Arial"/>
          <w:sz w:val="16"/>
          <w:szCs w:val="16"/>
          <w:color w:val="auto"/>
        </w:rPr>
      </w:pPr>
    </w:p>
    <w:p>
      <w:pPr>
        <w:ind w:left="452" w:hanging="452"/>
        <w:spacing w:after="0"/>
        <w:tabs>
          <w:tab w:leader="none" w:pos="452"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Agreements; Covenants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Stock Option Plan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52" w:right="40" w:firstLine="443"/>
        <w:spacing w:after="0" w:line="290" w:lineRule="auto"/>
        <w:tabs>
          <w:tab w:leader="none" w:pos="1105" w:val="left"/>
        </w:tabs>
        <w:numPr>
          <w:ilvl w:val="1"/>
          <w:numId w:val="475"/>
        </w:numPr>
        <w:rPr>
          <w:rFonts w:ascii="Arial" w:cs="Arial" w:eastAsia="Arial" w:hAnsi="Arial"/>
          <w:sz w:val="16"/>
          <w:szCs w:val="16"/>
          <w:color w:val="auto"/>
        </w:rPr>
      </w:pPr>
      <w:r>
        <w:rPr>
          <w:rFonts w:ascii="Arial" w:cs="Arial" w:eastAsia="Arial" w:hAnsi="Arial"/>
          <w:sz w:val="16"/>
          <w:szCs w:val="16"/>
          <w:color w:val="auto"/>
        </w:rPr>
        <w:t>Save and except the up to 4,142,545 Ordinary Shares (as adjusted for share dividends, splits, combinations, recapitalizations or similar events) to be issued to employees or consultants of the Group pursuant to an equity incentive plan of the Company (the “</w:t>
      </w:r>
      <w:r>
        <w:rPr>
          <w:rFonts w:ascii="Arial" w:cs="Arial" w:eastAsia="Arial" w:hAnsi="Arial"/>
          <w:sz w:val="16"/>
          <w:szCs w:val="16"/>
          <w:b w:val="1"/>
          <w:bCs w:val="1"/>
          <w:color w:val="auto"/>
        </w:rPr>
        <w:t>ESOP</w:t>
      </w:r>
      <w:r>
        <w:rPr>
          <w:rFonts w:ascii="Arial" w:cs="Arial" w:eastAsia="Arial" w:hAnsi="Arial"/>
          <w:sz w:val="16"/>
          <w:szCs w:val="16"/>
          <w:color w:val="auto"/>
        </w:rPr>
        <w:t>”), which has been adopted by the Board of Directors and approved by the holders of voting Equity Securities of the Company, any grant of an award under the ESOP shall be subject to the approval by 2/3 of the members of the Board (including the Series D Director, the Series B Director and the Series A Director). The number of shares available for issuance under the ESOP shall not be increased (other than to reflect share dividends, splits, combinations, recapitalizations or similar events) without the written consent of the holders of a majority of the outstanding Series E Preference Shares, the holders of a majority of the outstanding Series D Preference Shares, the holders of a majority of the outstanding Series C Preference Shares, the holders of a majority of the outstanding Series B Preference Shares and the holders of a majority of the outstanding Series A Preference Shares.</w:t>
      </w:r>
    </w:p>
    <w:p>
      <w:pPr>
        <w:spacing w:after="0" w:line="58" w:lineRule="exact"/>
        <w:rPr>
          <w:rFonts w:ascii="Arial" w:cs="Arial" w:eastAsia="Arial" w:hAnsi="Arial"/>
          <w:sz w:val="16"/>
          <w:szCs w:val="16"/>
          <w:color w:val="auto"/>
        </w:rPr>
      </w:pPr>
    </w:p>
    <w:p>
      <w:pPr>
        <w:jc w:val="both"/>
        <w:ind w:left="452" w:right="80" w:firstLine="443"/>
        <w:spacing w:after="0" w:line="259" w:lineRule="auto"/>
        <w:tabs>
          <w:tab w:leader="none" w:pos="1155"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All shares, options or other securities granted or issued under the ESOP shall be subject to a vesting schedule pursuant to which twenty-five percent (25%) of such shares or options shall vest on the one (1) year anniversary of such grant, with the remaining seventy-five percent (75%) to vest in equal monthly installments over the next thirty-six (36) months, unless otherwise approved by 2/3 of the members of the Board, including the Series D Director, the Series B Director and the Series A Director.</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12"/>
          </w:cols>
          <w:pgMar w:left="248" w:top="274" w:right="239" w:bottom="1440" w:gutter="0" w:footer="0" w:header="0"/>
        </w:sectPr>
      </w:pPr>
    </w:p>
    <w:bookmarkStart w:id="489" w:name="page490"/>
    <w:bookmarkEnd w:id="489"/>
    <w:p>
      <w:pPr>
        <w:ind w:left="460" w:right="20" w:firstLine="443"/>
        <w:spacing w:after="0" w:line="297" w:lineRule="auto"/>
        <w:tabs>
          <w:tab w:leader="none" w:pos="1213" w:val="left"/>
        </w:tabs>
        <w:numPr>
          <w:ilvl w:val="0"/>
          <w:numId w:val="4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termination for any reason of the employment or similar arrangement of any employee, consultant, officer or director holding unvested shares, the Company or its assignee (to the extent permissible under Applicable Securities Laws qualifications) shall have the option to repurchase such unvested shares at a per share price equal to the lesser of the cost of such shares or the current fair market value of such shares as determined in good faith by the Board. There shall be no acceleration of the vesting of any shares or options or other securities granted or issued under the ESOP except upon approval by 2/3 of the members of the Board, including the Series D Director, the Series B Director and the Series A Director.</w:t>
      </w:r>
    </w:p>
    <w:p>
      <w:pPr>
        <w:spacing w:after="0" w:line="50" w:lineRule="exact"/>
        <w:rPr>
          <w:rFonts w:ascii="Arial" w:cs="Arial" w:eastAsia="Arial" w:hAnsi="Arial"/>
          <w:sz w:val="16"/>
          <w:szCs w:val="16"/>
          <w:color w:val="auto"/>
        </w:rPr>
      </w:pPr>
    </w:p>
    <w:p>
      <w:pPr>
        <w:ind w:left="460" w:right="160" w:firstLine="443"/>
        <w:spacing w:after="0" w:line="259" w:lineRule="auto"/>
        <w:tabs>
          <w:tab w:leader="none" w:pos="120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As a condition to the exercise of any option or other security granted or issued under the ESOP, the grantee exercising such option or other security, if applicable, shall be required to enter into the Right of First Refusal &amp; Co-Sale Agreement as a Principal (as defined in the Right of First Refusal &amp; Co-Sale Agreement) by executing a deed of adherence. Any attempt to exercise any option or other security granted or issued under the ESOP in contravention of this paragraph shall be null, void and without effect.</w:t>
      </w:r>
    </w:p>
    <w:p>
      <w:pPr>
        <w:spacing w:after="0" w:line="78"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ESOP may contain any other provision not mentioned above as may from time to time be approved by 2/3 of the members of the Board, including the Series D Director, the Series B Director and the Series A Director.</w:t>
      </w:r>
    </w:p>
    <w:p>
      <w:pPr>
        <w:spacing w:after="0" w:line="170" w:lineRule="exact"/>
        <w:rPr>
          <w:sz w:val="20"/>
          <w:szCs w:val="20"/>
          <w:color w:val="auto"/>
        </w:rPr>
      </w:pPr>
    </w:p>
    <w:p>
      <w:pPr>
        <w:ind w:right="20" w:firstLine="464"/>
        <w:spacing w:after="0" w:line="308" w:lineRule="auto"/>
        <w:tabs>
          <w:tab w:leader="none" w:pos="761" w:val="left"/>
        </w:tabs>
        <w:numPr>
          <w:ilvl w:val="0"/>
          <w:numId w:val="477"/>
        </w:numPr>
        <w:rPr>
          <w:rFonts w:ascii="Arial" w:cs="Arial" w:eastAsia="Arial" w:hAnsi="Arial"/>
          <w:sz w:val="17"/>
          <w:szCs w:val="17"/>
          <w:color w:val="auto"/>
        </w:rPr>
      </w:pPr>
      <w:r>
        <w:rPr>
          <w:rFonts w:ascii="Arial" w:cs="Arial" w:eastAsia="Arial" w:hAnsi="Arial"/>
          <w:sz w:val="17"/>
          <w:szCs w:val="17"/>
          <w:color w:val="auto"/>
        </w:rPr>
        <w:t>Any option or other security granted or issued under the ESOP to the employees or consultants of OptAim Ltd. or any OptAim Subsidiary shall be solely proposed by the OptAim Director and approved by the Board in accordance with this Agreement and the Memorandum and Articles.</w:t>
      </w:r>
    </w:p>
    <w:p>
      <w:pPr>
        <w:spacing w:after="0" w:line="14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11.2 Compliance</w:t>
      </w:r>
      <w:r>
        <w:rPr>
          <w:rFonts w:ascii="Arial" w:cs="Arial" w:eastAsia="Arial" w:hAnsi="Arial"/>
          <w:sz w:val="17"/>
          <w:szCs w:val="17"/>
          <w:color w:val="auto"/>
        </w:rPr>
        <w:t>. The Company shall use its reasonable best efforts to cause any direct or indirect subsidiary or entity Controlled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the Group Companies, whether now in existence or formed in the future, to comply in all material respects with all applicable Laws. Without limiting the generality of the foregoing, the Company shall not, and the Founders shall cause the Company not to, and the Company and the Founders shall ensure that its and their respective Affiliates and its respective officers, directors, and representatives shall not, directly or indirectly, (a) offer or give anything of value to any Official with the intent of obtaining any improper advantage, affecting or influencing any act or decision of any such Person, assisting any Group Company in obtaining or retaining business for, or with, or directing business to, any Person, or constituting a bribe, kickback or illegal or improper payment to assist any Group in obtaining or retaining business, (b) take any other action, in each case, in violation of the Foreign Corrupt Practices Act of the United States of America, as amended (as if it were a U.S. Person), or any other applicable similar anti-corruption, recordkeeping and internal controls Laws, or (c) establish or maintain any fund or assets in which any Group Company has proprietary rights that have not been recorded in the books and records of such Group Company.</w:t>
      </w:r>
    </w:p>
    <w:p>
      <w:pPr>
        <w:spacing w:after="0" w:line="178"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b w:val="1"/>
          <w:bCs w:val="1"/>
          <w:color w:val="auto"/>
        </w:rPr>
        <w:t>11.3 Subsidiaries</w:t>
      </w:r>
      <w:r>
        <w:rPr>
          <w:rFonts w:ascii="Arial" w:cs="Arial" w:eastAsia="Arial" w:hAnsi="Arial"/>
          <w:sz w:val="17"/>
          <w:szCs w:val="17"/>
          <w:color w:val="auto"/>
        </w:rPr>
        <w:t>. All material aspects of the formation, maintenance and compliance of any direct or indirect Subsidiary or entity Controlled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whether now in existence or formed in the future, shall be subject to the review and approval by the Board of Directors (including the consent of the Series D Director, Series B Director and the Series A Director), and the Company shall promptly provide the Series A Investor, the Series B Investors, Series C Investor, the Series D Investor and the Series E Investor with copies of all material related documents and correspondence. Upon request of the Series A Director, the Series B Director, or the Series D Director, each Group Company and each Founder shall procure that the board of directors of each Group Company be designated in the same manner as the Board of Directors of the Company.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490" w:name="page491"/>
    <w:bookmarkEnd w:id="490"/>
    <w:p>
      <w:pPr>
        <w:ind w:right="30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Founders shall ensure that the board of directors of any of its Subsidiaries shall not have independent decision making power over their respective entities, and that the Company shall have sole decision making power over all business and affairs of any of its Subsidiaries.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11.4 PRC Matters</w:t>
      </w:r>
      <w:r>
        <w:rPr>
          <w:rFonts w:ascii="Arial" w:cs="Arial" w:eastAsia="Arial" w:hAnsi="Arial"/>
          <w:sz w:val="18"/>
          <w:szCs w:val="18"/>
          <w:color w:val="auto"/>
        </w:rPr>
        <w:t>.</w:t>
      </w:r>
    </w:p>
    <w:p>
      <w:pPr>
        <w:spacing w:after="0" w:line="121" w:lineRule="exact"/>
        <w:rPr>
          <w:sz w:val="20"/>
          <w:szCs w:val="20"/>
          <w:color w:val="auto"/>
        </w:rPr>
      </w:pPr>
    </w:p>
    <w:p>
      <w:pPr>
        <w:ind w:left="460" w:right="120" w:firstLine="443"/>
        <w:spacing w:after="0" w:line="276" w:lineRule="auto"/>
        <w:tabs>
          <w:tab w:leader="none" w:pos="1113"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The Company and the Founders shall ensure that all filings and registrations with the relevant PRC Governmental Authorities required in respect of the Group Companies and the Founders, including the registrations with the Ministry of Commerce (or any predecessors), the State Administration for Industry and Commerce, the State Administration of Foreign Exchange (“</w:t>
      </w:r>
      <w:r>
        <w:rPr>
          <w:rFonts w:ascii="Arial" w:cs="Arial" w:eastAsia="Arial" w:hAnsi="Arial"/>
          <w:sz w:val="17"/>
          <w:szCs w:val="17"/>
          <w:b w:val="1"/>
          <w:bCs w:val="1"/>
          <w:color w:val="auto"/>
        </w:rPr>
        <w:t>SAFE</w:t>
      </w:r>
      <w:r>
        <w:rPr>
          <w:rFonts w:ascii="Arial" w:cs="Arial" w:eastAsia="Arial" w:hAnsi="Arial"/>
          <w:sz w:val="17"/>
          <w:szCs w:val="17"/>
          <w:color w:val="auto"/>
        </w:rPr>
        <w:t>”), tax bureau, customs authorities, telecommunication authorities, administration of industry and commerce authorities, internet supervision authorities and the local counter part of each of the aforementioned governmental authorities, as applicable, shall be duly completed in accordance with the relevant Laws.</w:t>
      </w:r>
    </w:p>
    <w:p>
      <w:pPr>
        <w:spacing w:after="0" w:line="64" w:lineRule="exact"/>
        <w:rPr>
          <w:rFonts w:ascii="Arial" w:cs="Arial" w:eastAsia="Arial" w:hAnsi="Arial"/>
          <w:sz w:val="17"/>
          <w:szCs w:val="17"/>
          <w:color w:val="auto"/>
        </w:rPr>
      </w:pPr>
    </w:p>
    <w:p>
      <w:pPr>
        <w:ind w:left="460" w:right="40" w:firstLine="443"/>
        <w:spacing w:after="0" w:line="288" w:lineRule="auto"/>
        <w:tabs>
          <w:tab w:leader="none" w:pos="1163" w:val="left"/>
        </w:tabs>
        <w:numPr>
          <w:ilvl w:val="0"/>
          <w:numId w:val="478"/>
        </w:numPr>
        <w:rPr>
          <w:rFonts w:ascii="Arial" w:cs="Arial" w:eastAsia="Arial" w:hAnsi="Arial"/>
          <w:sz w:val="16"/>
          <w:szCs w:val="16"/>
          <w:color w:val="auto"/>
        </w:rPr>
      </w:pPr>
      <w:r>
        <w:rPr>
          <w:rFonts w:ascii="Arial" w:cs="Arial" w:eastAsia="Arial" w:hAnsi="Arial"/>
          <w:sz w:val="16"/>
          <w:szCs w:val="16"/>
          <w:color w:val="auto"/>
        </w:rPr>
        <w:t>If any holder of Shares of the Company, including, without limitation, Ordinary Shares and Preference Shares, or any other Equity Securities (each, a “</w:t>
      </w:r>
      <w:r>
        <w:rPr>
          <w:rFonts w:ascii="Arial" w:cs="Arial" w:eastAsia="Arial" w:hAnsi="Arial"/>
          <w:sz w:val="16"/>
          <w:szCs w:val="16"/>
          <w:b w:val="1"/>
          <w:bCs w:val="1"/>
          <w:color w:val="auto"/>
        </w:rPr>
        <w:t>Company Security Holder</w:t>
      </w:r>
      <w:r>
        <w:rPr>
          <w:rFonts w:ascii="Arial" w:cs="Arial" w:eastAsia="Arial" w:hAnsi="Arial"/>
          <w:sz w:val="16"/>
          <w:szCs w:val="16"/>
          <w:color w:val="auto"/>
        </w:rPr>
        <w:t>”) is a “Domestic Resident” as defined in Circular 37 issued by SAFE on July 4, 2014 (“</w:t>
      </w:r>
      <w:r>
        <w:rPr>
          <w:rFonts w:ascii="Arial" w:cs="Arial" w:eastAsia="Arial" w:hAnsi="Arial"/>
          <w:sz w:val="16"/>
          <w:szCs w:val="16"/>
          <w:b w:val="1"/>
          <w:bCs w:val="1"/>
          <w:color w:val="auto"/>
        </w:rPr>
        <w:t>Circular 37</w:t>
      </w:r>
      <w:r>
        <w:rPr>
          <w:rFonts w:ascii="Arial" w:cs="Arial" w:eastAsia="Arial" w:hAnsi="Arial"/>
          <w:sz w:val="16"/>
          <w:szCs w:val="16"/>
          <w:color w:val="auto"/>
        </w:rPr>
        <w:t>”) and is subject to the SAFE registration or reporting requirements under Circular 37, in each case as determined by the Board of Directors or counsel to the Company, the Company shall promptly obtain a power of attorney reasonably satisfactory to the majority of the Holders of the Series A Preference Shares, the Series B Preference Shares, the Series D Preference Shares and the Series E Preference Shares (voting together as a single class on an as-if-converted basis) from such Company Security Holder, and the Company shall cause the designated representative under such power of attorney to take such actions and execute such instruments on behalf of such Company Security Holder to comply with the applicable SAFE registration or reporting requirements under Circular 37 as determined in the sole discretion of the Board of Directors or counsel to the Company. The Company and any of its Subsidiaries shall fully comply with all applicable PRC Laws relating to the filing, registration and reporting to SAFE or any of its local branches with respect to any foreign exchange transactions, investments, changes or occurrence of significant events.</w:t>
      </w:r>
    </w:p>
    <w:p>
      <w:pPr>
        <w:spacing w:after="0" w:line="16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11.5 Insurance</w:t>
      </w:r>
      <w:r>
        <w:rPr>
          <w:rFonts w:ascii="Arial" w:cs="Arial" w:eastAsia="Arial" w:hAnsi="Arial"/>
          <w:sz w:val="18"/>
          <w:szCs w:val="18"/>
          <w:color w:val="auto"/>
        </w:rPr>
        <w:t>. The Company shall, at the discretion of the Board of Directors (including the affirmative consent of the Series D Director, the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and the Series A Director), procure and maintain in effect, policies of insurance with respect to its properties and business of the kinds and in the amounts not less than that are customarily obtained by companies of similar size, in a similar line of business, engaged in international operations, and with operations in the PRC.</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11.6 Controls</w:t>
      </w:r>
      <w:r>
        <w:rPr>
          <w:rFonts w:ascii="Arial" w:cs="Arial" w:eastAsia="Arial" w:hAnsi="Arial"/>
          <w:sz w:val="17"/>
          <w:szCs w:val="17"/>
          <w:color w:val="auto"/>
        </w:rPr>
        <w:t>. The Company will maintain the books and records of the Company, and will prepare its unaudited and audited financial statements,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U.S. GAAP and in accordance with sound business practices. The Company shall, and shall cause the Group Companies to, maintain an adequate system of procedures and controls with respect to finance, management, and accounting that is in accordance with sound business practices and is reasonably satisfactory to the Holders of a majority of the Series A Preference Shares, the Holders of a majority of the Series B Preference Shares, the Holders of a majority of the Series C Preference Shares, the Holders of a majority of the Series D Preference Share and the Holders of a majority of the Series E Preference Shares,, respectively. The Company shall, and shall cause the Group Companies to, adopt and maintain a treasury policy, accounting policy and fiscal policy reasonably satisfactory to the Holders of a majority of the Series A Preference Shares, the Holders of a majority of the Series B Preference Shares, the Holders of a majority of the Series C Preference Shares, the Holders of a majority of the Series D Preference Shares and the Holders of a majority of the Series E Preference Shares,, respectively.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3" w:right="259" w:bottom="1440" w:gutter="0" w:footer="0" w:header="0"/>
        </w:sectPr>
      </w:pPr>
    </w:p>
    <w:bookmarkStart w:id="491" w:name="page492"/>
    <w:bookmarkEnd w:id="491"/>
    <w:p>
      <w:pPr>
        <w:ind w:right="60"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 Compliance with Memorandum and Articles</w:t>
      </w:r>
      <w:r>
        <w:rPr>
          <w:rFonts w:ascii="Arial" w:cs="Arial" w:eastAsia="Arial" w:hAnsi="Arial"/>
          <w:sz w:val="17"/>
          <w:szCs w:val="17"/>
          <w:color w:val="auto"/>
        </w:rPr>
        <w:t>. Each Party to this Agreement shall take all such actions and shall do all such things,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 of Ordinary Share Equivalents that is a Party to this Agreement shall vote at any meeting of members of the Company, such number of Ordinary Share Equivalents (on an as-converted basis) as may be necessary, or in lieu of any such meeting, shall give such holder’s written consent, as the case may be, with respect to such number of Ordinary Share Equivalents (on an as-converted basis), to cause the Company to comply with the Memorandum and Articles, including but not limited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i w:val="1"/>
          <w:iCs w:val="1"/>
          <w:color w:val="auto"/>
        </w:rPr>
        <w:t>Protective Provisions</w:t>
      </w:r>
      <w:r>
        <w:rPr>
          <w:rFonts w:ascii="Arial" w:cs="Arial" w:eastAsia="Arial" w:hAnsi="Arial"/>
          <w:sz w:val="17"/>
          <w:szCs w:val="17"/>
          <w:color w:val="auto"/>
        </w:rPr>
        <w:t>), Section 7 (</w:t>
      </w:r>
      <w:r>
        <w:rPr>
          <w:rFonts w:ascii="Arial" w:cs="Arial" w:eastAsia="Arial" w:hAnsi="Arial"/>
          <w:sz w:val="17"/>
          <w:szCs w:val="17"/>
          <w:i w:val="1"/>
          <w:iCs w:val="1"/>
          <w:color w:val="auto"/>
        </w:rPr>
        <w:t>Put Option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thereto. In the event that the provisions of this Agreement conflict with any provision of the Memorandum and Articles, the provisions of this Agreement shall prevail as between the shareholders of the Company only, who hereby undertake to take such steps as may be necessary or desirable to amend the Memorandum and Articles to remove such conflict to the fullest extent permitted by Law.</w:t>
      </w:r>
    </w:p>
    <w:p>
      <w:pPr>
        <w:spacing w:after="0" w:line="17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11.8 Employment Matters</w:t>
      </w:r>
      <w:r>
        <w:rPr>
          <w:rFonts w:ascii="Arial" w:cs="Arial" w:eastAsia="Arial" w:hAnsi="Arial"/>
          <w:sz w:val="17"/>
          <w:szCs w:val="17"/>
          <w:color w:val="auto"/>
        </w:rPr>
        <w:t>. Unless otherwise determined by the Board of Directors (including the affirmative consent of the Series D Director,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Series B Director and the Series A Director), the Company shall (i) require all employees and consultants now or hereafter employed or retained by any Group Company to enter into a Confidential Information and Invention Assignment Agreement, requiring such Persons to protect and keep confidential each Group Company’s confidential information, intellectual property and trade secrets and requiring such Persons to assign all ownership rights in their work product to the Group Companies to the maximum extent permitted by applicable Law; and (ii) require the persons whose names are listed in </w:t>
      </w:r>
      <w:r>
        <w:rPr>
          <w:rFonts w:ascii="Arial" w:cs="Arial" w:eastAsia="Arial" w:hAnsi="Arial"/>
          <w:sz w:val="17"/>
          <w:szCs w:val="17"/>
          <w:u w:val="single" w:color="auto"/>
          <w:color w:val="auto"/>
        </w:rPr>
        <w:t>Schedule H</w:t>
      </w:r>
      <w:r>
        <w:rPr>
          <w:rFonts w:ascii="Arial" w:cs="Arial" w:eastAsia="Arial" w:hAnsi="Arial"/>
          <w:sz w:val="17"/>
          <w:szCs w:val="17"/>
          <w:color w:val="auto"/>
        </w:rPr>
        <w:t xml:space="preserve"> hereof to enter into a Non-compete and Non-solicitation Agreement, prohibiting such Persons from competing with the Group Companies during their tenures with any Group Company, and from completing with and soliciting the employees and consultants from the Group Companies for twenty-four (24) months after their tenures with any Group Company terminate.</w:t>
      </w:r>
    </w:p>
    <w:p>
      <w:pPr>
        <w:spacing w:after="0" w:line="17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11.9 De Facto Control</w:t>
      </w:r>
      <w:r>
        <w:rPr>
          <w:rFonts w:ascii="Arial" w:cs="Arial" w:eastAsia="Arial" w:hAnsi="Arial"/>
          <w:sz w:val="18"/>
          <w:szCs w:val="18"/>
          <w:color w:val="auto"/>
        </w:rPr>
        <w:t>. Except in connection with a Non-Liquidation M&amp;A, the Control of the Company and the de facto controlling person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remain unchanged prior to a Qualified IPO.</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11.10 Termination.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on the earlier of (i) the closing of the Qualified IPO and (ii) the consummation of a Liquidating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w:t>
      </w:r>
    </w:p>
    <w:p>
      <w:pPr>
        <w:spacing w:after="0" w:line="310" w:lineRule="exact"/>
        <w:rPr>
          <w:sz w:val="20"/>
          <w:szCs w:val="20"/>
          <w:color w:val="auto"/>
        </w:rPr>
      </w:pPr>
    </w:p>
    <w:p>
      <w:pPr>
        <w:ind w:left="460" w:hanging="452"/>
        <w:spacing w:after="0"/>
        <w:tabs>
          <w:tab w:leader="none" w:pos="46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12.1 Further Assurances. </w:t>
      </w:r>
      <w:r>
        <w:rPr>
          <w:rFonts w:ascii="Arial" w:cs="Arial" w:eastAsia="Arial" w:hAnsi="Arial"/>
          <w:sz w:val="18"/>
          <w:szCs w:val="18"/>
          <w:color w:val="auto"/>
        </w:rPr>
        <w:t>Upon the terms and subject to the conditions herein, each of the Parties hereto agrees to use its reasonable best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or cause to be taken all action, to do or cause to be done, to execute such further instruments, and to assist and cooperate with the other Parties hereto in doing, all things necessary, proper or advisable under applicable Laws or otherwise to consummate and make effective, in the most expeditious manner practicable, the transactions contemplated by this Agreement and, to the extent reasonably requested by another Party, to enforce rights and obligations pursuant hereto.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492" w:name="page493"/>
    <w:bookmarkEnd w:id="492"/>
    <w:p>
      <w:pPr>
        <w:ind w:right="80"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 Assignments and Transfers; No Third Party Beneficiaries</w:t>
      </w:r>
      <w:r>
        <w:rPr>
          <w:rFonts w:ascii="Arial" w:cs="Arial" w:eastAsia="Arial" w:hAnsi="Arial"/>
          <w:sz w:val="16"/>
          <w:szCs w:val="16"/>
          <w:color w:val="auto"/>
        </w:rPr>
        <w:t>. Except as otherwise provided herein, this Agreement and the rights and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Parties hereunder shall inure to the benefit of, and be binding upon, their respective successors, assigns and legal representatives, but shall not otherwise be for the benefit of any third party. The rights of any Series A Investor, Series B Investor, Series C Investor, Series D Investor, Series E Investor, Ordinary Investor, Bertelsmann, Sumitomo, SSG I, SSG II , BlueFocus or Igomax hereunder (including, without limitation, registration rights) are assignable to any of its Affiliates, or in connection with the transfer (subject to Applicable Securities Laws and other Laws) of Equity Securities held by such Series A Investor, Series B Investor, Series C Investor, Series D Investor, Series E Investor, Ordinary Investor Bertelsmann, Sumitomo, SSG I, SSG II , BlueFocus or Igomax but only to the extent of such transfer, and any such transferee shall execute and deliver to the Company and the other parties hereto a deed of adherence becoming a Party to this Agreement, subject to the terms and conditions hereof. This Agreement and the rights and obligations of any party hereunder shall not otherwise be assigned without the mutual written consent of the other Parties; provided that any Shareholder may assign its rights and obligations to an Affiliate or the ultimate beneficial owner of such Shareholder without consent of the other Parties.</w:t>
      </w:r>
    </w:p>
    <w:p>
      <w:pPr>
        <w:spacing w:after="0" w:line="16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12.3 Governing Law. </w:t>
      </w:r>
      <w:r>
        <w:rPr>
          <w:rFonts w:ascii="Arial" w:cs="Arial" w:eastAsia="Arial" w:hAnsi="Arial"/>
          <w:sz w:val="18"/>
          <w:szCs w:val="18"/>
          <w:color w:val="auto"/>
        </w:rPr>
        <w:t>This Agreement shall be governed by and construed under the Laws of the Hong Kong S.A.R., without regard to principles of</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thereunder.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Dispute Resolution</w:t>
      </w:r>
      <w:r>
        <w:rPr>
          <w:rFonts w:ascii="Arial" w:cs="Arial" w:eastAsia="Arial" w:hAnsi="Arial"/>
          <w:sz w:val="18"/>
          <w:szCs w:val="18"/>
          <w:color w:val="auto"/>
        </w:rPr>
        <w:t>.</w:t>
      </w:r>
    </w:p>
    <w:p>
      <w:pPr>
        <w:spacing w:after="0" w:line="117" w:lineRule="exact"/>
        <w:rPr>
          <w:sz w:val="20"/>
          <w:szCs w:val="20"/>
          <w:color w:val="auto"/>
        </w:rPr>
      </w:pPr>
    </w:p>
    <w:p>
      <w:pPr>
        <w:ind w:left="460" w:right="60" w:firstLine="443"/>
        <w:spacing w:after="0" w:line="289" w:lineRule="auto"/>
        <w:tabs>
          <w:tab w:leader="none" w:pos="1113" w:val="left"/>
        </w:tabs>
        <w:numPr>
          <w:ilvl w:val="0"/>
          <w:numId w:val="480"/>
        </w:numPr>
        <w:rPr>
          <w:rFonts w:ascii="Arial" w:cs="Arial" w:eastAsia="Arial" w:hAnsi="Arial"/>
          <w:sz w:val="17"/>
          <w:szCs w:val="17"/>
          <w:color w:val="auto"/>
        </w:rPr>
      </w:pPr>
      <w:r>
        <w:rPr>
          <w:rFonts w:ascii="Arial" w:cs="Arial" w:eastAsia="Arial" w:hAnsi="Arial"/>
          <w:sz w:val="17"/>
          <w:szCs w:val="17"/>
          <w:color w:val="auto"/>
        </w:rPr>
        <w:t>Any dispute, controversy or claim (each, a “</w:t>
      </w:r>
      <w:r>
        <w:rPr>
          <w:rFonts w:ascii="Arial" w:cs="Arial" w:eastAsia="Arial" w:hAnsi="Arial"/>
          <w:sz w:val="17"/>
          <w:szCs w:val="17"/>
          <w:b w:val="1"/>
          <w:bCs w:val="1"/>
          <w:color w:val="auto"/>
        </w:rPr>
        <w:t>Dispute</w:t>
      </w:r>
      <w:r>
        <w:rPr>
          <w:rFonts w:ascii="Arial" w:cs="Arial" w:eastAsia="Arial" w:hAnsi="Arial"/>
          <w:sz w:val="17"/>
          <w:szCs w:val="17"/>
          <w:color w:val="auto"/>
        </w:rPr>
        <w:t>”) arising out of or relating to this Agreement, or the interpretation, breach, termination or validity hereof, shall be resolved at the first instance through consultation between the parties to such Dispute. Such consultation shall begin immediately after any party has delivered written notice to any other party to the Dispute requesting such consultation.</w:t>
      </w:r>
    </w:p>
    <w:p>
      <w:pPr>
        <w:spacing w:after="0" w:line="54" w:lineRule="exact"/>
        <w:rPr>
          <w:rFonts w:ascii="Arial" w:cs="Arial" w:eastAsia="Arial" w:hAnsi="Arial"/>
          <w:sz w:val="17"/>
          <w:szCs w:val="17"/>
          <w:color w:val="auto"/>
        </w:rPr>
      </w:pPr>
    </w:p>
    <w:p>
      <w:pPr>
        <w:ind w:left="460" w:right="520" w:firstLine="443"/>
        <w:spacing w:after="0" w:line="342" w:lineRule="auto"/>
        <w:tabs>
          <w:tab w:leader="none" w:pos="1163" w:val="left"/>
        </w:tabs>
        <w:numPr>
          <w:ilvl w:val="0"/>
          <w:numId w:val="480"/>
        </w:numPr>
        <w:rPr>
          <w:rFonts w:ascii="Arial" w:cs="Arial" w:eastAsia="Arial" w:hAnsi="Arial"/>
          <w:sz w:val="16"/>
          <w:szCs w:val="16"/>
          <w:color w:val="auto"/>
        </w:rPr>
      </w:pPr>
      <w:r>
        <w:rPr>
          <w:rFonts w:ascii="Arial" w:cs="Arial" w:eastAsia="Arial" w:hAnsi="Arial"/>
          <w:sz w:val="16"/>
          <w:szCs w:val="16"/>
          <w:color w:val="auto"/>
        </w:rPr>
        <w:t>If the Dispute is not resolved within thirty (30) days following the date on which such notice is given, the Dispute shall be submitted to arbitration upon the request of any party to the Dispute with notice to each other party to the Dispute (the “</w:t>
      </w:r>
      <w:r>
        <w:rPr>
          <w:rFonts w:ascii="Arial" w:cs="Arial" w:eastAsia="Arial" w:hAnsi="Arial"/>
          <w:sz w:val="16"/>
          <w:szCs w:val="16"/>
          <w:b w:val="1"/>
          <w:bCs w:val="1"/>
          <w:color w:val="auto"/>
        </w:rPr>
        <w:t>Arbitration Notice</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220" w:hanging="317"/>
        <w:spacing w:after="0"/>
        <w:tabs>
          <w:tab w:leader="none" w:pos="122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The arbitration shall be conducted in the Hong Kong S.A.R. and shall be administered by the Hong Kong International Arbitration Centre</w:t>
      </w:r>
    </w:p>
    <w:p>
      <w:pPr>
        <w:spacing w:after="0" w:line="46"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HKIAC</w:t>
      </w:r>
      <w:r>
        <w:rPr>
          <w:rFonts w:ascii="Arial" w:cs="Arial" w:eastAsia="Arial" w:hAnsi="Arial"/>
          <w:sz w:val="18"/>
          <w:szCs w:val="18"/>
          <w:color w:val="auto"/>
        </w:rPr>
        <w:t xml:space="preserve">”) in accordance with the Hong Kong International Arbitration Centre Administered Arbitration Rules in force at the time of the commencement of the arbitration. However, if such rules are in conflict with the provisions of this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including the provisions concerning the appointment of arbitrators, the provisions of this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shall prevail.</w:t>
      </w:r>
    </w:p>
    <w:p>
      <w:pPr>
        <w:spacing w:after="0" w:line="82" w:lineRule="exact"/>
        <w:rPr>
          <w:sz w:val="20"/>
          <w:szCs w:val="20"/>
          <w:color w:val="auto"/>
        </w:rPr>
      </w:pPr>
    </w:p>
    <w:p>
      <w:pPr>
        <w:ind w:left="460" w:right="160" w:firstLine="443"/>
        <w:spacing w:after="0" w:line="277" w:lineRule="auto"/>
        <w:tabs>
          <w:tab w:leader="none" w:pos="120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arbitration proceedings shall be conducted in English. There shall be one (1) arbitrator. The Secretary General of the Centre shall select the arbitrator, who shall be qualified to practice law in the Hong Kong S.A.R.</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Each party to the arbitration shall cooperate with each other party to the arbitration in making full disclosure of and providing complete access to all information and documents requested by such other party in connection with such arbitration proceedings, subject only to any confidentiality obligations binding on such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9" w:right="239" w:bottom="1440" w:gutter="0" w:footer="0" w:header="0"/>
        </w:sectPr>
      </w:pPr>
    </w:p>
    <w:bookmarkStart w:id="493" w:name="page494"/>
    <w:bookmarkEnd w:id="493"/>
    <w:p>
      <w:pPr>
        <w:ind w:right="140" w:firstLine="443"/>
        <w:spacing w:after="0" w:line="277" w:lineRule="auto"/>
        <w:tabs>
          <w:tab w:leader="none" w:pos="743"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arbitrator shall decide any dispute submitted by the parties to the arbitration tribunal strictly in accordance with the substantive Laws of the Hong Kong, S.A.R. and shall not apply any other substantive Law.</w:t>
      </w:r>
    </w:p>
    <w:p>
      <w:pPr>
        <w:spacing w:after="0" w:line="62" w:lineRule="exact"/>
        <w:rPr>
          <w:rFonts w:ascii="Arial" w:cs="Arial" w:eastAsia="Arial" w:hAnsi="Arial"/>
          <w:sz w:val="18"/>
          <w:szCs w:val="18"/>
          <w:color w:val="auto"/>
        </w:rPr>
      </w:pPr>
    </w:p>
    <w:p>
      <w:pPr>
        <w:ind w:right="100" w:firstLine="443"/>
        <w:spacing w:after="0" w:line="277" w:lineRule="auto"/>
        <w:tabs>
          <w:tab w:leader="none" w:pos="793"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party to the Dispute shall be entitled to seek preliminary injunctive relief, if possible, from any court of competent jurisdiction pending the constitution of the arbitral tribunal.</w:t>
      </w:r>
    </w:p>
    <w:p>
      <w:pPr>
        <w:spacing w:after="0" w:line="62" w:lineRule="exact"/>
        <w:rPr>
          <w:rFonts w:ascii="Arial" w:cs="Arial" w:eastAsia="Arial" w:hAnsi="Arial"/>
          <w:sz w:val="18"/>
          <w:szCs w:val="18"/>
          <w:color w:val="auto"/>
        </w:rPr>
      </w:pPr>
    </w:p>
    <w:p>
      <w:pPr>
        <w:ind w:right="60" w:firstLine="443"/>
        <w:spacing w:after="0" w:line="277" w:lineRule="auto"/>
        <w:tabs>
          <w:tab w:leader="none" w:pos="843"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The Parties to this Agreement agree to the consolidation of arbitrations under the Transaction Documents in accordance with the provisions of this </w:t>
      </w:r>
      <w:r>
        <w:rPr>
          <w:rFonts w:ascii="Arial" w:cs="Arial" w:eastAsia="Arial" w:hAnsi="Arial"/>
          <w:sz w:val="18"/>
          <w:szCs w:val="18"/>
          <w:u w:val="single" w:color="auto"/>
          <w:color w:val="auto"/>
        </w:rPr>
        <w:t>Section 12.5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21"/>
        <w:spacing w:after="0" w:line="273" w:lineRule="auto"/>
        <w:tabs>
          <w:tab w:leader="none" w:pos="1125" w:val="left"/>
        </w:tabs>
        <w:numPr>
          <w:ilvl w:val="2"/>
          <w:numId w:val="482"/>
        </w:numPr>
        <w:rPr>
          <w:rFonts w:ascii="Arial" w:cs="Arial" w:eastAsia="Arial" w:hAnsi="Arial"/>
          <w:sz w:val="17"/>
          <w:szCs w:val="17"/>
          <w:color w:val="auto"/>
        </w:rPr>
      </w:pPr>
      <w:r>
        <w:rPr>
          <w:rFonts w:ascii="Arial" w:cs="Arial" w:eastAsia="Arial" w:hAnsi="Arial"/>
          <w:sz w:val="17"/>
          <w:szCs w:val="17"/>
          <w:color w:val="auto"/>
        </w:rPr>
        <w:t>In the event of two or more arbitrations having been commenced under any of the Transaction Documents, the tribunal in the arbitration first filed (the “</w:t>
      </w:r>
      <w:r>
        <w:rPr>
          <w:rFonts w:ascii="Arial" w:cs="Arial" w:eastAsia="Arial" w:hAnsi="Arial"/>
          <w:sz w:val="17"/>
          <w:szCs w:val="17"/>
          <w:b w:val="1"/>
          <w:bCs w:val="1"/>
          <w:color w:val="auto"/>
        </w:rPr>
        <w:t>Principal Tribunal</w:t>
      </w:r>
      <w:r>
        <w:rPr>
          <w:rFonts w:ascii="Arial" w:cs="Arial" w:eastAsia="Arial" w:hAnsi="Arial"/>
          <w:sz w:val="17"/>
          <w:szCs w:val="17"/>
          <w:color w:val="auto"/>
        </w:rPr>
        <w:t>”) may in its sole discretion, upon the application of any party to the arbitrations, order that the proceedings be consolidated before the Principal Tribunal if (1) there are issues of fact and/or law common to the arbitrations, (2) the interests of justice and efficiency would be served by such a consolidation, and (3) no prejudice would be caused to any party in any material respect as a result of such consolidation, whether through undue delay or otherwise. Such application shall be made as soon as practicable and the party making such application shall give notice to the other parties to the arbitrations.</w:t>
      </w:r>
    </w:p>
    <w:p>
      <w:pPr>
        <w:spacing w:after="0" w:line="70" w:lineRule="exact"/>
        <w:rPr>
          <w:rFonts w:ascii="Arial" w:cs="Arial" w:eastAsia="Arial" w:hAnsi="Arial"/>
          <w:sz w:val="17"/>
          <w:szCs w:val="17"/>
          <w:color w:val="auto"/>
        </w:rPr>
      </w:pPr>
    </w:p>
    <w:p>
      <w:pPr>
        <w:ind w:left="460" w:right="20" w:firstLine="421"/>
        <w:spacing w:after="0" w:line="259" w:lineRule="auto"/>
        <w:tabs>
          <w:tab w:leader="none" w:pos="1135" w:val="left"/>
        </w:tabs>
        <w:numPr>
          <w:ilvl w:val="2"/>
          <w:numId w:val="482"/>
        </w:numPr>
        <w:rPr>
          <w:rFonts w:ascii="Arial" w:cs="Arial" w:eastAsia="Arial" w:hAnsi="Arial"/>
          <w:sz w:val="18"/>
          <w:szCs w:val="18"/>
          <w:color w:val="auto"/>
        </w:rPr>
      </w:pPr>
      <w:r>
        <w:rPr>
          <w:rFonts w:ascii="Arial" w:cs="Arial" w:eastAsia="Arial" w:hAnsi="Arial"/>
          <w:sz w:val="18"/>
          <w:szCs w:val="18"/>
          <w:color w:val="auto"/>
        </w:rPr>
        <w:t>The Principal Tribunal shall be empowered to (but shall not be obliged to) order at its discretion, after inviting written (and where desired oral) representations from the parties that all or any of such arbitrations shall be consolidated or heard together and/or that the arbitrations be heard immediately after another and shall establish a procedure accordingly. All parties shall take such steps as are necessary to give effect and force to any orders of the Principal Tribunal.</w:t>
      </w:r>
    </w:p>
    <w:p>
      <w:pPr>
        <w:spacing w:after="0" w:line="78" w:lineRule="exact"/>
        <w:rPr>
          <w:rFonts w:ascii="Arial" w:cs="Arial" w:eastAsia="Arial" w:hAnsi="Arial"/>
          <w:sz w:val="18"/>
          <w:szCs w:val="18"/>
          <w:color w:val="auto"/>
        </w:rPr>
      </w:pPr>
    </w:p>
    <w:p>
      <w:pPr>
        <w:ind w:left="460" w:right="220" w:firstLine="421"/>
        <w:spacing w:after="0" w:line="288" w:lineRule="auto"/>
        <w:tabs>
          <w:tab w:leader="none" w:pos="1125" w:val="left"/>
        </w:tabs>
        <w:numPr>
          <w:ilvl w:val="2"/>
          <w:numId w:val="482"/>
        </w:numPr>
        <w:rPr>
          <w:rFonts w:ascii="Arial" w:cs="Arial" w:eastAsia="Arial" w:hAnsi="Arial"/>
          <w:sz w:val="16"/>
          <w:szCs w:val="16"/>
          <w:color w:val="auto"/>
        </w:rPr>
      </w:pPr>
      <w:r>
        <w:rPr>
          <w:rFonts w:ascii="Arial" w:cs="Arial" w:eastAsia="Arial" w:hAnsi="Arial"/>
          <w:sz w:val="16"/>
          <w:szCs w:val="16"/>
          <w:color w:val="auto"/>
        </w:rPr>
        <w:t>If the Principal Tribunal makes an order for consolidation, it: (1) shall thereafter, to the exclusion of other arbitral tribunals, have jurisdiction to resolve all disputes forming part of the consolidation order; (2) shall order that notice of the consolidation order and its effect be given immediately to any arbitrators already appointed in relation to the disputes that were consolidated under the consolidation order; and</w:t>
      </w:r>
    </w:p>
    <w:p>
      <w:pPr>
        <w:ind w:left="460" w:right="40" w:firstLine="1"/>
        <w:spacing w:after="0" w:line="255" w:lineRule="auto"/>
        <w:tabs>
          <w:tab w:leader="none" w:pos="715" w:val="left"/>
        </w:tabs>
        <w:numPr>
          <w:ilvl w:val="1"/>
          <w:numId w:val="482"/>
        </w:numPr>
        <w:rPr>
          <w:rFonts w:ascii="Arial" w:cs="Arial" w:eastAsia="Arial" w:hAnsi="Arial"/>
          <w:sz w:val="18"/>
          <w:szCs w:val="18"/>
          <w:color w:val="auto"/>
        </w:rPr>
      </w:pPr>
      <w:r>
        <w:rPr>
          <w:rFonts w:ascii="Arial" w:cs="Arial" w:eastAsia="Arial" w:hAnsi="Arial"/>
          <w:sz w:val="18"/>
          <w:szCs w:val="18"/>
          <w:color w:val="auto"/>
        </w:rPr>
        <w:t xml:space="preserve">may also give such directions as it considers appropriate (i) to give effect to the consolidation and make provision for any costs which may result from it (including costs in any arbitration rendered functus officio under this </w:t>
      </w:r>
      <w:r>
        <w:rPr>
          <w:rFonts w:ascii="Arial" w:cs="Arial" w:eastAsia="Arial" w:hAnsi="Arial"/>
          <w:sz w:val="18"/>
          <w:szCs w:val="18"/>
          <w:u w:val="single" w:color="auto"/>
          <w:color w:val="auto"/>
        </w:rPr>
        <w:t>Section 12.5</w:t>
      </w:r>
      <w:r>
        <w:rPr>
          <w:rFonts w:ascii="Arial" w:cs="Arial" w:eastAsia="Arial" w:hAnsi="Arial"/>
          <w:sz w:val="18"/>
          <w:szCs w:val="18"/>
          <w:color w:val="auto"/>
        </w:rPr>
        <w:t>); and (ii) to ensure the proper organization of the arbitration proceedings and that all the issues between the parties are properly formulated and resolved.</w:t>
      </w:r>
    </w:p>
    <w:p>
      <w:pPr>
        <w:spacing w:after="0" w:line="82" w:lineRule="exact"/>
        <w:rPr>
          <w:rFonts w:ascii="Arial" w:cs="Arial" w:eastAsia="Arial" w:hAnsi="Arial"/>
          <w:sz w:val="18"/>
          <w:szCs w:val="18"/>
          <w:color w:val="auto"/>
        </w:rPr>
      </w:pPr>
    </w:p>
    <w:p>
      <w:pPr>
        <w:ind w:left="460" w:right="20" w:firstLine="421"/>
        <w:spacing w:after="0" w:line="255" w:lineRule="auto"/>
        <w:tabs>
          <w:tab w:leader="none" w:pos="1135" w:val="left"/>
        </w:tabs>
        <w:numPr>
          <w:ilvl w:val="2"/>
          <w:numId w:val="483"/>
        </w:numPr>
        <w:rPr>
          <w:rFonts w:ascii="Arial" w:cs="Arial" w:eastAsia="Arial" w:hAnsi="Arial"/>
          <w:sz w:val="18"/>
          <w:szCs w:val="18"/>
          <w:color w:val="auto"/>
        </w:rPr>
      </w:pPr>
      <w:r>
        <w:rPr>
          <w:rFonts w:ascii="Arial" w:cs="Arial" w:eastAsia="Arial" w:hAnsi="Arial"/>
          <w:sz w:val="18"/>
          <w:szCs w:val="18"/>
          <w:color w:val="auto"/>
        </w:rPr>
        <w:t>Upon the making of the consolidation order, any appointment of arbitrators relating to arbitrations that have been consolidated by the Principal Tribunal (except for the appointment of the arbitrator of the Principal Tribunal itself) shall for all purposes cease to have effect and such arbitrators are deemed to be functus officio, on and from the date of the consolidation order. Such cessation is without prejudice to (1) the validity of any acts done or orders made by such arbitrators before termination, (2) such arbitrators’ entitlement to be paid their proper fees and disbursements and (3) the date when any claim or defence was raised for the purpose of applying any limitation period or any like rule or provision.</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74" w:right="239" w:bottom="1440" w:gutter="0" w:footer="0" w:header="0"/>
        </w:sectPr>
      </w:pPr>
    </w:p>
    <w:bookmarkStart w:id="494" w:name="page495"/>
    <w:bookmarkEnd w:id="494"/>
    <w:p>
      <w:pPr>
        <w:ind w:left="920" w:right="100" w:firstLine="421"/>
        <w:spacing w:after="0" w:line="264" w:lineRule="auto"/>
        <w:tabs>
          <w:tab w:leader="none" w:pos="1585" w:val="left"/>
        </w:tabs>
        <w:numPr>
          <w:ilvl w:val="1"/>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hereby waive any objections they may have as to the validity and/or enforcement of any arbitral awards made by the Principal Tribunal following the consolidation of disputes or arbitral proceedings in accordance with this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where such objections are based solely on the fact that consolidation of the same has occurred.</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203" w:val="left"/>
        </w:tabs>
        <w:numPr>
          <w:ilvl w:val="0"/>
          <w:numId w:val="485"/>
        </w:numPr>
        <w:rPr>
          <w:rFonts w:ascii="Arial" w:cs="Arial" w:eastAsia="Arial" w:hAnsi="Arial"/>
          <w:sz w:val="18"/>
          <w:szCs w:val="18"/>
          <w:color w:val="auto"/>
        </w:rPr>
      </w:pPr>
      <w:r>
        <w:rPr>
          <w:rFonts w:ascii="Arial" w:cs="Arial" w:eastAsia="Arial" w:hAnsi="Arial"/>
          <w:sz w:val="18"/>
          <w:szCs w:val="18"/>
          <w:color w:val="auto"/>
        </w:rPr>
        <w:t>During the course of the arbitration tribunal’s adjudication of the dispute, this Agreement shall continue to be performed except with respect to the part in dispute and under adjudication.</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award of the arbitration tribunal shall be final and binding upon the parties, and the prevailing party may apply to a court of competent jurisdiction for enforcement of such award.</w:t>
      </w:r>
    </w:p>
    <w:p>
      <w:pPr>
        <w:spacing w:after="0" w:line="62" w:lineRule="exact"/>
        <w:rPr>
          <w:rFonts w:ascii="Arial" w:cs="Arial" w:eastAsia="Arial" w:hAnsi="Arial"/>
          <w:sz w:val="18"/>
          <w:szCs w:val="18"/>
          <w:color w:val="auto"/>
        </w:rPr>
      </w:pPr>
    </w:p>
    <w:p>
      <w:pPr>
        <w:ind w:left="460" w:firstLine="443"/>
        <w:spacing w:after="0" w:line="259" w:lineRule="auto"/>
        <w:tabs>
          <w:tab w:leader="none" w:pos="1203" w:val="left"/>
        </w:tabs>
        <w:numPr>
          <w:ilvl w:val="0"/>
          <w:numId w:val="485"/>
        </w:numPr>
        <w:rPr>
          <w:rFonts w:ascii="Arial" w:cs="Arial" w:eastAsia="Arial" w:hAnsi="Arial"/>
          <w:sz w:val="18"/>
          <w:szCs w:val="18"/>
          <w:color w:val="auto"/>
        </w:rPr>
      </w:pPr>
      <w:r>
        <w:rPr>
          <w:rFonts w:ascii="Arial" w:cs="Arial" w:eastAsia="Arial" w:hAnsi="Arial"/>
          <w:sz w:val="18"/>
          <w:szCs w:val="18"/>
          <w:color w:val="auto"/>
        </w:rPr>
        <w:t>For the purposes of service and delivery of documents under arbitration, the Parties agrees that where any Party is a legal entity incorporated or registered outside of the Hong Kong S.A.R., the physical addresses in the Hong Kong S.A.R. provided by them for receiving notices as set out in this Agreement shall be the address which they shall serve and receive documents and delivery to such address shall constitute valid service and delivery to that Party.</w:t>
      </w:r>
    </w:p>
    <w:p>
      <w:pPr>
        <w:spacing w:after="0" w:line="1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12.5 Notices. </w:t>
      </w:r>
      <w:r>
        <w:rPr>
          <w:rFonts w:ascii="Arial" w:cs="Arial" w:eastAsia="Arial" w:hAnsi="Arial"/>
          <w:sz w:val="16"/>
          <w:szCs w:val="16"/>
          <w:color w:val="auto"/>
        </w:rPr>
        <w:t>Any notice required or permitted pursuant to this Agreement shall be given in writing and shall be given either personally or by sending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next-day or second-day courier service, fax, electronic mail or similar means to the address as shown below the signature of such party on the signature page of this Agreement (or at such other address as such party may designate by fifteen (15) days’ advance written notice to the other parties to this Agreement given in accordance with this </w:t>
      </w:r>
      <w:r>
        <w:rPr>
          <w:rFonts w:ascii="Arial" w:cs="Arial" w:eastAsia="Arial" w:hAnsi="Arial"/>
          <w:sz w:val="16"/>
          <w:szCs w:val="16"/>
          <w:u w:val="single" w:color="auto"/>
          <w:color w:val="auto"/>
        </w:rPr>
        <w:t>Section 12.6</w:t>
      </w:r>
      <w:r>
        <w:rPr>
          <w:rFonts w:ascii="Arial" w:cs="Arial" w:eastAsia="Arial" w:hAnsi="Arial"/>
          <w:sz w:val="16"/>
          <w:szCs w:val="16"/>
          <w:color w:val="auto"/>
        </w:rPr>
        <w:t>). Where a notice is sent by next-day or second-day courier service, service of the notice shall be deemed to be effected by properly addressing, pre-paying and sending by next-day or second-day service through an internationally-recognized courier a letter containing the notice, with a confirmation of delivery, and to have been effected at the expiration of two days after the letter containing the same is sent as aforesaid. Where a notice is sent by fax or electronic mail, service of the notice shall be deemed to be effected by properly addressing, and sending such notice through a transmitting organization, with a written confirmation of delivery, and to have been effected on the day the same is sent as aforesaid.</w:t>
      </w:r>
    </w:p>
    <w:p>
      <w:pPr>
        <w:spacing w:after="0" w:line="160"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12.6 Expenses</w:t>
      </w:r>
      <w:r>
        <w:rPr>
          <w:rFonts w:ascii="Arial" w:cs="Arial" w:eastAsia="Arial" w:hAnsi="Arial"/>
          <w:sz w:val="17"/>
          <w:szCs w:val="17"/>
          <w:color w:val="auto"/>
        </w:rPr>
        <w:t>. If any action at law or in equity is necessary to enforce or interpret the terms of this Agreement, the prevailing Party shall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attorneys’ fees, costs and necessary disbursements in addition to any other relief to which such Party may be entitled.</w:t>
      </w:r>
    </w:p>
    <w:p>
      <w:pPr>
        <w:spacing w:after="0" w:line="138"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12.7 Rights Cumulative</w:t>
      </w:r>
      <w:r>
        <w:rPr>
          <w:rFonts w:ascii="Arial" w:cs="Arial" w:eastAsia="Arial" w:hAnsi="Arial"/>
          <w:sz w:val="18"/>
          <w:szCs w:val="18"/>
          <w:color w:val="auto"/>
        </w:rPr>
        <w:t>. Each and all of the various rights, powers and remedies of a Party hereto will be considered to be cumulative with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any other rights, powers and remedies which such Party may have at law or in equity in the event of the breach of any of the terms of this Agreement. The exercise or partial exercise of any right, power or remedy will neither constitute the exclusive election thereof nor the waiver of any other right, power or remedy available to such Party.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95" w:name="page496"/>
    <w:bookmarkEnd w:id="495"/>
    <w:p>
      <w:pPr>
        <w:ind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12.8 Additional Investors</w:t>
      </w:r>
      <w:r>
        <w:rPr>
          <w:rFonts w:ascii="Arial" w:cs="Arial" w:eastAsia="Arial" w:hAnsi="Arial"/>
          <w:sz w:val="17"/>
          <w:szCs w:val="17"/>
          <w:color w:val="auto"/>
        </w:rPr>
        <w:t>. Notwithstanding anything to the contrary contained herein, if the Company issues additional shares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Series A Preference Shares, Series B Preference Shares, Series C Preference Shares, Series D Preference Shares or Series E Preference Shares after the date hereof, any purchaser of such shares of Series A Preference Shares, Series B Preference Shares, Series C Preference Shares, Series D Preference Shares or Series E Preference Shares may become a party to this Agreement by executing and delivering an additional counterpart signature page to this Agreement, and thereafter shall be deemed a “</w:t>
      </w:r>
      <w:r>
        <w:rPr>
          <w:rFonts w:ascii="Arial" w:cs="Arial" w:eastAsia="Arial" w:hAnsi="Arial"/>
          <w:sz w:val="17"/>
          <w:szCs w:val="17"/>
          <w:b w:val="1"/>
          <w:bCs w:val="1"/>
          <w:color w:val="auto"/>
        </w:rPr>
        <w:t>Series A Investor</w:t>
      </w:r>
      <w:r>
        <w:rPr>
          <w:rFonts w:ascii="Arial" w:cs="Arial" w:eastAsia="Arial" w:hAnsi="Arial"/>
          <w:sz w:val="17"/>
          <w:szCs w:val="17"/>
          <w:color w:val="auto"/>
        </w:rPr>
        <w:t>”, “</w:t>
      </w:r>
      <w:r>
        <w:rPr>
          <w:rFonts w:ascii="Arial" w:cs="Arial" w:eastAsia="Arial" w:hAnsi="Arial"/>
          <w:sz w:val="17"/>
          <w:szCs w:val="17"/>
          <w:b w:val="1"/>
          <w:bCs w:val="1"/>
          <w:color w:val="auto"/>
        </w:rPr>
        <w:t>Series B Investor</w:t>
      </w:r>
      <w:r>
        <w:rPr>
          <w:rFonts w:ascii="Arial" w:cs="Arial" w:eastAsia="Arial" w:hAnsi="Arial"/>
          <w:sz w:val="17"/>
          <w:szCs w:val="17"/>
          <w:color w:val="auto"/>
        </w:rPr>
        <w:t>”, “</w:t>
      </w:r>
      <w:r>
        <w:rPr>
          <w:rFonts w:ascii="Arial" w:cs="Arial" w:eastAsia="Arial" w:hAnsi="Arial"/>
          <w:sz w:val="17"/>
          <w:szCs w:val="17"/>
          <w:b w:val="1"/>
          <w:bCs w:val="1"/>
          <w:color w:val="auto"/>
        </w:rPr>
        <w:t>Series C Investor</w:t>
      </w:r>
      <w:r>
        <w:rPr>
          <w:rFonts w:ascii="Arial" w:cs="Arial" w:eastAsia="Arial" w:hAnsi="Arial"/>
          <w:sz w:val="17"/>
          <w:szCs w:val="17"/>
          <w:color w:val="auto"/>
        </w:rPr>
        <w:t>”, “</w:t>
      </w:r>
      <w:r>
        <w:rPr>
          <w:rFonts w:ascii="Arial" w:cs="Arial" w:eastAsia="Arial" w:hAnsi="Arial"/>
          <w:sz w:val="17"/>
          <w:szCs w:val="17"/>
          <w:b w:val="1"/>
          <w:bCs w:val="1"/>
          <w:color w:val="auto"/>
        </w:rPr>
        <w:t>Series D Investor</w:t>
      </w:r>
      <w:r>
        <w:rPr>
          <w:rFonts w:ascii="Arial" w:cs="Arial" w:eastAsia="Arial" w:hAnsi="Arial"/>
          <w:sz w:val="17"/>
          <w:szCs w:val="17"/>
          <w:color w:val="auto"/>
        </w:rPr>
        <w:t>”, “</w:t>
      </w:r>
      <w:r>
        <w:rPr>
          <w:rFonts w:ascii="Arial" w:cs="Arial" w:eastAsia="Arial" w:hAnsi="Arial"/>
          <w:sz w:val="17"/>
          <w:szCs w:val="17"/>
          <w:b w:val="1"/>
          <w:bCs w:val="1"/>
          <w:color w:val="auto"/>
        </w:rPr>
        <w:t>Series E Investor</w:t>
      </w:r>
      <w:r>
        <w:rPr>
          <w:rFonts w:ascii="Arial" w:cs="Arial" w:eastAsia="Arial" w:hAnsi="Arial"/>
          <w:sz w:val="17"/>
          <w:szCs w:val="17"/>
          <w:color w:val="auto"/>
        </w:rPr>
        <w:t>” as applicable, for all purposes hereunder. No action or consent by the Parties shall be required for such joinder to this Agreement by such additional Series A Investor, Series B Investor, Series C Investor, Series D Investor or Series E Investor, so long as such additional Series A Investor, Series B Investor, Series C Investor, Series D Investor or Series E Investor has agreed in writing to be bound by all of the obligations as a “</w:t>
      </w:r>
      <w:r>
        <w:rPr>
          <w:rFonts w:ascii="Arial" w:cs="Arial" w:eastAsia="Arial" w:hAnsi="Arial"/>
          <w:sz w:val="17"/>
          <w:szCs w:val="17"/>
          <w:b w:val="1"/>
          <w:bCs w:val="1"/>
          <w:color w:val="auto"/>
        </w:rPr>
        <w:t>Series A Investor</w:t>
      </w:r>
      <w:r>
        <w:rPr>
          <w:rFonts w:ascii="Arial" w:cs="Arial" w:eastAsia="Arial" w:hAnsi="Arial"/>
          <w:sz w:val="17"/>
          <w:szCs w:val="17"/>
          <w:color w:val="auto"/>
        </w:rPr>
        <w:t>”, “</w:t>
      </w:r>
      <w:r>
        <w:rPr>
          <w:rFonts w:ascii="Arial" w:cs="Arial" w:eastAsia="Arial" w:hAnsi="Arial"/>
          <w:sz w:val="17"/>
          <w:szCs w:val="17"/>
          <w:b w:val="1"/>
          <w:bCs w:val="1"/>
          <w:color w:val="auto"/>
        </w:rPr>
        <w:t>Series B Investor</w:t>
      </w:r>
      <w:r>
        <w:rPr>
          <w:rFonts w:ascii="Arial" w:cs="Arial" w:eastAsia="Arial" w:hAnsi="Arial"/>
          <w:sz w:val="17"/>
          <w:szCs w:val="17"/>
          <w:color w:val="auto"/>
        </w:rPr>
        <w:t>”, “</w:t>
      </w:r>
      <w:r>
        <w:rPr>
          <w:rFonts w:ascii="Arial" w:cs="Arial" w:eastAsia="Arial" w:hAnsi="Arial"/>
          <w:sz w:val="17"/>
          <w:szCs w:val="17"/>
          <w:b w:val="1"/>
          <w:bCs w:val="1"/>
          <w:color w:val="auto"/>
        </w:rPr>
        <w:t>Series C Investor</w:t>
      </w:r>
      <w:r>
        <w:rPr>
          <w:rFonts w:ascii="Arial" w:cs="Arial" w:eastAsia="Arial" w:hAnsi="Arial"/>
          <w:sz w:val="17"/>
          <w:szCs w:val="17"/>
          <w:color w:val="auto"/>
        </w:rPr>
        <w:t>”, “</w:t>
      </w:r>
      <w:r>
        <w:rPr>
          <w:rFonts w:ascii="Arial" w:cs="Arial" w:eastAsia="Arial" w:hAnsi="Arial"/>
          <w:sz w:val="17"/>
          <w:szCs w:val="17"/>
          <w:b w:val="1"/>
          <w:bCs w:val="1"/>
          <w:color w:val="auto"/>
        </w:rPr>
        <w:t>Series D Investor</w:t>
      </w:r>
      <w:r>
        <w:rPr>
          <w:rFonts w:ascii="Arial" w:cs="Arial" w:eastAsia="Arial" w:hAnsi="Arial"/>
          <w:sz w:val="17"/>
          <w:szCs w:val="17"/>
          <w:color w:val="auto"/>
        </w:rPr>
        <w:t>” or “</w:t>
      </w:r>
      <w:r>
        <w:rPr>
          <w:rFonts w:ascii="Arial" w:cs="Arial" w:eastAsia="Arial" w:hAnsi="Arial"/>
          <w:sz w:val="17"/>
          <w:szCs w:val="17"/>
          <w:b w:val="1"/>
          <w:bCs w:val="1"/>
          <w:color w:val="auto"/>
        </w:rPr>
        <w:t>Series E Investor</w:t>
      </w:r>
      <w:r>
        <w:rPr>
          <w:rFonts w:ascii="Arial" w:cs="Arial" w:eastAsia="Arial" w:hAnsi="Arial"/>
          <w:sz w:val="17"/>
          <w:szCs w:val="17"/>
          <w:color w:val="auto"/>
        </w:rPr>
        <w:t>”, as applicable, hereunder.</w:t>
      </w:r>
    </w:p>
    <w:p>
      <w:pPr>
        <w:spacing w:after="0" w:line="174"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 xml:space="preserve">12.9 Successor Indemnification. </w:t>
      </w:r>
      <w:r>
        <w:rPr>
          <w:rFonts w:ascii="Arial" w:cs="Arial" w:eastAsia="Arial" w:hAnsi="Arial"/>
          <w:sz w:val="16"/>
          <w:szCs w:val="16"/>
          <w:color w:val="auto"/>
        </w:rPr>
        <w:t>If the Company or any of its successors or assignees consolidates with or merges into any other Person and is not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Memorandum and Articles, or elsewhere, as the case may be.</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12.10 Severability</w:t>
      </w:r>
      <w:r>
        <w:rPr>
          <w:rFonts w:ascii="Arial" w:cs="Arial" w:eastAsia="Arial" w:hAnsi="Arial"/>
          <w:sz w:val="18"/>
          <w:szCs w:val="18"/>
          <w:color w:val="auto"/>
        </w:rPr>
        <w:t>. In case any provision of the Agreement shall be invalid, illegal or unenforceable, the validity, legality and enforceability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shall not in any way be affected or impaired thereby. If, however, any provision of this Agreement shall be invalid, illegal, or unenforceable under any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Agreement, or the validity, legality, or enforceability of such provision in any other jurisdiction.</w:t>
      </w:r>
    </w:p>
    <w:p>
      <w:pPr>
        <w:spacing w:after="0" w:line="188"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12.11 Amendments and Waivers. </w:t>
      </w:r>
      <w:r>
        <w:rPr>
          <w:rFonts w:ascii="Arial" w:cs="Arial" w:eastAsia="Arial" w:hAnsi="Arial"/>
          <w:sz w:val="16"/>
          <w:szCs w:val="16"/>
          <w:color w:val="auto"/>
        </w:rPr>
        <w:t>Any term of this Agreement may be amended and the observance of any term of this Agreement may be waived</w:t>
      </w:r>
      <w:r>
        <w:rPr>
          <w:rFonts w:ascii="Arial" w:cs="Arial" w:eastAsia="Arial" w:hAnsi="Arial"/>
          <w:sz w:val="16"/>
          <w:szCs w:val="16"/>
          <w:b w:val="1"/>
          <w:bCs w:val="1"/>
          <w:color w:val="auto"/>
        </w:rPr>
        <w:t xml:space="preserve"> </w:t>
      </w:r>
      <w:r>
        <w:rPr>
          <w:rFonts w:ascii="Arial" w:cs="Arial" w:eastAsia="Arial" w:hAnsi="Arial"/>
          <w:sz w:val="16"/>
          <w:szCs w:val="16"/>
          <w:color w:val="auto"/>
        </w:rPr>
        <w:t>(either generally or in a particular instance and either retroactively or prospectively), only with the written consent of each of (i) the Company, (ii) the Founders, (iii) the holders of a majority of the Series A Preference Shares, (iv) the holders of a majority of the Series B Preference Shares, (v) the holders of a majority of the Series C Preference Shares, (vi) the holders of a majority of the Series D Preference Shares (vii) SSG I, for so long as SSG I continues to hold all SSG I Ordinary Shares, (viii) Igomax, for so long as Igomax continues to hold at least 5% of the Igomax Shares, and (ix) the holders of a majority of the Series E Preference Shares (in the case of (iii), (iv), (v), (vi), (viii) and (ix), as adjusted for share dividends, splits, combinations, recapitalizations or similar events). Any amendment or waiver effected in accordance with this paragraph shall be binding upon each of the Parties hereto.</w:t>
      </w:r>
    </w:p>
    <w:p>
      <w:pPr>
        <w:spacing w:after="0" w:line="162"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7"/>
          <w:szCs w:val="17"/>
          <w:b w:val="1"/>
          <w:bCs w:val="1"/>
          <w:color w:val="auto"/>
        </w:rPr>
        <w:t>12.12 No Waiver</w:t>
      </w:r>
      <w:r>
        <w:rPr>
          <w:rFonts w:ascii="Arial" w:cs="Arial" w:eastAsia="Arial" w:hAnsi="Arial"/>
          <w:sz w:val="17"/>
          <w:szCs w:val="17"/>
          <w:color w:val="auto"/>
        </w:rPr>
        <w:t>. Failure to insist upon strict compliance with any of the terms, covenants, or conditions hereof will not be deemed a waiver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term, covenant, or condition, nor will any waiver or relinquishment of, or failure to insist upon strict compliance with, any right, power or remedy hereunder at any one or more times be deemed a waiver or relinquishment of such right, power or remedy at any other time or times.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496" w:name="page497"/>
    <w:bookmarkEnd w:id="496"/>
    <w:p>
      <w:pPr>
        <w:ind w:right="20" w:firstLine="45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12.13 Delays or Omissions</w:t>
      </w:r>
      <w:r>
        <w:rPr>
          <w:rFonts w:ascii="Arial" w:cs="Arial" w:eastAsia="Arial" w:hAnsi="Arial"/>
          <w:sz w:val="17"/>
          <w:szCs w:val="17"/>
          <w:color w:val="auto"/>
        </w:rPr>
        <w:t>. No delay or omission to exercise any right, power or remedy accruing to any Party under this Agreement, upon any breach</w:t>
      </w:r>
      <w:r>
        <w:rPr>
          <w:rFonts w:ascii="Arial" w:cs="Arial" w:eastAsia="Arial" w:hAnsi="Arial"/>
          <w:sz w:val="17"/>
          <w:szCs w:val="17"/>
          <w:b w:val="1"/>
          <w:bCs w:val="1"/>
          <w:color w:val="auto"/>
        </w:rPr>
        <w:t xml:space="preserve"> </w:t>
      </w:r>
      <w:r>
        <w:rPr>
          <w:rFonts w:ascii="Arial" w:cs="Arial" w:eastAsia="Arial" w:hAnsi="Arial"/>
          <w:sz w:val="17"/>
          <w:szCs w:val="17"/>
          <w:color w:val="auto"/>
        </w:rPr>
        <w:t>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7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12.14 No Presumption</w:t>
      </w:r>
      <w:r>
        <w:rPr>
          <w:rFonts w:ascii="Arial" w:cs="Arial" w:eastAsia="Arial" w:hAnsi="Arial"/>
          <w:sz w:val="18"/>
          <w:szCs w:val="18"/>
          <w:color w:val="auto"/>
        </w:rPr>
        <w:t>. The Parties acknowledge that any applicable Law that would require interpretation of any claimed ambiguities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against the Party that drafted it has no application and is expressly waived. If any claim is made by a Party relating to any conflict, omission or ambiguity in the provisions of this Agreement, no presumption or burden of proof or persuasion will be implied because this Agreement was prepared by or at the request of any Party or its counsel.</w:t>
      </w:r>
    </w:p>
    <w:p>
      <w:pPr>
        <w:spacing w:after="0" w:line="18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12.15 Headings and Subtitles; Interpretation</w:t>
      </w:r>
      <w:r>
        <w:rPr>
          <w:rFonts w:ascii="Arial" w:cs="Arial" w:eastAsia="Arial" w:hAnsi="Arial"/>
          <w:sz w:val="17"/>
          <w:szCs w:val="17"/>
          <w:color w:val="auto"/>
        </w:rPr>
        <w:t>. The titles and subtitles used in this Agreement are used for convenience only and are not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in construing or interpreting this Agreement. Unless a provision hereof expressly provides otherwise: (i) all accounting terms not otherwise defined herein have the meanings assigned under U.S. GAAP; (ii) the term “or” is not exclusive; (iii) words in the singular include the plural, and words in the plural include the singular; (iv) the terms “herein”, “hereof”, and other similar words refer to this Agreement as a whole and not to any particular section, subsection, paragraph, clause, or other subdivision; (v) the term “including” will be deemed to be followed by “, but not limited to,”; (vi) the masculine, feminine, and neuter genders will each be deemed to include the others; (vii) the terms “shall”, “will”, and “agrees” are mandatory, and the term “may” is permissive; (viii) the term “day” means “calendar day”; and (ix) all references to “US$” are to the currency of the United States of America (and, where applicable, shall be deemed to include reference to the equivalent amount in other currencies).</w:t>
      </w:r>
    </w:p>
    <w:p>
      <w:pPr>
        <w:spacing w:after="0" w:line="172" w:lineRule="exact"/>
        <w:rPr>
          <w:sz w:val="20"/>
          <w:szCs w:val="20"/>
          <w:color w:val="auto"/>
        </w:rPr>
      </w:pPr>
    </w:p>
    <w:p>
      <w:pPr>
        <w:ind w:right="560" w:firstLine="456"/>
        <w:spacing w:after="0" w:line="266" w:lineRule="auto"/>
        <w:rPr>
          <w:sz w:val="20"/>
          <w:szCs w:val="20"/>
          <w:color w:val="auto"/>
        </w:rPr>
      </w:pPr>
      <w:r>
        <w:rPr>
          <w:rFonts w:ascii="Arial" w:cs="Arial" w:eastAsia="Arial" w:hAnsi="Arial"/>
          <w:sz w:val="18"/>
          <w:szCs w:val="18"/>
          <w:b w:val="1"/>
          <w:bCs w:val="1"/>
          <w:color w:val="auto"/>
        </w:rPr>
        <w:t>12.16 Counterparts</w:t>
      </w:r>
      <w:r>
        <w:rPr>
          <w:rFonts w:ascii="Arial" w:cs="Arial" w:eastAsia="Arial" w:hAnsi="Arial"/>
          <w:sz w:val="18"/>
          <w:szCs w:val="18"/>
          <w:color w:val="auto"/>
        </w:rPr>
        <w:t>. This Agreement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Facsimile and e-mailed copies of signatures shall be deemed to be originals for purposes of the effectiveness of this Agreement.</w:t>
      </w:r>
    </w:p>
    <w:p>
      <w:pPr>
        <w:spacing w:after="0" w:line="17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color w:val="auto"/>
        </w:rPr>
        <w:t>12.17 Entire Agreement</w:t>
      </w:r>
      <w:r>
        <w:rPr>
          <w:rFonts w:ascii="Arial" w:cs="Arial" w:eastAsia="Arial" w:hAnsi="Arial"/>
          <w:sz w:val="17"/>
          <w:szCs w:val="17"/>
          <w:color w:val="auto"/>
        </w:rPr>
        <w:t>. This Agreement (including the Exhibits hereto) constitutes the full and entire understanding and agreement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with regard to the subject matter hereof and thereof, and supersedes all other agreements between or among any of the Parties with respect to the subject matter hereof. Without limiting the generality of the foregoing, this Agreement supersedes, in its entirety, the Prior SHA, which shall be null and void and have no force or effect whatsoever as of the date hereof. The parties hereto that are parties to the Prior SHA hereby irrevocably waive any and all rights that they may have against any other party under the Prior SHA in exchange for their rights hereunder. After the execution and delivery of this Agreement, to the extent that there is any conflict between this Agreement and any provision of any other agreement, arrangement or understanding between the Company and any holder of equity securities of the Company, the terms and conditions of this Agreement shall prevail.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9" w:right="239" w:bottom="1440" w:gutter="0" w:footer="0" w:header="0"/>
        </w:sectPr>
      </w:pPr>
    </w:p>
    <w:bookmarkStart w:id="497" w:name="page498"/>
    <w:bookmarkEnd w:id="497"/>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12.18 Aggregation of Stock</w:t>
      </w:r>
      <w:r>
        <w:rPr>
          <w:rFonts w:ascii="Arial" w:cs="Arial" w:eastAsia="Arial" w:hAnsi="Arial"/>
          <w:sz w:val="18"/>
          <w:szCs w:val="18"/>
          <w:color w:val="auto"/>
        </w:rPr>
        <w:t>. All Shares held or acquired by any Affiliates shall be aggregated together for the purpose of determining the availability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rights under this Agreement.</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269" w:right="379" w:bottom="1440" w:gutter="0" w:footer="0" w:header="0"/>
        </w:sectPr>
      </w:pPr>
    </w:p>
    <w:bookmarkStart w:id="498" w:name="page499"/>
    <w:bookmarkEnd w:id="49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60"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OPTIMIX MEDIA ASIA LIMITED</w:t>
      </w:r>
    </w:p>
    <w:p>
      <w:pPr>
        <w:spacing w:after="0" w:line="229"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74777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Name:</w:t>
        <w:tab/>
        <w:t>Hsieh, Wing Hong Sammy</w:t>
      </w:r>
    </w:p>
    <w:p>
      <w:pPr>
        <w:spacing w:after="0" w:line="9"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both"/>
        <w:ind w:left="5520"/>
        <w:spacing w:after="0"/>
        <w:tabs>
          <w:tab w:leader="none" w:pos="6380" w:val="left"/>
        </w:tabs>
        <w:rPr>
          <w:sz w:val="20"/>
          <w:szCs w:val="20"/>
          <w:color w:val="auto"/>
        </w:rPr>
      </w:pPr>
      <w:r>
        <w:rPr>
          <w:rFonts w:ascii="Arial" w:cs="Arial" w:eastAsia="Arial" w:hAnsi="Arial"/>
          <w:sz w:val="18"/>
          <w:szCs w:val="18"/>
          <w:color w:val="auto"/>
        </w:rPr>
        <w:t>Address:</w:t>
        <w:tab/>
        <w:t>1508 Prosperity Millennia Plaza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663 King’s Road, North Point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Hong Kong</w:t>
      </w:r>
    </w:p>
    <w:p>
      <w:pPr>
        <w:spacing w:after="0" w:line="143"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10219"/>
          </w:cols>
          <w:pgMar w:left="240" w:top="274" w:right="1440" w:bottom="1440" w:gutter="0" w:footer="0" w:header="0"/>
        </w:sectPr>
      </w:pPr>
    </w:p>
    <w:bookmarkStart w:id="499" w:name="page500"/>
    <w:bookmarkEnd w:id="4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INVESTOR, SERIES B INVESTORS, SERIES C INVESTOR, SERIES D INVESTOR AND SERIES E INVESTOR: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BERTELSMANN ASIA INVESTMENTS AG</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w w:val="99"/>
              </w:rPr>
              <w:t>By: /s/ Erich Kalt</w:t>
            </w:r>
          </w:p>
        </w:tc>
        <w:tc>
          <w:tcPr>
            <w:tcW w:w="42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rPr>
              <w:t>/s/ Rose-Marie Mülli</w:t>
            </w:r>
          </w:p>
        </w:tc>
      </w:tr>
      <w:tr>
        <w:trPr>
          <w:trHeight w:val="209"/>
        </w:trPr>
        <w:tc>
          <w:tcPr>
            <w:tcW w:w="360" w:type="dxa"/>
            <w:vAlign w:val="bottom"/>
          </w:tcPr>
          <w:p>
            <w:pPr>
              <w:spacing w:after="0"/>
              <w:rPr>
                <w:sz w:val="18"/>
                <w:szCs w:val="18"/>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Erich Kalt</w:t>
            </w:r>
          </w:p>
        </w:tc>
        <w:tc>
          <w:tcPr>
            <w:tcW w:w="28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Rose-Marie Mülli</w:t>
            </w:r>
          </w:p>
        </w:tc>
      </w:tr>
      <w:tr>
        <w:trPr>
          <w:trHeight w:val="230"/>
        </w:trPr>
        <w:tc>
          <w:tcPr>
            <w:tcW w:w="36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Title: Authorized Signatories</w:t>
            </w:r>
          </w:p>
        </w:tc>
      </w:tr>
      <w:tr>
        <w:trPr>
          <w:trHeight w:val="459"/>
        </w:trPr>
        <w:tc>
          <w:tcPr>
            <w:tcW w:w="36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Address:</w:t>
            </w: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Dammstr. 19, 6300 Zug, Switzerland</w:t>
            </w:r>
          </w:p>
        </w:tc>
      </w:tr>
      <w:tr>
        <w:trPr>
          <w:trHeight w:val="431"/>
        </w:trPr>
        <w:tc>
          <w:tcPr>
            <w:tcW w:w="36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Copy to:</w:t>
            </w: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Bertelsmann China Corporate Center</w:t>
            </w:r>
          </w:p>
        </w:tc>
      </w:tr>
      <w:tr>
        <w:trPr>
          <w:trHeight w:val="216"/>
        </w:trPr>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2805 SK Tower</w:t>
            </w:r>
          </w:p>
        </w:tc>
      </w:tr>
      <w:tr>
        <w:trPr>
          <w:trHeight w:val="216"/>
        </w:trPr>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6A Jianguomenwai Avenue</w:t>
            </w:r>
          </w:p>
        </w:tc>
      </w:tr>
      <w:tr>
        <w:trPr>
          <w:trHeight w:val="230"/>
        </w:trPr>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Beijing 100022, China</w:t>
            </w:r>
          </w:p>
        </w:tc>
      </w:tr>
    </w:tbl>
    <w:p>
      <w:pPr>
        <w:spacing w:after="0" w:line="20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Address in Hong Kong for service of documents:</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Bertelsmann China Corporate Center</w:t>
      </w:r>
    </w:p>
    <w:p>
      <w:pPr>
        <w:spacing w:after="0" w:line="23" w:lineRule="exact"/>
        <w:rPr>
          <w:sz w:val="20"/>
          <w:szCs w:val="20"/>
          <w:color w:val="auto"/>
        </w:rPr>
      </w:pPr>
    </w:p>
    <w:p>
      <w:pPr>
        <w:ind w:left="7240"/>
        <w:spacing w:after="0"/>
        <w:tabs>
          <w:tab w:leader="none" w:pos="75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arvato digital services Hong Kong Ltd.</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9 Dai Hei Street, Tai Po Industrial Estate</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Tai Po, Hong Kong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Amended and Restated Shareholders Agreement]</w:t>
      </w:r>
    </w:p>
    <w:p>
      <w:pPr>
        <w:sectPr>
          <w:pgSz w:w="11900" w:h="16838" w:orient="portrait"/>
          <w:cols w:equalWidth="0" w:num="1">
            <w:col w:w="11420"/>
          </w:cols>
          <w:pgMar w:left="240" w:top="274" w:right="239" w:bottom="1440" w:gutter="0" w:footer="0" w:header="0"/>
        </w:sectPr>
      </w:pPr>
    </w:p>
    <w:bookmarkStart w:id="500" w:name="page501"/>
    <w:bookmarkEnd w:id="50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CORPORATION EQUITY ASIA LIMITED</w:t>
      </w:r>
    </w:p>
    <w:p>
      <w:pPr>
        <w:spacing w:after="0" w:line="229" w:lineRule="exact"/>
        <w:rPr>
          <w:sz w:val="20"/>
          <w:szCs w:val="20"/>
          <w:color w:val="auto"/>
        </w:rPr>
      </w:pPr>
    </w:p>
    <w:p>
      <w:pPr>
        <w:ind w:left="38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Hazumu Kakinoki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374777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30"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18"/>
          <w:szCs w:val="18"/>
          <w:color w:val="auto"/>
        </w:rPr>
        <w:t>Name:</w:t>
        <w:tab/>
        <w:t>Hazumu Kakinoki</w:t>
      </w:r>
    </w:p>
    <w:p>
      <w:pPr>
        <w:spacing w:after="0" w:line="9"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4320"/>
        <w:spacing w:after="0"/>
        <w:tabs>
          <w:tab w:leader="none" w:pos="5180" w:val="left"/>
        </w:tabs>
        <w:rPr>
          <w:sz w:val="20"/>
          <w:szCs w:val="20"/>
          <w:color w:val="auto"/>
        </w:rPr>
      </w:pPr>
      <w:r>
        <w:rPr>
          <w:rFonts w:ascii="Arial" w:cs="Arial" w:eastAsia="Arial" w:hAnsi="Arial"/>
          <w:sz w:val="18"/>
          <w:szCs w:val="18"/>
          <w:color w:val="auto"/>
        </w:rPr>
        <w:t>Address:</w:t>
        <w:tab/>
        <w:t>Unit C3, 23/F, United Centre</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95 Queensway, Admiralty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Hong Kong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9019"/>
          </w:cols>
          <w:pgMar w:left="1440" w:top="269" w:right="1440" w:bottom="1440" w:gutter="0" w:footer="0" w:header="0"/>
        </w:sectPr>
      </w:pPr>
    </w:p>
    <w:bookmarkStart w:id="501" w:name="page502"/>
    <w:bookmarkEnd w:id="50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SSG CAPITAL PARTNERS II, L.P.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acting through its general partner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SSG CAPITAL PARTNERS II GP, L.P.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acting through its general partner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SSG CAPITAL PARTNERS II GPGP, LTD.</w:t>
      </w:r>
    </w:p>
    <w:p>
      <w:pPr>
        <w:spacing w:after="0" w:line="236"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14605</wp:posOffset>
            </wp:positionV>
            <wp:extent cx="26670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Mr William A Jones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720"/>
          </w:cols>
          <w:pgMar w:left="1440" w:top="269" w:right="739" w:bottom="1440" w:gutter="0" w:footer="0" w:header="0"/>
        </w:sectPr>
      </w:pP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c/o SSG Capital Management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6303, The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sectPr>
          <w:pgSz w:w="11900" w:h="16838" w:orient="portrait"/>
          <w:cols w:equalWidth="0" w:num="2">
            <w:col w:w="6660" w:space="420"/>
            <w:col w:w="2640"/>
          </w:cols>
          <w:pgMar w:left="1440" w:top="269" w:right="7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9720"/>
          </w:cols>
          <w:pgMar w:left="1440" w:top="269" w:right="739" w:bottom="1440" w:gutter="0" w:footer="0" w:header="0"/>
          <w:type w:val="continuous"/>
        </w:sectPr>
      </w:pPr>
    </w:p>
    <w:bookmarkStart w:id="502" w:name="page503"/>
    <w:bookmarkEnd w:id="50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BLUEFOCUS INTERNATIONAL LIMITED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Xiangji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Xiangji Zhang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040"/>
        <w:spacing w:after="0"/>
        <w:tabs>
          <w:tab w:leader="none" w:pos="7020" w:val="left"/>
          <w:tab w:leader="none" w:pos="82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Flat/RM 1105</w:t>
      </w:r>
      <w:r>
        <w:rPr>
          <w:sz w:val="20"/>
          <w:szCs w:val="20"/>
          <w:color w:val="auto"/>
        </w:rPr>
        <w:tab/>
      </w:r>
      <w:r>
        <w:rPr>
          <w:rFonts w:ascii="Arial" w:cs="Arial" w:eastAsia="Arial" w:hAnsi="Arial"/>
          <w:sz w:val="15"/>
          <w:szCs w:val="15"/>
          <w:color w:val="auto"/>
        </w:rPr>
        <w:t>11/F</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Lippo Center Tower 1</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89 Queensway</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Admiralty, Hong Kong</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9180"/>
          </w:cols>
          <w:pgMar w:left="1440" w:top="270" w:right="1279" w:bottom="1440" w:gutter="0" w:footer="0" w:header="0"/>
        </w:sectPr>
      </w:pPr>
    </w:p>
    <w:bookmarkStart w:id="503" w:name="page504"/>
    <w:bookmarkEnd w:id="503"/>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Shenwan Hongyuan Goldspring Fund I</w:t>
      </w:r>
    </w:p>
    <w:p>
      <w:pPr>
        <w:spacing w:after="0" w:line="252"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Zheng Juan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Authorized Signatory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9019"/>
          </w:cols>
          <w:pgMar w:left="1440" w:top="270" w:right="1440" w:bottom="1440" w:gutter="0" w:footer="0" w:header="0"/>
        </w:sectPr>
      </w:pPr>
    </w:p>
    <w:bookmarkStart w:id="504" w:name="page505"/>
    <w:bookmarkEnd w:id="5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FOUNDERS:</w:t>
            </w: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HSIEH, WING HONG SAMMY</w:t>
            </w:r>
          </w:p>
        </w:tc>
      </w:tr>
      <w:tr>
        <w:trPr>
          <w:trHeight w:val="446"/>
        </w:trPr>
        <w:tc>
          <w:tcPr>
            <w:tcW w:w="5160" w:type="dxa"/>
            <w:vAlign w:val="bottom"/>
          </w:tcPr>
          <w:p>
            <w:pPr>
              <w:spacing w:after="0"/>
              <w:rPr>
                <w:sz w:val="24"/>
                <w:szCs w:val="24"/>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Wing Hong Sammy Hsieh</w:t>
            </w:r>
          </w:p>
        </w:tc>
      </w:tr>
      <w:tr>
        <w:trPr>
          <w:trHeight w:val="209"/>
        </w:trPr>
        <w:tc>
          <w:tcPr>
            <w:tcW w:w="5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ID Number:</w:t>
            </w:r>
          </w:p>
        </w:tc>
        <w:tc>
          <w:tcPr>
            <w:tcW w:w="5200" w:type="dxa"/>
            <w:vAlign w:val="bottom"/>
          </w:tcPr>
          <w:p>
            <w:pPr>
              <w:ind w:left="180"/>
              <w:spacing w:after="0"/>
              <w:rPr>
                <w:sz w:val="20"/>
                <w:szCs w:val="20"/>
                <w:color w:val="auto"/>
              </w:rPr>
            </w:pPr>
            <w:r>
              <w:rPr>
                <w:rFonts w:ascii="Arial" w:cs="Arial" w:eastAsia="Arial" w:hAnsi="Arial"/>
                <w:sz w:val="18"/>
                <w:szCs w:val="18"/>
                <w:color w:val="auto"/>
              </w:rPr>
              <w:t>K096776(9)</w:t>
            </w: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5200" w:type="dxa"/>
            <w:vAlign w:val="bottom"/>
          </w:tcPr>
          <w:p>
            <w:pPr>
              <w:ind w:left="180"/>
              <w:spacing w:after="0"/>
              <w:rPr>
                <w:sz w:val="20"/>
                <w:szCs w:val="20"/>
                <w:color w:val="auto"/>
              </w:rPr>
            </w:pPr>
            <w:r>
              <w:rPr>
                <w:rFonts w:ascii="Arial" w:cs="Arial" w:eastAsia="Arial" w:hAnsi="Arial"/>
                <w:sz w:val="18"/>
                <w:szCs w:val="18"/>
                <w:color w:val="auto"/>
              </w:rPr>
              <w:t>Flat 23, 16</w:t>
            </w:r>
            <w:r>
              <w:rPr>
                <w:rFonts w:ascii="Arial" w:cs="Arial" w:eastAsia="Arial" w:hAnsi="Arial"/>
                <w:sz w:val="15"/>
                <w:szCs w:val="15"/>
                <w:color w:val="auto"/>
              </w:rPr>
              <w:t>th</w:t>
            </w:r>
            <w:r>
              <w:rPr>
                <w:rFonts w:ascii="Arial" w:cs="Arial" w:eastAsia="Arial" w:hAnsi="Arial"/>
                <w:sz w:val="18"/>
                <w:szCs w:val="18"/>
                <w:color w:val="auto"/>
              </w:rPr>
              <w:t xml:space="preserve"> Floor, Fontana Gardens</w:t>
            </w: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Ka Ning Path, Causeway Bay</w:t>
            </w: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Hong Kong</w:t>
            </w:r>
          </w:p>
        </w:tc>
      </w:tr>
      <w:tr>
        <w:trPr>
          <w:trHeight w:val="230"/>
        </w:trPr>
        <w:tc>
          <w:tcPr>
            <w:tcW w:w="516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Email:</w:t>
            </w:r>
          </w:p>
        </w:tc>
        <w:tc>
          <w:tcPr>
            <w:tcW w:w="5200" w:type="dxa"/>
            <w:vAlign w:val="bottom"/>
          </w:tcPr>
          <w:p>
            <w:pPr>
              <w:ind w:left="180"/>
              <w:spacing w:after="0"/>
              <w:rPr>
                <w:sz w:val="20"/>
                <w:szCs w:val="20"/>
                <w:color w:val="auto"/>
              </w:rPr>
            </w:pPr>
            <w:r>
              <w:rPr>
                <w:rFonts w:ascii="Arial" w:cs="Arial" w:eastAsia="Arial" w:hAnsi="Arial"/>
                <w:sz w:val="18"/>
                <w:szCs w:val="18"/>
                <w:color w:val="auto"/>
              </w:rPr>
              <w:t>sammy.hsieh@i-click.com.hk</w:t>
            </w:r>
          </w:p>
        </w:tc>
      </w:tr>
      <w:tr>
        <w:trPr>
          <w:trHeight w:val="432"/>
        </w:trPr>
        <w:tc>
          <w:tcPr>
            <w:tcW w:w="51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NG, YAU PING RICKY</w:t>
            </w:r>
          </w:p>
        </w:tc>
      </w:tr>
      <w:tr>
        <w:trPr>
          <w:trHeight w:val="432"/>
        </w:trPr>
        <w:tc>
          <w:tcPr>
            <w:tcW w:w="5160" w:type="dxa"/>
            <w:vAlign w:val="bottom"/>
          </w:tcPr>
          <w:p>
            <w:pPr>
              <w:spacing w:after="0"/>
              <w:rPr>
                <w:sz w:val="24"/>
                <w:szCs w:val="24"/>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Yau Ping Ricky Ng</w:t>
            </w:r>
          </w:p>
        </w:tc>
      </w:tr>
      <w:tr>
        <w:trPr>
          <w:trHeight w:val="209"/>
        </w:trPr>
        <w:tc>
          <w:tcPr>
            <w:tcW w:w="5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ID Number:</w:t>
            </w:r>
          </w:p>
        </w:tc>
        <w:tc>
          <w:tcPr>
            <w:tcW w:w="5200" w:type="dxa"/>
            <w:vAlign w:val="bottom"/>
          </w:tcPr>
          <w:p>
            <w:pPr>
              <w:ind w:left="180"/>
              <w:spacing w:after="0"/>
              <w:rPr>
                <w:sz w:val="20"/>
                <w:szCs w:val="20"/>
                <w:color w:val="auto"/>
              </w:rPr>
            </w:pPr>
            <w:r>
              <w:rPr>
                <w:rFonts w:ascii="Arial" w:cs="Arial" w:eastAsia="Arial" w:hAnsi="Arial"/>
                <w:sz w:val="18"/>
                <w:szCs w:val="18"/>
                <w:color w:val="auto"/>
              </w:rPr>
              <w:t>V029871 (9)</w:t>
            </w: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5200" w:type="dxa"/>
            <w:vAlign w:val="bottom"/>
          </w:tcPr>
          <w:p>
            <w:pPr>
              <w:ind w:left="180"/>
              <w:spacing w:after="0"/>
              <w:rPr>
                <w:sz w:val="20"/>
                <w:szCs w:val="20"/>
                <w:color w:val="auto"/>
              </w:rPr>
            </w:pPr>
            <w:r>
              <w:rPr>
                <w:rFonts w:ascii="Arial" w:cs="Arial" w:eastAsia="Arial" w:hAnsi="Arial"/>
                <w:sz w:val="18"/>
                <w:szCs w:val="18"/>
                <w:color w:val="auto"/>
              </w:rPr>
              <w:t>Flat C1, 13</w:t>
            </w:r>
            <w:r>
              <w:rPr>
                <w:rFonts w:ascii="Arial" w:cs="Arial" w:eastAsia="Arial" w:hAnsi="Arial"/>
                <w:sz w:val="15"/>
                <w:szCs w:val="15"/>
                <w:color w:val="auto"/>
              </w:rPr>
              <w:t>th</w:t>
            </w:r>
            <w:r>
              <w:rPr>
                <w:rFonts w:ascii="Arial" w:cs="Arial" w:eastAsia="Arial" w:hAnsi="Arial"/>
                <w:sz w:val="18"/>
                <w:szCs w:val="18"/>
                <w:color w:val="auto"/>
              </w:rPr>
              <w:t xml:space="preserve"> Floor, San Po Kong Mansions</w:t>
            </w: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San Po Kong, Hong Kong</w:t>
            </w:r>
          </w:p>
        </w:tc>
      </w:tr>
      <w:tr>
        <w:trPr>
          <w:trHeight w:val="230"/>
        </w:trPr>
        <w:tc>
          <w:tcPr>
            <w:tcW w:w="516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Email:</w:t>
            </w:r>
          </w:p>
        </w:tc>
        <w:tc>
          <w:tcPr>
            <w:tcW w:w="5200" w:type="dxa"/>
            <w:vAlign w:val="bottom"/>
          </w:tcPr>
          <w:p>
            <w:pPr>
              <w:ind w:left="180"/>
              <w:spacing w:after="0"/>
              <w:rPr>
                <w:sz w:val="20"/>
                <w:szCs w:val="20"/>
                <w:color w:val="auto"/>
              </w:rPr>
            </w:pPr>
            <w:r>
              <w:rPr>
                <w:rFonts w:ascii="Arial" w:cs="Arial" w:eastAsia="Arial" w:hAnsi="Arial"/>
                <w:sz w:val="18"/>
                <w:szCs w:val="18"/>
                <w:color w:val="auto"/>
              </w:rPr>
              <w:t>ricky.ng@i-click.com.hk</w:t>
            </w:r>
          </w:p>
        </w:tc>
      </w:tr>
      <w:tr>
        <w:trPr>
          <w:trHeight w:val="432"/>
        </w:trPr>
        <w:tc>
          <w:tcPr>
            <w:tcW w:w="51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O&amp;K INVESTMENT LTD.</w:t>
            </w:r>
          </w:p>
        </w:tc>
      </w:tr>
      <w:tr>
        <w:trPr>
          <w:trHeight w:val="418"/>
        </w:trPr>
        <w:tc>
          <w:tcPr>
            <w:tcW w:w="51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By Chiraseivinu Praphand, Sunee</w:t>
            </w:r>
          </w:p>
        </w:tc>
      </w:tr>
      <w:tr>
        <w:trPr>
          <w:trHeight w:val="230"/>
        </w:trPr>
        <w:tc>
          <w:tcPr>
            <w:tcW w:w="516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its owner</w:t>
            </w:r>
          </w:p>
        </w:tc>
        <w:tc>
          <w:tcPr>
            <w:tcW w:w="5200" w:type="dxa"/>
            <w:vAlign w:val="bottom"/>
          </w:tcPr>
          <w:p>
            <w:pPr>
              <w:spacing w:after="0"/>
              <w:rPr>
                <w:sz w:val="20"/>
                <w:szCs w:val="20"/>
                <w:color w:val="auto"/>
              </w:rPr>
            </w:pPr>
          </w:p>
        </w:tc>
      </w:tr>
      <w:tr>
        <w:trPr>
          <w:trHeight w:val="446"/>
        </w:trPr>
        <w:tc>
          <w:tcPr>
            <w:tcW w:w="5160" w:type="dxa"/>
            <w:vAlign w:val="bottom"/>
          </w:tcPr>
          <w:p>
            <w:pPr>
              <w:spacing w:after="0"/>
              <w:rPr>
                <w:sz w:val="24"/>
                <w:szCs w:val="24"/>
                <w:color w:val="auto"/>
              </w:rPr>
            </w:pP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Sunee Chiraseivinu Praphand</w:t>
            </w:r>
          </w:p>
        </w:tc>
      </w:tr>
      <w:tr>
        <w:trPr>
          <w:trHeight w:val="209"/>
        </w:trPr>
        <w:tc>
          <w:tcPr>
            <w:tcW w:w="5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5200" w:type="dxa"/>
            <w:vAlign w:val="bottom"/>
          </w:tcPr>
          <w:p>
            <w:pPr>
              <w:ind w:left="180"/>
              <w:spacing w:after="0"/>
              <w:rPr>
                <w:sz w:val="20"/>
                <w:szCs w:val="20"/>
                <w:color w:val="auto"/>
              </w:rPr>
            </w:pPr>
            <w:r>
              <w:rPr>
                <w:rFonts w:ascii="Arial" w:cs="Arial" w:eastAsia="Arial" w:hAnsi="Arial"/>
                <w:sz w:val="18"/>
                <w:szCs w:val="18"/>
                <w:color w:val="auto"/>
              </w:rPr>
              <w:t>Flat 23, 16</w:t>
            </w:r>
            <w:r>
              <w:rPr>
                <w:rFonts w:ascii="Arial" w:cs="Arial" w:eastAsia="Arial" w:hAnsi="Arial"/>
                <w:sz w:val="15"/>
                <w:szCs w:val="15"/>
                <w:color w:val="auto"/>
              </w:rPr>
              <w:t>th</w:t>
            </w:r>
            <w:r>
              <w:rPr>
                <w:rFonts w:ascii="Arial" w:cs="Arial" w:eastAsia="Arial" w:hAnsi="Arial"/>
                <w:sz w:val="18"/>
                <w:szCs w:val="18"/>
                <w:color w:val="auto"/>
              </w:rPr>
              <w:t xml:space="preserve"> Floor, Fontana Gardens</w:t>
            </w:r>
          </w:p>
        </w:tc>
      </w:tr>
      <w:tr>
        <w:trPr>
          <w:trHeight w:val="216"/>
        </w:trPr>
        <w:tc>
          <w:tcPr>
            <w:tcW w:w="5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Ka Ning Path, Causeway Bay</w:t>
            </w:r>
          </w:p>
        </w:tc>
      </w:tr>
      <w:tr>
        <w:trPr>
          <w:trHeight w:val="230"/>
        </w:trPr>
        <w:tc>
          <w:tcPr>
            <w:tcW w:w="5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Hong Kong</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Amended and Restated Shareholders Agreement]</w:t>
      </w:r>
    </w:p>
    <w:p>
      <w:pPr>
        <w:sectPr>
          <w:pgSz w:w="11900" w:h="16838" w:orient="portrait"/>
          <w:cols w:equalWidth="0" w:num="1">
            <w:col w:w="11420"/>
          </w:cols>
          <w:pgMar w:left="240" w:top="274" w:right="239" w:bottom="1440" w:gutter="0" w:footer="0" w:header="0"/>
        </w:sectPr>
      </w:pPr>
    </w:p>
    <w:bookmarkStart w:id="505" w:name="page506"/>
    <w:bookmarkEnd w:id="5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b w:val="1"/>
          <w:bCs w:val="1"/>
          <w:color w:val="auto"/>
        </w:rPr>
        <w:t>SHAREHOLDERS</w:t>
      </w:r>
      <w:r>
        <w:rPr>
          <w:sz w:val="20"/>
          <w:szCs w:val="20"/>
          <w:color w:val="auto"/>
        </w:rPr>
        <w:tab/>
      </w:r>
      <w:r>
        <w:rPr>
          <w:rFonts w:ascii="Arial" w:cs="Arial" w:eastAsia="Arial" w:hAnsi="Arial"/>
          <w:sz w:val="18"/>
          <w:szCs w:val="18"/>
          <w:b w:val="1"/>
          <w:bCs w:val="1"/>
          <w:color w:val="auto"/>
        </w:rPr>
        <w:t>VANGUARD FORCE LIMITED</w:t>
      </w: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Jimmy Chau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Jimmy Chau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ind w:left="5620"/>
        <w:spacing w:after="0"/>
        <w:tabs>
          <w:tab w:leader="none" w:pos="63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c/o Unit 301, Danuan 1, Building 2,</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Shuiduizi</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Beili, Chaoyang District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Beijing, PRC 100026</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Address in Hong Kong for service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152400</wp:posOffset>
            </wp:positionV>
            <wp:extent cx="39192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306705</wp:posOffset>
            </wp:positionV>
            <wp:extent cx="39192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461010</wp:posOffset>
            </wp:positionV>
            <wp:extent cx="39192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615315</wp:posOffset>
            </wp:positionV>
            <wp:extent cx="39192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769620</wp:posOffset>
            </wp:positionV>
            <wp:extent cx="39192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SSG CAPITAL PARTNERS I, L.P.</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acting through its general partner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SSG CAPITAL PARTNERS I GP, L.P.</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acting through its general partner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SSG CAPITAL PARTNERS I GPGP, LTD.</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William A Jones</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Mr William A Jones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ind w:right="1860"/>
        <w:spacing w:after="0"/>
        <w:tabs>
          <w:tab w:leader="none" w:pos="5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c/o SSG Capital Management (Hong Kong)</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Limited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Suite 4203, 42/F, Gloucester Tower, 15</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Queen’s Road Central, Central, Hong Kong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Amended and Restated Shareholders Agreement]</w:t>
      </w:r>
    </w:p>
    <w:p>
      <w:pPr>
        <w:sectPr>
          <w:pgSz w:w="11900" w:h="16838" w:orient="portrait"/>
          <w:cols w:equalWidth="0" w:num="1">
            <w:col w:w="11420"/>
          </w:cols>
          <w:pgMar w:left="240" w:top="273" w:right="239" w:bottom="1440" w:gutter="0" w:footer="0" w:header="0"/>
        </w:sectPr>
      </w:pPr>
    </w:p>
    <w:bookmarkStart w:id="506" w:name="page507"/>
    <w:bookmarkEnd w:id="50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MAESTRO INVESTMENT HOLDINGS LIMITED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 Ping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Liu Ji Ping</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Fourth Amended and Restated Shareholders Agreement]</w:t>
      </w:r>
    </w:p>
    <w:p>
      <w:pPr>
        <w:sectPr>
          <w:pgSz w:w="11900" w:h="16838" w:orient="portrait"/>
          <w:cols w:equalWidth="0" w:num="1">
            <w:col w:w="9680"/>
          </w:cols>
          <w:pgMar w:left="1440" w:top="270" w:right="779" w:bottom="1440" w:gutter="0" w:footer="0" w:header="0"/>
        </w:sectPr>
      </w:pPr>
    </w:p>
    <w:bookmarkStart w:id="507" w:name="page508"/>
    <w:bookmarkEnd w:id="50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ARDA HOLDINGS LIMITED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Sammy Hsieh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9019"/>
          </w:cols>
          <w:pgMar w:left="1440" w:top="269" w:right="1440" w:bottom="1440" w:gutter="0" w:footer="0" w:header="0"/>
        </w:sectPr>
      </w:pPr>
    </w:p>
    <w:bookmarkStart w:id="508" w:name="page509"/>
    <w:bookmarkEnd w:id="50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BIG TOOTH CORPORATION</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Tran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Amended and Restated Shareholders Agreement]</w:t>
      </w:r>
    </w:p>
    <w:p>
      <w:pPr>
        <w:sectPr>
          <w:pgSz w:w="11900" w:h="16838" w:orient="portrait"/>
          <w:cols w:equalWidth="0" w:num="1">
            <w:col w:w="9019"/>
          </w:cols>
          <w:pgMar w:left="1440" w:top="270" w:right="1440"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IGOMAX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TANG, Jian</w:t>
      </w:r>
    </w:p>
    <w:p>
      <w:pPr>
        <w:spacing w:after="0" w:line="23" w:lineRule="exact"/>
        <w:rPr>
          <w:sz w:val="20"/>
          <w:szCs w:val="20"/>
          <w:color w:val="auto"/>
        </w:rPr>
      </w:pPr>
    </w:p>
    <w:p>
      <w:pPr>
        <w:ind w:left="6720"/>
        <w:spacing w:after="0"/>
        <w:tabs>
          <w:tab w:leader="none" w:pos="73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Address: Geneva Place, Waterfront Drive,</w:t>
      </w:r>
    </w:p>
    <w:p>
      <w:pPr>
        <w:spacing w:after="0" w:line="4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P.O. Box 3469, Road Town, Tortola,</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British Virgin Islands</w:t>
      </w:r>
    </w:p>
    <w:p>
      <w:pPr>
        <w:spacing w:after="0" w:line="15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 Page to Fourth Amended and Restated Shareholders Agreement]</w:t>
      </w:r>
    </w:p>
    <w:p>
      <w:pPr>
        <w:sectPr>
          <w:pgSz w:w="11900" w:h="16838" w:orient="portrait"/>
          <w:cols w:equalWidth="0" w:num="1">
            <w:col w:w="9760"/>
          </w:cols>
          <w:pgMar w:left="700" w:top="274" w:right="1439" w:bottom="1440" w:gutter="0" w:footer="0" w:header="0"/>
        </w:sectPr>
      </w:pPr>
    </w:p>
    <w:bookmarkStart w:id="510" w:name="page511"/>
    <w:bookmarkEnd w:id="5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TANG, Jian</w:t>
      </w:r>
    </w:p>
    <w:p>
      <w:pPr>
        <w:spacing w:after="0" w:line="162" w:lineRule="exact"/>
        <w:rPr>
          <w:sz w:val="20"/>
          <w:szCs w:val="20"/>
          <w:color w:val="auto"/>
        </w:rPr>
      </w:pPr>
    </w:p>
    <w:p>
      <w:pPr>
        <w:jc w:val="right"/>
        <w:ind w:right="1779"/>
        <w:spacing w:after="0"/>
        <w:rPr>
          <w:sz w:val="20"/>
          <w:szCs w:val="20"/>
          <w:color w:val="auto"/>
        </w:rPr>
      </w:pPr>
      <w:r>
        <w:rPr>
          <w:rFonts w:ascii="Arial" w:cs="Arial" w:eastAsia="Arial" w:hAnsi="Arial"/>
          <w:sz w:val="18"/>
          <w:szCs w:val="18"/>
          <w:color w:val="auto"/>
        </w:rPr>
        <w:t>[Signature Page to Fourth Amended and Restated Shareholders Agreement]</w:t>
      </w:r>
    </w:p>
    <w:p>
      <w:pPr>
        <w:sectPr>
          <w:pgSz w:w="11900" w:h="16838" w:orient="portrait"/>
          <w:cols w:equalWidth="0" w:num="1">
            <w:col w:w="9759"/>
          </w:cols>
          <w:pgMar w:left="700" w:top="273" w:right="1440" w:bottom="1440" w:gutter="0" w:footer="0" w:header="0"/>
        </w:sectPr>
      </w:pPr>
    </w:p>
    <w:bookmarkStart w:id="511" w:name="page512"/>
    <w:bookmarkEnd w:id="511"/>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SERIES A INVESTOR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Sumitomo Corporation Equity Asia Limited, a limited liability company incorporated under the Laws of the Hong Kong S.A.R.</w:t>
      </w:r>
    </w:p>
    <w:p>
      <w:pPr>
        <w:sectPr>
          <w:pgSz w:w="11900" w:h="16838" w:orient="portrait"/>
          <w:cols w:equalWidth="0" w:num="1">
            <w:col w:w="10219"/>
          </w:cols>
          <w:pgMar w:left="240" w:top="269" w:right="1440" w:bottom="1440" w:gutter="0" w:footer="0" w:header="0"/>
        </w:sectPr>
      </w:pPr>
    </w:p>
    <w:bookmarkStart w:id="512" w:name="page513"/>
    <w:bookmarkEnd w:id="512"/>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SERIES B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Bertelsmann Asia Investments AG, a company duly incorporated and existing under the Laws of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Sumitomo Corporation Equity Asia Limited, a limited liability company incorporated under the Laws of the Hong Kong S.A.R.</w:t>
      </w:r>
    </w:p>
    <w:p>
      <w:pPr>
        <w:sectPr>
          <w:pgSz w:w="11900" w:h="16838" w:orient="portrait"/>
          <w:cols w:equalWidth="0" w:num="1">
            <w:col w:w="10219"/>
          </w:cols>
          <w:pgMar w:left="240" w:top="269" w:right="1440" w:bottom="1440" w:gutter="0" w:footer="0" w:header="0"/>
        </w:sectPr>
      </w:pPr>
    </w:p>
    <w:bookmarkStart w:id="513" w:name="page514"/>
    <w:bookmarkEnd w:id="513"/>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SERIES C INVESTOR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SSG Capital Partners II, L.P., a limited liability partnership duly registered in the Cayman Islands</w:t>
      </w:r>
    </w:p>
    <w:p>
      <w:pPr>
        <w:sectPr>
          <w:pgSz w:w="11900" w:h="16838" w:orient="portrait"/>
          <w:cols w:equalWidth="0" w:num="1">
            <w:col w:w="10219"/>
          </w:cols>
          <w:pgMar w:left="240" w:top="270" w:right="1440" w:bottom="1440" w:gutter="0" w:footer="0" w:header="0"/>
        </w:sectPr>
      </w:pPr>
    </w:p>
    <w:bookmarkStart w:id="514" w:name="page515"/>
    <w:bookmarkEnd w:id="514"/>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SERIES D INVESTOR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“BlueFocus” means BlueFocus International Limited, a limited corporation duly incorporated and existing under the Laws of Hong Kong</w:t>
      </w:r>
    </w:p>
    <w:p>
      <w:pPr>
        <w:sectPr>
          <w:pgSz w:w="11900" w:h="16838" w:orient="portrait"/>
          <w:cols w:equalWidth="0" w:num="1">
            <w:col w:w="10219"/>
          </w:cols>
          <w:pgMar w:left="240" w:top="270" w:right="1440" w:bottom="1440" w:gutter="0" w:footer="0" w:header="0"/>
        </w:sectPr>
      </w:pPr>
    </w:p>
    <w:bookmarkStart w:id="515" w:name="page516"/>
    <w:bookmarkEnd w:id="515"/>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SERIES E INVESTOR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Shenwan Hongyuan Goldspring Fund I, a limited liability company duly registered in the Cayman Islands.</w:t>
      </w:r>
    </w:p>
    <w:p>
      <w:pPr>
        <w:sectPr>
          <w:pgSz w:w="11900" w:h="16838" w:orient="portrait"/>
          <w:cols w:equalWidth="0" w:num="1">
            <w:col w:w="10219"/>
          </w:cols>
          <w:pgMar w:left="240" w:top="269" w:right="1440" w:bottom="1440" w:gutter="0" w:footer="0" w:header="0"/>
        </w:sectPr>
      </w:pPr>
    </w:p>
    <w:bookmarkStart w:id="516" w:name="page517"/>
    <w:bookmarkEnd w:id="516"/>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F</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FOUNDERS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Hsieh Wing Hong Sammy, a Hong Kong citizen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Ng Yau Ping, a Hong Kong citizen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O&amp;K Investment Ltd., a company duly incorporated and existing under the Laws of Hong Kong</w:t>
      </w:r>
    </w:p>
    <w:p>
      <w:pPr>
        <w:sectPr>
          <w:pgSz w:w="11900" w:h="16838" w:orient="portrait"/>
          <w:cols w:equalWidth="0" w:num="1">
            <w:col w:w="10219"/>
          </w:cols>
          <w:pgMar w:left="240" w:top="270" w:right="1440" w:bottom="1440" w:gutter="0" w:footer="0" w:header="0"/>
        </w:sectPr>
      </w:pPr>
    </w:p>
    <w:bookmarkStart w:id="517" w:name="page518"/>
    <w:bookmarkEnd w:id="517"/>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G</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ind w:right="2139"/>
        <w:spacing w:after="0" w:line="530" w:lineRule="auto"/>
        <w:rPr>
          <w:sz w:val="20"/>
          <w:szCs w:val="20"/>
          <w:color w:val="auto"/>
        </w:rPr>
      </w:pPr>
      <w:r>
        <w:rPr>
          <w:rFonts w:ascii="Arial" w:cs="Arial" w:eastAsia="Arial" w:hAnsi="Arial"/>
          <w:sz w:val="17"/>
          <w:szCs w:val="17"/>
          <w:color w:val="auto"/>
        </w:rPr>
        <w:t>Vanguard Force Limited, a company duly incorporated and existing under the Laws of the British Virgin Islands SSG Capital Partners I, L.P., a limited liability partnership duly registered in the Cayman Islands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Arda Holdings Limited, a company duly incorporated and existing under the Laws of the British Virgin Islands</w:t>
      </w:r>
    </w:p>
    <w:p>
      <w:pPr>
        <w:spacing w:after="0" w:line="225" w:lineRule="exact"/>
        <w:rPr>
          <w:sz w:val="20"/>
          <w:szCs w:val="20"/>
          <w:color w:val="auto"/>
        </w:rPr>
      </w:pPr>
    </w:p>
    <w:p>
      <w:pPr>
        <w:ind w:right="1419"/>
        <w:spacing w:after="0" w:line="552" w:lineRule="auto"/>
        <w:rPr>
          <w:sz w:val="20"/>
          <w:szCs w:val="20"/>
          <w:color w:val="auto"/>
        </w:rPr>
      </w:pPr>
      <w:r>
        <w:rPr>
          <w:rFonts w:ascii="Arial" w:cs="Arial" w:eastAsia="Arial" w:hAnsi="Arial"/>
          <w:sz w:val="17"/>
          <w:szCs w:val="17"/>
          <w:color w:val="auto"/>
        </w:rPr>
        <w:t>Maestro Investment Holdings Ltd., a company duly incorporated and existing under the Laws of the British Virgin Islands Big Tooth Corporation, a company duly incorporated and existing under the Laws of the British Virgin Islands Igomax Inc., a company duly incorporated and existing under the Laws of the British Virgin Islands</w:t>
      </w:r>
    </w:p>
    <w:p>
      <w:pPr>
        <w:sectPr>
          <w:pgSz w:w="11900" w:h="16838" w:orient="portrait"/>
          <w:cols w:equalWidth="0" w:num="1">
            <w:col w:w="10219"/>
          </w:cols>
          <w:pgMar w:left="240" w:top="270" w:right="1440" w:bottom="1440" w:gutter="0" w:footer="0" w:header="0"/>
        </w:sectPr>
      </w:pPr>
    </w:p>
    <w:bookmarkStart w:id="518" w:name="page519"/>
    <w:bookmarkEnd w:id="518"/>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H</w:t>
      </w:r>
    </w:p>
    <w:p>
      <w:pPr>
        <w:spacing w:after="0" w:line="225" w:lineRule="exact"/>
        <w:rPr>
          <w:sz w:val="20"/>
          <w:szCs w:val="20"/>
          <w:color w:val="auto"/>
        </w:rPr>
      </w:pPr>
    </w:p>
    <w:p>
      <w:pPr>
        <w:jc w:val="right"/>
        <w:ind w:right="1499"/>
        <w:spacing w:after="0"/>
        <w:rPr>
          <w:sz w:val="20"/>
          <w:szCs w:val="20"/>
          <w:color w:val="auto"/>
        </w:rPr>
      </w:pPr>
      <w:r>
        <w:rPr>
          <w:rFonts w:ascii="Arial" w:cs="Arial" w:eastAsia="Arial" w:hAnsi="Arial"/>
          <w:sz w:val="18"/>
          <w:szCs w:val="18"/>
          <w:b w:val="1"/>
          <w:bCs w:val="1"/>
          <w:color w:val="auto"/>
        </w:rPr>
        <w:t>PERSONS ENTERING INTO NON-COMPETE AND NON-SOLICITATION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Hsieh, Wing Hong Sammy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Ng, Yau 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Wong Pi Yan, Selina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Tran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Tang, Jian </w:t>
      </w:r>
      <w:r>
        <w:rPr>
          <w:sz w:val="1"/>
          <w:szCs w:val="1"/>
          <w:color w:val="auto"/>
        </w:rPr>
        <w:drawing>
          <wp:inline distT="0" distB="0" distL="0" distR="0">
            <wp:extent cx="300355" cy="11176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Lee, Yanshu </w:t>
      </w:r>
      <w:r>
        <w:rPr>
          <w:sz w:val="1"/>
          <w:szCs w:val="1"/>
          <w:color w:val="auto"/>
        </w:rPr>
        <w:drawing>
          <wp:inline distT="0" distB="0" distL="0" distR="0">
            <wp:extent cx="403225" cy="120015"/>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03225" cy="120015"/>
                    </a:xfrm>
                    <a:prstGeom prst="rect">
                      <a:avLst/>
                    </a:prstGeom>
                    <a:noFill/>
                    <a:ln>
                      <a:noFill/>
                    </a:ln>
                  </pic:spPr>
                </pic:pic>
              </a:graphicData>
            </a:graphic>
          </wp:inline>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Tang, Min </w:t>
      </w:r>
      <w:r>
        <w:rPr>
          <w:sz w:val="1"/>
          <w:szCs w:val="1"/>
          <w:color w:val="auto"/>
        </w:rPr>
        <w:drawing>
          <wp:inline distT="0" distB="0" distL="0" distR="0">
            <wp:extent cx="291465" cy="11176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91465" cy="111760"/>
                    </a:xfrm>
                    <a:prstGeom prst="rect">
                      <a:avLst/>
                    </a:prstGeom>
                    <a:noFill/>
                    <a:ln>
                      <a:noFill/>
                    </a:ln>
                  </pic:spPr>
                </pic:pic>
              </a:graphicData>
            </a:graphic>
          </wp:inline>
        </w:drawing>
      </w:r>
    </w:p>
    <w:p>
      <w:pPr>
        <w:sectPr>
          <w:pgSz w:w="11900" w:h="16838" w:orient="portrait"/>
          <w:cols w:equalWidth="0" w:num="1">
            <w:col w:w="10219"/>
          </w:cols>
          <w:pgMar w:left="240" w:top="270" w:right="1440"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Business Cooperation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Exclusive Business Cooperation Agreement (hereinafter referred to as “</w:t>
      </w:r>
      <w:r>
        <w:rPr>
          <w:rFonts w:ascii="Arial" w:cs="Arial" w:eastAsia="Arial" w:hAnsi="Arial"/>
          <w:sz w:val="17"/>
          <w:szCs w:val="17"/>
          <w:b w:val="1"/>
          <w:bCs w:val="1"/>
          <w:color w:val="auto"/>
        </w:rPr>
        <w:t>this Agreement</w:t>
      </w:r>
      <w:r>
        <w:rPr>
          <w:rFonts w:ascii="Arial" w:cs="Arial" w:eastAsia="Arial" w:hAnsi="Arial"/>
          <w:sz w:val="17"/>
          <w:szCs w:val="17"/>
          <w:color w:val="auto"/>
        </w:rPr>
        <w:t>”) was entered into by and between the parties below 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2015 in the People’s Republic of China (“</w:t>
      </w:r>
      <w:r>
        <w:rPr>
          <w:rFonts w:ascii="Arial" w:cs="Arial" w:eastAsia="Arial" w:hAnsi="Arial"/>
          <w:sz w:val="18"/>
          <w:szCs w:val="18"/>
          <w:b w:val="1"/>
          <w:bCs w:val="1"/>
          <w:color w:val="auto"/>
        </w:rPr>
        <w:t>China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OptAim (Beijing) Information Technology Co., Ltd. </w:t>
      </w:r>
      <w:r>
        <w:rPr>
          <w:sz w:val="1"/>
          <w:szCs w:val="1"/>
          <w:color w:val="auto"/>
        </w:rPr>
        <w:drawing>
          <wp:inline distT="0" distB="0" distL="0" distR="0">
            <wp:extent cx="1475105" cy="10287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475105" cy="102870"/>
                    </a:xfrm>
                    <a:prstGeom prst="rect">
                      <a:avLst/>
                    </a:prstGeom>
                    <a:noFill/>
                    <a:ln>
                      <a:noFill/>
                    </a:ln>
                  </pic:spPr>
                </pic:pic>
              </a:graphicData>
            </a:graphic>
          </wp:inline>
        </w:drawing>
      </w:r>
      <w:r>
        <w:rPr>
          <w:rFonts w:ascii="Arial" w:cs="Arial" w:eastAsia="Arial" w:hAnsi="Arial"/>
          <w:sz w:val="18"/>
          <w:szCs w:val="18"/>
          <w:color w:val="auto"/>
        </w:rPr>
        <w:t xml:space="preserve"> , a limited liability company that is incorporated and exists under the laws of China, with its registered office at 9D, Unit 2, Building 3, Zhichun Road, No. 48, , Haidian District, Beijing;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Beijing OptAim Network Technology Co., Ltd. </w:t>
      </w:r>
      <w:r>
        <w:rPr>
          <w:sz w:val="1"/>
          <w:szCs w:val="1"/>
          <w:color w:val="auto"/>
        </w:rPr>
        <w:drawing>
          <wp:inline distT="0" distB="0" distL="0" distR="0">
            <wp:extent cx="1303655" cy="10287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03655" cy="102870"/>
                    </a:xfrm>
                    <a:prstGeom prst="rect">
                      <a:avLst/>
                    </a:prstGeom>
                    <a:noFill/>
                    <a:ln>
                      <a:noFill/>
                    </a:ln>
                  </pic:spPr>
                </pic:pic>
              </a:graphicData>
            </a:graphic>
          </wp:inline>
        </w:drawing>
      </w:r>
      <w:r>
        <w:rPr>
          <w:rFonts w:ascii="Arial" w:cs="Arial" w:eastAsia="Arial" w:hAnsi="Arial"/>
          <w:sz w:val="18"/>
          <w:szCs w:val="18"/>
          <w:color w:val="auto"/>
        </w:rPr>
        <w:t xml:space="preserve"> , a limited liability company that is incorporated and exists under the laws of China, with its registered office at Room 904, College International Building, Zhijing Road, No. 1, Haidian District, Beijing and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Zhiyunzhong (Shanghai) Technology Co., Ltd. </w:t>
      </w:r>
      <w:r>
        <w:rPr>
          <w:sz w:val="1"/>
          <w:szCs w:val="1"/>
          <w:color w:val="auto"/>
        </w:rPr>
        <w:drawing>
          <wp:inline distT="0" distB="0" distL="0" distR="0">
            <wp:extent cx="1329055" cy="10287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29055" cy="102870"/>
                    </a:xfrm>
                    <a:prstGeom prst="rect">
                      <a:avLst/>
                    </a:prstGeom>
                    <a:noFill/>
                    <a:ln>
                      <a:noFill/>
                    </a:ln>
                  </pic:spPr>
                </pic:pic>
              </a:graphicData>
            </a:graphic>
          </wp:inline>
        </w:drawing>
      </w:r>
      <w:r>
        <w:rPr>
          <w:rFonts w:ascii="Arial" w:cs="Arial" w:eastAsia="Arial" w:hAnsi="Arial"/>
          <w:sz w:val="18"/>
          <w:szCs w:val="18"/>
          <w:color w:val="auto"/>
        </w:rPr>
        <w:t xml:space="preserve"> , a limited liability company that is incorporated and exists under the laws of China, with its registered office at Room CB1109, Layer 1, Hongmei South Road, No.1755, Minhang District, Shanghai.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Party A and Party B are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580" w:right="60" w:hanging="572"/>
        <w:spacing w:after="0" w:line="259" w:lineRule="auto"/>
        <w:tabs>
          <w:tab w:leader="none" w:pos="5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Party A is a wholly foreign-owned enterprise that is incorporated in China and possesses necessary resources for network technology, communication technologies, transfer of technologies, technical consulting, technical services, technical trainings, advertisement design, manufacturing, agency and releasing, sales of independently-developed software products, enterprise marketing planning, enterprise management consulting, and business information consulting;</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Party B are domestic companies incorporated in China;</w:t>
      </w:r>
    </w:p>
    <w:p>
      <w:pPr>
        <w:spacing w:after="0" w:line="130" w:lineRule="exact"/>
        <w:rPr>
          <w:rFonts w:ascii="Arial" w:cs="Arial" w:eastAsia="Arial" w:hAnsi="Arial"/>
          <w:sz w:val="18"/>
          <w:szCs w:val="18"/>
          <w:color w:val="auto"/>
        </w:rPr>
      </w:pPr>
    </w:p>
    <w:p>
      <w:pPr>
        <w:ind w:left="580" w:right="220" w:hanging="572"/>
        <w:spacing w:after="0" w:line="312" w:lineRule="auto"/>
        <w:tabs>
          <w:tab w:leader="none" w:pos="58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Party A agrees to utilize its advantages in human resources, technologies, and information to provide Party B with exclusive technical services, technical consulting, and other services in relation to computer software production and development (see the following for the specific scope), and Party B agrees to accept such services provided by Party A or a third party appointed by Party A according to the provisions of this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Therefore, Party A and Party B conclude the following agreement upon consensus through negotiation:</w:t>
      </w:r>
    </w:p>
    <w:p>
      <w:pPr>
        <w:spacing w:after="0" w:line="370" w:lineRule="exact"/>
        <w:rPr>
          <w:sz w:val="20"/>
          <w:szCs w:val="20"/>
          <w:color w:val="auto"/>
        </w:rPr>
      </w:pPr>
    </w:p>
    <w:p>
      <w:pPr>
        <w:ind w:left="580" w:hanging="572"/>
        <w:spacing w:after="0"/>
        <w:tabs>
          <w:tab w:leader="none" w:pos="58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of Services by Party A</w:t>
      </w:r>
    </w:p>
    <w:p>
      <w:pPr>
        <w:spacing w:after="0" w:line="135" w:lineRule="exact"/>
        <w:rPr>
          <w:sz w:val="20"/>
          <w:szCs w:val="20"/>
          <w:color w:val="auto"/>
        </w:rPr>
      </w:pPr>
    </w:p>
    <w:p>
      <w:pPr>
        <w:ind w:left="580" w:right="220" w:hanging="566"/>
        <w:spacing w:after="0" w:line="276"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According to the terms and conditions of this Agreement, Party B hereby appoints Party A as its exclusive service provider to provide Party B with all-round business support, technical services, and consulting services during the term hereof. Specifically, these services include all or a part of the services within the business scope of Party B which are subject to the decision of Party A from time to time, including but not limited to transfer of technologies, technical consulting, technical services, technical trainings, advertisement design, manufacturing, agency and releasing, enterprise marketing planning, enterprise management consulting, and business information consulting (the “</w:t>
      </w:r>
      <w:r>
        <w:rPr>
          <w:rFonts w:ascii="Arial" w:cs="Arial" w:eastAsia="Arial" w:hAnsi="Arial"/>
          <w:sz w:val="17"/>
          <w:szCs w:val="17"/>
          <w:b w:val="1"/>
          <w:bCs w:val="1"/>
          <w:color w:val="auto"/>
        </w:rPr>
        <w:t>Services</w:t>
      </w:r>
      <w:r>
        <w:rPr>
          <w:rFonts w:ascii="Arial" w:cs="Arial" w:eastAsia="Arial" w:hAnsi="Arial"/>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20" w:name="page521"/>
    <w:bookmarkEnd w:id="520"/>
    <w:p>
      <w:pPr>
        <w:ind w:left="580" w:hanging="566"/>
        <w:spacing w:after="0" w:line="27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r>
        <w:rPr>
          <w:sz w:val="20"/>
          <w:szCs w:val="20"/>
          <w:color w:val="auto"/>
        </w:rPr>
        <w:tab/>
      </w:r>
      <w:r>
        <w:rPr>
          <w:rFonts w:ascii="Arial" w:cs="Arial" w:eastAsia="Arial" w:hAnsi="Arial"/>
          <w:sz w:val="17"/>
          <w:szCs w:val="17"/>
          <w:color w:val="auto"/>
        </w:rPr>
        <w:t>Party B agree to accept the consulting and services rendered by Party A. Party B further agree that, unless Party A gives prior written consent, Party B shall not accept any consulting and/or services rendered by any third party or cooperate with any third party with respect to the matters provided in this Agreement within the term of this Agreement. Party A may appoint other parties (who may enter into certain agreements described in Clause 1.3 of this Agreement with Party B) to provide the consulting and/or services hereunder to Party B.</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Ways of Service Provision</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Party A and Party B agree that, the Parties may directly or through their respective related parties conclude other technical service agreements</w:t>
      </w:r>
    </w:p>
    <w:p>
      <w:pPr>
        <w:spacing w:after="0" w:line="23" w:lineRule="exact"/>
        <w:rPr>
          <w:sz w:val="20"/>
          <w:szCs w:val="20"/>
          <w:color w:val="auto"/>
        </w:rPr>
      </w:pPr>
    </w:p>
    <w:p>
      <w:pPr>
        <w:ind w:left="1140" w:right="600"/>
        <w:spacing w:after="0" w:line="261" w:lineRule="auto"/>
        <w:rPr>
          <w:sz w:val="20"/>
          <w:szCs w:val="20"/>
          <w:color w:val="auto"/>
        </w:rPr>
      </w:pPr>
      <w:r>
        <w:rPr>
          <w:rFonts w:ascii="Arial" w:cs="Arial" w:eastAsia="Arial" w:hAnsi="Arial"/>
          <w:sz w:val="18"/>
          <w:szCs w:val="18"/>
          <w:color w:val="auto"/>
        </w:rPr>
        <w:t>and consulting service agreements within the term of this Agreement, to specify the contents, ways, personnel, and charges of specific technical services and consulting services.</w:t>
      </w:r>
    </w:p>
    <w:p>
      <w:pPr>
        <w:spacing w:after="0" w:line="89" w:lineRule="exact"/>
        <w:rPr>
          <w:sz w:val="20"/>
          <w:szCs w:val="20"/>
          <w:color w:val="auto"/>
        </w:rPr>
      </w:pPr>
    </w:p>
    <w:p>
      <w:pPr>
        <w:ind w:left="1140" w:right="80" w:hanging="566"/>
        <w:spacing w:after="0" w:line="286" w:lineRule="auto"/>
        <w:tabs>
          <w:tab w:leader="none" w:pos="11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For performing this Agreement, Party A and Party B agree that, the Parties may conclude intellectual property (including but not limited to software, trademarks, patents, know-how, etc.) licensing agreements directly or through their respective related parties during the term of this Agreement, which shall allow Party B to use the related intellectual properties of Party A when Party B’s business requires.</w:t>
      </w:r>
    </w:p>
    <w:p>
      <w:pPr>
        <w:spacing w:after="0" w:line="71" w:lineRule="exact"/>
        <w:rPr>
          <w:sz w:val="20"/>
          <w:szCs w:val="20"/>
          <w:color w:val="auto"/>
        </w:rPr>
      </w:pPr>
    </w:p>
    <w:p>
      <w:pPr>
        <w:ind w:left="1140" w:right="40" w:hanging="566"/>
        <w:spacing w:after="0" w:line="264" w:lineRule="auto"/>
        <w:tabs>
          <w:tab w:leader="none" w:pos="1120" w:val="left"/>
        </w:tabs>
        <w:rPr>
          <w:sz w:val="20"/>
          <w:szCs w:val="20"/>
          <w:color w:val="auto"/>
        </w:rPr>
      </w:pPr>
      <w:r>
        <w:rPr>
          <w:rFonts w:ascii="Arial" w:cs="Arial" w:eastAsia="Arial" w:hAnsi="Arial"/>
          <w:sz w:val="18"/>
          <w:szCs w:val="18"/>
          <w:color w:val="auto"/>
        </w:rPr>
        <w:t>1.3.3</w:t>
        <w:tab/>
        <w:t>For performing this Agreement, Party A and Party B agree that, the Parties may conclude equipment or plant lease agreements directly or through their respective related parties during the term of this Agreement, which shall allow Party B to use the equipment or plants of Party A according to the requirements of Party B’s business.</w:t>
      </w:r>
    </w:p>
    <w:p>
      <w:pPr>
        <w:spacing w:after="0" w:line="8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Party A may subcontract a part of the services to be provided to Party B under this Agreement to a third party at its own discretion.</w:t>
      </w:r>
    </w:p>
    <w:p>
      <w:pPr>
        <w:spacing w:after="0" w:line="131" w:lineRule="exact"/>
        <w:rPr>
          <w:sz w:val="20"/>
          <w:szCs w:val="20"/>
          <w:color w:val="auto"/>
        </w:rPr>
      </w:pPr>
    </w:p>
    <w:p>
      <w:pPr>
        <w:ind w:left="1140" w:right="200" w:hanging="566"/>
        <w:spacing w:after="0" w:line="259" w:lineRule="auto"/>
        <w:tabs>
          <w:tab w:leader="none" w:pos="1120" w:val="left"/>
        </w:tabs>
        <w:rPr>
          <w:sz w:val="20"/>
          <w:szCs w:val="20"/>
          <w:color w:val="auto"/>
        </w:rPr>
      </w:pPr>
      <w:r>
        <w:rPr>
          <w:rFonts w:ascii="Arial" w:cs="Arial" w:eastAsia="Arial" w:hAnsi="Arial"/>
          <w:sz w:val="18"/>
          <w:szCs w:val="18"/>
          <w:color w:val="auto"/>
        </w:rPr>
        <w:t>1.3.5</w:t>
        <w:tab/>
        <w:t>Party B hereby grants Party A an irrevocable exclusive right to purchase, whereby Party A may, to the extent permitted by laws and regulations of China, purchase at its option any part or all of the assets and business from Party B at the lowest price permitted by laws of China. At that time, the Parties shall conclude a separate asset or business transfer contract to specify the terms and conditions of such asset transfer.</w:t>
      </w:r>
    </w:p>
    <w:p>
      <w:pPr>
        <w:spacing w:after="0" w:line="331" w:lineRule="exact"/>
        <w:rPr>
          <w:sz w:val="20"/>
          <w:szCs w:val="20"/>
          <w:color w:val="auto"/>
        </w:rPr>
      </w:pPr>
    </w:p>
    <w:p>
      <w:pPr>
        <w:ind w:left="580" w:hanging="572"/>
        <w:spacing w:after="0"/>
        <w:tabs>
          <w:tab w:leader="none" w:pos="58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Calculation of Service Fees, Terms of Payment, Financial Statements, Audit, and Taxation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Parties agree that Party B shall pay 100% of its net income to Party A for the services provided by Party A as the service fees (the “</w:t>
      </w:r>
      <w:r>
        <w:rPr>
          <w:rFonts w:ascii="Arial" w:cs="Arial" w:eastAsia="Arial" w:hAnsi="Arial"/>
          <w:sz w:val="16"/>
          <w:szCs w:val="16"/>
          <w:b w:val="1"/>
          <w:bCs w:val="1"/>
          <w:color w:val="auto"/>
        </w:rPr>
        <w:t>Service</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Fees</w:t>
      </w:r>
      <w:r>
        <w:rPr>
          <w:rFonts w:ascii="Arial" w:cs="Arial" w:eastAsia="Arial" w:hAnsi="Arial"/>
          <w:sz w:val="16"/>
          <w:szCs w:val="16"/>
          <w:color w:val="auto"/>
        </w:rPr>
        <w:t>”). The Service Fees shall be paid on a monthly basis. During the term of this Agreement, Party A has the right to adjust such Service Fees at its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own discretion without the consent of Party B. Party B shall (a) provide Party A with its management statement and business data of each month,</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which shall state Party B’s net income of the month (the “</w:t>
      </w:r>
      <w:r>
        <w:rPr>
          <w:rFonts w:ascii="Arial" w:cs="Arial" w:eastAsia="Arial" w:hAnsi="Arial"/>
          <w:sz w:val="17"/>
          <w:szCs w:val="17"/>
          <w:b w:val="1"/>
          <w:bCs w:val="1"/>
          <w:color w:val="auto"/>
        </w:rPr>
        <w:t>Monthly Net Income</w:t>
      </w:r>
      <w:r>
        <w:rPr>
          <w:rFonts w:ascii="Arial" w:cs="Arial" w:eastAsia="Arial" w:hAnsi="Arial"/>
          <w:sz w:val="17"/>
          <w:szCs w:val="17"/>
          <w:color w:val="auto"/>
        </w:rPr>
        <w:t>”); and (b) pay 100% of its monthly net income to Party A (the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Monthly Payment</w:t>
      </w:r>
      <w:r>
        <w:rPr>
          <w:rFonts w:ascii="Arial" w:cs="Arial" w:eastAsia="Arial" w:hAnsi="Arial"/>
          <w:sz w:val="16"/>
          <w:szCs w:val="16"/>
          <w:color w:val="auto"/>
        </w:rPr>
        <w:t>”), within thirty (30) days from the last day of such month. Party A shall issue invoices of the technical service fees within seven</w:t>
      </w:r>
    </w:p>
    <w:p>
      <w:pPr>
        <w:spacing w:after="0" w:line="32" w:lineRule="exact"/>
        <w:rPr>
          <w:sz w:val="20"/>
          <w:szCs w:val="20"/>
          <w:color w:val="auto"/>
        </w:rPr>
      </w:pPr>
    </w:p>
    <w:p>
      <w:pPr>
        <w:ind w:left="580" w:right="160" w:hanging="5"/>
        <w:spacing w:after="0" w:line="254" w:lineRule="auto"/>
        <w:tabs>
          <w:tab w:leader="none" w:pos="835"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working days upon receipt of the aforesaid management statements and business data. Party B shall pay such amounts as stated on the invoices within seven (7) working days upon receipt of the aforesaid invoices. All payments shall be remitted into the bank account designated by Party A or paid to such account by other means approved by the Parties. The Parties agree that Party A may notify Party B of changes to such payment instructions from time to time.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521" w:name="page522"/>
    <w:bookmarkEnd w:id="521"/>
    <w:p>
      <w:pPr>
        <w:ind w:left="580" w:right="80" w:hanging="566"/>
        <w:spacing w:after="0" w:line="31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Party B shall, within ninety (90) days upon the end of each fiscal year, (a) provide Party A with its financial statements of the current fiscal year, which shall be audited and certified by an independent certified accountant approved by Party A, and (b) if the audited financial statements show that the total monthly payments made by Party B to Party A within this fiscal year is insufficient in any way, pay the shortfall amount to Party A.</w:t>
      </w:r>
    </w:p>
    <w:p>
      <w:pPr>
        <w:spacing w:after="0" w:line="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Party B shall prepare its financial statements to the satisfaction of Party A according to the requirements of laws and commercial practices.</w:t>
      </w:r>
    </w:p>
    <w:p>
      <w:pPr>
        <w:spacing w:after="0" w:line="131" w:lineRule="exact"/>
        <w:rPr>
          <w:sz w:val="20"/>
          <w:szCs w:val="20"/>
          <w:color w:val="auto"/>
        </w:rPr>
      </w:pPr>
    </w:p>
    <w:p>
      <w:pPr>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When Party A gives a notice five (5) working days in advance, Party B shall allow Party A and/or its appointed auditor to audit Party B’s relevant account books and records and photocopy the required account books and records at the principal office of Party B, so as to verify the income of Party B and the accuracy of its statements.</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Parties to this Agreement shall bear their respective tax burdens incurred from execution of this Agreement.</w:t>
      </w:r>
    </w:p>
    <w:p>
      <w:pPr>
        <w:spacing w:after="0" w:line="370" w:lineRule="exact"/>
        <w:rPr>
          <w:sz w:val="20"/>
          <w:szCs w:val="20"/>
          <w:color w:val="auto"/>
        </w:rPr>
      </w:pPr>
    </w:p>
    <w:p>
      <w:pPr>
        <w:ind w:left="580" w:hanging="572"/>
        <w:spacing w:after="0"/>
        <w:tabs>
          <w:tab w:leader="none" w:pos="58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Properties, Non-disclosure, and Non-competition</w:t>
      </w:r>
    </w:p>
    <w:p>
      <w:pPr>
        <w:spacing w:after="0" w:line="135" w:lineRule="exact"/>
        <w:rPr>
          <w:sz w:val="20"/>
          <w:szCs w:val="20"/>
          <w:color w:val="auto"/>
        </w:rPr>
      </w:pPr>
    </w:p>
    <w:p>
      <w:pPr>
        <w:jc w:val="both"/>
        <w:ind w:left="580" w:right="520" w:hanging="566"/>
        <w:spacing w:after="0" w:line="264"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Party A is entitled to exclusive proprietary rights and interests in all rights, titles, interests, and intellectual properties arising from or created by performance of this Agreement, including but not limited to copyrights, patents, patent applications, trademarks, software, know-how, business secrets, and others, whether they are developed by Party A or Party B.</w:t>
      </w:r>
    </w:p>
    <w:p>
      <w:pPr>
        <w:spacing w:after="0" w:line="87" w:lineRule="exact"/>
        <w:rPr>
          <w:sz w:val="20"/>
          <w:szCs w:val="20"/>
          <w:color w:val="auto"/>
        </w:rPr>
      </w:pPr>
    </w:p>
    <w:p>
      <w:pPr>
        <w:ind w:left="580" w:hanging="566"/>
        <w:spacing w:after="0" w:line="291"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Parties acknowledge that any oral or written information exchanged between them in connection with this Agreement is confidential. Each Party shall keep such information confidential, and may not disclose such information to any third party without the written consent of other Party, except for any information (a) which is or becomes publicly available not through disclosure by the receiving Party; (b) which is required by applicable laws or any rules of stock exchange to disclose; or (c) which is required to be disclosed by either Party to its legal or financial consultant in connection with the transaction hereunder, provided that such consultant is subject to any confidentiality obligation similar to that set forth herein. If the personnel or institutions employed or engaged by either Party disclose any confidential information, it will be deemed disclosure by such Party, and such Party shall be liable for breach of this Agreement. This Article 3.2 shall survive the termination of this Agreement for whatever reasons.</w:t>
      </w:r>
    </w:p>
    <w:p>
      <w:pPr>
        <w:spacing w:after="0" w:line="73" w:lineRule="exact"/>
        <w:rPr>
          <w:sz w:val="20"/>
          <w:szCs w:val="20"/>
          <w:color w:val="auto"/>
        </w:rPr>
      </w:pPr>
    </w:p>
    <w:p>
      <w:pPr>
        <w:ind w:left="580" w:right="60" w:hanging="566"/>
        <w:spacing w:after="0" w:line="286"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Party B shall not (directly or indirectly) be engaged in business other than that specified in Party B’s business license and business certificate. Party B shall not be directly or indirectly engaged in business competing with Party A’s business in China, including investing in entities engaged in any business competing with Party A’s business, or in any business other than that approved by Party A in writing.</w:t>
      </w:r>
    </w:p>
    <w:p>
      <w:pPr>
        <w:spacing w:after="0" w:line="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Parties agree that, this Article 3 shall survive the modification, rescission or termination of this Agreement.</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22" w:name="page523"/>
    <w:bookmarkEnd w:id="522"/>
    <w:p>
      <w:pPr>
        <w:ind w:left="580" w:hanging="572"/>
        <w:spacing w:after="0"/>
        <w:tabs>
          <w:tab w:leader="none" w:pos="58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Party A represents and warrants as follows:</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Party A is a company legally incorporated and existing under the laws of China.</w:t>
      </w:r>
    </w:p>
    <w:p>
      <w:pPr>
        <w:spacing w:after="0" w:line="131" w:lineRule="exact"/>
        <w:rPr>
          <w:sz w:val="20"/>
          <w:szCs w:val="20"/>
          <w:color w:val="auto"/>
        </w:rPr>
      </w:pPr>
    </w:p>
    <w:p>
      <w:pPr>
        <w:jc w:val="both"/>
        <w:ind w:left="1140" w:right="680" w:hanging="566"/>
        <w:spacing w:after="0" w:line="286" w:lineRule="auto"/>
        <w:tabs>
          <w:tab w:leader="none" w:pos="11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Party A’s execution and performance of this Agreement are within its corporate capacity and its scope of business. Party A has taken necessary corporate actions and has been duly authorized and obtained the consents and approvals from third parties and government agencies, and Party A will not violate the laws or other restrictions that bind upon or affect Party A.</w:t>
      </w:r>
    </w:p>
    <w:p>
      <w:pPr>
        <w:spacing w:after="0" w:line="71" w:lineRule="exact"/>
        <w:rPr>
          <w:sz w:val="20"/>
          <w:szCs w:val="20"/>
          <w:color w:val="auto"/>
        </w:rPr>
      </w:pPr>
    </w:p>
    <w:p>
      <w:pPr>
        <w:ind w:left="1140" w:right="500" w:hanging="566"/>
        <w:spacing w:after="0" w:line="277" w:lineRule="auto"/>
        <w:tabs>
          <w:tab w:leader="none" w:pos="1120" w:val="left"/>
        </w:tabs>
        <w:rPr>
          <w:sz w:val="20"/>
          <w:szCs w:val="20"/>
          <w:color w:val="auto"/>
        </w:rPr>
      </w:pPr>
      <w:r>
        <w:rPr>
          <w:rFonts w:ascii="Arial" w:cs="Arial" w:eastAsia="Arial" w:hAnsi="Arial"/>
          <w:sz w:val="18"/>
          <w:szCs w:val="18"/>
          <w:color w:val="auto"/>
        </w:rPr>
        <w:t>4.1.3</w:t>
        <w:tab/>
        <w:t>This Agreement constitutes legal, valid, and binding obligations of Party A and such obligations are enforceable in accordance with the provisions of this Agreement.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Party B represents and warrants as follows:</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Party B is companies legally incorporated and existing under the laws of China.</w:t>
      </w:r>
    </w:p>
    <w:p>
      <w:pPr>
        <w:spacing w:after="0" w:line="131" w:lineRule="exact"/>
        <w:rPr>
          <w:sz w:val="20"/>
          <w:szCs w:val="20"/>
          <w:color w:val="auto"/>
        </w:rPr>
      </w:pPr>
    </w:p>
    <w:p>
      <w:pPr>
        <w:ind w:left="1140" w:right="160" w:hanging="566"/>
        <w:spacing w:after="0" w:line="286" w:lineRule="auto"/>
        <w:tabs>
          <w:tab w:leader="none" w:pos="11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Party B’s execution and performance this Agreement are within their corporate capacities and their scopes of businesses. Party B have taken necessary corporate actions and have been duly authorized and obtained the consents and approvals from third parties and government agencies, and Party B will not violate the laws or other restrictions that bind upon or affect Party B.</w:t>
      </w:r>
    </w:p>
    <w:p>
      <w:pPr>
        <w:spacing w:after="0" w:line="7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This Agreement constitutes legal, valid, and binding obligations of Party B and such obligations are enforceable against Party B.</w:t>
      </w:r>
    </w:p>
    <w:p>
      <w:pPr>
        <w:spacing w:after="0" w:line="370" w:lineRule="exact"/>
        <w:rPr>
          <w:sz w:val="20"/>
          <w:szCs w:val="20"/>
          <w:color w:val="auto"/>
        </w:rPr>
      </w:pPr>
    </w:p>
    <w:p>
      <w:pPr>
        <w:ind w:left="580" w:hanging="572"/>
        <w:spacing w:after="0"/>
        <w:tabs>
          <w:tab w:leader="none" w:pos="58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w:t>
      </w:r>
    </w:p>
    <w:p>
      <w:pPr>
        <w:spacing w:after="0" w:line="135" w:lineRule="exact"/>
        <w:rPr>
          <w:sz w:val="20"/>
          <w:szCs w:val="20"/>
          <w:color w:val="auto"/>
        </w:rPr>
      </w:pPr>
    </w:p>
    <w:p>
      <w:pPr>
        <w:jc w:val="right"/>
        <w:ind w:right="140"/>
        <w:spacing w:after="0" w:line="342" w:lineRule="auto"/>
        <w:rPr>
          <w:sz w:val="20"/>
          <w:szCs w:val="20"/>
          <w:color w:val="auto"/>
        </w:rPr>
      </w:pPr>
      <w:r>
        <w:rPr>
          <w:rFonts w:ascii="Arial" w:cs="Arial" w:eastAsia="Arial" w:hAnsi="Arial"/>
          <w:sz w:val="16"/>
          <w:szCs w:val="16"/>
          <w:color w:val="auto"/>
        </w:rPr>
        <w:t>5.1    This Agreement is executed and comes into force on such date as stated in the beginning of this Agreement. This Agreement will be permanently in force until Party A decides in writing to terminate this Agreement in accordance with this Agreement or unless the laws of China otherwise provide.</w:t>
      </w:r>
    </w:p>
    <w:p>
      <w:pPr>
        <w:spacing w:after="0" w:line="268" w:lineRule="exact"/>
        <w:rPr>
          <w:sz w:val="20"/>
          <w:szCs w:val="20"/>
          <w:color w:val="auto"/>
        </w:rPr>
      </w:pPr>
    </w:p>
    <w:p>
      <w:pPr>
        <w:ind w:left="580" w:hanging="572"/>
        <w:spacing w:after="0"/>
        <w:tabs>
          <w:tab w:leader="none" w:pos="58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135" w:lineRule="exact"/>
        <w:rPr>
          <w:sz w:val="20"/>
          <w:szCs w:val="20"/>
          <w:color w:val="auto"/>
        </w:rPr>
      </w:pPr>
    </w:p>
    <w:p>
      <w:pPr>
        <w:jc w:val="both"/>
        <w:ind w:left="580" w:hanging="566"/>
        <w:spacing w:after="0" w:line="312"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To the maximum extent permitted by the laws of China, if the business period of any Party expires during the term of this Agreement, such Party shall timely renew its business period, so that this Agreement will continue to be in force and performed. If such Party’s application for renewal of business period is not approved by any competent authority, this Agreement will terminate upon the expiry of this Party’s business period.</w:t>
      </w:r>
    </w:p>
    <w:p>
      <w:pPr>
        <w:spacing w:after="0" w:line="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When this Agreement terminates, the Parties’ rights and obligations under Article 3, Article 7, and Article 8 shall survive.</w:t>
      </w:r>
    </w:p>
    <w:p>
      <w:pPr>
        <w:spacing w:after="0" w:line="131" w:lineRule="exact"/>
        <w:rPr>
          <w:sz w:val="20"/>
          <w:szCs w:val="20"/>
          <w:color w:val="auto"/>
        </w:rPr>
      </w:pPr>
    </w:p>
    <w:p>
      <w:pPr>
        <w:ind w:left="580" w:right="280" w:hanging="566"/>
        <w:spacing w:after="0" w:line="259"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Early termination of this Agreement for any reason shall not exempt any Party from its obligations to make payments hereunder due prior to the termination of this Agreement (including but not limited to service fees) or from any liability for breach of this Agreement accrued prior to the termination of this Agreement. Any payable service fees incurred prior to the termination of this Agreement shall be paid to Party A within fifteen (15) working days from the termination date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523" w:name="page524"/>
    <w:bookmarkEnd w:id="523"/>
    <w:p>
      <w:pPr>
        <w:ind w:left="580" w:hanging="572"/>
        <w:spacing w:after="0"/>
        <w:tabs>
          <w:tab w:leader="none" w:pos="580"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Laws, Dispute Resolution and Changes to Laws</w:t>
      </w:r>
    </w:p>
    <w:p>
      <w:pPr>
        <w:spacing w:after="0" w:line="135" w:lineRule="exact"/>
        <w:rPr>
          <w:sz w:val="20"/>
          <w:szCs w:val="20"/>
          <w:color w:val="auto"/>
        </w:rPr>
      </w:pPr>
    </w:p>
    <w:p>
      <w:pPr>
        <w:ind w:left="580" w:right="820" w:hanging="566"/>
        <w:spacing w:after="0" w:line="277"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execution, effectiveness, interpretation, performance, amendment, and termination of this Agreement and dispute resolution under this Agreement shall be governed by the laws of China.</w:t>
      </w:r>
    </w:p>
    <w:p>
      <w:pPr>
        <w:spacing w:after="0" w:line="76" w:lineRule="exact"/>
        <w:rPr>
          <w:sz w:val="20"/>
          <w:szCs w:val="20"/>
          <w:color w:val="auto"/>
        </w:rPr>
      </w:pPr>
    </w:p>
    <w:p>
      <w:pPr>
        <w:ind w:left="580" w:right="140" w:hanging="566"/>
        <w:spacing w:after="0" w:line="276"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Where any dispute arising from interpretation and performance of the provisions of this Agreement, the Parties shall settle such dispute through consultation in good faith. Where the Parties fail to reach any agreement with respect to the dispute resolution within thirty (30) days after any Party requests for resolution of such dispute through consultation, either Party may submit the dispute to China International Economic and Trade Arbitration Commission for arbitration in accordance with the arbitration rules in force. The place of arbitration shall be Beijing and the language of arbitration shall be Chinese. The award shall be final and binding on the Parties.</w:t>
      </w:r>
    </w:p>
    <w:p>
      <w:pPr>
        <w:spacing w:after="0" w:line="78" w:lineRule="exact"/>
        <w:rPr>
          <w:sz w:val="20"/>
          <w:szCs w:val="20"/>
          <w:color w:val="auto"/>
        </w:rPr>
      </w:pPr>
    </w:p>
    <w:p>
      <w:pPr>
        <w:jc w:val="center"/>
        <w:ind w:right="300"/>
        <w:spacing w:after="0" w:line="308" w:lineRule="auto"/>
        <w:rPr>
          <w:sz w:val="20"/>
          <w:szCs w:val="20"/>
          <w:color w:val="auto"/>
        </w:rPr>
      </w:pPr>
      <w:r>
        <w:rPr>
          <w:rFonts w:ascii="Arial" w:cs="Arial" w:eastAsia="Arial" w:hAnsi="Arial"/>
          <w:sz w:val="17"/>
          <w:szCs w:val="17"/>
          <w:color w:val="auto"/>
        </w:rPr>
        <w:t>7.3    Where any dispute arising from interpretation and performance of this Agreement or any other dispute is under arbitration, the Parties hereto shall continue to exercise their respective rights and perform their respective obligations under this Agreement, except for the issues in dispute.</w:t>
      </w:r>
    </w:p>
    <w:p>
      <w:pPr>
        <w:spacing w:after="0" w:line="291" w:lineRule="exact"/>
        <w:rPr>
          <w:sz w:val="20"/>
          <w:szCs w:val="20"/>
          <w:color w:val="auto"/>
        </w:rPr>
      </w:pPr>
    </w:p>
    <w:p>
      <w:pPr>
        <w:ind w:left="580" w:hanging="572"/>
        <w:spacing w:after="0"/>
        <w:tabs>
          <w:tab w:leader="none" w:pos="58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Breach and Indemnity</w:t>
      </w:r>
    </w:p>
    <w:p>
      <w:pPr>
        <w:spacing w:after="0" w:line="135" w:lineRule="exact"/>
        <w:rPr>
          <w:sz w:val="20"/>
          <w:szCs w:val="20"/>
          <w:color w:val="auto"/>
        </w:rPr>
      </w:pPr>
    </w:p>
    <w:p>
      <w:pPr>
        <w:ind w:left="580" w:right="40" w:hanging="566"/>
        <w:spacing w:after="0" w:line="277"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Where Party B substantially violates any provision under this Agreement, Party A has the right to terminate this Agreement and/or claim for damages against Party B. This Article 8.1 shall not preclude Party A’s any other right under this Agreement.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Unless otherwise provided by the laws of China, Party B has no right to terminate or rescind this Agreement under any circumstances.</w:t>
      </w:r>
    </w:p>
    <w:p>
      <w:pPr>
        <w:spacing w:after="0" w:line="131" w:lineRule="exact"/>
        <w:rPr>
          <w:sz w:val="20"/>
          <w:szCs w:val="20"/>
          <w:color w:val="auto"/>
        </w:rPr>
      </w:pPr>
    </w:p>
    <w:p>
      <w:pPr>
        <w:jc w:val="both"/>
        <w:ind w:left="580" w:right="120" w:hanging="566"/>
        <w:spacing w:after="0" w:line="264"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Party B shall indemnify Party A and hold Party A harmless from any loss, damage, liability, or expenses incurred from any litigation, claim or other requests against Party A arising from or caused by the consulting and services that Party A provides to Party B upon the latter’s demand, unless such loss, damage, liability or expenses are caused by intentional misconduct of Party A.</w:t>
      </w:r>
    </w:p>
    <w:p>
      <w:pPr>
        <w:spacing w:after="0" w:line="326" w:lineRule="exact"/>
        <w:rPr>
          <w:sz w:val="20"/>
          <w:szCs w:val="20"/>
          <w:color w:val="auto"/>
        </w:rPr>
      </w:pPr>
    </w:p>
    <w:p>
      <w:pPr>
        <w:ind w:left="580" w:hanging="572"/>
        <w:spacing w:after="0"/>
        <w:tabs>
          <w:tab w:leader="none" w:pos="58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135" w:lineRule="exact"/>
        <w:rPr>
          <w:sz w:val="20"/>
          <w:szCs w:val="20"/>
          <w:color w:val="auto"/>
        </w:rPr>
      </w:pPr>
    </w:p>
    <w:p>
      <w:pPr>
        <w:jc w:val="both"/>
        <w:ind w:left="580" w:right="140" w:hanging="566"/>
        <w:spacing w:after="0" w:line="264"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All notices and other communications required or permitted hereunder shall be sent to the following addresses by personal delivery, postage-prepaid registered mail, commercial express delivery or fax. A confirmation shall be sent by email with respect to each notice. Such notices shall be deemed validly delivered according to the following provisions:</w:t>
      </w:r>
    </w:p>
    <w:p>
      <w:pPr>
        <w:spacing w:after="0" w:line="87" w:lineRule="exact"/>
        <w:rPr>
          <w:sz w:val="20"/>
          <w:szCs w:val="20"/>
          <w:color w:val="auto"/>
        </w:rPr>
      </w:pPr>
    </w:p>
    <w:p>
      <w:pPr>
        <w:ind w:left="1140" w:hanging="566"/>
        <w:spacing w:after="0" w:line="277" w:lineRule="auto"/>
        <w:tabs>
          <w:tab w:leader="none" w:pos="1120" w:val="left"/>
        </w:tabs>
        <w:rPr>
          <w:sz w:val="20"/>
          <w:szCs w:val="20"/>
          <w:color w:val="auto"/>
        </w:rPr>
      </w:pPr>
      <w:r>
        <w:rPr>
          <w:rFonts w:ascii="Arial" w:cs="Arial" w:eastAsia="Arial" w:hAnsi="Arial"/>
          <w:sz w:val="18"/>
          <w:szCs w:val="18"/>
          <w:color w:val="auto"/>
        </w:rPr>
        <w:t>9.1.1</w:t>
        <w:tab/>
        <w:t>Where a notice is sent by personal delivery, express delivery or postage-prepaid registered mail, it will be deemed delivered when the notice is sent to or rejected at the designated address of the recipient.</w:t>
      </w:r>
    </w:p>
    <w:p>
      <w:pPr>
        <w:spacing w:after="0" w:line="76" w:lineRule="exact"/>
        <w:rPr>
          <w:sz w:val="20"/>
          <w:szCs w:val="20"/>
          <w:color w:val="auto"/>
        </w:rPr>
      </w:pPr>
    </w:p>
    <w:p>
      <w:pPr>
        <w:ind w:left="1140" w:right="600" w:hanging="566"/>
        <w:spacing w:after="0" w:line="277" w:lineRule="auto"/>
        <w:tabs>
          <w:tab w:leader="none" w:pos="1120" w:val="left"/>
        </w:tabs>
        <w:rPr>
          <w:sz w:val="20"/>
          <w:szCs w:val="20"/>
          <w:color w:val="auto"/>
        </w:rPr>
      </w:pPr>
      <w:r>
        <w:rPr>
          <w:rFonts w:ascii="Arial" w:cs="Arial" w:eastAsia="Arial" w:hAnsi="Arial"/>
          <w:sz w:val="18"/>
          <w:szCs w:val="18"/>
          <w:color w:val="auto"/>
        </w:rPr>
        <w:t>9.1.2</w:t>
        <w:tab/>
        <w:t>Where a notice is sent by fax, it will be deemed delivered when the notice is transmitted successfully, evidenced by the automatically-generated transmission confirmation message.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524" w:name="page525"/>
    <w:bookmarkEnd w:id="52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6"/>
          <w:szCs w:val="16"/>
          <w:color w:val="auto"/>
        </w:rPr>
        <w:t>For the purpose of notice, addresses of the Parties are as follows: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A: OptAim (Beijing) Information Technology Co., Ltd. </w:t>
      </w:r>
      <w:r>
        <w:rPr>
          <w:sz w:val="1"/>
          <w:szCs w:val="1"/>
          <w:color w:val="auto"/>
        </w:rPr>
        <w:drawing>
          <wp:inline distT="0" distB="0" distL="0" distR="0">
            <wp:extent cx="1517650" cy="10287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517650"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9D, Unit 2, Building 3, Zhichun Road, No. 48, Haidian District, Beijing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57175" cy="10287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010-58733487</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B: Beijing OptAim Network Technology Co., Ltd. </w:t>
      </w:r>
      <w:r>
        <w:rPr>
          <w:sz w:val="1"/>
          <w:szCs w:val="1"/>
          <w:color w:val="auto"/>
        </w:rPr>
        <w:drawing>
          <wp:inline distT="0" distB="0" distL="0" distR="0">
            <wp:extent cx="1329055" cy="10287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29055"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Room 904, College International Building, Zhijing Road, No. 1, Haidian District, Beijing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57175" cy="10287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010-58733487</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B: Zhiyunzhong (Shanghai) Technology Co., Ltd. </w:t>
      </w:r>
      <w:r>
        <w:rPr>
          <w:sz w:val="1"/>
          <w:szCs w:val="1"/>
          <w:color w:val="auto"/>
        </w:rPr>
        <w:drawing>
          <wp:inline distT="0" distB="0" distL="0" distR="0">
            <wp:extent cx="1355090" cy="10287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55090"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Room CB1109, Layer 1, Hongmei South Road, No.1755, Minhang District, Shanghai</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57175" cy="10287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021-61139062</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Either Party may change its address for notice by sending a notice to other Parties according to the provisions of this Article 9.</w:t>
      </w:r>
    </w:p>
    <w:p>
      <w:pPr>
        <w:spacing w:after="0" w:line="370" w:lineRule="exact"/>
        <w:rPr>
          <w:sz w:val="20"/>
          <w:szCs w:val="20"/>
          <w:color w:val="auto"/>
        </w:rPr>
      </w:pPr>
    </w:p>
    <w:p>
      <w:pPr>
        <w:ind w:left="580" w:hanging="572"/>
        <w:spacing w:after="0"/>
        <w:tabs>
          <w:tab w:leader="none" w:pos="58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Without the written consent of Party A in advance, Party B shall not transfer their rights and obligations under this Agreement to any third party.</w:t>
      </w:r>
    </w:p>
    <w:p>
      <w:pPr>
        <w:spacing w:after="0" w:line="131" w:lineRule="exact"/>
        <w:rPr>
          <w:sz w:val="20"/>
          <w:szCs w:val="20"/>
          <w:color w:val="auto"/>
        </w:rPr>
      </w:pPr>
    </w:p>
    <w:p>
      <w:pPr>
        <w:ind w:left="580" w:right="360" w:hanging="566"/>
        <w:spacing w:after="0" w:line="277" w:lineRule="auto"/>
        <w:tabs>
          <w:tab w:leader="none" w:pos="560" w:val="left"/>
        </w:tabs>
        <w:rPr>
          <w:sz w:val="20"/>
          <w:szCs w:val="20"/>
          <w:color w:val="auto"/>
        </w:rPr>
      </w:pPr>
      <w:r>
        <w:rPr>
          <w:rFonts w:ascii="Arial" w:cs="Arial" w:eastAsia="Arial" w:hAnsi="Arial"/>
          <w:sz w:val="18"/>
          <w:szCs w:val="18"/>
          <w:color w:val="auto"/>
        </w:rPr>
        <w:t>10.2</w:t>
        <w:tab/>
        <w:t>Party B agree that, Party A may transfer its rights and obligations under this Agreement to any third party by notifying Party B of such transfer in writing in advance, without further consent of Party B.</w:t>
      </w:r>
    </w:p>
    <w:p>
      <w:pPr>
        <w:spacing w:after="0" w:line="315" w:lineRule="exact"/>
        <w:rPr>
          <w:sz w:val="20"/>
          <w:szCs w:val="20"/>
          <w:color w:val="auto"/>
        </w:rPr>
      </w:pPr>
    </w:p>
    <w:p>
      <w:pPr>
        <w:ind w:left="580" w:hanging="572"/>
        <w:spacing w:after="0"/>
        <w:tabs>
          <w:tab w:leader="none" w:pos="58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121" w:lineRule="exact"/>
        <w:rPr>
          <w:rFonts w:ascii="Arial" w:cs="Arial" w:eastAsia="Arial" w:hAnsi="Arial"/>
          <w:sz w:val="18"/>
          <w:szCs w:val="18"/>
          <w:b w:val="1"/>
          <w:bCs w:val="1"/>
          <w:color w:val="auto"/>
        </w:rPr>
      </w:pP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one or more provisions hereof are decided as invalid, illegal or unenforceable in any respect according to any laws or regulations, the validity, legality or enforceability of other provisions hereof shall not be affected or prejudiced in any respect. The Parties shall negotiate in good faith to strive to replace such invalid, illegal or unenforceable provisions with any valid provisions to the maximum extent permitted by laws and expected by the Parties, so that the economic effect of such valid provisions shall be similar to that of such invalid, illegal or unenforceable provisions as much as possible</w:t>
      </w:r>
    </w:p>
    <w:p>
      <w:pPr>
        <w:spacing w:after="0" w:line="332" w:lineRule="exact"/>
        <w:rPr>
          <w:rFonts w:ascii="Arial" w:cs="Arial" w:eastAsia="Arial" w:hAnsi="Arial"/>
          <w:sz w:val="18"/>
          <w:szCs w:val="18"/>
          <w:b w:val="1"/>
          <w:bCs w:val="1"/>
          <w:color w:val="auto"/>
        </w:rPr>
      </w:pPr>
    </w:p>
    <w:p>
      <w:pPr>
        <w:ind w:left="580" w:hanging="572"/>
        <w:spacing w:after="0"/>
        <w:tabs>
          <w:tab w:leader="none" w:pos="58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and Supplementations</w:t>
      </w:r>
    </w:p>
    <w:p>
      <w:pPr>
        <w:spacing w:after="0" w:line="121"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amendment and supplementation to this Agreement shall be made in writing. Amendment agreements and supplemental agreements executed by the Parties in relation to this Agreement shall constitute an integral part of this Agreement and shall have the same legal force as that of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25" w:name="page526"/>
    <w:bookmarkEnd w:id="525"/>
    <w:p>
      <w:pPr>
        <w:ind w:left="572" w:hanging="572"/>
        <w:spacing w:after="0"/>
        <w:tabs>
          <w:tab w:leader="none" w:pos="572"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Language and Counterparts</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6"/>
          <w:szCs w:val="16"/>
          <w:color w:val="auto"/>
        </w:rPr>
        <w:t>This Agreement is made in two counterparts, and each Party holds one. Both counterparts shall have equal legal force.</w:t>
      </w:r>
    </w:p>
    <w:p>
      <w:pPr>
        <w:spacing w:after="0" w:line="248"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Exclusive Business Cooperation Agreement</w:t>
      </w:r>
    </w:p>
    <w:p>
      <w:pPr>
        <w:spacing w:after="0" w:line="239"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1"/>
          </w:cols>
          <w:pgMar w:left="248" w:top="269" w:right="1440" w:bottom="1440" w:gutter="0" w:footer="0" w:header="0"/>
        </w:sectPr>
      </w:pPr>
    </w:p>
    <w:bookmarkStart w:id="526" w:name="page527"/>
    <w:bookmarkEnd w:id="52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their authorized representatives to execute this Exclusive Business Cooperation Agreement on the date first written above for their joint observance.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A: OptAim (Beijing)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wp:posOffset>
            </wp:positionV>
            <wp:extent cx="1517650" cy="10287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517650" cy="102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Tang Jian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-273685</wp:posOffset>
            </wp:positionV>
            <wp:extent cx="248920" cy="10287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48920" cy="102870"/>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B: Beijing OptAim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wp:posOffset>
            </wp:positionV>
            <wp:extent cx="1355090" cy="10287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55090" cy="102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Tang Jian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-273685</wp:posOffset>
            </wp:positionV>
            <wp:extent cx="248920" cy="10287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48920" cy="102870"/>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B: Zhiyunzhong (Shanghai)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15240</wp:posOffset>
            </wp:positionV>
            <wp:extent cx="1320800" cy="10287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Tang Jian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-273685</wp:posOffset>
            </wp:positionV>
            <wp:extent cx="248920" cy="10287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48920" cy="102870"/>
                    </a:xfrm>
                    <a:prstGeom prst="rect">
                      <a:avLst/>
                    </a:prstGeom>
                    <a:noFill/>
                  </pic:spPr>
                </pic:pic>
              </a:graphicData>
            </a:graphic>
          </wp:anchor>
        </w:drawing>
      </w:r>
    </w:p>
    <w:p>
      <w:pPr>
        <w:spacing w:after="0" w:line="11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Exclusive Business Cooperation Agreement – Signature Page</w:t>
      </w:r>
    </w:p>
    <w:p>
      <w:pPr>
        <w:spacing w:after="0" w:line="23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240" w:top="274" w:right="739" w:bottom="1440"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Exclusive Option Agreement</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This Second Amended and Restated Exclusive Option Agreement (hereinafter referred to as “</w:t>
      </w:r>
      <w:r>
        <w:rPr>
          <w:rFonts w:ascii="Arial" w:cs="Arial" w:eastAsia="Arial" w:hAnsi="Arial"/>
          <w:sz w:val="18"/>
          <w:szCs w:val="18"/>
          <w:b w:val="1"/>
          <w:bCs w:val="1"/>
          <w:color w:val="auto"/>
        </w:rPr>
        <w:t>this Agreement</w:t>
      </w:r>
      <w:r>
        <w:rPr>
          <w:rFonts w:ascii="Arial" w:cs="Arial" w:eastAsia="Arial" w:hAnsi="Arial"/>
          <w:sz w:val="18"/>
          <w:szCs w:val="18"/>
          <w:color w:val="auto"/>
        </w:rPr>
        <w:t xml:space="preserve">”) is made by the Parties below on </w:t>
      </w:r>
      <w:r>
        <w:rPr>
          <w:rFonts w:ascii="Arial" w:cs="Arial" w:eastAsia="Arial" w:hAnsi="Arial"/>
          <w:sz w:val="18"/>
          <w:szCs w:val="18"/>
          <w:u w:val="single" w:color="auto"/>
          <w:color w:val="auto"/>
        </w:rPr>
        <w:t>May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2017</w:t>
      </w:r>
      <w:r>
        <w:rPr>
          <w:rFonts w:ascii="Arial" w:cs="Arial" w:eastAsia="Arial" w:hAnsi="Arial"/>
          <w:sz w:val="18"/>
          <w:szCs w:val="18"/>
          <w:color w:val="auto"/>
        </w:rPr>
        <w:t xml:space="preserve"> in Beijing, the People’s Republic of China (“</w:t>
      </w:r>
      <w:r>
        <w:rPr>
          <w:rFonts w:ascii="Arial" w:cs="Arial" w:eastAsia="Arial" w:hAnsi="Arial"/>
          <w:sz w:val="18"/>
          <w:szCs w:val="18"/>
          <w:b w:val="1"/>
          <w:bCs w:val="1"/>
          <w:color w:val="auto"/>
        </w:rPr>
        <w:t>China</w:t>
      </w:r>
      <w:r>
        <w:rPr>
          <w:rFonts w:ascii="Arial" w:cs="Arial" w:eastAsia="Arial" w:hAnsi="Arial"/>
          <w:sz w:val="18"/>
          <w:szCs w:val="18"/>
          <w:color w:val="auto"/>
        </w:rPr>
        <w:t>”):</w:t>
      </w:r>
    </w:p>
    <w:p>
      <w:pPr>
        <w:spacing w:after="0" w:line="189" w:lineRule="exact"/>
        <w:rPr>
          <w:sz w:val="20"/>
          <w:szCs w:val="20"/>
          <w:color w:val="auto"/>
        </w:rPr>
      </w:pPr>
    </w:p>
    <w:p>
      <w:pPr>
        <w:jc w:val="right"/>
        <w:ind w:right="200"/>
        <w:spacing w:after="0" w:line="310" w:lineRule="auto"/>
        <w:rPr>
          <w:sz w:val="20"/>
          <w:szCs w:val="20"/>
          <w:color w:val="auto"/>
        </w:rPr>
      </w:pPr>
      <w:r>
        <w:rPr>
          <w:rFonts w:ascii="Arial" w:cs="Arial" w:eastAsia="Arial" w:hAnsi="Arial"/>
          <w:sz w:val="17"/>
          <w:szCs w:val="17"/>
          <w:color w:val="auto"/>
        </w:rPr>
        <w:t xml:space="preserve">Party A:    </w:t>
      </w:r>
      <w:r>
        <w:rPr>
          <w:rFonts w:ascii="Arial" w:cs="Arial" w:eastAsia="Arial" w:hAnsi="Arial"/>
          <w:sz w:val="17"/>
          <w:szCs w:val="17"/>
          <w:b w:val="1"/>
          <w:bCs w:val="1"/>
          <w:color w:val="auto"/>
        </w:rPr>
        <w:t xml:space="preserve">OptAim (Beijing) Information Technology Co., Ltd. </w:t>
      </w:r>
      <w:r>
        <w:rPr>
          <w:sz w:val="1"/>
          <w:szCs w:val="1"/>
          <w:color w:val="auto"/>
        </w:rPr>
        <w:drawing>
          <wp:inline distT="0" distB="0" distL="0" distR="0">
            <wp:extent cx="1449070" cy="102870"/>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449070" cy="102870"/>
                    </a:xfrm>
                    <a:prstGeom prst="rect">
                      <a:avLst/>
                    </a:prstGeom>
                    <a:noFill/>
                    <a:ln>
                      <a:noFill/>
                    </a:ln>
                  </pic:spPr>
                </pic:pic>
              </a:graphicData>
            </a:graphic>
          </wp:inline>
        </w:drawing>
      </w:r>
      <w:r>
        <w:rPr>
          <w:rFonts w:ascii="Arial" w:cs="Arial" w:eastAsia="Arial" w:hAnsi="Arial"/>
          <w:sz w:val="17"/>
          <w:szCs w:val="17"/>
          <w:color w:val="auto"/>
        </w:rPr>
        <w:t xml:space="preserve"> , a limited liability company incorporated and existing under the laws of China, with its registered office at RoomC-1503-032, Building 1, Zhongguancun East Road No.18, Haidian District, Beijing;</w:t>
      </w:r>
    </w:p>
    <w:p>
      <w:pPr>
        <w:spacing w:after="0" w:line="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Party B:</w:t>
      </w:r>
      <w:r>
        <w:rPr>
          <w:sz w:val="20"/>
          <w:szCs w:val="20"/>
          <w:color w:val="auto"/>
        </w:rPr>
        <w:tab/>
      </w:r>
      <w:r>
        <w:rPr>
          <w:rFonts w:ascii="Arial" w:cs="Arial" w:eastAsia="Arial" w:hAnsi="Arial"/>
          <w:sz w:val="16"/>
          <w:szCs w:val="16"/>
          <w:b w:val="1"/>
          <w:bCs w:val="1"/>
          <w:color w:val="auto"/>
        </w:rPr>
        <w:t xml:space="preserve">Tang Jian </w:t>
      </w:r>
      <w:r>
        <w:rPr>
          <w:sz w:val="1"/>
          <w:szCs w:val="1"/>
          <w:color w:val="auto"/>
        </w:rPr>
        <w:drawing>
          <wp:inline distT="0" distB="0" distL="0" distR="0">
            <wp:extent cx="257175" cy="10287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6"/>
          <w:szCs w:val="16"/>
          <w:color w:val="auto"/>
        </w:rPr>
        <w:t xml:space="preserve"> , a Chinese citizen with the ID No. 432922197608190035;</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Jiao Jie </w:t>
      </w:r>
      <w:r>
        <w:rPr>
          <w:sz w:val="1"/>
          <w:szCs w:val="1"/>
          <w:color w:val="auto"/>
        </w:rPr>
        <w:drawing>
          <wp:inline distT="0" distB="0" distL="0" distR="0">
            <wp:extent cx="257175" cy="10287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8"/>
          <w:szCs w:val="18"/>
          <w:color w:val="auto"/>
        </w:rPr>
        <w:t xml:space="preserve"> , a Chinese citizen with the ID No. 230103198009280023; and</w:t>
      </w:r>
    </w:p>
    <w:p>
      <w:pPr>
        <w:spacing w:after="0" w:line="117" w:lineRule="exact"/>
        <w:rPr>
          <w:sz w:val="20"/>
          <w:szCs w:val="20"/>
          <w:color w:val="auto"/>
        </w:rPr>
      </w:pPr>
    </w:p>
    <w:p>
      <w:pPr>
        <w:ind w:left="920" w:right="260" w:hanging="917"/>
        <w:spacing w:after="0" w:line="310" w:lineRule="auto"/>
        <w:tabs>
          <w:tab w:leader="none" w:pos="900" w:val="left"/>
        </w:tabs>
        <w:rPr>
          <w:sz w:val="20"/>
          <w:szCs w:val="20"/>
          <w:color w:val="auto"/>
        </w:rPr>
      </w:pPr>
      <w:r>
        <w:rPr>
          <w:rFonts w:ascii="Arial" w:cs="Arial" w:eastAsia="Arial" w:hAnsi="Arial"/>
          <w:sz w:val="18"/>
          <w:szCs w:val="18"/>
          <w:color w:val="auto"/>
        </w:rPr>
        <w:t>Party C:</w:t>
      </w:r>
      <w:r>
        <w:rPr>
          <w:sz w:val="20"/>
          <w:szCs w:val="20"/>
          <w:color w:val="auto"/>
        </w:rPr>
        <w:tab/>
      </w:r>
      <w:r>
        <w:rPr>
          <w:rFonts w:ascii="Arial" w:cs="Arial" w:eastAsia="Arial" w:hAnsi="Arial"/>
          <w:sz w:val="17"/>
          <w:szCs w:val="17"/>
          <w:b w:val="1"/>
          <w:bCs w:val="1"/>
          <w:color w:val="auto"/>
        </w:rPr>
        <w:t xml:space="preserve">Beijing OptAim Network Technology Co., Ltd. </w:t>
      </w:r>
      <w:r>
        <w:rPr>
          <w:sz w:val="1"/>
          <w:szCs w:val="1"/>
          <w:color w:val="auto"/>
        </w:rPr>
        <w:drawing>
          <wp:inline distT="0" distB="0" distL="0" distR="0">
            <wp:extent cx="1397635" cy="102870"/>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97635" cy="102870"/>
                    </a:xfrm>
                    <a:prstGeom prst="rect">
                      <a:avLst/>
                    </a:prstGeom>
                    <a:noFill/>
                    <a:ln>
                      <a:noFill/>
                    </a:ln>
                  </pic:spPr>
                </pic:pic>
              </a:graphicData>
            </a:graphic>
          </wp:inline>
        </w:drawing>
      </w:r>
      <w:r>
        <w:rPr>
          <w:rFonts w:ascii="Arial" w:cs="Arial" w:eastAsia="Arial" w:hAnsi="Arial"/>
          <w:sz w:val="17"/>
          <w:szCs w:val="17"/>
          <w:color w:val="auto"/>
        </w:rPr>
        <w:t xml:space="preserve"> , a limited liability company incorporated and existing under the laws of China, with its registered office at No. 2#9A, Building No. 3, Zhichun Road No. 48, Haidian District, Beijing.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 this Contract, Party A, Party B, and Party C are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580" w:hanging="572"/>
        <w:spacing w:after="0"/>
        <w:tabs>
          <w:tab w:leader="none" w:pos="58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the two persons composing Party B jointly holds 100% of the equity interest in Party C, of which, Tang Jian </w:t>
      </w:r>
      <w:r>
        <w:rPr>
          <w:rFonts w:ascii="Arial" w:cs="Arial" w:eastAsia="Arial" w:hAnsi="Arial"/>
          <w:sz w:val="1"/>
          <w:szCs w:val="1"/>
          <w:color w:val="auto"/>
        </w:rPr>
        <w:drawing>
          <wp:inline distT="0" distB="0" distL="0" distR="0">
            <wp:extent cx="257175" cy="10287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6"/>
          <w:szCs w:val="16"/>
          <w:color w:val="auto"/>
        </w:rPr>
        <w:t xml:space="preserve"> holds 49% of the equity interest in</w:t>
      </w:r>
    </w:p>
    <w:p>
      <w:pPr>
        <w:spacing w:after="0" w:line="3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 xml:space="preserve">Party C and Jiao Jie </w:t>
      </w:r>
      <w:r>
        <w:rPr>
          <w:rFonts w:ascii="Arial" w:cs="Arial" w:eastAsia="Arial" w:hAnsi="Arial"/>
          <w:sz w:val="1"/>
          <w:szCs w:val="1"/>
          <w:color w:val="auto"/>
        </w:rPr>
        <w:drawing>
          <wp:inline distT="0" distB="0" distL="0" distR="0">
            <wp:extent cx="248920" cy="10287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r>
        <w:rPr>
          <w:rFonts w:ascii="Arial" w:cs="Arial" w:eastAsia="Arial" w:hAnsi="Arial"/>
          <w:sz w:val="18"/>
          <w:szCs w:val="18"/>
          <w:color w:val="auto"/>
        </w:rPr>
        <w:t xml:space="preserve"> holds 51% of the equity interest in Party C;</w:t>
      </w:r>
    </w:p>
    <w:p>
      <w:pPr>
        <w:spacing w:after="0" w:line="116" w:lineRule="exact"/>
        <w:rPr>
          <w:rFonts w:ascii="Arial" w:cs="Arial" w:eastAsia="Arial" w:hAnsi="Arial"/>
          <w:sz w:val="16"/>
          <w:szCs w:val="16"/>
          <w:color w:val="auto"/>
        </w:rPr>
      </w:pPr>
    </w:p>
    <w:p>
      <w:pPr>
        <w:ind w:left="580" w:hanging="572"/>
        <w:spacing w:after="0"/>
        <w:tabs>
          <w:tab w:leader="none" w:pos="5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Party B intends to grant Party A the irrevocable and exclusive option to purchase all the equity interest in Party C;</w:t>
      </w:r>
    </w:p>
    <w:p>
      <w:pPr>
        <w:spacing w:after="0" w:line="126" w:lineRule="exact"/>
        <w:rPr>
          <w:rFonts w:ascii="Arial" w:cs="Arial" w:eastAsia="Arial" w:hAnsi="Arial"/>
          <w:sz w:val="18"/>
          <w:szCs w:val="18"/>
          <w:color w:val="auto"/>
        </w:rPr>
      </w:pPr>
    </w:p>
    <w:p>
      <w:pPr>
        <w:ind w:left="580" w:right="200" w:hanging="572"/>
        <w:spacing w:after="0" w:line="282" w:lineRule="auto"/>
        <w:tabs>
          <w:tab w:leader="none" w:pos="5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Party A, Party B and Party C concluded an Amended and Restated Exclusive Option Agreement (“</w:t>
      </w:r>
      <w:r>
        <w:rPr>
          <w:rFonts w:ascii="Arial" w:cs="Arial" w:eastAsia="Arial" w:hAnsi="Arial"/>
          <w:sz w:val="18"/>
          <w:szCs w:val="18"/>
          <w:b w:val="1"/>
          <w:bCs w:val="1"/>
          <w:color w:val="auto"/>
        </w:rPr>
        <w:t>Original Agreement</w:t>
      </w:r>
      <w:r>
        <w:rPr>
          <w:rFonts w:ascii="Arial" w:cs="Arial" w:eastAsia="Arial" w:hAnsi="Arial"/>
          <w:sz w:val="18"/>
          <w:szCs w:val="18"/>
          <w:color w:val="auto"/>
        </w:rPr>
        <w:t>”) on July 24, 2015 to grant Party A the irrevocable and exclusive option to purchase all equity interest in Party C;</w:t>
      </w:r>
    </w:p>
    <w:p>
      <w:pPr>
        <w:spacing w:after="0" w:line="71" w:lineRule="exact"/>
        <w:rPr>
          <w:rFonts w:ascii="Arial" w:cs="Arial" w:eastAsia="Arial" w:hAnsi="Arial"/>
          <w:sz w:val="18"/>
          <w:szCs w:val="18"/>
          <w:color w:val="auto"/>
        </w:rPr>
      </w:pPr>
    </w:p>
    <w:p>
      <w:pPr>
        <w:ind w:left="580" w:right="120" w:hanging="572"/>
        <w:spacing w:after="0" w:line="264" w:lineRule="auto"/>
        <w:tabs>
          <w:tab w:leader="none" w:pos="5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Parties, upon consensus through negotiation, agree to amend and restate the Original Agreement. This Agreement, upon execution by the Parties, will replace the Original Agreement, the provisions of this Agreement will apply to the manners under the Original Agreement, and the Original Agreement will terminate; and</w:t>
      </w:r>
    </w:p>
    <w:p>
      <w:pPr>
        <w:spacing w:after="0" w:line="86" w:lineRule="exact"/>
        <w:rPr>
          <w:rFonts w:ascii="Arial" w:cs="Arial" w:eastAsia="Arial" w:hAnsi="Arial"/>
          <w:sz w:val="18"/>
          <w:szCs w:val="18"/>
          <w:color w:val="auto"/>
        </w:rPr>
      </w:pPr>
    </w:p>
    <w:p>
      <w:pPr>
        <w:ind w:left="580" w:right="60" w:hanging="572"/>
        <w:spacing w:after="0" w:line="283" w:lineRule="auto"/>
        <w:tabs>
          <w:tab w:leader="none" w:pos="58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Party A, Party C, and Zhiyunzhong (Shanghai) Technology Co., Ltd. </w:t>
      </w:r>
      <w:r>
        <w:rPr>
          <w:rFonts w:ascii="Arial" w:cs="Arial" w:eastAsia="Arial" w:hAnsi="Arial"/>
          <w:sz w:val="1"/>
          <w:szCs w:val="1"/>
          <w:color w:val="auto"/>
        </w:rPr>
        <w:drawing>
          <wp:inline distT="0" distB="0" distL="0" distR="0">
            <wp:extent cx="1329055" cy="102870"/>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29055" cy="102870"/>
                    </a:xfrm>
                    <a:prstGeom prst="rect">
                      <a:avLst/>
                    </a:prstGeom>
                    <a:noFill/>
                    <a:ln>
                      <a:noFill/>
                    </a:ln>
                  </pic:spPr>
                </pic:pic>
              </a:graphicData>
            </a:graphic>
          </wp:inline>
        </w:drawing>
      </w:r>
      <w:r>
        <w:rPr>
          <w:rFonts w:ascii="Arial" w:cs="Arial" w:eastAsia="Arial" w:hAnsi="Arial"/>
          <w:sz w:val="16"/>
          <w:szCs w:val="16"/>
          <w:color w:val="auto"/>
        </w:rPr>
        <w:t xml:space="preserve"> entered into and concluded the Exclusive Business Cooperation Agreement (the “</w:t>
      </w:r>
      <w:r>
        <w:rPr>
          <w:rFonts w:ascii="Arial" w:cs="Arial" w:eastAsia="Arial" w:hAnsi="Arial"/>
          <w:sz w:val="16"/>
          <w:szCs w:val="16"/>
          <w:b w:val="1"/>
          <w:bCs w:val="1"/>
          <w:color w:val="auto"/>
        </w:rPr>
        <w:t>Exclusive Business Cooperation Agreement</w:t>
      </w:r>
      <w:r>
        <w:rPr>
          <w:rFonts w:ascii="Arial" w:cs="Arial" w:eastAsia="Arial" w:hAnsi="Arial"/>
          <w:sz w:val="16"/>
          <w:szCs w:val="16"/>
          <w:color w:val="auto"/>
        </w:rPr>
        <w:t>”) on January 16, 2015. Party A signed and entered into the Second</w:t>
      </w:r>
    </w:p>
    <w:p>
      <w:pPr>
        <w:ind w:left="580"/>
        <w:spacing w:after="0"/>
        <w:rPr>
          <w:rFonts w:ascii="Arial" w:cs="Arial" w:eastAsia="Arial" w:hAnsi="Arial"/>
          <w:sz w:val="16"/>
          <w:szCs w:val="16"/>
          <w:color w:val="auto"/>
        </w:rPr>
      </w:pPr>
      <w:r>
        <w:rPr>
          <w:rFonts w:ascii="Arial" w:cs="Arial" w:eastAsia="Arial" w:hAnsi="Arial"/>
          <w:sz w:val="16"/>
          <w:szCs w:val="16"/>
          <w:color w:val="auto"/>
        </w:rPr>
        <w:t>Amended and Restated Equity Pledge Agreement (“</w:t>
      </w:r>
      <w:r>
        <w:rPr>
          <w:rFonts w:ascii="Arial" w:cs="Arial" w:eastAsia="Arial" w:hAnsi="Arial"/>
          <w:sz w:val="16"/>
          <w:szCs w:val="16"/>
          <w:b w:val="1"/>
          <w:bCs w:val="1"/>
          <w:color w:val="auto"/>
        </w:rPr>
        <w:t>Equity Pledge Agreement</w:t>
      </w:r>
      <w:r>
        <w:rPr>
          <w:rFonts w:ascii="Arial" w:cs="Arial" w:eastAsia="Arial" w:hAnsi="Arial"/>
          <w:sz w:val="16"/>
          <w:szCs w:val="16"/>
          <w:color w:val="auto"/>
        </w:rPr>
        <w:t xml:space="preserve">”) with Party B and Party C on May 26, 2017. Tang Jian </w:t>
      </w:r>
      <w:r>
        <w:rPr>
          <w:rFonts w:ascii="Arial" w:cs="Arial" w:eastAsia="Arial" w:hAnsi="Arial"/>
          <w:sz w:val="1"/>
          <w:szCs w:val="1"/>
          <w:color w:val="auto"/>
        </w:rPr>
        <w:drawing>
          <wp:inline distT="0" distB="0" distL="0" distR="0">
            <wp:extent cx="266065" cy="10287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r>
        <w:rPr>
          <w:rFonts w:ascii="Arial" w:cs="Arial" w:eastAsia="Arial" w:hAnsi="Arial"/>
          <w:sz w:val="16"/>
          <w:szCs w:val="16"/>
          <w:color w:val="auto"/>
        </w:rPr>
        <w:t xml:space="preserve"> and</w:t>
      </w:r>
    </w:p>
    <w:p>
      <w:pPr>
        <w:spacing w:after="0" w:line="20" w:lineRule="exact"/>
        <w:rPr>
          <w:rFonts w:ascii="Arial" w:cs="Arial" w:eastAsia="Arial" w:hAnsi="Arial"/>
          <w:sz w:val="16"/>
          <w:szCs w:val="16"/>
          <w:color w:val="auto"/>
        </w:rPr>
      </w:pPr>
    </w:p>
    <w:p>
      <w:pPr>
        <w:ind w:left="580" w:right="20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Jiao Jie </w:t>
      </w:r>
      <w:r>
        <w:rPr>
          <w:rFonts w:ascii="Arial" w:cs="Arial" w:eastAsia="Arial" w:hAnsi="Arial"/>
          <w:sz w:val="1"/>
          <w:szCs w:val="1"/>
          <w:color w:val="auto"/>
        </w:rPr>
        <w:drawing>
          <wp:inline distT="0" distB="0" distL="0" distR="0">
            <wp:extent cx="257175" cy="10287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8"/>
          <w:szCs w:val="18"/>
          <w:color w:val="auto"/>
        </w:rPr>
        <w:t xml:space="preserve"> of Party B executed the Power of Attorney respectively for granting authority to Party A on May 26, 2017 (“</w:t>
      </w:r>
      <w:r>
        <w:rPr>
          <w:rFonts w:ascii="Arial" w:cs="Arial" w:eastAsia="Arial" w:hAnsi="Arial"/>
          <w:sz w:val="18"/>
          <w:szCs w:val="18"/>
          <w:b w:val="1"/>
          <w:bCs w:val="1"/>
          <w:color w:val="auto"/>
        </w:rPr>
        <w:t>Power of Attorney</w:t>
      </w:r>
      <w:r>
        <w:rPr>
          <w:rFonts w:ascii="Arial" w:cs="Arial" w:eastAsia="Arial" w:hAnsi="Arial"/>
          <w:sz w:val="18"/>
          <w:szCs w:val="18"/>
          <w:color w:val="auto"/>
        </w:rPr>
        <w:t>”, collectively referred to as “</w:t>
      </w:r>
      <w:r>
        <w:rPr>
          <w:rFonts w:ascii="Arial" w:cs="Arial" w:eastAsia="Arial" w:hAnsi="Arial"/>
          <w:sz w:val="18"/>
          <w:szCs w:val="18"/>
          <w:b w:val="1"/>
          <w:bCs w:val="1"/>
          <w:color w:val="auto"/>
        </w:rPr>
        <w:t>Control Agreements</w:t>
      </w:r>
      <w:r>
        <w:rPr>
          <w:rFonts w:ascii="Arial" w:cs="Arial" w:eastAsia="Arial" w:hAnsi="Arial"/>
          <w:sz w:val="18"/>
          <w:szCs w:val="18"/>
          <w:color w:val="auto"/>
        </w:rPr>
        <w:t>” together with the Exclusive Business Cooperation Agreement, the Equity Pledge Agreement, and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28" w:name="page529"/>
    <w:bookmarkEnd w:id="5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Therefore, upon mutual negotiation and consensus, the Parties have reached the following agreement:</w:t>
      </w:r>
    </w:p>
    <w:p>
      <w:pPr>
        <w:spacing w:after="0" w:line="370" w:lineRule="exact"/>
        <w:rPr>
          <w:sz w:val="20"/>
          <w:szCs w:val="20"/>
          <w:color w:val="auto"/>
        </w:rPr>
      </w:pPr>
    </w:p>
    <w:p>
      <w:pPr>
        <w:ind w:left="580" w:hanging="572"/>
        <w:spacing w:after="0"/>
        <w:tabs>
          <w:tab w:leader="none" w:pos="58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and Purchase of Equity Interest</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 of Option</w:t>
      </w:r>
    </w:p>
    <w:p>
      <w:pPr>
        <w:spacing w:after="0" w:line="113" w:lineRule="exact"/>
        <w:rPr>
          <w:sz w:val="20"/>
          <w:szCs w:val="20"/>
          <w:color w:val="auto"/>
        </w:rPr>
      </w:pPr>
    </w:p>
    <w:p>
      <w:pPr>
        <w:jc w:val="both"/>
        <w:ind w:left="580" w:right="60"/>
        <w:spacing w:after="0" w:line="289" w:lineRule="auto"/>
        <w:rPr>
          <w:sz w:val="20"/>
          <w:szCs w:val="20"/>
          <w:color w:val="auto"/>
        </w:rPr>
      </w:pPr>
      <w:r>
        <w:rPr>
          <w:rFonts w:ascii="Arial" w:cs="Arial" w:eastAsia="Arial" w:hAnsi="Arial"/>
          <w:sz w:val="16"/>
          <w:szCs w:val="16"/>
          <w:color w:val="auto"/>
        </w:rPr>
        <w:t>Party B hereby irrevocably grants Party A an irrevocable and exclusive option (“</w:t>
      </w:r>
      <w:r>
        <w:rPr>
          <w:rFonts w:ascii="Arial" w:cs="Arial" w:eastAsia="Arial" w:hAnsi="Arial"/>
          <w:sz w:val="16"/>
          <w:szCs w:val="16"/>
          <w:b w:val="1"/>
          <w:bCs w:val="1"/>
          <w:color w:val="auto"/>
        </w:rPr>
        <w:t>Equity Interest Purchase Option</w:t>
      </w:r>
      <w:r>
        <w:rPr>
          <w:rFonts w:ascii="Arial" w:cs="Arial" w:eastAsia="Arial" w:hAnsi="Arial"/>
          <w:sz w:val="16"/>
          <w:szCs w:val="16"/>
          <w:color w:val="auto"/>
        </w:rPr>
        <w:t>”) to purchase, or designate one or more persons (each, a “</w:t>
      </w:r>
      <w:r>
        <w:rPr>
          <w:rFonts w:ascii="Arial" w:cs="Arial" w:eastAsia="Arial" w:hAnsi="Arial"/>
          <w:sz w:val="16"/>
          <w:szCs w:val="16"/>
          <w:b w:val="1"/>
          <w:bCs w:val="1"/>
          <w:color w:val="auto"/>
        </w:rPr>
        <w:t>Nominee</w:t>
      </w:r>
      <w:r>
        <w:rPr>
          <w:rFonts w:ascii="Arial" w:cs="Arial" w:eastAsia="Arial" w:hAnsi="Arial"/>
          <w:sz w:val="16"/>
          <w:szCs w:val="16"/>
          <w:color w:val="auto"/>
        </w:rPr>
        <w:t>”, who shall be approved by shareholders of Party A) to purchase the equity interest in Party C held by Party B now or in the future once or at multiple times at any time in part or in whole at Party A’s sole and absolute discretion and at the price described in Article</w:t>
      </w:r>
    </w:p>
    <w:p>
      <w:pPr>
        <w:spacing w:after="0" w:line="2" w:lineRule="exact"/>
        <w:rPr>
          <w:sz w:val="20"/>
          <w:szCs w:val="20"/>
          <w:color w:val="auto"/>
        </w:rPr>
      </w:pPr>
    </w:p>
    <w:p>
      <w:pPr>
        <w:ind w:left="580" w:right="40"/>
        <w:spacing w:after="0" w:line="254" w:lineRule="auto"/>
        <w:rPr>
          <w:sz w:val="20"/>
          <w:szCs w:val="20"/>
          <w:color w:val="auto"/>
        </w:rPr>
      </w:pPr>
      <w:r>
        <w:rPr>
          <w:rFonts w:ascii="Arial" w:cs="Arial" w:eastAsia="Arial" w:hAnsi="Arial"/>
          <w:sz w:val="18"/>
          <w:szCs w:val="18"/>
          <w:color w:val="auto"/>
        </w:rPr>
        <w:t>1.3 herein. Except for Party A and the Nominee(s), no other person shall be entitled to the Equity Interest Purchase Option or other rights with respect to the equity interests of Party B. Party C hereby agrees to the grant by Party B of the Equity Interest Purchase Option to Party A. The term “</w:t>
      </w:r>
      <w:r>
        <w:rPr>
          <w:rFonts w:ascii="Arial" w:cs="Arial" w:eastAsia="Arial" w:hAnsi="Arial"/>
          <w:sz w:val="18"/>
          <w:szCs w:val="18"/>
          <w:b w:val="1"/>
          <w:bCs w:val="1"/>
          <w:color w:val="auto"/>
        </w:rPr>
        <w:t>person</w:t>
      </w:r>
      <w:r>
        <w:rPr>
          <w:rFonts w:ascii="Arial" w:cs="Arial" w:eastAsia="Arial" w:hAnsi="Arial"/>
          <w:sz w:val="18"/>
          <w:szCs w:val="18"/>
          <w:color w:val="auto"/>
        </w:rPr>
        <w:t>” as used herein and in this Agreement shall refer to individuals, corporations, joint ventures, partnerships, enterprises, trusts or non-corporate organizations.</w:t>
      </w:r>
    </w:p>
    <w:p>
      <w:pPr>
        <w:spacing w:after="0" w:line="82" w:lineRule="exact"/>
        <w:rPr>
          <w:sz w:val="20"/>
          <w:szCs w:val="20"/>
          <w:color w:val="auto"/>
        </w:rPr>
      </w:pPr>
    </w:p>
    <w:p>
      <w:pPr>
        <w:jc w:val="both"/>
        <w:ind w:left="580" w:right="240"/>
        <w:spacing w:after="0" w:line="259" w:lineRule="auto"/>
        <w:rPr>
          <w:sz w:val="20"/>
          <w:szCs w:val="20"/>
          <w:color w:val="auto"/>
        </w:rPr>
      </w:pPr>
      <w:r>
        <w:rPr>
          <w:rFonts w:ascii="Arial" w:cs="Arial" w:eastAsia="Arial" w:hAnsi="Arial"/>
          <w:sz w:val="18"/>
          <w:szCs w:val="18"/>
          <w:color w:val="auto"/>
        </w:rPr>
        <w:t>For avoidance of doubt, Party A may exercise any right hereunder, including the Equity Interest Purchase Option, at any time upon execution and effectiveness of this Agreement. To the full extent permitted by the laws of China, when Party B is died or loses his/her capacity for civil conduct, Party A has the right to exercise the rights hereunder, including the Equity Interest Purchase Option, against Party B or his/her lawful successors or agents.</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Steps for Exercise of Equity Interest Purchase Option</w:t>
      </w:r>
    </w:p>
    <w:p>
      <w:pPr>
        <w:spacing w:after="0" w:line="117" w:lineRule="exact"/>
        <w:rPr>
          <w:sz w:val="20"/>
          <w:szCs w:val="20"/>
          <w:color w:val="auto"/>
        </w:rPr>
      </w:pPr>
    </w:p>
    <w:p>
      <w:pPr>
        <w:ind w:left="580" w:right="20"/>
        <w:spacing w:after="0" w:line="279" w:lineRule="auto"/>
        <w:rPr>
          <w:sz w:val="20"/>
          <w:szCs w:val="20"/>
          <w:color w:val="auto"/>
        </w:rPr>
      </w:pPr>
      <w:r>
        <w:rPr>
          <w:rFonts w:ascii="Arial" w:cs="Arial" w:eastAsia="Arial" w:hAnsi="Arial"/>
          <w:sz w:val="17"/>
          <w:szCs w:val="17"/>
          <w:color w:val="auto"/>
        </w:rPr>
        <w:t>Subject to the provisions of the laws and regulations of China, Party A may exercise the Equity Interest Purchase Option by issuing a written notice to Party B (“</w:t>
      </w:r>
      <w:r>
        <w:rPr>
          <w:rFonts w:ascii="Arial" w:cs="Arial" w:eastAsia="Arial" w:hAnsi="Arial"/>
          <w:sz w:val="17"/>
          <w:szCs w:val="17"/>
          <w:b w:val="1"/>
          <w:bCs w:val="1"/>
          <w:color w:val="auto"/>
        </w:rPr>
        <w:t>Equity Interest Purchase Option Notice</w:t>
      </w:r>
      <w:r>
        <w:rPr>
          <w:rFonts w:ascii="Arial" w:cs="Arial" w:eastAsia="Arial" w:hAnsi="Arial"/>
          <w:sz w:val="17"/>
          <w:szCs w:val="17"/>
          <w:color w:val="auto"/>
        </w:rPr>
        <w:t>”), specifying (a) Party A’s or its Nominees’ decision to exercise the Equity Interest Purchase Option; (b) the portion of equity interests to be purchased by Party A or its Nominee(s) from Party B (“</w:t>
      </w:r>
      <w:r>
        <w:rPr>
          <w:rFonts w:ascii="Arial" w:cs="Arial" w:eastAsia="Arial" w:hAnsi="Arial"/>
          <w:sz w:val="17"/>
          <w:szCs w:val="17"/>
          <w:b w:val="1"/>
          <w:bCs w:val="1"/>
          <w:color w:val="auto"/>
        </w:rPr>
        <w:t>Purchased Equity Interest</w:t>
      </w:r>
      <w:r>
        <w:rPr>
          <w:rFonts w:ascii="Arial" w:cs="Arial" w:eastAsia="Arial" w:hAnsi="Arial"/>
          <w:sz w:val="17"/>
          <w:szCs w:val="17"/>
          <w:color w:val="auto"/>
        </w:rPr>
        <w:t>”); and (c) the date of purchasing the Purchased Equity Interest/the date of transfer of the Purchased Equity Interest.</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Equity Interest Purchase Price and Payment</w:t>
      </w:r>
    </w:p>
    <w:p>
      <w:pPr>
        <w:spacing w:after="0" w:line="117"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Unless appraisal is required by the laws of China at the time when Party A exercises the Equity Interest Purchase Option, the purchase price of the Purchased Equity Interest (“</w:t>
      </w:r>
      <w:r>
        <w:rPr>
          <w:rFonts w:ascii="Arial" w:cs="Arial" w:eastAsia="Arial" w:hAnsi="Arial"/>
          <w:sz w:val="18"/>
          <w:szCs w:val="18"/>
          <w:b w:val="1"/>
          <w:bCs w:val="1"/>
          <w:color w:val="auto"/>
        </w:rPr>
        <w:t>Equity Interest Purchase Price</w:t>
      </w:r>
      <w:r>
        <w:rPr>
          <w:rFonts w:ascii="Arial" w:cs="Arial" w:eastAsia="Arial" w:hAnsi="Arial"/>
          <w:sz w:val="18"/>
          <w:szCs w:val="18"/>
          <w:color w:val="auto"/>
        </w:rPr>
        <w:t>”) shall be RMB 100 or the lowest price permitted by the laws of China. Party A shall pay the Equity Interest Purchase price to the designated account of Party B within seven (7) days from the date when the Purchased Equity Interest are officially transferred to Party A, with necessary taxes on the Equity Interest Purchase Price deducted or withheld in accordance with the laws of China.</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Purchased Equity Interest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each exercise of the Equity Interest Purchase Option:</w:t>
      </w:r>
    </w:p>
    <w:p>
      <w:pPr>
        <w:spacing w:after="0" w:line="131" w:lineRule="exact"/>
        <w:rPr>
          <w:sz w:val="20"/>
          <w:szCs w:val="20"/>
          <w:color w:val="auto"/>
        </w:rPr>
      </w:pPr>
    </w:p>
    <w:p>
      <w:pPr>
        <w:ind w:left="1380" w:right="500" w:hanging="796"/>
        <w:spacing w:after="0" w:line="277" w:lineRule="auto"/>
        <w:tabs>
          <w:tab w:leader="none" w:pos="13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Party B shall cause Party C to promptly convene a shareholders’ meeting, at which a resolution shall be adopted approving Party B’s transfer of the Purchased Equity Interest to Party A and/or its Nominee(s);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29" w:name="page530"/>
    <w:bookmarkEnd w:id="529"/>
    <w:p>
      <w:pPr>
        <w:ind w:left="1380" w:right="40" w:hanging="796"/>
        <w:spacing w:after="0" w:line="277" w:lineRule="auto"/>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r>
      <w:r>
        <w:rPr>
          <w:sz w:val="20"/>
          <w:szCs w:val="20"/>
          <w:color w:val="auto"/>
        </w:rPr>
        <w:tab/>
      </w:r>
      <w:r>
        <w:rPr>
          <w:rFonts w:ascii="Arial" w:cs="Arial" w:eastAsia="Arial" w:hAnsi="Arial"/>
          <w:sz w:val="18"/>
          <w:szCs w:val="18"/>
          <w:color w:val="auto"/>
        </w:rPr>
        <w:t>Party B shall obtain written statements from other shareholder of Party C giving consent to the transfer of the Purchased Equity Interest to Party A and/or its Nominee(s) and waiving any right of first refusal related thereto.</w:t>
      </w:r>
    </w:p>
    <w:p>
      <w:pPr>
        <w:spacing w:after="0" w:line="76" w:lineRule="exact"/>
        <w:rPr>
          <w:sz w:val="20"/>
          <w:szCs w:val="20"/>
          <w:color w:val="auto"/>
        </w:rPr>
      </w:pPr>
    </w:p>
    <w:p>
      <w:pPr>
        <w:jc w:val="both"/>
        <w:ind w:left="1380" w:hanging="796"/>
        <w:spacing w:after="0" w:line="264" w:lineRule="auto"/>
        <w:tabs>
          <w:tab w:leader="none" w:pos="1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Party B shall execute an equity interest transfer contract with respect to each transfer (each referred to as a “Transfer Contract”) with Party A and/or the Nominee (if applicable), in accordance with the provisions of this Agreement and the Equity Interest Purchase Option Notice regarding the Purchased Equity Interest;</w:t>
      </w:r>
    </w:p>
    <w:p>
      <w:pPr>
        <w:spacing w:after="0" w:line="87" w:lineRule="exact"/>
        <w:rPr>
          <w:sz w:val="20"/>
          <w:szCs w:val="20"/>
          <w:color w:val="auto"/>
        </w:rPr>
      </w:pPr>
    </w:p>
    <w:p>
      <w:pPr>
        <w:ind w:left="1380" w:right="20" w:hanging="796"/>
        <w:spacing w:after="0" w:line="283" w:lineRule="auto"/>
        <w:tabs>
          <w:tab w:leader="none" w:pos="13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The relevant Parties shall execute all the other necessary contracts, agreements or documents (including but not limited to amendments to articles of associations of companies), obtain all necessary government licenses and permits (including but not limited to business licenses of companies), and take all necessary actions to transfer valid ownership of the Purchased Equity Interest to Party A and/or the Nominee, unencumbered by any security interests and to cause Party A and/or the Nominee to become the registered owner of the Purchased Equity Interest. For the purpose of this Article 1.4.4 and this Agreement, “security interests” shall include securities, mortgages, third party’s rights or interests, any stock options, acquisition right, right of first refusal, right to offset, ownership retention, or other security arrangements. For the purpose of clarity, such security interests shall exclude any security interest created under this Agreement, Party B’s Equity Pledge Agreement, and Party B’s Power of Attorney. “Party B’s Equity Pledge Agreement” as used in this Article 1.4.4 and this Agreement shall refer to the Second Amended and Restated Equity Pledge Agreement executed by Party A, Party B, and Party C on May 26, 2017 and any modification, amendment, or restatement thereto. “Party B’s Power of Attorney” as used in this Article 1.4.4 and</w:t>
      </w:r>
    </w:p>
    <w:p>
      <w:pPr>
        <w:spacing w:after="0" w:line="6" w:lineRule="exact"/>
        <w:rPr>
          <w:sz w:val="20"/>
          <w:szCs w:val="20"/>
          <w:color w:val="auto"/>
        </w:rPr>
      </w:pPr>
    </w:p>
    <w:p>
      <w:pPr>
        <w:ind w:left="1380" w:right="220"/>
        <w:spacing w:after="0" w:line="287" w:lineRule="auto"/>
        <w:rPr>
          <w:sz w:val="20"/>
          <w:szCs w:val="20"/>
          <w:color w:val="auto"/>
        </w:rPr>
      </w:pPr>
      <w:r>
        <w:rPr>
          <w:rFonts w:ascii="Arial" w:cs="Arial" w:eastAsia="Arial" w:hAnsi="Arial"/>
          <w:sz w:val="17"/>
          <w:szCs w:val="17"/>
          <w:color w:val="auto"/>
        </w:rPr>
        <w:t xml:space="preserve">this Agreement shall refer to the Power of Attorney executed by Tang Jian </w:t>
      </w:r>
      <w:r>
        <w:rPr>
          <w:sz w:val="1"/>
          <w:szCs w:val="1"/>
          <w:color w:val="auto"/>
        </w:rPr>
        <w:drawing>
          <wp:inline distT="0" distB="0" distL="0" distR="0">
            <wp:extent cx="274320" cy="10287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7"/>
          <w:szCs w:val="17"/>
          <w:color w:val="auto"/>
        </w:rPr>
        <w:t xml:space="preserve"> and Jiao Jie </w:t>
      </w:r>
      <w:r>
        <w:rPr>
          <w:sz w:val="1"/>
          <w:szCs w:val="1"/>
          <w:color w:val="auto"/>
        </w:rPr>
        <w:drawing>
          <wp:inline distT="0" distB="0" distL="0" distR="0">
            <wp:extent cx="274320" cy="10287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7"/>
          <w:szCs w:val="17"/>
          <w:color w:val="auto"/>
        </w:rPr>
        <w:t xml:space="preserve"> composing Party B respectively on May 26, 2017 to grant Party A the power of attorney and any modification, amendment, or restatement thereto.</w:t>
      </w:r>
    </w:p>
    <w:p>
      <w:pPr>
        <w:spacing w:after="0" w:line="308" w:lineRule="exact"/>
        <w:rPr>
          <w:sz w:val="20"/>
          <w:szCs w:val="20"/>
          <w:color w:val="auto"/>
        </w:rPr>
      </w:pPr>
    </w:p>
    <w:p>
      <w:pPr>
        <w:ind w:left="580" w:hanging="572"/>
        <w:spacing w:after="0"/>
        <w:tabs>
          <w:tab w:leader="none" w:pos="58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Covenants regarding Party C</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Party B (as the shareholders of Party C) and Party C hereby covenant as follows:</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Without the prior written consent of Party A, they shall not in any manner supplement, change, or amend the articles of association or</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bylaws of Party C, increase or decrease its registered capital, or change its structure of registered capital in other manners;</w:t>
      </w:r>
    </w:p>
    <w:p>
      <w:pPr>
        <w:spacing w:after="0" w:line="116" w:lineRule="exact"/>
        <w:rPr>
          <w:sz w:val="20"/>
          <w:szCs w:val="20"/>
          <w:color w:val="auto"/>
        </w:rPr>
      </w:pPr>
    </w:p>
    <w:p>
      <w:pPr>
        <w:ind w:left="1380" w:right="160" w:hanging="796"/>
        <w:spacing w:after="0" w:line="264" w:lineRule="auto"/>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They shall maintain Party C’s corporate existence in accordance with good financial and business standards and practices, prudently and effectively operate its business and handle its affairs, and cause Party C to perform the obligations under the Exclusive Business Cooperation Agreement concluded on January 16, 2015;</w:t>
      </w:r>
    </w:p>
    <w:p>
      <w:pPr>
        <w:spacing w:after="0" w:line="87" w:lineRule="exact"/>
        <w:rPr>
          <w:sz w:val="20"/>
          <w:szCs w:val="20"/>
          <w:color w:val="auto"/>
        </w:rPr>
      </w:pPr>
    </w:p>
    <w:p>
      <w:pPr>
        <w:ind w:left="1380" w:right="40" w:hanging="796"/>
        <w:spacing w:after="0" w:line="264" w:lineRule="auto"/>
        <w:tabs>
          <w:tab w:leader="none" w:pos="13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Without the prior written consent of Party A, they shall not, at any time following the date hereof, sell, transfer, mortgage, or dispose of in any manner the legal or beneficial interest in any asset, business or revenues of Party C or allow the creation of any security interest thereon;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530" w:name="page531"/>
    <w:bookmarkEnd w:id="530"/>
    <w:p>
      <w:pPr>
        <w:jc w:val="both"/>
        <w:ind w:left="800" w:right="100" w:hanging="796"/>
        <w:spacing w:after="0" w:line="26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2.1.4</w:t>
      </w:r>
      <w:r>
        <w:rPr>
          <w:sz w:val="20"/>
          <w:szCs w:val="20"/>
          <w:color w:val="auto"/>
        </w:rPr>
        <w:tab/>
      </w:r>
      <w:r>
        <w:rPr>
          <w:rFonts w:ascii="Arial" w:cs="Arial" w:eastAsia="Arial" w:hAnsi="Arial"/>
          <w:sz w:val="18"/>
          <w:szCs w:val="18"/>
          <w:color w:val="auto"/>
        </w:rPr>
        <w:t>After the legal liquidation as described in Article 3.6, Party B will pay any residual value collected on the basis of non-two-way payment to Party A in full amount or cause such payment. If such payment is prohibited by the laws of China, Party B shall make such payment to Party A or the party designated by Party A to the extent permitted by the laws of China;</w:t>
      </w:r>
    </w:p>
    <w:p>
      <w:pPr>
        <w:spacing w:after="0" w:line="87" w:lineRule="exact"/>
        <w:rPr>
          <w:sz w:val="20"/>
          <w:szCs w:val="20"/>
          <w:color w:val="auto"/>
        </w:rPr>
      </w:pPr>
    </w:p>
    <w:p>
      <w:pPr>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Without the prior written consent of Party A, they shall not incur, inherit, guarantee or permit the existence of any debt, except (i) debts incurred in the ordinary course of business other than through loans; and (ii) debts disclosed to Party A for which Party A’s written consent has been obtained;</w:t>
      </w:r>
    </w:p>
    <w:p>
      <w:pPr>
        <w:spacing w:after="0" w:line="87" w:lineRule="exact"/>
        <w:rPr>
          <w:sz w:val="20"/>
          <w:szCs w:val="20"/>
          <w:color w:val="auto"/>
        </w:rPr>
      </w:pPr>
    </w:p>
    <w:p>
      <w:pPr>
        <w:ind w:left="800" w:right="360" w:hanging="796"/>
        <w:spacing w:after="0" w:line="277" w:lineRule="auto"/>
        <w:tabs>
          <w:tab w:leader="none" w:pos="7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They shall always operate all of Party C’s businesses during the ordinary course of business to maintain the asset value of Party C and refrain from any action/omission that may affect Party C’s operating status and asset value;</w:t>
      </w:r>
    </w:p>
    <w:p>
      <w:pPr>
        <w:spacing w:after="0" w:line="76" w:lineRule="exact"/>
        <w:rPr>
          <w:sz w:val="20"/>
          <w:szCs w:val="20"/>
          <w:color w:val="auto"/>
        </w:rPr>
      </w:pPr>
    </w:p>
    <w:p>
      <w:pPr>
        <w:jc w:val="both"/>
        <w:ind w:left="800" w:right="60" w:hanging="796"/>
        <w:spacing w:after="0" w:line="264" w:lineRule="auto"/>
        <w:tabs>
          <w:tab w:leader="none" w:pos="7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Without the prior written consent of Party A, they shall not cause Party C to execute any major contract, except the contracts concluded in the ordinary course of business (for purpose of this Article 2.1.7, a contract with a price exceeding RMB 100,000 shall be deemed a major contract);</w:t>
      </w:r>
    </w:p>
    <w:p>
      <w:pPr>
        <w:spacing w:after="0" w:line="87" w:lineRule="exact"/>
        <w:rPr>
          <w:sz w:val="20"/>
          <w:szCs w:val="20"/>
          <w:color w:val="auto"/>
        </w:rPr>
      </w:pPr>
    </w:p>
    <w:p>
      <w:pPr>
        <w:ind w:left="800" w:right="140" w:hanging="796"/>
        <w:spacing w:after="0" w:line="277" w:lineRule="auto"/>
        <w:tabs>
          <w:tab w:leader="none" w:pos="7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Without the prior written consent of Party A, they shall not cause Party C to provide any person with any loan or credit or security in any form;</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They shall provide Party A with information on Party C’s business operations and financial condition at Party A’s request;</w:t>
      </w:r>
    </w:p>
    <w:p>
      <w:pPr>
        <w:spacing w:after="0" w:line="131" w:lineRule="exact"/>
        <w:rPr>
          <w:sz w:val="20"/>
          <w:szCs w:val="20"/>
          <w:color w:val="auto"/>
        </w:rPr>
      </w:pPr>
    </w:p>
    <w:p>
      <w:pPr>
        <w:ind w:left="800" w:right="280" w:hanging="796"/>
        <w:spacing w:after="0" w:line="308" w:lineRule="auto"/>
        <w:tabs>
          <w:tab w:leader="none" w:pos="78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7"/>
          <w:szCs w:val="17"/>
          <w:color w:val="auto"/>
        </w:rPr>
        <w:t>If requested by Party A, they shall take out and maintain insurance in respect of Party C’s assets and business from an insurance carrier acceptable to Party A, in an amount and type of coverage typical for companies that operate similar businesses;</w:t>
      </w:r>
    </w:p>
    <w:p>
      <w:pPr>
        <w:spacing w:after="0" w:line="52" w:lineRule="exact"/>
        <w:rPr>
          <w:sz w:val="20"/>
          <w:szCs w:val="20"/>
          <w:color w:val="auto"/>
        </w:rPr>
      </w:pPr>
    </w:p>
    <w:p>
      <w:pPr>
        <w:ind w:left="800" w:right="280" w:hanging="796"/>
        <w:spacing w:after="0" w:line="277" w:lineRule="auto"/>
        <w:tabs>
          <w:tab w:leader="none" w:pos="78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8"/>
          <w:szCs w:val="18"/>
          <w:color w:val="auto"/>
        </w:rPr>
        <w:t>Without the prior written consent of Party A, they shall not cause or permit Party C to merge, consolidate with, acquire or invest in any person, or cause or permit Party C to sell its assets whose value is more than RMB 100,000;</w:t>
      </w:r>
    </w:p>
    <w:p>
      <w:pPr>
        <w:spacing w:after="0" w:line="76" w:lineRule="exact"/>
        <w:rPr>
          <w:sz w:val="20"/>
          <w:szCs w:val="20"/>
          <w:color w:val="auto"/>
        </w:rPr>
      </w:pPr>
    </w:p>
    <w:p>
      <w:pPr>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8"/>
          <w:szCs w:val="18"/>
          <w:color w:val="auto"/>
        </w:rPr>
        <w:t>They shall immediately notify Party A of the occurrence or possible occurrence of any litigation, arbitration, or administrative proceedings relating to Party C’s assets, business, or revenue;</w:t>
      </w:r>
    </w:p>
    <w:p>
      <w:pPr>
        <w:spacing w:after="0" w:line="76" w:lineRule="exact"/>
        <w:rPr>
          <w:sz w:val="20"/>
          <w:szCs w:val="20"/>
          <w:color w:val="auto"/>
        </w:rPr>
      </w:pPr>
    </w:p>
    <w:p>
      <w:pPr>
        <w:ind w:left="800" w:right="180" w:hanging="796"/>
        <w:spacing w:after="0" w:line="342" w:lineRule="auto"/>
        <w:tabs>
          <w:tab w:leader="none" w:pos="78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To maintain the ownership by Party C of all of its assets, they shall execute all necessary or appropriate documents, take all necessary or appropriate actions, and file all necessary or appropriate complaints or raise necessary and appropriate defenses against all claims;</w:t>
      </w:r>
    </w:p>
    <w:p>
      <w:pPr>
        <w:spacing w:after="0" w:line="29" w:lineRule="exact"/>
        <w:rPr>
          <w:sz w:val="20"/>
          <w:szCs w:val="20"/>
          <w:color w:val="auto"/>
        </w:rPr>
      </w:pPr>
    </w:p>
    <w:p>
      <w:pPr>
        <w:ind w:left="800" w:right="20" w:hanging="796"/>
        <w:spacing w:after="0" w:line="342" w:lineRule="auto"/>
        <w:tabs>
          <w:tab w:leader="none" w:pos="78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Without the prior written consent of Party A, they shall ensure that Party C shall not in any manner distribute dividends to its shareholders, provided that upon Party A’s written request, Party C shall immediately distribute all distributable profits to its shareholders;</w:t>
      </w:r>
    </w:p>
    <w:p>
      <w:pPr>
        <w:spacing w:after="0" w:line="29" w:lineRule="exact"/>
        <w:rPr>
          <w:sz w:val="20"/>
          <w:szCs w:val="20"/>
          <w:color w:val="auto"/>
        </w:rPr>
      </w:pPr>
    </w:p>
    <w:p>
      <w:pPr>
        <w:ind w:left="800" w:right="360" w:hanging="796"/>
        <w:spacing w:after="0" w:line="277" w:lineRule="auto"/>
        <w:tabs>
          <w:tab w:leader="none" w:pos="78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8"/>
          <w:szCs w:val="18"/>
          <w:color w:val="auto"/>
        </w:rPr>
        <w:t>At the request of Party A, they shall appoint any person designated by Party A as the director of Party C and/or dismiss the incumbent directors of Party C ; and</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2.1.16</w:t>
      </w:r>
      <w:r>
        <w:rPr>
          <w:sz w:val="20"/>
          <w:szCs w:val="20"/>
          <w:color w:val="auto"/>
        </w:rPr>
        <w:tab/>
      </w:r>
      <w:r>
        <w:rPr>
          <w:rFonts w:ascii="Arial" w:cs="Arial" w:eastAsia="Arial" w:hAnsi="Arial"/>
          <w:sz w:val="16"/>
          <w:szCs w:val="16"/>
          <w:color w:val="auto"/>
        </w:rPr>
        <w:t>Unless otherwise required by laws of China, Party C shall not be dissolved or liquidated without prior written consent of Party A.</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820" w:top="274" w:right="279" w:bottom="1440" w:gutter="0" w:footer="0" w:header="0"/>
        </w:sectPr>
      </w:pPr>
    </w:p>
    <w:bookmarkStart w:id="531" w:name="page532"/>
    <w:bookmarkEnd w:id="53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Acknowledgements and Covenants of Party B</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Party B hereby acknowledges that:</w:t>
      </w:r>
    </w:p>
    <w:p>
      <w:pPr>
        <w:spacing w:after="0" w:line="131" w:lineRule="exact"/>
        <w:rPr>
          <w:sz w:val="20"/>
          <w:szCs w:val="20"/>
          <w:color w:val="auto"/>
        </w:rPr>
      </w:pPr>
    </w:p>
    <w:p>
      <w:pPr>
        <w:ind w:left="1380" w:hanging="796"/>
        <w:spacing w:after="0" w:line="257" w:lineRule="auto"/>
        <w:tabs>
          <w:tab w:leader="none" w:pos="13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To the maximum extent allowed by the laws of China, any equity interest that Party B holds now or in future in Party C is not community property or inheritable property of Party B, and Party B shall not assume debt settlement liability or security liability for any third party with the equity interest he/she hold in Party C. Where such equity interests are divided, transferred, or inherited for any reason, the successor(s) or assignee(s) shall execute all documents required by Party A (including but not limited to this Agreement, the Equity Pledge Agreement, and the Power of Attorney).</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Party B hereby covenants as follows:</w:t>
      </w:r>
    </w:p>
    <w:p>
      <w:pPr>
        <w:spacing w:after="0" w:line="131" w:lineRule="exact"/>
        <w:rPr>
          <w:sz w:val="20"/>
          <w:szCs w:val="20"/>
          <w:color w:val="auto"/>
        </w:rPr>
      </w:pPr>
    </w:p>
    <w:p>
      <w:pPr>
        <w:ind w:left="1380" w:right="260" w:hanging="796"/>
        <w:spacing w:after="0" w:line="286" w:lineRule="auto"/>
        <w:tabs>
          <w:tab w:leader="none" w:pos="13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Without the prior written consent of Party A, Party B shall not sell, transfer, mortgage, or dispose of in any other manner any legal or beneficial interest in the equity interests in Party C held by Party B, or allow the creation of any security interest thereon, except for the pledge created on these equity interests in accordance with Party B’s Equity Pledge Agreement;</w:t>
      </w:r>
    </w:p>
    <w:p>
      <w:pPr>
        <w:spacing w:after="0" w:line="71" w:lineRule="exact"/>
        <w:rPr>
          <w:sz w:val="20"/>
          <w:szCs w:val="20"/>
          <w:color w:val="auto"/>
        </w:rPr>
      </w:pPr>
    </w:p>
    <w:p>
      <w:pPr>
        <w:ind w:left="1380" w:right="60" w:hanging="796"/>
        <w:spacing w:after="0" w:line="255" w:lineRule="auto"/>
        <w:tabs>
          <w:tab w:leader="none" w:pos="13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Party B shall not require Party C to distribute dividends or make profit distribution in any other manner in respect of the equity interest in Party C that Party B holds, propose any matter in relation thereto for approval at the shareholders’ meeting, or vote for such matter proposed for approval at the shareholders’ meeting. Where Party B receives any revenue, profit distribution, or dividend from Party C, Party B shall immediately pay such revenue, profit distribution, or dividend to Party A or the designated party of Party A or transfer to their accounts as the service fees payable from Party C to Party A under the Exclusive Business Cooperation Agreement for the interest of Party C to the extent permitted by the laws of China;</w:t>
      </w:r>
    </w:p>
    <w:p>
      <w:pPr>
        <w:spacing w:after="0" w:line="99" w:lineRule="exact"/>
        <w:rPr>
          <w:sz w:val="20"/>
          <w:szCs w:val="20"/>
          <w:color w:val="auto"/>
        </w:rPr>
      </w:pPr>
    </w:p>
    <w:p>
      <w:pPr>
        <w:ind w:left="1380" w:hanging="796"/>
        <w:spacing w:after="0" w:line="259" w:lineRule="auto"/>
        <w:tabs>
          <w:tab w:leader="none" w:pos="13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Party B shall cause the shareholders’ meeting and/or the board of directors of Party C not to approve the sale, transfer, mortgage or disposition in any other manner of any legal or beneficial interest in the equity interests in Party C held by Party B, or allow the creation of any security interest thereon, without the prior written consent of Party A, except for the pledge created on these equity interests in accordance with Party B’s Equity Pledge Agreement;</w:t>
      </w:r>
    </w:p>
    <w:p>
      <w:pPr>
        <w:spacing w:after="0" w:line="92" w:lineRule="exact"/>
        <w:rPr>
          <w:sz w:val="20"/>
          <w:szCs w:val="20"/>
          <w:color w:val="auto"/>
        </w:rPr>
      </w:pPr>
    </w:p>
    <w:p>
      <w:pPr>
        <w:ind w:left="1380" w:right="380" w:hanging="796"/>
        <w:spacing w:after="0" w:line="308" w:lineRule="auto"/>
        <w:tabs>
          <w:tab w:leader="none" w:pos="13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Party B shall cause the shareholders’ meeting or the board of directors of Party C not to approve the merger or consolidation with any person, or the acquisition of or investment in any person, without the prior written consent of Party A;</w:t>
      </w:r>
    </w:p>
    <w:p>
      <w:pPr>
        <w:spacing w:after="0" w:line="52" w:lineRule="exact"/>
        <w:rPr>
          <w:sz w:val="20"/>
          <w:szCs w:val="20"/>
          <w:color w:val="auto"/>
        </w:rPr>
      </w:pPr>
    </w:p>
    <w:p>
      <w:pPr>
        <w:ind w:left="1380" w:right="760" w:hanging="796"/>
        <w:spacing w:after="0" w:line="277" w:lineRule="auto"/>
        <w:tabs>
          <w:tab w:leader="none" w:pos="13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Party B shall immediately notify Party A of the occurrence or possible occurrence of any litigation, arbitration, or administrative proceedings relating to the equity interests in Party C held by Party B;</w:t>
      </w:r>
    </w:p>
    <w:p>
      <w:pPr>
        <w:spacing w:after="0" w:line="76" w:lineRule="exact"/>
        <w:rPr>
          <w:sz w:val="20"/>
          <w:szCs w:val="20"/>
          <w:color w:val="auto"/>
        </w:rPr>
      </w:pPr>
    </w:p>
    <w:p>
      <w:pPr>
        <w:ind w:left="1380" w:right="280" w:hanging="796"/>
        <w:spacing w:after="0" w:line="342" w:lineRule="auto"/>
        <w:tabs>
          <w:tab w:leader="none" w:pos="13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Party B shall cause the shareholders’ meeting or the board of directors of Party C to vote their approval of the transfer of the Purchased Equity Interest as set forth in this Agreement and to take any and all the other actions that may be requested by Party A;</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32" w:name="page533"/>
    <w:bookmarkEnd w:id="532"/>
    <w:p>
      <w:pPr>
        <w:ind w:left="1380" w:right="40" w:hanging="796"/>
        <w:spacing w:after="0" w:line="264" w:lineRule="auto"/>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2.2.8</w:t>
      </w:r>
      <w:r>
        <w:rPr>
          <w:sz w:val="20"/>
          <w:szCs w:val="20"/>
          <w:color w:val="auto"/>
        </w:rPr>
        <w:tab/>
      </w:r>
      <w:r>
        <w:rPr>
          <w:rFonts w:ascii="Arial" w:cs="Arial" w:eastAsia="Arial" w:hAnsi="Arial"/>
          <w:sz w:val="18"/>
          <w:szCs w:val="18"/>
          <w:color w:val="auto"/>
        </w:rPr>
        <w:t>To maintain Party B’s ownership of his/her equity interests in Party C, Party B shall execute all necessary or appropriate documents, take all necessary or appropriate actions, and file all necessary or appropriate complaints or raise necessary and appropriate defenses against all claims;</w:t>
      </w:r>
    </w:p>
    <w:p>
      <w:pPr>
        <w:spacing w:after="0" w:line="8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Party B shall appoint any nominee of Party A as director of Party C, at the request of Party A;</w:t>
      </w:r>
    </w:p>
    <w:p>
      <w:pPr>
        <w:spacing w:after="0" w:line="131" w:lineRule="exact"/>
        <w:rPr>
          <w:sz w:val="20"/>
          <w:szCs w:val="20"/>
          <w:color w:val="auto"/>
        </w:rPr>
      </w:pPr>
    </w:p>
    <w:p>
      <w:pPr>
        <w:ind w:left="1380" w:hanging="796"/>
        <w:spacing w:after="0" w:line="264" w:lineRule="auto"/>
        <w:tabs>
          <w:tab w:leader="none" w:pos="136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8"/>
          <w:szCs w:val="18"/>
          <w:color w:val="auto"/>
        </w:rPr>
        <w:t>At the request of Party A at any time, Party B shall promptly and unconditionally transfer their equity interests in Party C to Party A’s Nominee in accordance with the Equity Interest Purchase Option under this Agreement, and Party B hereby waives the right of first refusal to the respective equity interest transferred by another existing shareholder of Party C (if any); and</w:t>
      </w:r>
    </w:p>
    <w:p>
      <w:pPr>
        <w:spacing w:after="0" w:line="87" w:lineRule="exact"/>
        <w:rPr>
          <w:sz w:val="20"/>
          <w:szCs w:val="20"/>
          <w:color w:val="auto"/>
        </w:rPr>
      </w:pPr>
    </w:p>
    <w:p>
      <w:pPr>
        <w:ind w:left="1380" w:hanging="796"/>
        <w:spacing w:after="0" w:line="257" w:lineRule="auto"/>
        <w:tabs>
          <w:tab w:leader="none" w:pos="13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8"/>
          <w:szCs w:val="18"/>
          <w:color w:val="auto"/>
        </w:rPr>
        <w:t>Party B shall strictly abide by the provisions of this Agreement and other contracts jointly or separately executed by Party B, Party C and Party A, perform the obligations hereunder and thereunder, and refrain from any action/omission that may affect the effectiveness and enforceability thereof. If Party B retains any additional rights other than those provided for under this Agreement, Party B’s Equity Pledge Agreement, and the Power of Attorney issued to Party A as the beneficiary, Party B shall not exercise such rights unless otherwise directed by Party A in writing.</w:t>
      </w:r>
    </w:p>
    <w:p>
      <w:pPr>
        <w:spacing w:after="0" w:line="333" w:lineRule="exact"/>
        <w:rPr>
          <w:sz w:val="20"/>
          <w:szCs w:val="20"/>
          <w:color w:val="auto"/>
        </w:rPr>
      </w:pPr>
    </w:p>
    <w:p>
      <w:pPr>
        <w:ind w:left="580" w:hanging="572"/>
        <w:spacing w:after="0"/>
        <w:tabs>
          <w:tab w:leader="none" w:pos="58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58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Party B and Party C hereby represent and warrant to Party A, jointly and severally, as of the date of this Agreement and each date of transfer of the Purchased Equity Interest that:</w:t>
      </w:r>
    </w:p>
    <w:p>
      <w:pPr>
        <w:spacing w:after="0" w:line="76" w:lineRule="exact"/>
        <w:rPr>
          <w:sz w:val="20"/>
          <w:szCs w:val="20"/>
          <w:color w:val="auto"/>
        </w:rPr>
      </w:pPr>
    </w:p>
    <w:p>
      <w:pPr>
        <w:ind w:left="580" w:right="140" w:hanging="566"/>
        <w:spacing w:after="0" w:line="257"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They have the authority to enter into and deliver this Agreement and any share transfer contracts to which they are parties concerning the Purchased Equity Interest to be transferred thereunder, and to perform their obligations under this Agreement and any transfer contract. Party B and Party C agree to execute transfer contracts consistent with the terms of this Agreement upon Party A’s exercise of the Equity Interest Purchase Option. This Agreement and the transfer contracts to which they are parties constitute or will constitute their legal, valid and binding obligations and shall be enforceable against them in accordance with the provisions thereof;</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execution and delivery of this Agreement or any transfer contract and the obligations under this Agreement or any transfer contract shall not:</w:t>
      </w:r>
    </w:p>
    <w:p>
      <w:pPr>
        <w:spacing w:after="0" w:line="23" w:lineRule="exact"/>
        <w:rPr>
          <w:sz w:val="20"/>
          <w:szCs w:val="20"/>
          <w:color w:val="auto"/>
        </w:rPr>
      </w:pPr>
    </w:p>
    <w:p>
      <w:pPr>
        <w:ind w:left="580" w:right="100" w:hanging="5"/>
        <w:spacing w:after="0" w:line="271" w:lineRule="auto"/>
        <w:tabs>
          <w:tab w:leader="none" w:pos="795" w:val="left"/>
        </w:tabs>
        <w:numPr>
          <w:ilvl w:val="0"/>
          <w:numId w:val="504"/>
        </w:numPr>
        <w:rPr>
          <w:rFonts w:ascii="Arial" w:cs="Arial" w:eastAsia="Arial" w:hAnsi="Arial"/>
          <w:sz w:val="17"/>
          <w:szCs w:val="17"/>
          <w:color w:val="auto"/>
        </w:rPr>
      </w:pPr>
      <w:r>
        <w:rPr>
          <w:rFonts w:ascii="Arial" w:cs="Arial" w:eastAsia="Arial" w:hAnsi="Arial"/>
          <w:sz w:val="17"/>
          <w:szCs w:val="17"/>
          <w:color w:val="auto"/>
        </w:rPr>
        <w:t>cause any violation of any applicable laws of China; (ii) be inconsistent with the articles of association, bylaws or other organizational documents of Party C;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continuing effectiveness of any licenses or permits issued to either of them; or (v) cause the suspension or revocation of or imposition of additional conditions on any licenses or permits issued to either of them;</w:t>
      </w:r>
    </w:p>
    <w:p>
      <w:pPr>
        <w:spacing w:after="0" w:line="84"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Party B has a good and merchantable title to the equity interests in Party C they hold. Except for Party B’s Equity Pledge Agreement, Party B has not placed any security interest on such equity interests;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3" w:right="279" w:bottom="1440" w:gutter="0" w:footer="0" w:header="0"/>
        </w:sectPr>
      </w:pPr>
    </w:p>
    <w:bookmarkStart w:id="533" w:name="page534"/>
    <w:bookmarkEnd w:id="53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5"/>
          <w:szCs w:val="15"/>
          <w:color w:val="auto"/>
        </w:rPr>
        <w:t>Party C has a good and merchantable title to all of its assets and has not created any security interest on the aforementioned assets;</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Party C does not have any outstanding debts, except (i) the debts incurred in the ordinary course of business; and (ii) the debts disclosed to Party A for which Party A’s written consent has been obtained;</w:t>
      </w:r>
    </w:p>
    <w:p>
      <w:pPr>
        <w:spacing w:after="0" w:line="76" w:lineRule="exact"/>
        <w:rPr>
          <w:sz w:val="20"/>
          <w:szCs w:val="20"/>
          <w:color w:val="auto"/>
        </w:rPr>
      </w:pPr>
    </w:p>
    <w:p>
      <w:pPr>
        <w:ind w:left="580" w:right="40" w:hanging="566"/>
        <w:spacing w:after="0" w:line="276" w:lineRule="auto"/>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Where Party C is dissolved or liquidated in accordance with the requirements of the laws of China, Party C shall sell all of its assets to Party B or other qualified subject designated by Party A to the extent permitted by laws of China and at the lowest price permitted by the laws of China. Party C, subject to the applicable laws of China in force, will exempt Party A or its designated qualified subject from any obligation of payment incurred therefrom; any proceeds obtained from any of such transactions, subject to the applicable laws of China in force, shall be paid to Party A or any qualified subject designated by Party A as a part of the service fees under the Exclusive Business Cooperation Agreement;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Party C has complied with all laws and regulations of China applicable to asset acquisitions; and</w:t>
      </w:r>
    </w:p>
    <w:p>
      <w:pPr>
        <w:spacing w:after="0" w:line="131" w:lineRule="exact"/>
        <w:rPr>
          <w:sz w:val="20"/>
          <w:szCs w:val="20"/>
          <w:color w:val="auto"/>
        </w:rPr>
      </w:pPr>
    </w:p>
    <w:p>
      <w:pPr>
        <w:ind w:left="580" w:right="160" w:hanging="566"/>
        <w:spacing w:after="0" w:line="277" w:lineRule="auto"/>
        <w:tabs>
          <w:tab w:leader="none" w:pos="5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There are no pending or threatened litigation, arbitration or administrative proceedings relating to the equity interests in Party C, assets of Party C or Party C.</w:t>
      </w:r>
    </w:p>
    <w:p>
      <w:pPr>
        <w:spacing w:after="0" w:line="315" w:lineRule="exact"/>
        <w:rPr>
          <w:sz w:val="20"/>
          <w:szCs w:val="20"/>
          <w:color w:val="auto"/>
        </w:rPr>
      </w:pPr>
    </w:p>
    <w:p>
      <w:pPr>
        <w:ind w:left="580" w:hanging="572"/>
        <w:spacing w:after="0"/>
        <w:tabs>
          <w:tab w:leader="none" w:pos="58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p>
    <w:p>
      <w:pPr>
        <w:spacing w:after="0" w:line="121" w:lineRule="exact"/>
        <w:rPr>
          <w:rFonts w:ascii="Arial" w:cs="Arial" w:eastAsia="Arial" w:hAnsi="Arial"/>
          <w:sz w:val="18"/>
          <w:szCs w:val="18"/>
          <w:b w:val="1"/>
          <w:bCs w:val="1"/>
          <w:color w:val="auto"/>
        </w:rPr>
      </w:pPr>
    </w:p>
    <w:p>
      <w:pPr>
        <w:ind w:left="58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Agreement shall become effect as of the date of official execution of this Agreement by the Parties and shall remain effective until all the equity interests held by Party B in Party C have been legally transferred to Party A or its Nominee in accordance with this Agreement.</w:t>
      </w:r>
    </w:p>
    <w:p>
      <w:pPr>
        <w:spacing w:after="0" w:line="291" w:lineRule="exact"/>
        <w:rPr>
          <w:rFonts w:ascii="Arial" w:cs="Arial" w:eastAsia="Arial" w:hAnsi="Arial"/>
          <w:sz w:val="18"/>
          <w:szCs w:val="18"/>
          <w:b w:val="1"/>
          <w:bCs w:val="1"/>
          <w:color w:val="auto"/>
        </w:rPr>
      </w:pPr>
    </w:p>
    <w:p>
      <w:pPr>
        <w:ind w:left="580" w:hanging="572"/>
        <w:spacing w:after="0"/>
        <w:tabs>
          <w:tab w:leader="none" w:pos="58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Dispute Resolution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The execution, effectiveness, construction, performance, amendment and termination of this Agreement and the resolution of disputes hereunder shall be governed by the formally published and publicly available laws of China.</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Methods of Dispute Resolution</w:t>
      </w:r>
    </w:p>
    <w:p>
      <w:pPr>
        <w:spacing w:after="0" w:line="117"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color w:val="auto"/>
        </w:rPr>
        <w:t>Any dispute arising out of interpretation and performance of this Agreement shall be first settled by the Parties through friendly consultation. If the dispute cannot be settled within thirty (30) days after any Party requests other Parties to settle such dispute through consultation, any Party may submit the dispute to China International Economic and Trade Arbitration Commission to be arbitrated in accordance with rules of arbitration in force. The place of arbitration shall be Beijing and the language of arbitration shall be Chinese. The arbitration award shall be final and binding on the Parties.</w:t>
      </w:r>
    </w:p>
    <w:p>
      <w:pPr>
        <w:spacing w:after="0" w:line="333" w:lineRule="exact"/>
        <w:rPr>
          <w:sz w:val="20"/>
          <w:szCs w:val="20"/>
          <w:color w:val="auto"/>
        </w:rPr>
      </w:pPr>
    </w:p>
    <w:p>
      <w:pPr>
        <w:ind w:left="580" w:hanging="572"/>
        <w:spacing w:after="0"/>
        <w:tabs>
          <w:tab w:leader="none" w:pos="58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and Fees</w:t>
      </w:r>
    </w:p>
    <w:p>
      <w:pPr>
        <w:spacing w:after="0" w:line="121" w:lineRule="exact"/>
        <w:rPr>
          <w:rFonts w:ascii="Arial" w:cs="Arial" w:eastAsia="Arial" w:hAnsi="Arial"/>
          <w:sz w:val="18"/>
          <w:szCs w:val="18"/>
          <w:b w:val="1"/>
          <w:bCs w:val="1"/>
          <w:color w:val="auto"/>
        </w:rPr>
      </w:pPr>
    </w:p>
    <w:p>
      <w:pPr>
        <w:ind w:left="58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Party shall pay any and all transfer and registration taxes, expenses and fees incurred thereby or levied thereon in accordance with the laws of China in connection with the preparation and execution of this Agreement and the transfer contracts, as well as the consummation of the transactions contemplated under this Agreement and the transfer contracts.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34" w:name="page535"/>
    <w:bookmarkEnd w:id="534"/>
    <w:p>
      <w:pPr>
        <w:ind w:left="580" w:hanging="572"/>
        <w:spacing w:after="0"/>
        <w:tabs>
          <w:tab w:leader="none" w:pos="58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35"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All notices and other communications required or permitted hereunder shall be sent to the following addresses by personal delivery, postage-prepaid registered mail, commercial express delivery or fax. A confirmation shall be sent by email with respect to each notice. Such notices shall be deemed validly delivered according to the following provisions:</w:t>
      </w:r>
    </w:p>
    <w:p>
      <w:pPr>
        <w:spacing w:after="0" w:line="87" w:lineRule="exact"/>
        <w:rPr>
          <w:sz w:val="20"/>
          <w:szCs w:val="20"/>
          <w:color w:val="auto"/>
        </w:rPr>
      </w:pPr>
    </w:p>
    <w:p>
      <w:pPr>
        <w:ind w:left="1380" w:right="280" w:hanging="796"/>
        <w:spacing w:after="0" w:line="277" w:lineRule="auto"/>
        <w:tabs>
          <w:tab w:leader="none" w:pos="13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Where a notice is sent by personal delivery, express delivery or postage-prepaid registered mail, it will be deemed delivered when the notice is sent to or rejected at the designated address of the recipient; and</w:t>
      </w:r>
    </w:p>
    <w:p>
      <w:pPr>
        <w:spacing w:after="0" w:line="76" w:lineRule="exact"/>
        <w:rPr>
          <w:sz w:val="20"/>
          <w:szCs w:val="20"/>
          <w:color w:val="auto"/>
        </w:rPr>
      </w:pPr>
    </w:p>
    <w:p>
      <w:pPr>
        <w:ind w:left="1380" w:right="240" w:hanging="796"/>
        <w:spacing w:after="0" w:line="277" w:lineRule="auto"/>
        <w:tabs>
          <w:tab w:leader="none" w:pos="13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Where a notice is sent by fax, it will be deemed delivered when the notice is transmitted successfully, evidenced by the information of transmission confirmation automatically generated.</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For the purpose of notice, addresses of the Parties are as follows: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A: OptAim (Beijing) Information Technology Co., Ltd. </w:t>
      </w:r>
      <w:r>
        <w:rPr>
          <w:sz w:val="1"/>
          <w:szCs w:val="1"/>
          <w:color w:val="auto"/>
        </w:rPr>
        <w:drawing>
          <wp:inline distT="0" distB="0" distL="0" distR="0">
            <wp:extent cx="1551940" cy="10287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551940"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RoomC-1503-032, Building 1, Zhongguancun East Road No.18, Haidian District, Beijing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57175" cy="10287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010-58733487</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B: Tang Jian </w:t>
      </w:r>
      <w:r>
        <w:rPr>
          <w:sz w:val="1"/>
          <w:szCs w:val="1"/>
          <w:color w:val="auto"/>
        </w:rPr>
        <w:drawing>
          <wp:inline distT="0" distB="0" distL="0" distR="0">
            <wp:extent cx="257175" cy="10287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Address: No. 2#1504, North Fourth Ring Road, No. 106, Chaoyang District, Beijing </w:t>
      </w:r>
      <w:r>
        <w:rPr>
          <w:sz w:val="1"/>
          <w:szCs w:val="1"/>
          <w:color w:val="auto"/>
        </w:rPr>
        <w:drawing>
          <wp:inline distT="0" distB="0" distL="0" distR="0">
            <wp:extent cx="1878330" cy="10287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878330" cy="102870"/>
                    </a:xfrm>
                    <a:prstGeom prst="rect">
                      <a:avLst/>
                    </a:prstGeom>
                    <a:noFill/>
                    <a:ln>
                      <a:noFill/>
                    </a:ln>
                  </pic:spPr>
                </pic:pic>
              </a:graphicData>
            </a:graphic>
          </wp:inline>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010-58733487</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B: Jiao Jie </w:t>
      </w:r>
      <w:r>
        <w:rPr>
          <w:sz w:val="1"/>
          <w:szCs w:val="1"/>
          <w:color w:val="auto"/>
        </w:rPr>
        <w:drawing>
          <wp:inline distT="0" distB="0" distL="0" distR="0">
            <wp:extent cx="257175" cy="10287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15/F, Hong Fu Millennium Building, King’s Road No.665, Hong Kong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+8613910905012</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Party C: Beijing OptAim Network Technology Co., Ltd. </w:t>
      </w:r>
      <w:r>
        <w:rPr>
          <w:sz w:val="1"/>
          <w:szCs w:val="1"/>
          <w:color w:val="auto"/>
        </w:rPr>
        <w:drawing>
          <wp:inline distT="0" distB="0" distL="0" distR="0">
            <wp:extent cx="1329055" cy="102870"/>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29055" cy="102870"/>
                    </a:xfrm>
                    <a:prstGeom prst="rect">
                      <a:avLst/>
                    </a:prstGeom>
                    <a:noFill/>
                    <a:ln>
                      <a:noFill/>
                    </a:ln>
                  </pic:spPr>
                </pic:pic>
              </a:graphicData>
            </a:graphic>
          </wp:inline>
        </w:drawing>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No. 2#9A, Building No. 3, Zhichun Road No. 48, Haidian District, Beijing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48920" cy="102870"/>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010-58733487</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Any Party may at any time changes its address for notices by a notice delivered to other Parties in accordance with the provisions herein.</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269" w:right="399" w:bottom="1440" w:gutter="0" w:footer="0" w:header="0"/>
        </w:sectPr>
      </w:pPr>
    </w:p>
    <w:bookmarkStart w:id="535" w:name="page536"/>
    <w:bookmarkEnd w:id="535"/>
    <w:p>
      <w:pPr>
        <w:ind w:left="580" w:hanging="572"/>
        <w:spacing w:after="0"/>
        <w:tabs>
          <w:tab w:leader="none" w:pos="58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w:t>
      </w:r>
    </w:p>
    <w:p>
      <w:pPr>
        <w:spacing w:after="0" w:line="121" w:lineRule="exact"/>
        <w:rPr>
          <w:rFonts w:ascii="Arial" w:cs="Arial" w:eastAsia="Arial" w:hAnsi="Arial"/>
          <w:sz w:val="18"/>
          <w:szCs w:val="18"/>
          <w:b w:val="1"/>
          <w:bCs w:val="1"/>
          <w:color w:val="auto"/>
        </w:rPr>
      </w:pPr>
    </w:p>
    <w:p>
      <w:pPr>
        <w:ind w:left="58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Parties acknowledge that any oral or written information exchanged between them in connection with this Contract is confidential. Each Party shall keep such information confidential, and may not disclose such information to any third party without the written consent of other Parties, except for any information (a) which is or becomes publicly available not through disclosure by the receiving Party; (b) which is required by applicable laws or any rules of stock exchange to disclose; or (c) which is required to be disclosed by either Party to its legal or financial consultant in connection with the transaction hereunder, provided that such consultant is subject to any confidentiality obligation similar to that set forth herein. If the personnel or institutions employed or engaged by either Party disclose any confidential information, it will be deemed disclosure by such Party, and such Party shall be liable for breach of this Contract. This Article 8 shall survive the termination of this Contract for whatever reasons.</w:t>
      </w:r>
    </w:p>
    <w:p>
      <w:pPr>
        <w:spacing w:after="0" w:line="311" w:lineRule="exact"/>
        <w:rPr>
          <w:rFonts w:ascii="Arial" w:cs="Arial" w:eastAsia="Arial" w:hAnsi="Arial"/>
          <w:sz w:val="18"/>
          <w:szCs w:val="18"/>
          <w:b w:val="1"/>
          <w:bCs w:val="1"/>
          <w:color w:val="auto"/>
        </w:rPr>
      </w:pPr>
    </w:p>
    <w:p>
      <w:pPr>
        <w:ind w:left="580" w:hanging="572"/>
        <w:spacing w:after="0"/>
        <w:tabs>
          <w:tab w:leader="none" w:pos="58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Undertakings</w:t>
      </w:r>
    </w:p>
    <w:p>
      <w:pPr>
        <w:spacing w:after="0" w:line="121"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Parties agree to promptly execute documents that are reasonably required for or are desirous to the implementation of the provisions and purposes of this Agreement and take further actions that are reasonably required for or are desirous to the implementation of the provisions and purposes of this Agreement.</w:t>
      </w:r>
    </w:p>
    <w:p>
      <w:pPr>
        <w:spacing w:after="0" w:line="325" w:lineRule="exact"/>
        <w:rPr>
          <w:rFonts w:ascii="Arial" w:cs="Arial" w:eastAsia="Arial" w:hAnsi="Arial"/>
          <w:sz w:val="18"/>
          <w:szCs w:val="18"/>
          <w:b w:val="1"/>
          <w:bCs w:val="1"/>
          <w:color w:val="auto"/>
        </w:rPr>
      </w:pPr>
    </w:p>
    <w:p>
      <w:pPr>
        <w:ind w:left="580" w:hanging="572"/>
        <w:spacing w:after="0"/>
        <w:tabs>
          <w:tab w:leader="none" w:pos="58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Breach of this Agreement</w:t>
      </w:r>
    </w:p>
    <w:p>
      <w:pPr>
        <w:spacing w:after="0" w:line="135"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Arial" w:cs="Arial" w:eastAsia="Arial" w:hAnsi="Arial"/>
          <w:sz w:val="18"/>
          <w:szCs w:val="18"/>
          <w:color w:val="auto"/>
        </w:rPr>
        <w:t>10.1</w:t>
        <w:tab/>
        <w:t>Where Party B or Party C materially breaches any term under this Agreement, Party A shall have the right to terminate this Agreement and/or claim damages against Party B or Party C; this Article 10 shall not prejudice any other rights of Party A hereunder;</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Unless otherwise specified by laws, Party B or Party C has no right to terminate or rescind this Agreement under any circumstances.</w:t>
      </w:r>
    </w:p>
    <w:p>
      <w:pPr>
        <w:spacing w:after="0" w:line="370" w:lineRule="exact"/>
        <w:rPr>
          <w:sz w:val="20"/>
          <w:szCs w:val="20"/>
          <w:color w:val="auto"/>
        </w:rPr>
      </w:pPr>
    </w:p>
    <w:p>
      <w:pPr>
        <w:ind w:left="580" w:hanging="572"/>
        <w:spacing w:after="0"/>
        <w:tabs>
          <w:tab w:leader="none" w:pos="58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Amendment, Modification, and Supplementation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Any amendment, modification, and supplementation to this Agreement shall be made by execution of a written agreement by the Parties.</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Except for the amendments, modifications, or supplementations made in writing after the execution of this Agreement, this Agreement shall constitute the entire agreement by and among the Parties hereto with respect to the subject matter hereof, and shall supersede all prior oral and written consultations, representations, and contracts reached with respect to the subject matter of this Agreement.</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Headings</w:t>
      </w:r>
    </w:p>
    <w:p>
      <w:pPr>
        <w:spacing w:after="0" w:line="117" w:lineRule="exact"/>
        <w:rPr>
          <w:sz w:val="20"/>
          <w:szCs w:val="20"/>
          <w:color w:val="auto"/>
        </w:rPr>
      </w:pPr>
    </w:p>
    <w:p>
      <w:pPr>
        <w:ind w:left="580" w:right="760"/>
        <w:spacing w:after="0" w:line="277" w:lineRule="auto"/>
        <w:rPr>
          <w:sz w:val="20"/>
          <w:szCs w:val="20"/>
          <w:color w:val="auto"/>
        </w:rPr>
      </w:pPr>
      <w:r>
        <w:rPr>
          <w:rFonts w:ascii="Arial" w:cs="Arial" w:eastAsia="Arial" w:hAnsi="Arial"/>
          <w:sz w:val="18"/>
          <w:szCs w:val="18"/>
          <w:color w:val="auto"/>
        </w:rPr>
        <w:t>The headings of this Agreement are for convenience only, and shall not be used to interpret, explain, or otherwise affect the meanings of the provisions of this Agreement.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color w:val="auto"/>
        </w:rPr>
        <w:t>Language and Copies</w:t>
      </w:r>
    </w:p>
    <w:p>
      <w:pPr>
        <w:spacing w:after="0" w:line="117" w:lineRule="exact"/>
        <w:rPr>
          <w:sz w:val="20"/>
          <w:szCs w:val="20"/>
          <w:color w:val="auto"/>
        </w:rPr>
      </w:pPr>
    </w:p>
    <w:p>
      <w:pPr>
        <w:ind w:left="580" w:right="140"/>
        <w:spacing w:after="0" w:line="277" w:lineRule="auto"/>
        <w:rPr>
          <w:sz w:val="20"/>
          <w:szCs w:val="20"/>
          <w:color w:val="auto"/>
        </w:rPr>
      </w:pPr>
      <w:r>
        <w:rPr>
          <w:rFonts w:ascii="Arial" w:cs="Arial" w:eastAsia="Arial" w:hAnsi="Arial"/>
          <w:sz w:val="18"/>
          <w:szCs w:val="18"/>
          <w:color w:val="auto"/>
        </w:rPr>
        <w:t>This Agreement is written in Chinese and is made in four (4) counterparts, and each Party executing this Agreement will hold one (1). All copies are of the same legal force.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536" w:name="page537"/>
    <w:bookmarkEnd w:id="53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w:t>
      </w:r>
      <w:r>
        <w:rPr>
          <w:sz w:val="20"/>
          <w:szCs w:val="20"/>
          <w:color w:val="auto"/>
        </w:rPr>
        <w:tab/>
      </w:r>
      <w:r>
        <w:rPr>
          <w:rFonts w:ascii="Arial" w:cs="Arial" w:eastAsia="Arial" w:hAnsi="Arial"/>
          <w:sz w:val="16"/>
          <w:szCs w:val="16"/>
          <w:color w:val="auto"/>
        </w:rPr>
        <w:t>Severability</w:t>
      </w:r>
    </w:p>
    <w:p>
      <w:pPr>
        <w:spacing w:after="0" w:line="117"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If one or more provisions hereof are decided as invalid, illegal or unenforceable in any respect according to any laws or regulations, the validity, legality or enforceability of other provisions hereof shall not be affected or prejudiced in any respect. The Parties shall negotiate in good faith to strive to replace such invalid, illegal or unenforceable provisions with any valid provisions to the maximum extent permitted by laws and expected by the Parties, so that the economic effect of such valid provisions shall be similar to that of such invalid, illegal or unenforceable provisions as much as possible.</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color w:val="auto"/>
        </w:rPr>
        <w:t>Successors</w:t>
      </w:r>
    </w:p>
    <w:p>
      <w:pPr>
        <w:spacing w:after="0" w:line="117" w:lineRule="exact"/>
        <w:rPr>
          <w:sz w:val="20"/>
          <w:szCs w:val="20"/>
          <w:color w:val="auto"/>
        </w:rPr>
      </w:pPr>
    </w:p>
    <w:p>
      <w:pPr>
        <w:ind w:left="580" w:right="500"/>
        <w:spacing w:after="0" w:line="277" w:lineRule="auto"/>
        <w:rPr>
          <w:sz w:val="20"/>
          <w:szCs w:val="20"/>
          <w:color w:val="auto"/>
        </w:rPr>
      </w:pPr>
      <w:r>
        <w:rPr>
          <w:rFonts w:ascii="Arial" w:cs="Arial" w:eastAsia="Arial" w:hAnsi="Arial"/>
          <w:sz w:val="18"/>
          <w:szCs w:val="18"/>
          <w:color w:val="auto"/>
        </w:rPr>
        <w:t>This Agreement shall be binding on and shall inure to the benefit of the respective successors of the Parties and the permitted assignees of such Parties.</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Survival</w:t>
      </w:r>
    </w:p>
    <w:p>
      <w:pPr>
        <w:spacing w:after="0" w:line="131" w:lineRule="exact"/>
        <w:rPr>
          <w:sz w:val="20"/>
          <w:szCs w:val="20"/>
          <w:color w:val="auto"/>
        </w:rPr>
      </w:pPr>
    </w:p>
    <w:p>
      <w:pPr>
        <w:ind w:left="1380" w:right="280" w:hanging="796"/>
        <w:spacing w:after="0" w:line="277" w:lineRule="auto"/>
        <w:tabs>
          <w:tab w:leader="none" w:pos="1360" w:val="left"/>
        </w:tabs>
        <w:rPr>
          <w:sz w:val="20"/>
          <w:szCs w:val="20"/>
          <w:color w:val="auto"/>
        </w:rPr>
      </w:pPr>
      <w:r>
        <w:rPr>
          <w:rFonts w:ascii="Arial" w:cs="Arial" w:eastAsia="Arial" w:hAnsi="Arial"/>
          <w:sz w:val="18"/>
          <w:szCs w:val="18"/>
          <w:color w:val="auto"/>
        </w:rPr>
        <w:t>11.7.1</w:t>
      </w:r>
      <w:r>
        <w:rPr>
          <w:sz w:val="20"/>
          <w:szCs w:val="20"/>
          <w:color w:val="auto"/>
        </w:rPr>
        <w:tab/>
      </w:r>
      <w:r>
        <w:rPr>
          <w:rFonts w:ascii="Arial" w:cs="Arial" w:eastAsia="Arial" w:hAnsi="Arial"/>
          <w:sz w:val="18"/>
          <w:szCs w:val="18"/>
          <w:color w:val="auto"/>
        </w:rPr>
        <w:t>Any obligations that occur or that are due as a result of this Agreement upon the expiration or early termination of this Agreement shall survive the expiration or early termination thereof.</w:t>
      </w:r>
    </w:p>
    <w:p>
      <w:pPr>
        <w:spacing w:after="0" w:line="7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11.7.2</w:t>
      </w:r>
      <w:r>
        <w:rPr>
          <w:sz w:val="20"/>
          <w:szCs w:val="20"/>
          <w:color w:val="auto"/>
        </w:rPr>
        <w:tab/>
      </w:r>
      <w:r>
        <w:rPr>
          <w:rFonts w:ascii="Arial" w:cs="Arial" w:eastAsia="Arial" w:hAnsi="Arial"/>
          <w:sz w:val="16"/>
          <w:szCs w:val="16"/>
          <w:color w:val="auto"/>
        </w:rPr>
        <w:t>The provisions of Articles 5, 7, 8, and this Article 10.8 shall survive the termination of this Agreement.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Waiver</w:t>
      </w:r>
    </w:p>
    <w:p>
      <w:pPr>
        <w:spacing w:after="0" w:line="117" w:lineRule="exact"/>
        <w:rPr>
          <w:sz w:val="20"/>
          <w:szCs w:val="20"/>
          <w:color w:val="auto"/>
        </w:rPr>
      </w:pPr>
    </w:p>
    <w:p>
      <w:pPr>
        <w:ind w:left="580" w:right="40"/>
        <w:spacing w:after="0" w:line="264" w:lineRule="auto"/>
        <w:rPr>
          <w:sz w:val="20"/>
          <w:szCs w:val="20"/>
          <w:color w:val="auto"/>
        </w:rPr>
      </w:pPr>
      <w:r>
        <w:rPr>
          <w:rFonts w:ascii="Arial" w:cs="Arial" w:eastAsia="Arial" w:hAnsi="Arial"/>
          <w:sz w:val="18"/>
          <w:szCs w:val="18"/>
          <w:color w:val="auto"/>
        </w:rPr>
        <w:t>Any Party may waive the terms and conditions of this Agreement, provided that such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Second Amended and Restated Exclusive Option Agreement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37" w:name="page538"/>
    <w:bookmarkEnd w:id="53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and/or their respective legal representatives have executed this Amended and Restated Exclusive Operation Agreement as of the date first written above.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Party 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OptAim (Beijing)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517650" cy="10287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517650" cy="102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 xml:space="preserve">Tang Jian </w:t>
      </w:r>
      <w:r>
        <w:rPr>
          <w:sz w:val="1"/>
          <w:szCs w:val="1"/>
          <w:color w:val="auto"/>
        </w:rPr>
        <w:drawing>
          <wp:inline distT="0" distB="0" distL="0" distR="0">
            <wp:extent cx="248920" cy="10287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pacing w:after="0" w:line="117"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Legal Representative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Second Amended and Restated Exclusive Option Agreement – Signature Page</w:t>
      </w:r>
    </w:p>
    <w:p>
      <w:pPr>
        <w:sectPr>
          <w:pgSz w:w="11900" w:h="16838" w:orient="portrait"/>
          <w:cols w:equalWidth="0" w:num="1">
            <w:col w:w="11240"/>
          </w:cols>
          <w:pgMar w:left="240" w:top="273" w:right="419" w:bottom="1440" w:gutter="0" w:footer="0" w:header="0"/>
        </w:sectPr>
      </w:pPr>
    </w:p>
    <w:bookmarkStart w:id="538" w:name="page539"/>
    <w:bookmarkEnd w:id="53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and/or their respective legal representatives have executed this Amended and Restated Exclusive Operation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 xml:space="preserve">Tang Jian </w:t>
      </w:r>
      <w:r>
        <w:rPr>
          <w:sz w:val="1"/>
          <w:szCs w:val="1"/>
          <w:color w:val="auto"/>
        </w:rPr>
        <w:drawing>
          <wp:inline distT="0" distB="0" distL="0" distR="0">
            <wp:extent cx="257175" cy="102870"/>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Second Amended and Restated Exclusive Option Agreement – Signature Page</w:t>
      </w:r>
    </w:p>
    <w:p>
      <w:pPr>
        <w:sectPr>
          <w:pgSz w:w="11900" w:h="16838" w:orient="portrait"/>
          <w:cols w:equalWidth="0" w:num="1">
            <w:col w:w="11240"/>
          </w:cols>
          <w:pgMar w:left="240" w:top="273" w:right="419" w:bottom="1440" w:gutter="0" w:footer="0" w:header="0"/>
        </w:sectPr>
      </w:pPr>
    </w:p>
    <w:bookmarkStart w:id="539" w:name="page540"/>
    <w:bookmarkEnd w:id="53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and/or their respective legal representatives have executed this Amended and Restated Exclusive Operation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 xml:space="preserve">Jiao Jie </w:t>
      </w:r>
      <w:r>
        <w:rPr>
          <w:sz w:val="1"/>
          <w:szCs w:val="1"/>
          <w:color w:val="auto"/>
        </w:rPr>
        <w:drawing>
          <wp:inline distT="0" distB="0" distL="0" distR="0">
            <wp:extent cx="257175" cy="10287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Second Amended and Restated Exclusive Option Agreement – Signature Page</w:t>
      </w:r>
    </w:p>
    <w:p>
      <w:pPr>
        <w:sectPr>
          <w:pgSz w:w="11900" w:h="16838" w:orient="portrait"/>
          <w:cols w:equalWidth="0" w:num="1">
            <w:col w:w="11240"/>
          </w:cols>
          <w:pgMar w:left="240" w:top="274" w:right="419" w:bottom="1440" w:gutter="0" w:footer="0" w:header="0"/>
        </w:sectPr>
      </w:pPr>
    </w:p>
    <w:bookmarkStart w:id="540" w:name="page541"/>
    <w:bookmarkEnd w:id="54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and/or their respective legal representatives have executed this Amended and Restated Exclusive Operation Agreement as of the date first written above.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Party 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Beijing OptAim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15240</wp:posOffset>
            </wp:positionV>
            <wp:extent cx="1320800" cy="10287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 xml:space="preserve">Tang Jian </w:t>
      </w:r>
      <w:r>
        <w:rPr>
          <w:sz w:val="1"/>
          <w:szCs w:val="1"/>
          <w:color w:val="auto"/>
        </w:rPr>
        <w:drawing>
          <wp:inline distT="0" distB="0" distL="0" distR="0">
            <wp:extent cx="248920" cy="102870"/>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pacing w:after="0" w:line="117"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Legal Representative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Second Amended and Restated Exclusive Option Agreement – Signature Page</w:t>
      </w:r>
    </w:p>
    <w:p>
      <w:pPr>
        <w:sectPr>
          <w:pgSz w:w="11900" w:h="16838" w:orient="portrait"/>
          <w:cols w:equalWidth="0" w:num="1">
            <w:col w:w="11240"/>
          </w:cols>
          <w:pgMar w:left="240" w:top="274" w:right="41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Equity Pledge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second amended and restated equity pledge contract (the “</w:t>
      </w:r>
      <w:r>
        <w:rPr>
          <w:rFonts w:ascii="Arial" w:cs="Arial" w:eastAsia="Arial" w:hAnsi="Arial"/>
          <w:sz w:val="18"/>
          <w:szCs w:val="18"/>
          <w:b w:val="1"/>
          <w:bCs w:val="1"/>
          <w:color w:val="auto"/>
        </w:rPr>
        <w:t>Contract</w:t>
      </w:r>
      <w:r>
        <w:rPr>
          <w:rFonts w:ascii="Arial" w:cs="Arial" w:eastAsia="Arial" w:hAnsi="Arial"/>
          <w:sz w:val="18"/>
          <w:szCs w:val="18"/>
          <w:color w:val="auto"/>
        </w:rPr>
        <w:t>”) is made by the following parties in Beijing on May 26,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11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b w:val="1"/>
          <w:bCs w:val="1"/>
          <w:color w:val="auto"/>
        </w:rPr>
        <w:t xml:space="preserve">OptAim (Beijing) Information Technology Co., Ltd. </w:t>
      </w:r>
      <w:r>
        <w:rPr>
          <w:sz w:val="1"/>
          <w:szCs w:val="1"/>
          <w:color w:val="auto"/>
        </w:rPr>
        <w:drawing>
          <wp:inline distT="0" distB="0" distL="0" distR="0">
            <wp:extent cx="1603375" cy="102870"/>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603375" cy="102870"/>
                    </a:xfrm>
                    <a:prstGeom prst="rect">
                      <a:avLst/>
                    </a:prstGeom>
                    <a:noFill/>
                    <a:ln>
                      <a:noFill/>
                    </a:ln>
                  </pic:spPr>
                </pic:pic>
              </a:graphicData>
            </a:graphic>
          </wp:inline>
        </w:drawing>
      </w:r>
      <w:r>
        <w:rPr>
          <w:rFonts w:ascii="Arial" w:cs="Arial" w:eastAsia="Arial" w:hAnsi="Arial"/>
          <w:sz w:val="16"/>
          <w:szCs w:val="16"/>
          <w:color w:val="auto"/>
        </w:rPr>
        <w:t xml:space="preserve"> , a limited liability company organized and existing according to China laws, having its registered address at RoomC-1503-032, Building 1, Zhongguancun East Road No. 18, Haidian District, Beijing, and its legal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representative Tang Jian </w:t>
      </w:r>
      <w:r>
        <w:rPr>
          <w:sz w:val="1"/>
          <w:szCs w:val="1"/>
          <w:color w:val="auto"/>
        </w:rPr>
        <w:drawing>
          <wp:inline distT="0" distB="0" distL="0" distR="0">
            <wp:extent cx="274320" cy="10287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Pledgee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Tang Jian </w:t>
      </w:r>
      <w:r>
        <w:rPr>
          <w:sz w:val="1"/>
          <w:szCs w:val="1"/>
          <w:color w:val="auto"/>
        </w:rPr>
        <w:drawing>
          <wp:inline distT="0" distB="0" distL="0" distR="0">
            <wp:extent cx="266065" cy="102870"/>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r>
        <w:rPr>
          <w:rFonts w:ascii="Arial" w:cs="Arial" w:eastAsia="Arial" w:hAnsi="Arial"/>
          <w:sz w:val="18"/>
          <w:szCs w:val="18"/>
          <w:color w:val="auto"/>
        </w:rPr>
        <w:t xml:space="preserve"> , a Chinese citizen, having his/her ID No. 432922197608190035;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Jiao Jie </w:t>
      </w:r>
      <w:r>
        <w:rPr>
          <w:sz w:val="1"/>
          <w:szCs w:val="1"/>
          <w:color w:val="auto"/>
        </w:rPr>
        <w:drawing>
          <wp:inline distT="0" distB="0" distL="0" distR="0">
            <wp:extent cx="266065" cy="10287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r>
        <w:rPr>
          <w:rFonts w:ascii="Arial" w:cs="Arial" w:eastAsia="Arial" w:hAnsi="Arial"/>
          <w:sz w:val="18"/>
          <w:szCs w:val="18"/>
          <w:color w:val="auto"/>
        </w:rPr>
        <w:t xml:space="preserve"> , a Chinese citizen, having his/her ID No. 230103198009280023;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Pledgors</w:t>
      </w:r>
      <w:r>
        <w:rPr>
          <w:rFonts w:ascii="Arial" w:cs="Arial" w:eastAsia="Arial" w:hAnsi="Arial"/>
          <w:sz w:val="18"/>
          <w:szCs w:val="18"/>
          <w:color w:val="auto"/>
        </w:rPr>
        <w:t>”)</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Party C: Beijing OptAim Network Technology Co., Ltd. </w:t>
      </w:r>
      <w:r>
        <w:rPr>
          <w:sz w:val="1"/>
          <w:szCs w:val="1"/>
          <w:color w:val="auto"/>
        </w:rPr>
        <w:drawing>
          <wp:inline distT="0" distB="0" distL="0" distR="0">
            <wp:extent cx="1406525" cy="10287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406525" cy="102870"/>
                    </a:xfrm>
                    <a:prstGeom prst="rect">
                      <a:avLst/>
                    </a:prstGeom>
                    <a:noFill/>
                    <a:ln>
                      <a:noFill/>
                    </a:ln>
                  </pic:spPr>
                </pic:pic>
              </a:graphicData>
            </a:graphic>
          </wp:inline>
        </w:drawing>
      </w:r>
      <w:r>
        <w:rPr>
          <w:rFonts w:ascii="Arial" w:cs="Arial" w:eastAsia="Arial" w:hAnsi="Arial"/>
          <w:sz w:val="18"/>
          <w:szCs w:val="18"/>
          <w:color w:val="auto"/>
        </w:rPr>
        <w:t xml:space="preserve"> , a limited liability company organized and existing according to China laws, having its registered address at No. 2#9A, Building No. 3, Zhichun Road No. 48, Haidian District, Beijing , and its legal representative Tang Jian </w:t>
      </w:r>
      <w:r>
        <w:rPr>
          <w:sz w:val="1"/>
          <w:szCs w:val="1"/>
          <w:color w:val="auto"/>
        </w:rPr>
        <w:drawing>
          <wp:inline distT="0" distB="0" distL="0" distR="0">
            <wp:extent cx="266065" cy="10287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For purpose of this contract, the Pledgee, the Pledgors and Party C are hereinafter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580" w:hanging="572"/>
        <w:spacing w:after="0"/>
        <w:tabs>
          <w:tab w:leader="none" w:pos="58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 Pledgors are citizens of the People’s Republic of China (“</w:t>
      </w:r>
      <w:r>
        <w:rPr>
          <w:rFonts w:ascii="Arial" w:cs="Arial" w:eastAsia="Arial" w:hAnsi="Arial"/>
          <w:sz w:val="16"/>
          <w:szCs w:val="16"/>
          <w:b w:val="1"/>
          <w:bCs w:val="1"/>
          <w:color w:val="auto"/>
        </w:rPr>
        <w:t>China</w:t>
      </w:r>
      <w:r>
        <w:rPr>
          <w:rFonts w:ascii="Arial" w:cs="Arial" w:eastAsia="Arial" w:hAnsi="Arial"/>
          <w:sz w:val="16"/>
          <w:szCs w:val="16"/>
          <w:color w:val="auto"/>
        </w:rPr>
        <w:t>”). Party C is a limited liability company who was registered in Beijing, China.</w:t>
      </w:r>
    </w:p>
    <w:p>
      <w:pPr>
        <w:spacing w:after="0" w:line="50"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 xml:space="preserve">The Pledgors are the shareholders of Party C. The capital contribution is RMB 1 million, among which Tang Jian </w:t>
      </w:r>
      <w:r>
        <w:rPr>
          <w:rFonts w:ascii="Arial" w:cs="Arial" w:eastAsia="Arial" w:hAnsi="Arial"/>
          <w:sz w:val="1"/>
          <w:szCs w:val="1"/>
          <w:color w:val="auto"/>
        </w:rPr>
        <w:drawing>
          <wp:inline distT="0" distB="0" distL="0" distR="0">
            <wp:extent cx="266065" cy="10287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r>
        <w:rPr>
          <w:rFonts w:ascii="Arial" w:cs="Arial" w:eastAsia="Arial" w:hAnsi="Arial"/>
          <w:sz w:val="16"/>
          <w:szCs w:val="16"/>
          <w:color w:val="auto"/>
        </w:rPr>
        <w:t xml:space="preserve"> holds 49% equity in Party C,</w:t>
      </w:r>
    </w:p>
    <w:p>
      <w:pPr>
        <w:spacing w:after="0" w:line="20" w:lineRule="exact"/>
        <w:rPr>
          <w:rFonts w:ascii="Arial" w:cs="Arial" w:eastAsia="Arial" w:hAnsi="Arial"/>
          <w:sz w:val="16"/>
          <w:szCs w:val="16"/>
          <w:color w:val="auto"/>
        </w:rPr>
      </w:pPr>
    </w:p>
    <w:p>
      <w:pPr>
        <w:ind w:left="580" w:right="4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and Jiao Jie </w:t>
      </w:r>
      <w:r>
        <w:rPr>
          <w:rFonts w:ascii="Arial" w:cs="Arial" w:eastAsia="Arial" w:hAnsi="Arial"/>
          <w:sz w:val="1"/>
          <w:szCs w:val="1"/>
          <w:color w:val="auto"/>
        </w:rPr>
        <w:drawing>
          <wp:inline distT="0" distB="0" distL="0" distR="0">
            <wp:extent cx="274320" cy="10287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8"/>
          <w:szCs w:val="18"/>
          <w:color w:val="auto"/>
        </w:rPr>
        <w:t xml:space="preserve"> holds 51% equity in Party C. Party C acknowledges the rights and obligations of the Pledgors and the Pledgee hereunder, and agrees to provide any assistance required for registration of the Pledge.</w:t>
      </w:r>
    </w:p>
    <w:p>
      <w:pPr>
        <w:spacing w:after="0" w:line="89" w:lineRule="exact"/>
        <w:rPr>
          <w:rFonts w:ascii="Arial" w:cs="Arial" w:eastAsia="Arial" w:hAnsi="Arial"/>
          <w:sz w:val="16"/>
          <w:szCs w:val="16"/>
          <w:color w:val="auto"/>
        </w:rPr>
      </w:pPr>
    </w:p>
    <w:p>
      <w:pPr>
        <w:ind w:left="580" w:hanging="572"/>
        <w:spacing w:after="0"/>
        <w:tabs>
          <w:tab w:leader="none" w:pos="58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The Pledgee is a wholly foreign-owned enterprise registered in Beijing, China. The Pledgee, Zhiyunzhong (Shanghai) Technology Co., Ltd.</w:t>
      </w:r>
    </w:p>
    <w:p>
      <w:pPr>
        <w:spacing w:after="0" w:line="35" w:lineRule="exact"/>
        <w:rPr>
          <w:sz w:val="20"/>
          <w:szCs w:val="20"/>
          <w:color w:val="auto"/>
        </w:rPr>
      </w:pPr>
    </w:p>
    <w:p>
      <w:pPr>
        <w:ind w:left="580" w:right="380" w:firstLine="2408"/>
        <w:spacing w:after="0" w:line="253" w:lineRule="auto"/>
        <w:rPr>
          <w:sz w:val="20"/>
          <w:szCs w:val="20"/>
          <w:color w:val="auto"/>
        </w:rPr>
      </w:pPr>
      <w:r>
        <w:rPr>
          <w:rFonts w:ascii="Arial" w:cs="Arial" w:eastAsia="Arial" w:hAnsi="Arial"/>
          <w:sz w:val="18"/>
          <w:szCs w:val="18"/>
          <w:color w:val="auto"/>
        </w:rPr>
        <w:t>and Party C entered into an Exclusive Business Cooperation Agreement (“</w:t>
      </w:r>
      <w:r>
        <w:rPr>
          <w:rFonts w:ascii="Arial" w:cs="Arial" w:eastAsia="Arial" w:hAnsi="Arial"/>
          <w:sz w:val="18"/>
          <w:szCs w:val="18"/>
          <w:b w:val="1"/>
          <w:bCs w:val="1"/>
          <w:color w:val="auto"/>
        </w:rPr>
        <w:t>Exclusive Business Cooperation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on January 16, 2015. The Pledgee, the Pledgors, and Party C entered into the Second Amended and Restated Exclusive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t>
      </w:r>
      <w:r>
        <w:rPr>
          <w:rFonts w:ascii="Arial" w:cs="Arial" w:eastAsia="Arial" w:hAnsi="Arial"/>
          <w:sz w:val="18"/>
          <w:szCs w:val="18"/>
          <w:b w:val="1"/>
          <w:bCs w:val="1"/>
          <w:color w:val="auto"/>
        </w:rPr>
        <w:t>Exclusive Option Agreement</w:t>
      </w:r>
      <w:r>
        <w:rPr>
          <w:rFonts w:ascii="Arial" w:cs="Arial" w:eastAsia="Arial" w:hAnsi="Arial"/>
          <w:sz w:val="18"/>
          <w:szCs w:val="18"/>
          <w:color w:val="auto"/>
        </w:rPr>
        <w:t>”) on May 26, 2017. The Pledgors signed respectively the Power of Attorney to grant authority to the Pledgee on May 26, 2017 (the “</w:t>
      </w:r>
      <w:r>
        <w:rPr>
          <w:rFonts w:ascii="Arial" w:cs="Arial" w:eastAsia="Arial" w:hAnsi="Arial"/>
          <w:sz w:val="18"/>
          <w:szCs w:val="18"/>
          <w:b w:val="1"/>
          <w:bCs w:val="1"/>
          <w:color w:val="auto"/>
        </w:rPr>
        <w:t>POA</w:t>
      </w:r>
      <w:r>
        <w:rPr>
          <w:rFonts w:ascii="Arial" w:cs="Arial" w:eastAsia="Arial" w:hAnsi="Arial"/>
          <w:sz w:val="18"/>
          <w:szCs w:val="18"/>
          <w:color w:val="auto"/>
        </w:rPr>
        <w:t>”, together with the Exclusive Business Cooperation Agreement, the Exclusive Option Agreement and this Contract as the “</w:t>
      </w:r>
      <w:r>
        <w:rPr>
          <w:rFonts w:ascii="Arial" w:cs="Arial" w:eastAsia="Arial" w:hAnsi="Arial"/>
          <w:sz w:val="18"/>
          <w:szCs w:val="18"/>
          <w:b w:val="1"/>
          <w:bCs w:val="1"/>
          <w:color w:val="auto"/>
        </w:rPr>
        <w:t>Control Agreements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420"/>
          </w:cols>
          <w:pgMar w:left="240" w:top="121" w:right="239" w:bottom="1440" w:gutter="0" w:footer="0" w:header="0"/>
        </w:sectPr>
      </w:pPr>
    </w:p>
    <w:bookmarkStart w:id="542" w:name="page543"/>
    <w:bookmarkEnd w:id="542"/>
    <w:p>
      <w:pPr>
        <w:ind w:left="572" w:right="420" w:hanging="572"/>
        <w:spacing w:after="0" w:line="279" w:lineRule="auto"/>
        <w:tabs>
          <w:tab w:leader="none" w:pos="572" w:val="left"/>
        </w:tabs>
        <w:numPr>
          <w:ilvl w:val="0"/>
          <w:numId w:val="5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Pledgors hereby create a pledge over their equity in Party C for performance of the obligations under the Exclusive Business Cooperation Agreement, the Exclusive Option Agreement, the POA and this Contract, to ensure the Pledgee to collect all due amounts payable by Party C, including but not limited to the consulting and service fee, and to secure performance by Party C and the Pledgors of other obligations under the Exclusive Business Cooperation Agreement, the Exclusive Option Agreement, the POA and this Contract.</w:t>
      </w:r>
    </w:p>
    <w:p>
      <w:pPr>
        <w:spacing w:after="0" w:line="72" w:lineRule="exact"/>
        <w:rPr>
          <w:rFonts w:ascii="Arial" w:cs="Arial" w:eastAsia="Arial" w:hAnsi="Arial"/>
          <w:sz w:val="17"/>
          <w:szCs w:val="17"/>
          <w:color w:val="auto"/>
        </w:rPr>
      </w:pPr>
    </w:p>
    <w:p>
      <w:pPr>
        <w:ind w:left="572" w:hanging="572"/>
        <w:spacing w:after="0"/>
        <w:tabs>
          <w:tab w:leader="none" w:pos="57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The Pledgee, Party C, Tang Jian </w:t>
      </w:r>
      <w:r>
        <w:rPr>
          <w:rFonts w:ascii="Arial" w:cs="Arial" w:eastAsia="Arial" w:hAnsi="Arial"/>
          <w:sz w:val="1"/>
          <w:szCs w:val="1"/>
          <w:color w:val="auto"/>
        </w:rPr>
        <w:drawing>
          <wp:inline distT="0" distB="0" distL="0" distR="0">
            <wp:extent cx="274320" cy="10287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6"/>
          <w:szCs w:val="16"/>
          <w:color w:val="auto"/>
        </w:rPr>
        <w:t xml:space="preserve"> and Jiao Jie </w:t>
      </w:r>
      <w:r>
        <w:rPr>
          <w:rFonts w:ascii="Arial" w:cs="Arial" w:eastAsia="Arial" w:hAnsi="Arial"/>
          <w:sz w:val="1"/>
          <w:szCs w:val="1"/>
          <w:color w:val="auto"/>
        </w:rPr>
        <w:drawing>
          <wp:inline distT="0" distB="0" distL="0" distR="0">
            <wp:extent cx="274320" cy="102870"/>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6"/>
          <w:szCs w:val="16"/>
          <w:color w:val="auto"/>
        </w:rPr>
        <w:t xml:space="preserve"> entered into the Amended and Restated Equity Pledge Contract (“</w:t>
      </w:r>
      <w:r>
        <w:rPr>
          <w:rFonts w:ascii="Arial" w:cs="Arial" w:eastAsia="Arial" w:hAnsi="Arial"/>
          <w:sz w:val="16"/>
          <w:szCs w:val="16"/>
          <w:b w:val="1"/>
          <w:bCs w:val="1"/>
          <w:color w:val="auto"/>
        </w:rPr>
        <w:t>Original Contract</w:t>
      </w:r>
      <w:r>
        <w:rPr>
          <w:rFonts w:ascii="Arial" w:cs="Arial" w:eastAsia="Arial" w:hAnsi="Arial"/>
          <w:sz w:val="16"/>
          <w:szCs w:val="16"/>
          <w:color w:val="auto"/>
        </w:rPr>
        <w:t>”) on</w:t>
      </w:r>
    </w:p>
    <w:p>
      <w:pPr>
        <w:spacing w:after="0" w:line="38" w:lineRule="exact"/>
        <w:rPr>
          <w:rFonts w:ascii="Arial" w:cs="Arial" w:eastAsia="Arial" w:hAnsi="Arial"/>
          <w:sz w:val="16"/>
          <w:szCs w:val="16"/>
          <w:color w:val="auto"/>
        </w:rPr>
      </w:pPr>
    </w:p>
    <w:p>
      <w:pPr>
        <w:ind w:left="572"/>
        <w:spacing w:after="0"/>
        <w:rPr>
          <w:rFonts w:ascii="Arial" w:cs="Arial" w:eastAsia="Arial" w:hAnsi="Arial"/>
          <w:sz w:val="16"/>
          <w:szCs w:val="16"/>
          <w:color w:val="auto"/>
        </w:rPr>
      </w:pPr>
      <w:r>
        <w:rPr>
          <w:rFonts w:ascii="Arial" w:cs="Arial" w:eastAsia="Arial" w:hAnsi="Arial"/>
          <w:sz w:val="18"/>
          <w:szCs w:val="18"/>
          <w:color w:val="auto"/>
        </w:rPr>
        <w:t xml:space="preserve">June 24, 2015, whereby Tang Jian </w:t>
      </w:r>
      <w:r>
        <w:rPr>
          <w:rFonts w:ascii="Arial" w:cs="Arial" w:eastAsia="Arial" w:hAnsi="Arial"/>
          <w:sz w:val="1"/>
          <w:szCs w:val="1"/>
          <w:color w:val="auto"/>
        </w:rPr>
        <w:drawing>
          <wp:inline distT="0" distB="0" distL="0" distR="0">
            <wp:extent cx="274320" cy="102870"/>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8"/>
          <w:szCs w:val="18"/>
          <w:color w:val="auto"/>
        </w:rPr>
        <w:t xml:space="preserve"> and Jiao Jie </w:t>
      </w:r>
      <w:r>
        <w:rPr>
          <w:rFonts w:ascii="Arial" w:cs="Arial" w:eastAsia="Arial" w:hAnsi="Arial"/>
          <w:sz w:val="1"/>
          <w:szCs w:val="1"/>
          <w:color w:val="auto"/>
        </w:rPr>
        <w:drawing>
          <wp:inline distT="0" distB="0" distL="0" distR="0">
            <wp:extent cx="274320" cy="10287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r>
        <w:rPr>
          <w:rFonts w:ascii="Arial" w:cs="Arial" w:eastAsia="Arial" w:hAnsi="Arial"/>
          <w:sz w:val="18"/>
          <w:szCs w:val="18"/>
          <w:color w:val="auto"/>
        </w:rPr>
        <w:t xml:space="preserve"> created a pledge over their entire equity in Party C.</w:t>
      </w:r>
    </w:p>
    <w:p>
      <w:pPr>
        <w:spacing w:after="0" w:line="116" w:lineRule="exact"/>
        <w:rPr>
          <w:rFonts w:ascii="Arial" w:cs="Arial" w:eastAsia="Arial" w:hAnsi="Arial"/>
          <w:sz w:val="16"/>
          <w:szCs w:val="16"/>
          <w:color w:val="auto"/>
        </w:rPr>
      </w:pPr>
    </w:p>
    <w:p>
      <w:pPr>
        <w:ind w:left="572" w:right="80" w:hanging="572"/>
        <w:spacing w:after="0" w:line="342" w:lineRule="auto"/>
        <w:tabs>
          <w:tab w:leader="none" w:pos="57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 Parties agree to amend and restate the Original Contract upon negotiation and consensus. This Contract, once signed by the Parties, shall replace the Original Contract. The matters under the Original Contract shall be governed by this Contract, and the Original Contract shall terminate.</w:t>
      </w:r>
    </w:p>
    <w:p>
      <w:pPr>
        <w:spacing w:after="0" w:line="268" w:lineRule="exact"/>
        <w:rPr>
          <w:sz w:val="20"/>
          <w:szCs w:val="20"/>
          <w:color w:val="auto"/>
        </w:rPr>
      </w:pPr>
    </w:p>
    <w:p>
      <w:pPr>
        <w:ind w:left="572" w:hanging="572"/>
        <w:spacing w:after="0"/>
        <w:tabs>
          <w:tab w:leader="none" w:pos="572"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Unless this Contract provides otherwise, the terms below shall have the following meanings:</w:t>
      </w:r>
    </w:p>
    <w:p>
      <w:pPr>
        <w:spacing w:after="0" w:line="126" w:lineRule="exact"/>
        <w:rPr>
          <w:rFonts w:ascii="Arial" w:cs="Arial" w:eastAsia="Arial" w:hAnsi="Arial"/>
          <w:sz w:val="18"/>
          <w:szCs w:val="18"/>
          <w:b w:val="1"/>
          <w:bCs w:val="1"/>
          <w:color w:val="auto"/>
        </w:rPr>
      </w:pPr>
    </w:p>
    <w:p>
      <w:pPr>
        <w:ind w:left="1132" w:right="320" w:hanging="567"/>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8"/>
          <w:szCs w:val="18"/>
          <w:b w:val="1"/>
          <w:bCs w:val="1"/>
          <w:color w:val="auto"/>
        </w:rPr>
        <w:t>Pledge</w:t>
      </w:r>
      <w:r>
        <w:rPr>
          <w:rFonts w:ascii="Arial" w:cs="Arial" w:eastAsia="Arial" w:hAnsi="Arial"/>
          <w:sz w:val="18"/>
          <w:szCs w:val="18"/>
          <w:color w:val="auto"/>
        </w:rPr>
        <w:t>” means the security interest created by the Pledgors in favor of the Pledgee according to Article 2 hereof, that is, the precedential rights of the Pledgee to be satisfied by the proceeds obtained from exchange, auction or sale of the Equity.</w:t>
      </w:r>
    </w:p>
    <w:p>
      <w:pPr>
        <w:spacing w:after="0" w:line="67"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w:t>
      </w:r>
      <w:r>
        <w:rPr>
          <w:rFonts w:ascii="Arial" w:cs="Arial" w:eastAsia="Arial" w:hAnsi="Arial"/>
          <w:sz w:val="16"/>
          <w:szCs w:val="16"/>
          <w:b w:val="1"/>
          <w:bCs w:val="1"/>
          <w:color w:val="auto"/>
        </w:rPr>
        <w:t>Equity</w:t>
      </w:r>
      <w:r>
        <w:rPr>
          <w:rFonts w:ascii="Arial" w:cs="Arial" w:eastAsia="Arial" w:hAnsi="Arial"/>
          <w:sz w:val="16"/>
          <w:szCs w:val="16"/>
          <w:color w:val="auto"/>
        </w:rPr>
        <w:t>” means the entire equity interest held or to be acquired by the Pledgors in Party C according to Article 2.1 hereof.</w:t>
      </w:r>
    </w:p>
    <w:p>
      <w:pPr>
        <w:spacing w:after="0" w:line="130"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Pledge Period</w:t>
      </w:r>
      <w:r>
        <w:rPr>
          <w:rFonts w:ascii="Arial" w:cs="Arial" w:eastAsia="Arial" w:hAnsi="Arial"/>
          <w:sz w:val="16"/>
          <w:szCs w:val="16"/>
          <w:color w:val="auto"/>
        </w:rPr>
        <w:t>” means the period specified in Article 3 hereof.</w:t>
      </w:r>
    </w:p>
    <w:p>
      <w:pPr>
        <w:spacing w:after="0" w:line="130" w:lineRule="exact"/>
        <w:rPr>
          <w:rFonts w:ascii="Arial" w:cs="Arial" w:eastAsia="Arial" w:hAnsi="Arial"/>
          <w:sz w:val="18"/>
          <w:szCs w:val="18"/>
          <w:b w:val="1"/>
          <w:bCs w:val="1"/>
          <w:color w:val="auto"/>
        </w:rPr>
      </w:pPr>
    </w:p>
    <w:p>
      <w:pPr>
        <w:ind w:left="1132" w:right="60" w:hanging="567"/>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1.4“</w:t>
      </w:r>
      <w:r>
        <w:rPr>
          <w:rFonts w:ascii="Arial" w:cs="Arial" w:eastAsia="Arial" w:hAnsi="Arial"/>
          <w:sz w:val="18"/>
          <w:szCs w:val="18"/>
          <w:b w:val="1"/>
          <w:bCs w:val="1"/>
          <w:color w:val="auto"/>
        </w:rPr>
        <w:t>Contractual Obligations</w:t>
      </w:r>
      <w:r>
        <w:rPr>
          <w:rFonts w:ascii="Arial" w:cs="Arial" w:eastAsia="Arial" w:hAnsi="Arial"/>
          <w:sz w:val="18"/>
          <w:szCs w:val="18"/>
          <w:color w:val="auto"/>
        </w:rPr>
        <w:t>” means all obligations assumed by the Pledgors and Party C under the Exclusive Business Cooperation Agreement, the Exclusive Option Agreement, the POA and this Contract, including but not limited to the consulting and service fees due and payable to the Pledgee according to the Exclusive Business Cooperation Agreement, whether on the specified due date, through prepayment or otherwise.</w:t>
      </w:r>
    </w:p>
    <w:p>
      <w:pPr>
        <w:spacing w:after="0" w:line="85" w:lineRule="exact"/>
        <w:rPr>
          <w:rFonts w:ascii="Arial" w:cs="Arial" w:eastAsia="Arial" w:hAnsi="Arial"/>
          <w:sz w:val="18"/>
          <w:szCs w:val="18"/>
          <w:b w:val="1"/>
          <w:bCs w:val="1"/>
          <w:color w:val="auto"/>
        </w:rPr>
      </w:pPr>
    </w:p>
    <w:p>
      <w:pPr>
        <w:ind w:left="1132" w:hanging="567"/>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1.5“</w:t>
      </w:r>
      <w:r>
        <w:rPr>
          <w:rFonts w:ascii="Arial" w:cs="Arial" w:eastAsia="Arial" w:hAnsi="Arial"/>
          <w:sz w:val="18"/>
          <w:szCs w:val="18"/>
          <w:b w:val="1"/>
          <w:bCs w:val="1"/>
          <w:color w:val="auto"/>
        </w:rPr>
        <w:t>Secured Debts</w:t>
      </w:r>
      <w:r>
        <w:rPr>
          <w:rFonts w:ascii="Arial" w:cs="Arial" w:eastAsia="Arial" w:hAnsi="Arial"/>
          <w:sz w:val="18"/>
          <w:szCs w:val="18"/>
          <w:color w:val="auto"/>
        </w:rPr>
        <w:t>” means all the direct, indirect and consequential losses and the loss of expected benefit incurred by the Pledgee for any event of default of the Pledgors and/or Party C. The basis of any amount of such losses includes but is not limited to the reasonable business plan and profit forecast of the Pledgee, and all costs and expenses incurred by the Pledgee for enforcing any Contractual Obligations of the Pledgors and/or Party C.</w:t>
      </w:r>
    </w:p>
    <w:p>
      <w:pPr>
        <w:spacing w:after="0" w:line="1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72"/>
          </w:cols>
          <w:pgMar w:left="248" w:top="273" w:right="279" w:bottom="1440" w:gutter="0" w:footer="0" w:header="0"/>
        </w:sectPr>
      </w:pPr>
    </w:p>
    <w:bookmarkStart w:id="543" w:name="page544"/>
    <w:bookmarkEnd w:id="543"/>
    <w:p>
      <w:pPr>
        <w:ind w:left="572"/>
        <w:spacing w:after="0"/>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Events of Default</w:t>
      </w:r>
      <w:r>
        <w:rPr>
          <w:rFonts w:ascii="Arial" w:cs="Arial" w:eastAsia="Arial" w:hAnsi="Arial"/>
          <w:sz w:val="16"/>
          <w:szCs w:val="16"/>
          <w:color w:val="auto"/>
        </w:rPr>
        <w:t>” means the circumstances set forth in Article 7 hereof.</w:t>
      </w:r>
    </w:p>
    <w:p>
      <w:pPr>
        <w:spacing w:after="0" w:line="13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Default Notice</w:t>
      </w:r>
      <w:r>
        <w:rPr>
          <w:rFonts w:ascii="Arial" w:cs="Arial" w:eastAsia="Arial" w:hAnsi="Arial"/>
          <w:sz w:val="16"/>
          <w:szCs w:val="16"/>
          <w:color w:val="auto"/>
        </w:rPr>
        <w:t>” means the notice issued by the Pledgee according hereto to announce any event of default.</w:t>
      </w:r>
    </w:p>
    <w:p>
      <w:pPr>
        <w:spacing w:after="0" w:line="374" w:lineRule="exact"/>
        <w:rPr>
          <w:sz w:val="20"/>
          <w:szCs w:val="20"/>
          <w:color w:val="auto"/>
        </w:rPr>
      </w:pPr>
    </w:p>
    <w:p>
      <w:pPr>
        <w:ind w:left="572" w:hanging="572"/>
        <w:spacing w:after="0"/>
        <w:tabs>
          <w:tab w:leader="none" w:pos="572"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Pledge</w:t>
      </w:r>
    </w:p>
    <w:p>
      <w:pPr>
        <w:spacing w:after="0" w:line="134" w:lineRule="exact"/>
        <w:rPr>
          <w:rFonts w:ascii="Arial" w:cs="Arial" w:eastAsia="Arial" w:hAnsi="Arial"/>
          <w:sz w:val="18"/>
          <w:szCs w:val="18"/>
          <w:b w:val="1"/>
          <w:bCs w:val="1"/>
          <w:color w:val="auto"/>
        </w:rPr>
      </w:pPr>
    </w:p>
    <w:p>
      <w:pPr>
        <w:ind w:left="1132" w:right="40" w:hanging="567"/>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To secure the timely and complete performance of the Contractual Obligations and repayment of the Secured Debts by the Pledgors and Party C, the Pledgors hereby create a first-rank pledge in favor of the Pledgee over their Equity in Party C (including the registered capital (capital contribution) held by the Pledgors in Party C) and the related interest in such Equity, and other registered capital (capital contribution) to be acquired by the Pledgors and the related equity interest therein (“</w:t>
      </w:r>
      <w:r>
        <w:rPr>
          <w:rFonts w:ascii="Arial" w:cs="Arial" w:eastAsia="Arial" w:hAnsi="Arial"/>
          <w:sz w:val="16"/>
          <w:szCs w:val="16"/>
          <w:b w:val="1"/>
          <w:bCs w:val="1"/>
          <w:color w:val="auto"/>
        </w:rPr>
        <w:t>Equity</w:t>
      </w:r>
      <w:r>
        <w:rPr>
          <w:rFonts w:ascii="Arial" w:cs="Arial" w:eastAsia="Arial" w:hAnsi="Arial"/>
          <w:sz w:val="16"/>
          <w:szCs w:val="16"/>
          <w:color w:val="auto"/>
        </w:rPr>
        <w:t>”). As of execution hereof, the Equity over which the Pledgors create the Pledge is 100% equity they hold in Party C, and the corresponding capital contribution amount in Party C’s registered capital is RMB</w:t>
      </w:r>
    </w:p>
    <w:p>
      <w:pPr>
        <w:spacing w:after="0" w:line="2" w:lineRule="exact"/>
        <w:rPr>
          <w:rFonts w:ascii="Arial" w:cs="Arial" w:eastAsia="Arial" w:hAnsi="Arial"/>
          <w:sz w:val="18"/>
          <w:szCs w:val="18"/>
          <w:b w:val="1"/>
          <w:bCs w:val="1"/>
          <w:color w:val="auto"/>
        </w:rPr>
      </w:pPr>
    </w:p>
    <w:p>
      <w:pPr>
        <w:ind w:left="1132"/>
        <w:spacing w:after="0"/>
        <w:rPr>
          <w:rFonts w:ascii="Arial" w:cs="Arial" w:eastAsia="Arial" w:hAnsi="Arial"/>
          <w:sz w:val="18"/>
          <w:szCs w:val="18"/>
          <w:b w:val="1"/>
          <w:bCs w:val="1"/>
          <w:color w:val="auto"/>
        </w:rPr>
      </w:pPr>
      <w:r>
        <w:rPr>
          <w:rFonts w:ascii="Arial" w:cs="Arial" w:eastAsia="Arial" w:hAnsi="Arial"/>
          <w:sz w:val="18"/>
          <w:szCs w:val="18"/>
          <w:color w:val="auto"/>
        </w:rPr>
        <w:t>1 million, accounting for 100% in the registered capital.</w:t>
      </w:r>
    </w:p>
    <w:p>
      <w:pPr>
        <w:spacing w:after="0" w:line="116" w:lineRule="exact"/>
        <w:rPr>
          <w:sz w:val="20"/>
          <w:szCs w:val="20"/>
          <w:color w:val="auto"/>
        </w:rPr>
      </w:pPr>
    </w:p>
    <w:p>
      <w:pPr>
        <w:ind w:left="1132" w:right="180" w:hanging="566"/>
        <w:spacing w:after="0" w:line="277" w:lineRule="auto"/>
        <w:tabs>
          <w:tab w:leader="none" w:pos="111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Parties understand and agree that the monetary valuation arising from or relating to the Secured Debts is changing and floating until the closing date (as defined below).</w:t>
      </w:r>
    </w:p>
    <w:p>
      <w:pPr>
        <w:spacing w:after="0" w:line="72" w:lineRule="exact"/>
        <w:rPr>
          <w:sz w:val="20"/>
          <w:szCs w:val="20"/>
          <w:color w:val="auto"/>
        </w:rPr>
      </w:pPr>
    </w:p>
    <w:p>
      <w:pPr>
        <w:ind w:left="1132" w:right="120" w:hanging="566"/>
        <w:spacing w:after="0" w:line="266" w:lineRule="auto"/>
        <w:tabs>
          <w:tab w:leader="none" w:pos="111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If any of the following circumstances (“</w:t>
      </w:r>
      <w:r>
        <w:rPr>
          <w:rFonts w:ascii="Arial" w:cs="Arial" w:eastAsia="Arial" w:hAnsi="Arial"/>
          <w:sz w:val="18"/>
          <w:szCs w:val="18"/>
          <w:b w:val="1"/>
          <w:bCs w:val="1"/>
          <w:color w:val="auto"/>
        </w:rPr>
        <w:t>Closing Causes</w:t>
      </w:r>
      <w:r>
        <w:rPr>
          <w:rFonts w:ascii="Arial" w:cs="Arial" w:eastAsia="Arial" w:hAnsi="Arial"/>
          <w:sz w:val="18"/>
          <w:szCs w:val="18"/>
          <w:color w:val="auto"/>
        </w:rPr>
        <w:t>”) occurs, the value of the Secured Debts shall be determined according to the total amount of the due and outstanding Secured Debts owed to the Pledgee on the date of such Closing Cause or the date immediately before that date (“</w:t>
      </w:r>
      <w:r>
        <w:rPr>
          <w:rFonts w:ascii="Arial" w:cs="Arial" w:eastAsia="Arial" w:hAnsi="Arial"/>
          <w:sz w:val="18"/>
          <w:szCs w:val="18"/>
          <w:b w:val="1"/>
          <w:bCs w:val="1"/>
          <w:color w:val="auto"/>
        </w:rPr>
        <w:t>Fixed Debts</w:t>
      </w:r>
      <w:r>
        <w:rPr>
          <w:rFonts w:ascii="Arial" w:cs="Arial" w:eastAsia="Arial" w:hAnsi="Arial"/>
          <w:sz w:val="18"/>
          <w:szCs w:val="18"/>
          <w:color w:val="auto"/>
        </w:rPr>
        <w:t>”):</w:t>
      </w:r>
    </w:p>
    <w:p>
      <w:pPr>
        <w:spacing w:after="0" w:line="86" w:lineRule="exact"/>
        <w:rPr>
          <w:sz w:val="20"/>
          <w:szCs w:val="20"/>
          <w:color w:val="auto"/>
        </w:rPr>
      </w:pPr>
    </w:p>
    <w:p>
      <w:pPr>
        <w:ind w:left="1812" w:hanging="678"/>
        <w:spacing w:after="0"/>
        <w:tabs>
          <w:tab w:leader="none" w:pos="1812"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Control Agreement other than this Contract is terminated according its relevant provisions;</w:t>
      </w:r>
    </w:p>
    <w:p>
      <w:pPr>
        <w:spacing w:after="0" w:line="130" w:lineRule="exact"/>
        <w:rPr>
          <w:rFonts w:ascii="Arial" w:cs="Arial" w:eastAsia="Arial" w:hAnsi="Arial"/>
          <w:sz w:val="18"/>
          <w:szCs w:val="18"/>
          <w:color w:val="auto"/>
        </w:rPr>
      </w:pPr>
    </w:p>
    <w:p>
      <w:pPr>
        <w:ind w:left="1812" w:right="400" w:hanging="678"/>
        <w:spacing w:after="0" w:line="277" w:lineRule="auto"/>
        <w:tabs>
          <w:tab w:leader="none" w:pos="1812"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Event of Default under Article 7 hereof occurs and is not resolved, which causes the Pledgee to deliver a Default Notice to relevant Pledgor according to Article 7.3 hereof;</w:t>
      </w:r>
    </w:p>
    <w:p>
      <w:pPr>
        <w:spacing w:after="0" w:line="75" w:lineRule="exact"/>
        <w:rPr>
          <w:rFonts w:ascii="Arial" w:cs="Arial" w:eastAsia="Arial" w:hAnsi="Arial"/>
          <w:sz w:val="18"/>
          <w:szCs w:val="18"/>
          <w:color w:val="auto"/>
        </w:rPr>
      </w:pPr>
    </w:p>
    <w:p>
      <w:pPr>
        <w:ind w:left="1812" w:hanging="678"/>
        <w:spacing w:after="0"/>
        <w:tabs>
          <w:tab w:leader="none" w:pos="1812"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Pledgee, upon due investigation, reasonably believes that any of the Pledgors and/or Party C has become or may be insolvent; or</w:t>
      </w:r>
    </w:p>
    <w:p>
      <w:pPr>
        <w:spacing w:after="0" w:line="153" w:lineRule="exact"/>
        <w:rPr>
          <w:rFonts w:ascii="Arial" w:cs="Arial" w:eastAsia="Arial" w:hAnsi="Arial"/>
          <w:sz w:val="16"/>
          <w:szCs w:val="16"/>
          <w:color w:val="auto"/>
        </w:rPr>
      </w:pPr>
    </w:p>
    <w:p>
      <w:pPr>
        <w:ind w:left="1812" w:hanging="678"/>
        <w:spacing w:after="0"/>
        <w:tabs>
          <w:tab w:leader="none" w:pos="1812"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other events which fix the Secured Debts according to relevant laws of China.</w:t>
      </w:r>
    </w:p>
    <w:p>
      <w:pPr>
        <w:spacing w:after="0" w:line="127" w:lineRule="exact"/>
        <w:rPr>
          <w:sz w:val="20"/>
          <w:szCs w:val="20"/>
          <w:color w:val="auto"/>
        </w:rPr>
      </w:pPr>
    </w:p>
    <w:p>
      <w:pPr>
        <w:ind w:left="1132" w:right="500" w:hanging="566"/>
        <w:spacing w:after="0" w:line="282" w:lineRule="auto"/>
        <w:tabs>
          <w:tab w:leader="none" w:pos="111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For the avoidance of any doubt, the date when the Closing Cause occurs is the closing date (“</w:t>
      </w:r>
      <w:r>
        <w:rPr>
          <w:rFonts w:ascii="Arial" w:cs="Arial" w:eastAsia="Arial" w:hAnsi="Arial"/>
          <w:sz w:val="18"/>
          <w:szCs w:val="18"/>
          <w:b w:val="1"/>
          <w:bCs w:val="1"/>
          <w:color w:val="auto"/>
        </w:rPr>
        <w:t>Closing Date</w:t>
      </w:r>
      <w:r>
        <w:rPr>
          <w:rFonts w:ascii="Arial" w:cs="Arial" w:eastAsia="Arial" w:hAnsi="Arial"/>
          <w:sz w:val="18"/>
          <w:szCs w:val="18"/>
          <w:color w:val="auto"/>
        </w:rPr>
        <w:t>”). The Pledgee may elect to realize the Pledge according to Article 8 hereof on or after the Closing Date.</w:t>
      </w:r>
    </w:p>
    <w:p>
      <w:pPr>
        <w:spacing w:after="0" w:line="71" w:lineRule="exact"/>
        <w:rPr>
          <w:sz w:val="20"/>
          <w:szCs w:val="20"/>
          <w:color w:val="auto"/>
        </w:rPr>
      </w:pPr>
    </w:p>
    <w:p>
      <w:pPr>
        <w:ind w:left="1132" w:right="100" w:hanging="566"/>
        <w:spacing w:after="0" w:line="297" w:lineRule="auto"/>
        <w:tabs>
          <w:tab w:leader="none" w:pos="111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During the Pledge Period, the Pledgee is entitled to receive the dividend or bonus. The Pledgors may only receive the dividend or bonus with the prior written consent of the Pledgee. At the request of the Pledgee, the dividend or bonus received by the Pledgors shall, after deducting the individual income tax payable by the Pledgors, be (1) deposited in the account designated by the Pledgee, supervised by the Pledgee, and used to secure the Contractual Obligations and discharge the Secured Debts in the first place; or (2) without violating any China laws, presented to the Pledgee or any person designated by the Pledgee unconditionally and for no consideration.</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92"/>
          </w:cols>
          <w:pgMar w:left="248" w:top="269" w:right="259" w:bottom="1440" w:gutter="0" w:footer="0" w:header="0"/>
        </w:sectPr>
      </w:pPr>
    </w:p>
    <w:bookmarkStart w:id="544" w:name="page545"/>
    <w:bookmarkEnd w:id="544"/>
    <w:p>
      <w:pPr>
        <w:ind w:left="1140" w:right="140" w:hanging="566"/>
        <w:spacing w:after="0" w:line="277"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w:t>
      </w:r>
      <w:r>
        <w:rPr>
          <w:sz w:val="20"/>
          <w:szCs w:val="20"/>
          <w:color w:val="auto"/>
        </w:rPr>
        <w:tab/>
      </w:r>
      <w:r>
        <w:rPr>
          <w:rFonts w:ascii="Arial" w:cs="Arial" w:eastAsia="Arial" w:hAnsi="Arial"/>
          <w:sz w:val="18"/>
          <w:szCs w:val="18"/>
          <w:color w:val="auto"/>
        </w:rPr>
        <w:t>The Pledgors may make additional capital contribution to Party C only when the Pledgee agrees in writing in advance. The additional capital contribution made to the company’s registered capital shall become part of the Equity subject to the Pledge.</w:t>
      </w:r>
    </w:p>
    <w:p>
      <w:pPr>
        <w:spacing w:after="0" w:line="76" w:lineRule="exact"/>
        <w:rPr>
          <w:sz w:val="20"/>
          <w:szCs w:val="20"/>
          <w:color w:val="auto"/>
        </w:rPr>
      </w:pPr>
    </w:p>
    <w:p>
      <w:pPr>
        <w:ind w:left="1140" w:right="300" w:hanging="566"/>
        <w:spacing w:after="0" w:line="291" w:lineRule="auto"/>
        <w:tabs>
          <w:tab w:leader="none" w:pos="11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If Party C is required to be dissolved or liquidated according to any mandatory provisions of China laws, at the request of the Pledgee, any interest received by the Pledgors from Party C after completion of the dissolution or liquidation procedure according to law shall be</w:t>
      </w:r>
    </w:p>
    <w:p>
      <w:pPr>
        <w:ind w:left="1140" w:right="180" w:firstLine="2"/>
        <w:spacing w:after="0" w:line="255" w:lineRule="auto"/>
        <w:tabs>
          <w:tab w:leader="none" w:pos="1395" w:val="left"/>
        </w:tabs>
        <w:numPr>
          <w:ilvl w:val="1"/>
          <w:numId w:val="515"/>
        </w:numPr>
        <w:rPr>
          <w:rFonts w:ascii="Arial" w:cs="Arial" w:eastAsia="Arial" w:hAnsi="Arial"/>
          <w:sz w:val="18"/>
          <w:szCs w:val="18"/>
          <w:color w:val="auto"/>
        </w:rPr>
      </w:pPr>
      <w:r>
        <w:rPr>
          <w:rFonts w:ascii="Arial" w:cs="Arial" w:eastAsia="Arial" w:hAnsi="Arial"/>
          <w:sz w:val="18"/>
          <w:szCs w:val="18"/>
          <w:color w:val="auto"/>
        </w:rPr>
        <w:t>deposited in the account designated by the Pledgee, supervised by the Pledgee, and used to secure the Contractual Obligations and discharge the Secured Debts in the first place; or (2) without violating any China laws, presented to the Pledgee or any person designated by the Pledgee unconditionally and for no consideration.</w:t>
      </w:r>
    </w:p>
    <w:p>
      <w:pPr>
        <w:spacing w:after="0" w:line="334" w:lineRule="exact"/>
        <w:rPr>
          <w:rFonts w:ascii="Arial" w:cs="Arial" w:eastAsia="Arial" w:hAnsi="Arial"/>
          <w:sz w:val="18"/>
          <w:szCs w:val="18"/>
          <w:color w:val="auto"/>
        </w:rPr>
      </w:pPr>
    </w:p>
    <w:p>
      <w:pPr>
        <w:ind w:left="580" w:hanging="572"/>
        <w:spacing w:after="0"/>
        <w:tabs>
          <w:tab w:leader="none" w:pos="58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Pledge Period</w:t>
      </w:r>
    </w:p>
    <w:p>
      <w:pPr>
        <w:spacing w:after="0" w:line="134" w:lineRule="exact"/>
        <w:rPr>
          <w:rFonts w:ascii="Arial" w:cs="Arial" w:eastAsia="Arial" w:hAnsi="Arial"/>
          <w:sz w:val="18"/>
          <w:szCs w:val="18"/>
          <w:b w:val="1"/>
          <w:bCs w:val="1"/>
          <w:color w:val="auto"/>
        </w:rPr>
      </w:pPr>
    </w:p>
    <w:p>
      <w:pPr>
        <w:ind w:left="1140" w:hanging="567"/>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color w:val="auto"/>
        </w:rPr>
        <w:t>The Pledge shall become effective when it is registered with the administration for industry and commerce at the place of Party C (“</w:t>
      </w:r>
      <w:r>
        <w:rPr>
          <w:rFonts w:ascii="Arial" w:cs="Arial" w:eastAsia="Arial" w:hAnsi="Arial"/>
          <w:sz w:val="16"/>
          <w:szCs w:val="16"/>
          <w:b w:val="1"/>
          <w:bCs w:val="1"/>
          <w:color w:val="auto"/>
        </w:rPr>
        <w:t>Registration Authority</w:t>
      </w:r>
      <w:r>
        <w:rPr>
          <w:rFonts w:ascii="Arial" w:cs="Arial" w:eastAsia="Arial" w:hAnsi="Arial"/>
          <w:sz w:val="16"/>
          <w:szCs w:val="16"/>
          <w:color w:val="auto"/>
        </w:rPr>
        <w:t>”), and remain valid until the last installment of the Contractual Obligations and the Secured Debts secured by the Pledge are fulfilled or repaid fully (“</w:t>
      </w:r>
      <w:r>
        <w:rPr>
          <w:rFonts w:ascii="Arial" w:cs="Arial" w:eastAsia="Arial" w:hAnsi="Arial"/>
          <w:sz w:val="16"/>
          <w:szCs w:val="16"/>
          <w:b w:val="1"/>
          <w:bCs w:val="1"/>
          <w:color w:val="auto"/>
        </w:rPr>
        <w:t>Pledge Period</w:t>
      </w:r>
      <w:r>
        <w:rPr>
          <w:rFonts w:ascii="Arial" w:cs="Arial" w:eastAsia="Arial" w:hAnsi="Arial"/>
          <w:sz w:val="16"/>
          <w:szCs w:val="16"/>
          <w:color w:val="auto"/>
        </w:rPr>
        <w:t xml:space="preserve">”). The Parties agree that after the execution of this Contract the Pledgors and Party A shall immediately submit an application to the Registration Authority for creation registration of the equity pledge according to the </w:t>
      </w:r>
      <w:r>
        <w:rPr>
          <w:rFonts w:ascii="Arial" w:cs="Arial" w:eastAsia="Arial" w:hAnsi="Arial"/>
          <w:sz w:val="16"/>
          <w:szCs w:val="16"/>
          <w:i w:val="1"/>
          <w:iCs w:val="1"/>
          <w:color w:val="auto"/>
        </w:rPr>
        <w:t>Measures for</w:t>
      </w:r>
      <w:r>
        <w:rPr>
          <w:rFonts w:ascii="Arial" w:cs="Arial" w:eastAsia="Arial" w:hAnsi="Arial"/>
          <w:sz w:val="16"/>
          <w:szCs w:val="16"/>
          <w:color w:val="auto"/>
        </w:rPr>
        <w:t xml:space="preserve"> </w:t>
      </w:r>
      <w:r>
        <w:rPr>
          <w:rFonts w:ascii="Arial" w:cs="Arial" w:eastAsia="Arial" w:hAnsi="Arial"/>
          <w:sz w:val="16"/>
          <w:szCs w:val="16"/>
          <w:i w:val="1"/>
          <w:iCs w:val="1"/>
          <w:color w:val="auto"/>
        </w:rPr>
        <w:t>the Registration of Equity Pledge at Administrations for Industry and Commerce</w:t>
      </w:r>
      <w:r>
        <w:rPr>
          <w:rFonts w:ascii="Arial" w:cs="Arial" w:eastAsia="Arial" w:hAnsi="Arial"/>
          <w:sz w:val="16"/>
          <w:szCs w:val="16"/>
          <w:color w:val="auto"/>
        </w:rPr>
        <w:t>. The Parties further agree to complete the registration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pledge and obtain the registration notice from the Registration Authority within fifteen (15) days after the Registration Authority accepts the above application. The Parties jointly acknowledge that to go through the equity pledge registration procedure, the Parties shall submit this Contract or an equity pledge contract signed in the form required by the administration for industry and commerce at the place of Party C and truly representing the Equity’s information hereunder (“</w:t>
      </w:r>
      <w:r>
        <w:rPr>
          <w:rFonts w:ascii="Arial" w:cs="Arial" w:eastAsia="Arial" w:hAnsi="Arial"/>
          <w:sz w:val="16"/>
          <w:szCs w:val="16"/>
          <w:b w:val="1"/>
          <w:bCs w:val="1"/>
          <w:color w:val="auto"/>
        </w:rPr>
        <w:t>Registered Pledge Contract</w:t>
      </w:r>
      <w:r>
        <w:rPr>
          <w:rFonts w:ascii="Arial" w:cs="Arial" w:eastAsia="Arial" w:hAnsi="Arial"/>
          <w:sz w:val="16"/>
          <w:szCs w:val="16"/>
          <w:color w:val="auto"/>
        </w:rPr>
        <w:t>”) to the administration for industry and commerce. Any matter not covered by the Registered Pledge Contract shall be subject to this Contract. The Pledgors and Party C shall submit all required documents and go through all required procedures according to China laws and regulations and various requirements of the administration for industry and commerce, and ensure the equity pledge is registered as soon as possible after the submission of application.</w:t>
      </w:r>
    </w:p>
    <w:p>
      <w:pPr>
        <w:spacing w:after="0" w:line="74" w:lineRule="exact"/>
        <w:rPr>
          <w:rFonts w:ascii="Arial" w:cs="Arial" w:eastAsia="Arial" w:hAnsi="Arial"/>
          <w:sz w:val="18"/>
          <w:szCs w:val="18"/>
          <w:b w:val="1"/>
          <w:bCs w:val="1"/>
          <w:color w:val="auto"/>
        </w:rPr>
      </w:pPr>
    </w:p>
    <w:p>
      <w:pPr>
        <w:ind w:left="1140" w:right="300"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3.2During the Pledge Period, if Party C fails to perform any Contractual Obligation or repay any Secured Debt hereunder, the Pledgee has the right (but is not obligated to) dispose of the Pledge according to the provisions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420"/>
          </w:cols>
          <w:pgMar w:left="240" w:top="274" w:right="239" w:bottom="1440" w:gutter="0" w:footer="0" w:header="0"/>
        </w:sectPr>
      </w:pPr>
    </w:p>
    <w:bookmarkStart w:id="545" w:name="page546"/>
    <w:bookmarkEnd w:id="545"/>
    <w:p>
      <w:pPr>
        <w:ind w:left="572" w:hanging="572"/>
        <w:spacing w:after="0"/>
        <w:tabs>
          <w:tab w:leader="none" w:pos="572"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Custody of Records of the Equity subject to Pledge</w:t>
      </w:r>
    </w:p>
    <w:p>
      <w:pPr>
        <w:spacing w:after="0" w:line="134" w:lineRule="exact"/>
        <w:rPr>
          <w:rFonts w:ascii="Arial" w:cs="Arial" w:eastAsia="Arial" w:hAnsi="Arial"/>
          <w:sz w:val="18"/>
          <w:szCs w:val="18"/>
          <w:b w:val="1"/>
          <w:bCs w:val="1"/>
          <w:color w:val="auto"/>
        </w:rPr>
      </w:pPr>
    </w:p>
    <w:p>
      <w:pPr>
        <w:ind w:left="1132" w:right="300"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4.1Within three (3) days from the date of signing this Agreement, Party C shall issue the register of shareholders and the capital contribution certificate recording the Pledge in the form and substance set forth in Exhibit 1 hereto.</w:t>
      </w:r>
    </w:p>
    <w:p>
      <w:pPr>
        <w:spacing w:after="0" w:line="75" w:lineRule="exact"/>
        <w:rPr>
          <w:rFonts w:ascii="Arial" w:cs="Arial" w:eastAsia="Arial" w:hAnsi="Arial"/>
          <w:sz w:val="18"/>
          <w:szCs w:val="18"/>
          <w:b w:val="1"/>
          <w:bCs w:val="1"/>
          <w:color w:val="auto"/>
        </w:rPr>
      </w:pPr>
    </w:p>
    <w:p>
      <w:pPr>
        <w:ind w:left="1132" w:right="140" w:hanging="56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4.2The Pledgors shall deliver the register of shareholders and the capital contribution certificate recording the Pledge (and other documents reasonably required by the Pledgee, including but not limited to the equity registration notice issued by the administration for industry and commerce) to the Pledgee for custody on the date when the Pledge is registered and created. The pledgee shall keep such documents during the whole Pledge Period set forth herein.</w:t>
      </w:r>
    </w:p>
    <w:p>
      <w:pPr>
        <w:spacing w:after="0" w:line="331" w:lineRule="exact"/>
        <w:rPr>
          <w:rFonts w:ascii="Arial" w:cs="Arial" w:eastAsia="Arial" w:hAnsi="Arial"/>
          <w:sz w:val="18"/>
          <w:szCs w:val="18"/>
          <w:b w:val="1"/>
          <w:bCs w:val="1"/>
          <w:color w:val="auto"/>
        </w:rPr>
      </w:pPr>
    </w:p>
    <w:p>
      <w:pPr>
        <w:ind w:left="572" w:right="6000" w:hanging="572"/>
        <w:spacing w:after="0" w:line="434" w:lineRule="auto"/>
        <w:tabs>
          <w:tab w:leader="none" w:pos="569" w:val="left"/>
        </w:tabs>
        <w:numPr>
          <w:ilvl w:val="0"/>
          <w:numId w:val="5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the Pledgors and Party C The Pledgors represent and warrant to the Pledgee as follows:</w:t>
      </w:r>
    </w:p>
    <w:p>
      <w:pPr>
        <w:ind w:left="1132" w:right="300" w:hanging="567"/>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5.1The Pledgors are the sole legal and beneficial owners of the Equity, and have lawful, complete and full ownership to the Equity they hold except as otherwise stipulated in any other agreement signed by the Pledgors and the Pledgee.</w:t>
      </w:r>
    </w:p>
    <w:p>
      <w:pPr>
        <w:spacing w:after="0" w:line="75"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5.2</w:t>
      </w:r>
      <w:r>
        <w:rPr>
          <w:rFonts w:ascii="Arial" w:cs="Arial" w:eastAsia="Arial" w:hAnsi="Arial"/>
          <w:sz w:val="16"/>
          <w:szCs w:val="16"/>
          <w:color w:val="auto"/>
        </w:rPr>
        <w:t>The Pledgee is entitled to dispose of and transfer the Equity according to the provisions hereof.</w:t>
      </w:r>
    </w:p>
    <w:p>
      <w:pPr>
        <w:spacing w:after="0" w:line="130" w:lineRule="exact"/>
        <w:rPr>
          <w:rFonts w:ascii="Arial" w:cs="Arial" w:eastAsia="Arial" w:hAnsi="Arial"/>
          <w:sz w:val="16"/>
          <w:szCs w:val="16"/>
          <w:b w:val="1"/>
          <w:bCs w:val="1"/>
          <w:color w:val="auto"/>
        </w:rPr>
      </w:pPr>
    </w:p>
    <w:p>
      <w:pPr>
        <w:ind w:left="1132" w:hanging="567"/>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5.3Except for the Pledge, the Pledgors have not created any security interest or other encumbrance over the Equity, no dispute exists over the ownership to the Equity, and the Equity is not subject to any actual or threatened attachment or other legal procedures, and may be pledged or transferred according to the laws to which it is subject.</w:t>
      </w:r>
    </w:p>
    <w:p>
      <w:pPr>
        <w:spacing w:after="0" w:line="86" w:lineRule="exact"/>
        <w:rPr>
          <w:rFonts w:ascii="Arial" w:cs="Arial" w:eastAsia="Arial" w:hAnsi="Arial"/>
          <w:sz w:val="16"/>
          <w:szCs w:val="16"/>
          <w:b w:val="1"/>
          <w:bCs w:val="1"/>
          <w:color w:val="auto"/>
        </w:rPr>
      </w:pPr>
    </w:p>
    <w:p>
      <w:pPr>
        <w:ind w:left="1132" w:right="100" w:hanging="567"/>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5.4</w:t>
      </w:r>
      <w:r>
        <w:rPr>
          <w:rFonts w:ascii="Arial" w:cs="Arial" w:eastAsia="Arial" w:hAnsi="Arial"/>
          <w:sz w:val="17"/>
          <w:szCs w:val="17"/>
          <w:color w:val="auto"/>
        </w:rPr>
        <w:t>The Pledgors’ execution hereof and exercise of any right or performance of any obligations hereunder will not violate any laws, regulations, any agreement or contract to which the Pledgors are a party, or any covenants made by the Pledgors to any third party.</w:t>
      </w:r>
    </w:p>
    <w:p>
      <w:pPr>
        <w:spacing w:after="0" w:line="51"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5.5</w:t>
      </w:r>
      <w:r>
        <w:rPr>
          <w:rFonts w:ascii="Arial" w:cs="Arial" w:eastAsia="Arial" w:hAnsi="Arial"/>
          <w:sz w:val="16"/>
          <w:szCs w:val="16"/>
          <w:color w:val="auto"/>
        </w:rPr>
        <w:t>All documents, materials, statements and certificates provided by the Pledgors to the Pledgee are accurate, true, complete and valid.</w:t>
      </w:r>
    </w:p>
    <w:p>
      <w:pPr>
        <w:spacing w:after="0" w:line="329"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Party C represents and warrants to the Pledgee as follows:</w:t>
      </w:r>
    </w:p>
    <w:p>
      <w:pPr>
        <w:spacing w:after="0" w:line="134" w:lineRule="exact"/>
        <w:rPr>
          <w:rFonts w:ascii="Arial" w:cs="Arial" w:eastAsia="Arial" w:hAnsi="Arial"/>
          <w:sz w:val="16"/>
          <w:szCs w:val="16"/>
          <w:b w:val="1"/>
          <w:bCs w:val="1"/>
          <w:color w:val="auto"/>
        </w:rPr>
      </w:pPr>
    </w:p>
    <w:p>
      <w:pPr>
        <w:ind w:left="1132" w:right="80" w:hanging="567"/>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5.6Party C is a limited liability company organized and validly existing according to China laws who has separate legal personality and full and independent legal status and capacity to execute, deliver and perform this Contract.</w:t>
      </w:r>
    </w:p>
    <w:p>
      <w:pPr>
        <w:spacing w:after="0" w:line="75"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5.7</w:t>
      </w:r>
      <w:r>
        <w:rPr>
          <w:rFonts w:ascii="Arial" w:cs="Arial" w:eastAsia="Arial" w:hAnsi="Arial"/>
          <w:sz w:val="16"/>
          <w:szCs w:val="16"/>
          <w:color w:val="auto"/>
        </w:rPr>
        <w:t>This Contract is duly executed by Party C, and constitutes the lawful, valid and binding obligations of Party C.</w:t>
      </w:r>
    </w:p>
    <w:p>
      <w:pPr>
        <w:spacing w:after="0" w:line="130" w:lineRule="exact"/>
        <w:rPr>
          <w:rFonts w:ascii="Arial" w:cs="Arial" w:eastAsia="Arial" w:hAnsi="Arial"/>
          <w:sz w:val="16"/>
          <w:szCs w:val="16"/>
          <w:b w:val="1"/>
          <w:bCs w:val="1"/>
          <w:color w:val="auto"/>
        </w:rPr>
      </w:pPr>
    </w:p>
    <w:p>
      <w:pPr>
        <w:ind w:left="1132" w:right="340" w:hanging="567"/>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5.8Party C has the full internal power and authority to enter into and deliver this Contract and all other documents relating to the transaction contemplated hereunder, and has the full power and authority to complete such transaction.</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32"/>
          </w:cols>
          <w:pgMar w:left="248" w:top="269" w:right="319" w:bottom="1440" w:gutter="0" w:footer="0" w:header="0"/>
        </w:sectPr>
      </w:pPr>
    </w:p>
    <w:bookmarkStart w:id="546" w:name="page547"/>
    <w:bookmarkEnd w:id="546"/>
    <w:p>
      <w:pPr>
        <w:ind w:left="1132" w:right="20" w:hanging="566"/>
        <w:spacing w:after="0" w:line="264" w:lineRule="auto"/>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w:t>
      </w:r>
      <w:r>
        <w:rPr>
          <w:sz w:val="20"/>
          <w:szCs w:val="20"/>
          <w:color w:val="auto"/>
        </w:rPr>
        <w:tab/>
      </w:r>
      <w:r>
        <w:rPr>
          <w:rFonts w:ascii="Arial" w:cs="Arial" w:eastAsia="Arial" w:hAnsi="Arial"/>
          <w:sz w:val="18"/>
          <w:szCs w:val="18"/>
          <w:color w:val="auto"/>
        </w:rPr>
        <w:t>There is no major security interest or other encumbrances over the assets of Party C which may affect the rights and interests of the Pledgee in the Equity, including but not limited to any assignment of Party C’s intellectual property or other asset with a value of not less than RMB 100,000, or any encumbrances on the title or use right of such assets.</w:t>
      </w:r>
    </w:p>
    <w:p>
      <w:pPr>
        <w:spacing w:after="0" w:line="87" w:lineRule="exact"/>
        <w:rPr>
          <w:sz w:val="20"/>
          <w:szCs w:val="20"/>
          <w:color w:val="auto"/>
        </w:rPr>
      </w:pPr>
    </w:p>
    <w:p>
      <w:pPr>
        <w:ind w:left="1132" w:right="20" w:hanging="566"/>
        <w:spacing w:after="0" w:line="302" w:lineRule="auto"/>
        <w:tabs>
          <w:tab w:leader="none" w:pos="1112"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There is no pending or, to the knowledge of Party C, threatened litigation, arbitration or other legal procedure against the Equity, Party C or its assets before any court or arbitral tribunal, or any pending or, to the knowledge of Party C, threatened administrative procedure or penalty of any governmental authority or administrative body against the Equity, Party C or its assets, which may have material adverse effect on Party C’s economic condition or the Pledgors’ ability to perform any obligations hereunder or to assume the responsibility of security.</w:t>
      </w:r>
    </w:p>
    <w:p>
      <w:pPr>
        <w:spacing w:after="0" w:line="60"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Party C hereby agrees to be jointly and severally liable to the Pledgee for the representations and warranties made by the Pledgors hereunder.</w:t>
      </w:r>
    </w:p>
    <w:p>
      <w:pPr>
        <w:spacing w:after="0" w:line="131" w:lineRule="exact"/>
        <w:rPr>
          <w:sz w:val="20"/>
          <w:szCs w:val="20"/>
          <w:color w:val="auto"/>
        </w:rPr>
      </w:pPr>
    </w:p>
    <w:p>
      <w:pPr>
        <w:ind w:left="1132" w:right="800" w:hanging="566"/>
        <w:spacing w:after="0" w:line="308" w:lineRule="auto"/>
        <w:tabs>
          <w:tab w:leader="none" w:pos="1112"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Party C hereby warrants to the Pledgee that the above representations and warranties shall be true and correct at any time before the Contractual Obligations are fully performed or the Secured Debts are fully repaid, and shall be fully complied with.</w:t>
      </w:r>
    </w:p>
    <w:p>
      <w:pPr>
        <w:spacing w:after="0" w:line="291" w:lineRule="exact"/>
        <w:rPr>
          <w:sz w:val="20"/>
          <w:szCs w:val="20"/>
          <w:color w:val="auto"/>
        </w:rPr>
      </w:pPr>
    </w:p>
    <w:p>
      <w:pPr>
        <w:ind w:left="572" w:right="5900" w:hanging="572"/>
        <w:spacing w:after="0" w:line="408" w:lineRule="auto"/>
        <w:tabs>
          <w:tab w:leader="none" w:pos="569" w:val="left"/>
        </w:tabs>
        <w:numPr>
          <w:ilvl w:val="0"/>
          <w:numId w:val="5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Covenants and Further Agreements of the Pledgors and Party C The Pledgors covenant and further agree as follow:</w:t>
      </w:r>
    </w:p>
    <w:p>
      <w:pPr>
        <w:spacing w:after="0" w:line="1" w:lineRule="exact"/>
        <w:rPr>
          <w:rFonts w:ascii="Arial" w:cs="Arial" w:eastAsia="Arial" w:hAnsi="Arial"/>
          <w:sz w:val="17"/>
          <w:szCs w:val="17"/>
          <w:b w:val="1"/>
          <w:bCs w:val="1"/>
          <w:color w:val="auto"/>
        </w:rPr>
      </w:pPr>
    </w:p>
    <w:p>
      <w:pPr>
        <w:ind w:left="572"/>
        <w:spacing w:after="0"/>
        <w:rPr>
          <w:rFonts w:ascii="Arial" w:cs="Arial" w:eastAsia="Arial" w:hAnsi="Arial"/>
          <w:sz w:val="17"/>
          <w:szCs w:val="17"/>
          <w:b w:val="1"/>
          <w:bCs w:val="1"/>
          <w:color w:val="auto"/>
        </w:rPr>
      </w:pPr>
      <w:r>
        <w:rPr>
          <w:rFonts w:ascii="Arial" w:cs="Arial" w:eastAsia="Arial" w:hAnsi="Arial"/>
          <w:sz w:val="18"/>
          <w:szCs w:val="18"/>
          <w:color w:val="auto"/>
        </w:rPr>
        <w:t>6.1</w:t>
      </w:r>
      <w:r>
        <w:rPr>
          <w:rFonts w:ascii="Arial" w:cs="Arial" w:eastAsia="Arial" w:hAnsi="Arial"/>
          <w:sz w:val="16"/>
          <w:szCs w:val="16"/>
          <w:color w:val="auto"/>
        </w:rPr>
        <w:t>During the term of this Contract, the Pledgors hereby convent that they shall</w:t>
      </w:r>
    </w:p>
    <w:p>
      <w:pPr>
        <w:spacing w:after="0" w:line="131" w:lineRule="exact"/>
        <w:rPr>
          <w:sz w:val="20"/>
          <w:szCs w:val="20"/>
          <w:color w:val="auto"/>
        </w:rPr>
      </w:pPr>
    </w:p>
    <w:p>
      <w:pPr>
        <w:ind w:left="1812" w:right="60" w:hanging="674"/>
        <w:spacing w:after="0" w:line="312" w:lineRule="auto"/>
        <w:tabs>
          <w:tab w:leader="none" w:pos="179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not attempt or permit others to attempt to transfer the Equity in whole or in part, or create or permit existence of any security interest or other encumbrance which may affect the Pledgee’s rights and interests in the Equity without the prior written consent of the Pledgee, except for performing the Option Contract signed between the Pledgors, Pledgee and Party C on the date of this Contract;</w:t>
      </w:r>
    </w:p>
    <w:p>
      <w:pPr>
        <w:spacing w:after="0" w:line="52" w:lineRule="exact"/>
        <w:rPr>
          <w:sz w:val="20"/>
          <w:szCs w:val="20"/>
          <w:color w:val="auto"/>
        </w:rPr>
      </w:pPr>
    </w:p>
    <w:p>
      <w:pPr>
        <w:ind w:left="1812" w:right="20" w:hanging="674"/>
        <w:spacing w:after="0" w:line="279" w:lineRule="auto"/>
        <w:tabs>
          <w:tab w:leader="none" w:pos="179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color w:val="auto"/>
        </w:rPr>
        <w:t>comply with the provisions of all laws and regulations applicable to the Pledge, and present to the Pledgee any notice, order or suggestion issued or made by any competent authority (or any other authorities) with respect to the Pledge within 5 days of receiving such notice, order or suggestion, and comply with such notice, order or suggestion or submit any objection and statement on the above notice, order or suggestion at the reasonable request or with the consent of the Pledgee;</w:t>
      </w:r>
    </w:p>
    <w:p>
      <w:pPr>
        <w:spacing w:after="0" w:line="77" w:lineRule="exact"/>
        <w:rPr>
          <w:sz w:val="20"/>
          <w:szCs w:val="20"/>
          <w:color w:val="auto"/>
        </w:rPr>
      </w:pPr>
    </w:p>
    <w:p>
      <w:pPr>
        <w:ind w:left="1812" w:hanging="674"/>
        <w:spacing w:after="0" w:line="264" w:lineRule="auto"/>
        <w:tabs>
          <w:tab w:leader="none" w:pos="1792"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Immediately notify the Pledgee of any event or notice received by them which may have effect on any rights of the Pledgee in the Pledge or part of the Pledge, and any event or notice received by them which may have effect on any warranty or other obligations of the Pledgors arising from this Contract.</w:t>
      </w:r>
    </w:p>
    <w:p>
      <w:pPr>
        <w:spacing w:after="0" w:line="87" w:lineRule="exact"/>
        <w:rPr>
          <w:sz w:val="20"/>
          <w:szCs w:val="20"/>
          <w:color w:val="auto"/>
        </w:rPr>
      </w:pPr>
    </w:p>
    <w:p>
      <w:pPr>
        <w:ind w:left="1132" w:right="260" w:hanging="566"/>
        <w:spacing w:after="0" w:line="277" w:lineRule="auto"/>
        <w:tabs>
          <w:tab w:leader="none" w:pos="111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Pledgors agree that they or their successors or representatives, or any other persons may not discontinue or interrupt, through any legal procedure, any right in the Pledge acquired by the Pledgee hereunder.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412"/>
          </w:cols>
          <w:pgMar w:left="248" w:top="274" w:right="239" w:bottom="1440" w:gutter="0" w:footer="0" w:header="0"/>
        </w:sectPr>
      </w:pPr>
    </w:p>
    <w:bookmarkStart w:id="547" w:name="page548"/>
    <w:bookmarkEnd w:id="547"/>
    <w:p>
      <w:pPr>
        <w:ind w:right="120" w:hanging="566"/>
        <w:spacing w:after="0" w:line="29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 xml:space="preserve"> </w:t>
      </w:r>
      <w:r>
        <w:rPr>
          <w:rFonts w:ascii="Arial" w:cs="Arial" w:eastAsia="Arial" w:hAnsi="Arial"/>
          <w:sz w:val="16"/>
          <w:szCs w:val="16"/>
          <w:color w:val="auto"/>
        </w:rPr>
        <w:t>In order to protect or perfect any security interest hereunder, the Pledgors hereby covenant that they will execute and promote other parties interested in the Pledge to execute all certificates, agreements, deeds and/or undertakings required by the Pledgee. The Pledgors further covenant that they will take and promote other parties interested in the Pledge to take other actions required by the Pledgee, to facilitate the Pledgee to exercise any right or authority granted to it hereunder, and will enter into all relevant documents with the Pledgee or any nominee of the Pledgee (whether an individual or legal person) with respect to the ownership to the Equity. The Pledgors covenant that they will provide the Pledgee with all notices, orders and decisions relating to the Pledge as requested by the Pledgee within a reasonable period.</w:t>
      </w:r>
    </w:p>
    <w:p>
      <w:pPr>
        <w:spacing w:after="0" w:line="70" w:lineRule="exact"/>
        <w:rPr>
          <w:sz w:val="20"/>
          <w:szCs w:val="20"/>
          <w:color w:val="auto"/>
        </w:rPr>
      </w:pPr>
    </w:p>
    <w:p>
      <w:pPr>
        <w:jc w:val="both"/>
        <w:ind w:right="80" w:hanging="566"/>
        <w:spacing w:after="0" w:line="264" w:lineRule="auto"/>
        <w:rPr>
          <w:sz w:val="20"/>
          <w:szCs w:val="20"/>
          <w:color w:val="auto"/>
        </w:rPr>
      </w:pPr>
      <w:r>
        <w:rPr>
          <w:rFonts w:ascii="Arial" w:cs="Arial" w:eastAsia="Arial" w:hAnsi="Arial"/>
          <w:sz w:val="18"/>
          <w:szCs w:val="18"/>
          <w:color w:val="auto"/>
        </w:rPr>
        <w:t>6.4</w:t>
      </w:r>
      <w:r>
        <w:rPr>
          <w:sz w:val="20"/>
          <w:szCs w:val="20"/>
          <w:color w:val="auto"/>
        </w:rPr>
        <w:t xml:space="preserve"> </w:t>
      </w:r>
      <w:r>
        <w:rPr>
          <w:rFonts w:ascii="Arial" w:cs="Arial" w:eastAsia="Arial" w:hAnsi="Arial"/>
          <w:sz w:val="18"/>
          <w:szCs w:val="18"/>
          <w:color w:val="auto"/>
        </w:rPr>
        <w:t>The Pledgors hereby undertake to the Pledgee that they will comply with and perform all warranties, covenants, agreements, representations and conditions hereof. If any Pledgor fails to perform any of such warranties, covenants, agreements, representations and conditions in whole or in part, the Pledgors shall compensate for all losses thus incurred by the Pledgee.</w:t>
      </w:r>
    </w:p>
    <w:p>
      <w:pPr>
        <w:spacing w:after="0" w:line="87" w:lineRule="exact"/>
        <w:rPr>
          <w:sz w:val="20"/>
          <w:szCs w:val="20"/>
          <w:color w:val="auto"/>
        </w:rPr>
      </w:pPr>
    </w:p>
    <w:p>
      <w:pPr>
        <w:ind w:right="180" w:hanging="566"/>
        <w:spacing w:after="0" w:line="264" w:lineRule="auto"/>
        <w:rPr>
          <w:sz w:val="20"/>
          <w:szCs w:val="20"/>
          <w:color w:val="auto"/>
        </w:rPr>
      </w:pPr>
      <w:r>
        <w:rPr>
          <w:rFonts w:ascii="Arial" w:cs="Arial" w:eastAsia="Arial" w:hAnsi="Arial"/>
          <w:sz w:val="18"/>
          <w:szCs w:val="18"/>
          <w:color w:val="auto"/>
        </w:rPr>
        <w:t>6.5</w:t>
      </w:r>
      <w:r>
        <w:rPr>
          <w:sz w:val="20"/>
          <w:szCs w:val="20"/>
          <w:color w:val="auto"/>
        </w:rPr>
        <w:t xml:space="preserve"> </w:t>
      </w:r>
      <w:r>
        <w:rPr>
          <w:rFonts w:ascii="Arial" w:cs="Arial" w:eastAsia="Arial" w:hAnsi="Arial"/>
          <w:sz w:val="18"/>
          <w:szCs w:val="18"/>
          <w:color w:val="auto"/>
        </w:rPr>
        <w:t>If any court or other governmental department takes any compulsory measures on the Equity subject to Pledge hereunder, the Pledgors shall use their best efforts to lift such compulsory measures, including but not limited to providing other security to the court or taking other measures.</w:t>
      </w:r>
    </w:p>
    <w:p>
      <w:pPr>
        <w:spacing w:after="0" w:line="87" w:lineRule="exact"/>
        <w:rPr>
          <w:sz w:val="20"/>
          <w:szCs w:val="20"/>
          <w:color w:val="auto"/>
        </w:rPr>
      </w:pPr>
    </w:p>
    <w:p>
      <w:pPr>
        <w:ind w:right="80" w:hanging="566"/>
        <w:spacing w:after="0" w:line="312" w:lineRule="auto"/>
        <w:rPr>
          <w:sz w:val="20"/>
          <w:szCs w:val="20"/>
          <w:color w:val="auto"/>
        </w:rPr>
      </w:pPr>
      <w:r>
        <w:rPr>
          <w:rFonts w:ascii="Arial" w:cs="Arial" w:eastAsia="Arial" w:hAnsi="Arial"/>
          <w:sz w:val="18"/>
          <w:szCs w:val="18"/>
          <w:color w:val="auto"/>
        </w:rPr>
        <w:t>6.6</w:t>
      </w:r>
      <w:r>
        <w:rPr>
          <w:sz w:val="20"/>
          <w:szCs w:val="20"/>
          <w:color w:val="auto"/>
        </w:rPr>
        <w:t xml:space="preserve"> </w:t>
      </w:r>
      <w:r>
        <w:rPr>
          <w:rFonts w:ascii="Arial" w:cs="Arial" w:eastAsia="Arial" w:hAnsi="Arial"/>
          <w:sz w:val="16"/>
          <w:szCs w:val="16"/>
          <w:color w:val="auto"/>
        </w:rPr>
        <w:t>If the value of the Equity is possible to reduce which may endanger the Pledgee’s rights, the Pledgee may request the Pledgors to provide additional mortgage or other security. If the Pledgors fail to so provide, the Pledgee may auction or sell the Equity at any time, and use the proceeds from such auction or sale to prepay the Secured Debts or lodge the proceeds. The Pledgors shall be liable for all costs thus incurred.</w:t>
      </w:r>
    </w:p>
    <w:p>
      <w:pPr>
        <w:spacing w:after="0" w:line="52" w:lineRule="exact"/>
        <w:rPr>
          <w:sz w:val="20"/>
          <w:szCs w:val="20"/>
          <w:color w:val="auto"/>
        </w:rPr>
      </w:pPr>
    </w:p>
    <w:p>
      <w:pPr>
        <w:ind w:hanging="566"/>
        <w:spacing w:after="0" w:line="270" w:lineRule="auto"/>
        <w:rPr>
          <w:sz w:val="20"/>
          <w:szCs w:val="20"/>
          <w:color w:val="auto"/>
        </w:rPr>
      </w:pPr>
      <w:r>
        <w:rPr>
          <w:rFonts w:ascii="Arial" w:cs="Arial" w:eastAsia="Arial" w:hAnsi="Arial"/>
          <w:sz w:val="18"/>
          <w:szCs w:val="18"/>
          <w:color w:val="auto"/>
        </w:rPr>
        <w:t>6.7</w:t>
      </w:r>
      <w:r>
        <w:rPr>
          <w:sz w:val="20"/>
          <w:szCs w:val="20"/>
          <w:color w:val="auto"/>
        </w:rPr>
        <w:t xml:space="preserve"> </w:t>
      </w:r>
      <w:r>
        <w:rPr>
          <w:rFonts w:ascii="Arial" w:cs="Arial" w:eastAsia="Arial" w:hAnsi="Arial"/>
          <w:sz w:val="17"/>
          <w:szCs w:val="17"/>
          <w:color w:val="auto"/>
        </w:rPr>
        <w:t>Without the Pledgee’s prior written consent, the Pledgors and/or Party C may not increase, reduce or transfer (or assist others to increase, reduce or transfer) the registered capital of Party C (or their respective capital contribution in Party C), or create (or assist others to create) any encumbrances over the registered capital or capital contribution. Subject to the preceding sentence, any equity in Party C registered or acquired by the Pledgors after the date hereof is referred to as “Additional Equity”. The Pledgors and Party C shall immediately enter into a supplementary equity pledge agreement in connection with the Additional Equity with the Pledgee when the Pledgors acquire such Additional Equity, promote Party C’s board of directors and shareholders’ meeting to approve such supplementary equity pledge agreement, and provide the Pledgee with all documents required for the supplementary equity pledge agreement, including but not limited to: (a) the original capital contribution certificate of the Additional Equity issued by Party C; and (b) the copies of the capital verification report of the Additional Equity issued by the Chinese certified public account. The Pledgors and Party C shall go through the pledge creation registration of such Additional Equity according to Article 3.1 hereof.</w:t>
      </w:r>
    </w:p>
    <w:p>
      <w:pPr>
        <w:spacing w:after="0" w:line="11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0260"/>
          </w:cols>
          <w:pgMar w:left="1380" w:top="273" w:right="259" w:bottom="1440" w:gutter="0" w:footer="0" w:header="0"/>
        </w:sectPr>
      </w:pPr>
    </w:p>
    <w:bookmarkStart w:id="548" w:name="page549"/>
    <w:bookmarkEnd w:id="548"/>
    <w:p>
      <w:pPr>
        <w:ind w:left="560" w:right="60" w:hanging="566"/>
        <w:spacing w:after="0" w:line="302"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r>
        <w:rPr>
          <w:sz w:val="20"/>
          <w:szCs w:val="20"/>
          <w:color w:val="auto"/>
        </w:rPr>
        <w:tab/>
      </w:r>
      <w:r>
        <w:rPr>
          <w:rFonts w:ascii="Arial" w:cs="Arial" w:eastAsia="Arial" w:hAnsi="Arial"/>
          <w:sz w:val="16"/>
          <w:szCs w:val="16"/>
          <w:color w:val="auto"/>
        </w:rPr>
        <w:t>Unless the Pledgee gives any prior written instructions to the contrary, the Pledgors and/or Party C agree that if all or part of the Equity is transferred between the Pledgors and any third party (“Equity Transferee”) in violation of this Contract (including severance and succession), the Pledgors and/or Party C shall ensure the Equity Transferee to unconditionally accept the Pledge and go through the required formality of changing pledge registration (including but not limited to signing relevant documents) to ensure the existence of the Pledge.</w:t>
      </w:r>
    </w:p>
    <w:p>
      <w:pPr>
        <w:spacing w:after="0" w:line="60" w:lineRule="exact"/>
        <w:rPr>
          <w:sz w:val="20"/>
          <w:szCs w:val="20"/>
          <w:color w:val="auto"/>
        </w:rPr>
      </w:pPr>
    </w:p>
    <w:p>
      <w:pPr>
        <w:jc w:val="both"/>
        <w:ind w:left="560" w:right="220" w:hanging="566"/>
        <w:spacing w:after="0" w:line="312" w:lineRule="auto"/>
        <w:tabs>
          <w:tab w:leader="none" w:pos="5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color w:val="auto"/>
        </w:rPr>
        <w:t>If the Pledgee provides any loan to Party C, the Pledgors and/or Party C agree to create a pledge over the Equity in favor of the Pledgee to further secure such loan, and go through relevant formalities according to the requirements of laws, regulations and local practices (if any), including but not limited to signing relevant documents and going through the registration formality of creation (or change) of pledge.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Party C covenants and further agrees as follows:</w:t>
      </w:r>
    </w:p>
    <w:p>
      <w:pPr>
        <w:spacing w:after="0" w:line="135" w:lineRule="exact"/>
        <w:rPr>
          <w:sz w:val="20"/>
          <w:szCs w:val="20"/>
          <w:color w:val="auto"/>
        </w:rPr>
      </w:pPr>
    </w:p>
    <w:p>
      <w:pPr>
        <w:ind w:left="560" w:right="140" w:hanging="566"/>
        <w:spacing w:after="0" w:line="279" w:lineRule="auto"/>
        <w:tabs>
          <w:tab w:leader="none" w:pos="5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7"/>
          <w:szCs w:val="17"/>
          <w:color w:val="auto"/>
        </w:rPr>
        <w:t>If any third person’s consent, permission, waiver or authorization, or any approval, permission, or exemption of any governmental authority, or any registration or recording formalities with any governmental authority (if legally required) is required to execute and perform this Contract, or to create the Equity Pledge hereunder, Party C shall use its best effort to obtain such consent, permission, waiver, authorization, exemption, registration or recording, and keep them fully valid during the term of this Contract.</w:t>
      </w:r>
    </w:p>
    <w:p>
      <w:pPr>
        <w:spacing w:after="0" w:line="77" w:lineRule="exact"/>
        <w:rPr>
          <w:sz w:val="20"/>
          <w:szCs w:val="20"/>
          <w:color w:val="auto"/>
        </w:rPr>
      </w:pPr>
    </w:p>
    <w:p>
      <w:pPr>
        <w:ind w:left="560" w:right="80" w:hanging="566"/>
        <w:spacing w:after="0" w:line="277" w:lineRule="auto"/>
        <w:tabs>
          <w:tab w:leader="none" w:pos="540" w:val="left"/>
        </w:tabs>
        <w:rPr>
          <w:sz w:val="20"/>
          <w:szCs w:val="20"/>
          <w:color w:val="auto"/>
        </w:rPr>
      </w:pPr>
      <w:r>
        <w:rPr>
          <w:rFonts w:ascii="Arial" w:cs="Arial" w:eastAsia="Arial" w:hAnsi="Arial"/>
          <w:sz w:val="18"/>
          <w:szCs w:val="18"/>
          <w:color w:val="auto"/>
        </w:rPr>
        <w:t>6.11</w:t>
        <w:tab/>
        <w:t>Without prior written consent of the Pledgee, Party C will not assist or permit the Pledgors to create any new pledge or other security interest over the Equity or to transfer the Equity.</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Party C agrees to strictly comply with the obligations under Article 6.7, 6.8 and 6.9 hereof with the Pledgors.</w:t>
      </w:r>
    </w:p>
    <w:p>
      <w:pPr>
        <w:spacing w:after="0" w:line="131" w:lineRule="exact"/>
        <w:rPr>
          <w:sz w:val="20"/>
          <w:szCs w:val="20"/>
          <w:color w:val="auto"/>
        </w:rPr>
      </w:pPr>
    </w:p>
    <w:p>
      <w:pPr>
        <w:ind w:left="560" w:hanging="566"/>
        <w:spacing w:after="0" w:line="259" w:lineRule="auto"/>
        <w:tabs>
          <w:tab w:leader="none" w:pos="540" w:val="left"/>
        </w:tabs>
        <w:rPr>
          <w:sz w:val="20"/>
          <w:szCs w:val="20"/>
          <w:color w:val="auto"/>
        </w:rPr>
      </w:pPr>
      <w:r>
        <w:rPr>
          <w:rFonts w:ascii="Arial" w:cs="Arial" w:eastAsia="Arial" w:hAnsi="Arial"/>
          <w:sz w:val="18"/>
          <w:szCs w:val="18"/>
          <w:color w:val="auto"/>
        </w:rPr>
        <w:t>6.13</w:t>
        <w:tab/>
        <w:t>Without prior written consent of the Pledgee, Party C shall not transfer Party C’s assets or create or permit existence of any security interest or other encumbrances which may affect the Pledgee’s rights and interests in the Equity over Party C’s assets, including but not limited to any transfer of any Party C’s intellectual property or other assets with an amount of not less than RMB 100,000, or creation of any encumbrances on the title or use right of such assets.</w:t>
      </w:r>
    </w:p>
    <w:p>
      <w:pPr>
        <w:spacing w:after="0" w:line="92" w:lineRule="exact"/>
        <w:rPr>
          <w:sz w:val="20"/>
          <w:szCs w:val="20"/>
          <w:color w:val="auto"/>
        </w:rPr>
      </w:pPr>
    </w:p>
    <w:p>
      <w:pPr>
        <w:ind w:left="560" w:right="60" w:hanging="566"/>
        <w:spacing w:after="0" w:line="264" w:lineRule="auto"/>
        <w:tabs>
          <w:tab w:leader="none" w:pos="540" w:val="left"/>
        </w:tabs>
        <w:rPr>
          <w:sz w:val="20"/>
          <w:szCs w:val="20"/>
          <w:color w:val="auto"/>
        </w:rPr>
      </w:pPr>
      <w:r>
        <w:rPr>
          <w:rFonts w:ascii="Arial" w:cs="Arial" w:eastAsia="Arial" w:hAnsi="Arial"/>
          <w:sz w:val="18"/>
          <w:szCs w:val="18"/>
          <w:color w:val="auto"/>
        </w:rPr>
        <w:t>6.14</w:t>
        <w:tab/>
        <w:t>In case that any legal litigation, arbitration or other claim occurs, and may have adverse effect on Party C, the Equity or the Pledgee’s interest under the Control Agreements, Party C shall notify the Pledgee in writing as soon as possible, and take all necessary measures to ensure the Pledgee’s pledge interest in the Equity at the reasonable request of the Pledgee.</w:t>
      </w:r>
    </w:p>
    <w:p>
      <w:pPr>
        <w:spacing w:after="0" w:line="87" w:lineRule="exact"/>
        <w:rPr>
          <w:sz w:val="20"/>
          <w:szCs w:val="20"/>
          <w:color w:val="auto"/>
        </w:rPr>
      </w:pPr>
    </w:p>
    <w:p>
      <w:pPr>
        <w:ind w:left="560" w:right="700" w:hanging="566"/>
        <w:spacing w:after="0" w:line="277" w:lineRule="auto"/>
        <w:tabs>
          <w:tab w:leader="none" w:pos="540" w:val="left"/>
        </w:tabs>
        <w:rPr>
          <w:sz w:val="20"/>
          <w:szCs w:val="20"/>
          <w:color w:val="auto"/>
        </w:rPr>
      </w:pPr>
      <w:r>
        <w:rPr>
          <w:rFonts w:ascii="Arial" w:cs="Arial" w:eastAsia="Arial" w:hAnsi="Arial"/>
          <w:sz w:val="18"/>
          <w:szCs w:val="18"/>
          <w:color w:val="auto"/>
        </w:rPr>
        <w:t>6.15</w:t>
        <w:tab/>
        <w:t>Party C may not carry out or permit any activities or actions that may have adverse effect on the Pledgee’s interest under the Control Agreements or on the Equity.</w:t>
      </w:r>
    </w:p>
    <w:p>
      <w:pPr>
        <w:spacing w:after="0" w:line="76" w:lineRule="exact"/>
        <w:rPr>
          <w:sz w:val="20"/>
          <w:szCs w:val="20"/>
          <w:color w:val="auto"/>
        </w:rPr>
      </w:pPr>
    </w:p>
    <w:p>
      <w:pPr>
        <w:ind w:left="560" w:right="380" w:hanging="566"/>
        <w:spacing w:after="0" w:line="277" w:lineRule="auto"/>
        <w:tabs>
          <w:tab w:leader="none" w:pos="540" w:val="left"/>
        </w:tabs>
        <w:rPr>
          <w:sz w:val="20"/>
          <w:szCs w:val="20"/>
          <w:color w:val="auto"/>
        </w:rPr>
      </w:pPr>
      <w:r>
        <w:rPr>
          <w:rFonts w:ascii="Arial" w:cs="Arial" w:eastAsia="Arial" w:hAnsi="Arial"/>
          <w:sz w:val="18"/>
          <w:szCs w:val="18"/>
          <w:color w:val="auto"/>
        </w:rPr>
        <w:t>6.16</w:t>
        <w:tab/>
        <w:t>Party C shall provide the Pledgee with the financial statements for the previous calendar quarter in the first month of the current calendar quarter, including but not limited to the balance sheet, income statement and cash flow statement.</w:t>
      </w:r>
    </w:p>
    <w:p>
      <w:pPr>
        <w:spacing w:after="0" w:line="10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0800"/>
          </w:cols>
          <w:pgMar w:left="820" w:top="273" w:right="279" w:bottom="1440" w:gutter="0" w:footer="0" w:header="0"/>
        </w:sectPr>
      </w:pPr>
    </w:p>
    <w:bookmarkStart w:id="549" w:name="page550"/>
    <w:bookmarkEnd w:id="549"/>
    <w:p>
      <w:pPr>
        <w:ind w:left="1132" w:hanging="566"/>
        <w:spacing w:after="0" w:line="277" w:lineRule="auto"/>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6.17</w:t>
        <w:tab/>
        <w:t>Party C undertakes to take all necessary measures and execute all necessary documents at the reasonable request of the Pledgee, to ensure the pledge interest of the Pledgee in the Equity and the exercise and realization of such interest.</w:t>
      </w:r>
    </w:p>
    <w:p>
      <w:pPr>
        <w:spacing w:after="0" w:line="76" w:lineRule="exact"/>
        <w:rPr>
          <w:sz w:val="20"/>
          <w:szCs w:val="20"/>
          <w:color w:val="auto"/>
        </w:rPr>
      </w:pPr>
    </w:p>
    <w:p>
      <w:pPr>
        <w:ind w:left="1132" w:right="300" w:hanging="566"/>
        <w:spacing w:after="0" w:line="277" w:lineRule="auto"/>
        <w:tabs>
          <w:tab w:leader="none" w:pos="1112" w:val="left"/>
        </w:tabs>
        <w:rPr>
          <w:sz w:val="20"/>
          <w:szCs w:val="20"/>
          <w:color w:val="auto"/>
        </w:rPr>
      </w:pPr>
      <w:r>
        <w:rPr>
          <w:rFonts w:ascii="Arial" w:cs="Arial" w:eastAsia="Arial" w:hAnsi="Arial"/>
          <w:sz w:val="18"/>
          <w:szCs w:val="18"/>
          <w:color w:val="auto"/>
        </w:rPr>
        <w:t>6.18</w:t>
        <w:tab/>
        <w:t>If the exercise of the Pledge hereunder causes transfer of any part of the Equity, Party C undertakes to take all measures to complete such transfer.</w:t>
      </w:r>
    </w:p>
    <w:p>
      <w:pPr>
        <w:spacing w:after="0" w:line="76" w:lineRule="exact"/>
        <w:rPr>
          <w:sz w:val="20"/>
          <w:szCs w:val="20"/>
          <w:color w:val="auto"/>
        </w:rPr>
      </w:pPr>
    </w:p>
    <w:p>
      <w:pPr>
        <w:ind w:left="1132" w:right="420" w:hanging="566"/>
        <w:spacing w:after="0" w:line="342" w:lineRule="auto"/>
        <w:tabs>
          <w:tab w:leader="none" w:pos="1112"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color w:val="auto"/>
        </w:rPr>
        <w:t>Party B shall ensure and shall promote Party C’s other shareholder to ensure Party C to complete the registration formality of extending business period three (3) months before expiration of Party C’s business period, so that this Contract continues to be effective.</w:t>
      </w:r>
    </w:p>
    <w:p>
      <w:pPr>
        <w:spacing w:after="0" w:line="268" w:lineRule="exact"/>
        <w:rPr>
          <w:sz w:val="20"/>
          <w:szCs w:val="20"/>
          <w:color w:val="auto"/>
        </w:rPr>
      </w:pPr>
    </w:p>
    <w:p>
      <w:pPr>
        <w:ind w:left="572" w:hanging="572"/>
        <w:spacing w:after="0"/>
        <w:tabs>
          <w:tab w:leader="none" w:pos="572"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34"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The following circumstances shall be deemed Events of Default hereunder:</w:t>
      </w:r>
    </w:p>
    <w:p>
      <w:pPr>
        <w:spacing w:after="0" w:line="131" w:lineRule="exact"/>
        <w:rPr>
          <w:sz w:val="20"/>
          <w:szCs w:val="20"/>
          <w:color w:val="auto"/>
        </w:rPr>
      </w:pPr>
    </w:p>
    <w:p>
      <w:pPr>
        <w:ind w:left="1812" w:right="120" w:hanging="674"/>
        <w:spacing w:after="0" w:line="277" w:lineRule="auto"/>
        <w:tabs>
          <w:tab w:leader="none" w:pos="179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Party C fails to fully pay the consulting and service fee under the Exclusive Business Cooperation Agreement, or fails to repay the loan, or breaches any obligations under the Control Agreements;</w:t>
      </w:r>
    </w:p>
    <w:p>
      <w:pPr>
        <w:spacing w:after="0" w:line="76" w:lineRule="exact"/>
        <w:rPr>
          <w:sz w:val="20"/>
          <w:szCs w:val="20"/>
          <w:color w:val="auto"/>
        </w:rPr>
      </w:pPr>
    </w:p>
    <w:p>
      <w:pPr>
        <w:ind w:left="1812" w:right="140" w:hanging="674"/>
        <w:spacing w:after="0" w:line="277" w:lineRule="auto"/>
        <w:tabs>
          <w:tab w:leader="none" w:pos="179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Any representations or warranties made by the Pledgors under Article 5 hereof contain any material misrepresentation or mistake, and/or the Pledgors breache any warranties in Article 5 hereof;</w:t>
      </w:r>
    </w:p>
    <w:p>
      <w:pPr>
        <w:spacing w:after="0" w:line="76"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Pledgors or Party C fails to complete the pledge registration with the Registration Authority according to Article 3.1 hereof;</w:t>
      </w:r>
    </w:p>
    <w:p>
      <w:pPr>
        <w:spacing w:after="0" w:line="131"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The Pledgors or Party C violates any provisions hereof;</w:t>
      </w:r>
    </w:p>
    <w:p>
      <w:pPr>
        <w:spacing w:after="0" w:line="131" w:lineRule="exact"/>
        <w:rPr>
          <w:sz w:val="20"/>
          <w:szCs w:val="20"/>
          <w:color w:val="auto"/>
        </w:rPr>
      </w:pPr>
    </w:p>
    <w:p>
      <w:pPr>
        <w:ind w:left="1812" w:right="240" w:hanging="674"/>
        <w:spacing w:after="0" w:line="277" w:lineRule="auto"/>
        <w:tabs>
          <w:tab w:leader="none" w:pos="1792"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8"/>
          <w:szCs w:val="18"/>
          <w:color w:val="auto"/>
        </w:rPr>
        <w:t>Except as expressly provided in Article 6.1.1, the Pledgors transfer or intend to transfer or waive the Equity subject to Pledge, or assign the Equity subject to Pledge without the Pledgee’s written consent;</w:t>
      </w:r>
    </w:p>
    <w:p>
      <w:pPr>
        <w:spacing w:after="0" w:line="76" w:lineRule="exact"/>
        <w:rPr>
          <w:sz w:val="20"/>
          <w:szCs w:val="20"/>
          <w:color w:val="auto"/>
        </w:rPr>
      </w:pPr>
    </w:p>
    <w:p>
      <w:pPr>
        <w:ind w:left="1812" w:right="200" w:hanging="674"/>
        <w:spacing w:after="0" w:line="264" w:lineRule="auto"/>
        <w:tabs>
          <w:tab w:leader="none" w:pos="1792"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8"/>
          <w:szCs w:val="18"/>
          <w:color w:val="auto"/>
        </w:rPr>
        <w:t>Any loans, warranties, indemnifications, covenants or other debts or liabilities owed by the Pledgors to any third party (1) are required to be prepaid or performed early owing to the Pledgors’ breach of contract; or (2) have become due but are not repaid or performed in a timely manner;</w:t>
      </w:r>
    </w:p>
    <w:p>
      <w:pPr>
        <w:spacing w:after="0" w:line="87" w:lineRule="exact"/>
        <w:rPr>
          <w:sz w:val="20"/>
          <w:szCs w:val="20"/>
          <w:color w:val="auto"/>
        </w:rPr>
      </w:pPr>
    </w:p>
    <w:p>
      <w:pPr>
        <w:ind w:left="1812" w:right="280" w:hanging="674"/>
        <w:spacing w:after="0" w:line="277" w:lineRule="auto"/>
        <w:tabs>
          <w:tab w:leader="none" w:pos="1792"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8"/>
          <w:szCs w:val="18"/>
          <w:color w:val="auto"/>
        </w:rPr>
        <w:t>Any approval, license, permission or authorization required for this Contract to remain enforceable, lawful and valid is revoked, suspended, invalidated or changed materially;</w:t>
      </w:r>
    </w:p>
    <w:p>
      <w:pPr>
        <w:spacing w:after="0" w:line="76" w:lineRule="exact"/>
        <w:rPr>
          <w:sz w:val="20"/>
          <w:szCs w:val="20"/>
          <w:color w:val="auto"/>
        </w:rPr>
      </w:pPr>
    </w:p>
    <w:p>
      <w:pPr>
        <w:ind w:left="1132"/>
        <w:spacing w:after="0"/>
        <w:tabs>
          <w:tab w:leader="none" w:pos="1792"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color w:val="auto"/>
        </w:rPr>
        <w:t>The promulgation of any applicable laws makes this contract illegal or the Pledgors unable to perform any obligations hereunder;</w:t>
      </w:r>
    </w:p>
    <w:p>
      <w:pPr>
        <w:spacing w:after="0" w:line="131" w:lineRule="exact"/>
        <w:rPr>
          <w:sz w:val="20"/>
          <w:szCs w:val="20"/>
          <w:color w:val="auto"/>
        </w:rPr>
      </w:pPr>
    </w:p>
    <w:p>
      <w:pPr>
        <w:ind w:left="1812" w:right="360" w:hanging="674"/>
        <w:spacing w:after="0" w:line="277" w:lineRule="auto"/>
        <w:tabs>
          <w:tab w:leader="none" w:pos="1792"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8"/>
          <w:szCs w:val="18"/>
          <w:color w:val="auto"/>
        </w:rPr>
        <w:t>Any adverse change to the property owned by the Pledgors makes the Pledgee believe that the Pledgors’ ability to perform any obligation hereunder has been affected;</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12"/>
          </w:cols>
          <w:pgMar w:left="248" w:top="274" w:right="339" w:bottom="1440" w:gutter="0" w:footer="0" w:header="0"/>
        </w:sectPr>
      </w:pPr>
    </w:p>
    <w:bookmarkStart w:id="550" w:name="page551"/>
    <w:bookmarkEnd w:id="550"/>
    <w:p>
      <w:pPr>
        <w:ind w:left="1812" w:right="60" w:hanging="674"/>
        <w:spacing w:after="0" w:line="277" w:lineRule="auto"/>
        <w:tabs>
          <w:tab w:leader="none" w:pos="17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7.1.10</w:t>
        <w:tab/>
        <w:t>The successor or trustee of Party C is able to perform only part of the payment obligation under the Exclusive Business Cooperation Agreement, or refuses to perform any of such obligation; and</w:t>
      </w:r>
    </w:p>
    <w:p>
      <w:pPr>
        <w:spacing w:after="0" w:line="76" w:lineRule="exact"/>
        <w:rPr>
          <w:sz w:val="20"/>
          <w:szCs w:val="20"/>
          <w:color w:val="auto"/>
        </w:rPr>
      </w:pPr>
    </w:p>
    <w:p>
      <w:pPr>
        <w:ind w:left="1812" w:right="220" w:hanging="674"/>
        <w:spacing w:after="0" w:line="277" w:lineRule="auto"/>
        <w:tabs>
          <w:tab w:leader="none" w:pos="1792" w:val="left"/>
        </w:tabs>
        <w:rPr>
          <w:sz w:val="20"/>
          <w:szCs w:val="20"/>
          <w:color w:val="auto"/>
        </w:rPr>
      </w:pPr>
      <w:r>
        <w:rPr>
          <w:rFonts w:ascii="Arial" w:cs="Arial" w:eastAsia="Arial" w:hAnsi="Arial"/>
          <w:sz w:val="18"/>
          <w:szCs w:val="18"/>
          <w:color w:val="auto"/>
        </w:rPr>
        <w:t>7.1.11</w:t>
        <w:tab/>
        <w:t>Any other circumstance where the Pledgee is or may be unable to exercise any right of the Pledge, including but not limited to the death or loss of capacity of the Pledgors;</w:t>
      </w:r>
    </w:p>
    <w:p>
      <w:pPr>
        <w:spacing w:after="0" w:line="76" w:lineRule="exact"/>
        <w:rPr>
          <w:sz w:val="20"/>
          <w:szCs w:val="20"/>
          <w:color w:val="auto"/>
        </w:rPr>
      </w:pPr>
    </w:p>
    <w:p>
      <w:pPr>
        <w:ind w:left="1132" w:right="260" w:hanging="566"/>
        <w:spacing w:after="0" w:line="277" w:lineRule="auto"/>
        <w:tabs>
          <w:tab w:leader="none" w:pos="111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Pledgors shall immediately notify in writing the Pledgee of any of the above circumstances specified in Article 7.1 or any event which may cause the above circumstances.</w:t>
      </w:r>
    </w:p>
    <w:p>
      <w:pPr>
        <w:spacing w:after="0" w:line="76" w:lineRule="exact"/>
        <w:rPr>
          <w:sz w:val="20"/>
          <w:szCs w:val="20"/>
          <w:color w:val="auto"/>
        </w:rPr>
      </w:pPr>
    </w:p>
    <w:p>
      <w:pPr>
        <w:ind w:left="1132" w:right="80" w:hanging="566"/>
        <w:spacing w:after="0" w:line="259" w:lineRule="auto"/>
        <w:tabs>
          <w:tab w:leader="none" w:pos="111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Unless the Events of Default specified in Article 7.1 hereof have been corrected to the satisfaction of the Pledgee within thirty (30) days after the Pledgee notifies thereof, the Pledgee may send a Default Notice to the Pledgors when or after the Events of Default occur, and require the Pledgors to pay immediately all due and outstanding amounts under the Control Agreements and all other amounts payable to the Pledgee, and/or repay the loan and/or dispose of the Pledge according to Article 8 hereof.</w:t>
      </w:r>
    </w:p>
    <w:p>
      <w:pPr>
        <w:spacing w:after="0" w:line="331" w:lineRule="exact"/>
        <w:rPr>
          <w:sz w:val="20"/>
          <w:szCs w:val="20"/>
          <w:color w:val="auto"/>
        </w:rPr>
      </w:pPr>
    </w:p>
    <w:p>
      <w:pPr>
        <w:ind w:left="572" w:hanging="572"/>
        <w:spacing w:after="0"/>
        <w:tabs>
          <w:tab w:leader="none" w:pos="572"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Pledge</w:t>
      </w:r>
    </w:p>
    <w:p>
      <w:pPr>
        <w:spacing w:after="0" w:line="134"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color w:val="auto"/>
        </w:rPr>
        <w:t>The Pledgors may not transfer the Equity in Party C without the written consent of the Pledgee.</w:t>
      </w:r>
    </w:p>
    <w:p>
      <w:pPr>
        <w:spacing w:after="0" w:line="130"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6"/>
          <w:szCs w:val="16"/>
          <w:color w:val="auto"/>
        </w:rPr>
        <w:t>The Pledgee may send a Default Notice to the Pledgors when it exercises the Pledge.</w:t>
      </w:r>
    </w:p>
    <w:p>
      <w:pPr>
        <w:spacing w:after="0" w:line="130" w:lineRule="exact"/>
        <w:rPr>
          <w:rFonts w:ascii="Arial" w:cs="Arial" w:eastAsia="Arial" w:hAnsi="Arial"/>
          <w:sz w:val="18"/>
          <w:szCs w:val="18"/>
          <w:b w:val="1"/>
          <w:bCs w:val="1"/>
          <w:color w:val="auto"/>
        </w:rPr>
      </w:pPr>
    </w:p>
    <w:p>
      <w:pPr>
        <w:ind w:left="1132" w:hanging="56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8.3Subject to Article 7.3 hereof, the Pledgee may exercise the right to enforce the Pledge at any time when or after it sends out the Default Notice according to Article 7.2 hereof. Once the Pledgee elects to enforce the Pledge, the Pledgors shall not own any rights or interests relating to the Equity.</w:t>
      </w:r>
    </w:p>
    <w:p>
      <w:pPr>
        <w:spacing w:after="0" w:line="86" w:lineRule="exact"/>
        <w:rPr>
          <w:rFonts w:ascii="Arial" w:cs="Arial" w:eastAsia="Arial" w:hAnsi="Arial"/>
          <w:sz w:val="18"/>
          <w:szCs w:val="18"/>
          <w:b w:val="1"/>
          <w:bCs w:val="1"/>
          <w:color w:val="auto"/>
        </w:rPr>
      </w:pPr>
    </w:p>
    <w:p>
      <w:pPr>
        <w:ind w:left="1132" w:right="340" w:hanging="56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8.4In case of any default, to the extent permitted by and subject to applicable laws, the Pledgee is entitled to dispose of the Equity subject to Pledge. The proceeds received by the Pledgee for exercising the Pledge, after repaying the Secured Debts, shall be paid to the Pledgors or other persons entitled to the remaining amount, if any, without any interest.</w:t>
      </w:r>
    </w:p>
    <w:p>
      <w:pPr>
        <w:spacing w:after="0" w:line="86" w:lineRule="exact"/>
        <w:rPr>
          <w:rFonts w:ascii="Arial" w:cs="Arial" w:eastAsia="Arial" w:hAnsi="Arial"/>
          <w:sz w:val="18"/>
          <w:szCs w:val="18"/>
          <w:b w:val="1"/>
          <w:bCs w:val="1"/>
          <w:color w:val="auto"/>
        </w:rPr>
      </w:pPr>
    </w:p>
    <w:p>
      <w:pPr>
        <w:ind w:left="1132" w:right="240"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8.5When the Pledgee disposes of the Pledge according to this Contract, the Pledgors and Party C shall provide necessary assistance so that the Pledgee may enforce the Pledge according to this Contract.</w:t>
      </w:r>
    </w:p>
    <w:p>
      <w:pPr>
        <w:spacing w:after="0" w:line="75" w:lineRule="exact"/>
        <w:rPr>
          <w:rFonts w:ascii="Arial" w:cs="Arial" w:eastAsia="Arial" w:hAnsi="Arial"/>
          <w:sz w:val="18"/>
          <w:szCs w:val="18"/>
          <w:b w:val="1"/>
          <w:bCs w:val="1"/>
          <w:color w:val="auto"/>
        </w:rPr>
      </w:pPr>
    </w:p>
    <w:p>
      <w:pPr>
        <w:ind w:left="1132" w:right="140"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8.6The Pledgors shall assume all expenses, taxes and legal costs relating to creation of Equity Pledge hereunder and realization of the Pledgee’s rights, except for those to be assumed by the Pledgee according to laws.</w:t>
      </w:r>
    </w:p>
    <w:p>
      <w:pPr>
        <w:spacing w:after="0" w:line="315" w:lineRule="exact"/>
        <w:rPr>
          <w:rFonts w:ascii="Arial" w:cs="Arial" w:eastAsia="Arial" w:hAnsi="Arial"/>
          <w:sz w:val="18"/>
          <w:szCs w:val="18"/>
          <w:b w:val="1"/>
          <w:bCs w:val="1"/>
          <w:color w:val="auto"/>
        </w:rPr>
      </w:pPr>
    </w:p>
    <w:p>
      <w:pPr>
        <w:ind w:left="572" w:hanging="572"/>
        <w:spacing w:after="0"/>
        <w:tabs>
          <w:tab w:leader="none" w:pos="572"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w:t>
      </w:r>
    </w:p>
    <w:p>
      <w:pPr>
        <w:spacing w:after="0" w:line="134"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6"/>
          <w:szCs w:val="16"/>
          <w:color w:val="auto"/>
        </w:rPr>
        <w:t>The Pledgors may not transfer or delegate any right or obligation hereunder without the prior written consent of the Pledgee.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92"/>
          </w:cols>
          <w:pgMar w:left="248" w:top="274" w:right="259" w:bottom="1440" w:gutter="0" w:footer="0" w:header="0"/>
        </w:sectPr>
      </w:pPr>
    </w:p>
    <w:bookmarkStart w:id="551" w:name="page552"/>
    <w:bookmarkEnd w:id="551"/>
    <w:p>
      <w:pPr>
        <w:ind w:left="572"/>
        <w:spacing w:after="0"/>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6"/>
          <w:szCs w:val="16"/>
          <w:color w:val="auto"/>
        </w:rPr>
        <w:t>This Contract shall be binding upon and inure to the benefit of the Pledgors and their respective successors and permitted assigns.</w:t>
      </w:r>
    </w:p>
    <w:p>
      <w:pPr>
        <w:spacing w:after="0" w:line="131" w:lineRule="exact"/>
        <w:rPr>
          <w:sz w:val="20"/>
          <w:szCs w:val="20"/>
          <w:color w:val="auto"/>
        </w:rPr>
      </w:pPr>
    </w:p>
    <w:p>
      <w:pPr>
        <w:ind w:left="1132" w:right="20" w:hanging="566"/>
        <w:spacing w:after="0" w:line="302" w:lineRule="auto"/>
        <w:tabs>
          <w:tab w:leader="none" w:pos="111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Pledgee may transfer all or any rights or obligations under the Exclusive Business Cooperation Agreement to any nominee (individual or legal person) at any time. In such case, the transferee shall have the rights and obligations of the Pledgee under this Contract, as if it is an original party hereto. When the Pledgee transfers its rights and obligations under the Exclusive Business Cooperation Agreement, at the request of the Pledgee, the Pledgors shall enter into relevant agreement or other document with respect to such transfer.</w:t>
      </w:r>
    </w:p>
    <w:p>
      <w:pPr>
        <w:spacing w:after="0" w:line="60" w:lineRule="exact"/>
        <w:rPr>
          <w:sz w:val="20"/>
          <w:szCs w:val="20"/>
          <w:color w:val="auto"/>
        </w:rPr>
      </w:pPr>
    </w:p>
    <w:p>
      <w:pPr>
        <w:ind w:left="1132" w:right="160" w:hanging="566"/>
        <w:spacing w:after="0" w:line="277" w:lineRule="auto"/>
        <w:tabs>
          <w:tab w:leader="none" w:pos="111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Where the Pledgee is replaced by others owing to any transfer abovementioned, at the request of the Pledgee, the Pledgors shall enter into a new pledge contract with the new pledgee on the same terms and conditions as those set forth herein.</w:t>
      </w:r>
    </w:p>
    <w:p>
      <w:pPr>
        <w:spacing w:after="0" w:line="76" w:lineRule="exact"/>
        <w:rPr>
          <w:sz w:val="20"/>
          <w:szCs w:val="20"/>
          <w:color w:val="auto"/>
        </w:rPr>
      </w:pPr>
    </w:p>
    <w:p>
      <w:pPr>
        <w:jc w:val="both"/>
        <w:ind w:left="1132" w:right="80" w:hanging="566"/>
        <w:spacing w:after="0" w:line="259" w:lineRule="auto"/>
        <w:tabs>
          <w:tab w:leader="none" w:pos="111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Pledgors shall strictly comply with this Contract and other contracts signed with the Parties or a Party jointly or individually, including the Exclusive Option Contract and the POA granted to the Pledgee, perform the obligations hereunder and thereunder, and may not take any action/forbearance that may affect the validity and enforceability hereof or thereof. Unless the Pledgee instructs in writing, the Pledgors may not exercise any remaining rights in the Equity pledged hereunder.</w:t>
      </w:r>
    </w:p>
    <w:p>
      <w:pPr>
        <w:spacing w:after="0" w:line="331" w:lineRule="exact"/>
        <w:rPr>
          <w:sz w:val="20"/>
          <w:szCs w:val="20"/>
          <w:color w:val="auto"/>
        </w:rPr>
      </w:pPr>
    </w:p>
    <w:p>
      <w:pPr>
        <w:ind w:left="572" w:hanging="572"/>
        <w:spacing w:after="0"/>
        <w:tabs>
          <w:tab w:leader="none" w:pos="572"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121" w:lineRule="exact"/>
        <w:rPr>
          <w:rFonts w:ascii="Arial" w:cs="Arial" w:eastAsia="Arial" w:hAnsi="Arial"/>
          <w:sz w:val="18"/>
          <w:szCs w:val="18"/>
          <w:b w:val="1"/>
          <w:bCs w:val="1"/>
          <w:color w:val="auto"/>
        </w:rPr>
      </w:pPr>
    </w:p>
    <w:p>
      <w:pPr>
        <w:ind w:left="57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When the Exclusive Business Cooperation Agreement is fully performed and the consulting and service fee thereunder is fully paid, and when the obligations of Party C under other Control Agreements are terminated, this Contract shall terminate. The Pledgee shall try to cancel or terminate this Contract as soon as reasonably and practically possible.</w:t>
      </w:r>
    </w:p>
    <w:p>
      <w:pPr>
        <w:spacing w:after="0" w:line="73"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Unless the law provides otherwise, in no event will the Pledgors or Party C have the right to terminate or rescind this Contract.</w:t>
      </w:r>
    </w:p>
    <w:p>
      <w:pPr>
        <w:spacing w:after="0" w:line="369" w:lineRule="exact"/>
        <w:rPr>
          <w:rFonts w:ascii="Arial" w:cs="Arial" w:eastAsia="Arial" w:hAnsi="Arial"/>
          <w:sz w:val="18"/>
          <w:szCs w:val="18"/>
          <w:b w:val="1"/>
          <w:bCs w:val="1"/>
          <w:color w:val="auto"/>
        </w:rPr>
      </w:pPr>
    </w:p>
    <w:p>
      <w:pPr>
        <w:ind w:left="572" w:hanging="572"/>
        <w:spacing w:after="0"/>
        <w:tabs>
          <w:tab w:leader="none" w:pos="572"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Formality fee and other expenses</w:t>
      </w:r>
    </w:p>
    <w:p>
      <w:pPr>
        <w:spacing w:after="0" w:line="121" w:lineRule="exact"/>
        <w:rPr>
          <w:rFonts w:ascii="Arial" w:cs="Arial" w:eastAsia="Arial" w:hAnsi="Arial"/>
          <w:sz w:val="18"/>
          <w:szCs w:val="18"/>
          <w:b w:val="1"/>
          <w:bCs w:val="1"/>
          <w:color w:val="auto"/>
        </w:rPr>
      </w:pPr>
    </w:p>
    <w:p>
      <w:pPr>
        <w:ind w:left="57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Party C shall assume all costs and expenses relating to this Contract, including but not limited to the attorney’s fee, cost of production, stamp tax and other taxes and expenses. If applicable laws require the Pledgee to assume certain taxes and expenses, the Pledgors shall promote Party C to reimburse fully such taxes and expenses paid by the Pledgee.</w:t>
      </w:r>
    </w:p>
    <w:p>
      <w:pPr>
        <w:spacing w:after="0" w:line="325" w:lineRule="exact"/>
        <w:rPr>
          <w:rFonts w:ascii="Arial" w:cs="Arial" w:eastAsia="Arial" w:hAnsi="Arial"/>
          <w:sz w:val="18"/>
          <w:szCs w:val="18"/>
          <w:b w:val="1"/>
          <w:bCs w:val="1"/>
          <w:color w:val="auto"/>
        </w:rPr>
      </w:pPr>
    </w:p>
    <w:p>
      <w:pPr>
        <w:ind w:left="572" w:hanging="572"/>
        <w:spacing w:after="0"/>
        <w:tabs>
          <w:tab w:leader="none" w:pos="572"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21" w:lineRule="exact"/>
        <w:rPr>
          <w:rFonts w:ascii="Arial" w:cs="Arial" w:eastAsia="Arial" w:hAnsi="Arial"/>
          <w:sz w:val="18"/>
          <w:szCs w:val="18"/>
          <w:b w:val="1"/>
          <w:bCs w:val="1"/>
          <w:color w:val="auto"/>
        </w:rPr>
      </w:pPr>
    </w:p>
    <w:p>
      <w:pPr>
        <w:ind w:left="57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Parties acknowledge that any oral or written information exchanged between them in connection with this Contract is confidential. Each Party shall keep such information confidential, and may not disclose such information to any third party without the written consent of other Parties, except for any information (a) which is or becomes publicly available not through disclosure by the receiving Party; (b) which is required by applicable laws or any rules of stock exchange to disclose; or (c) which is required to be disclosed by either Party to its legal or financial consultant in connection with the transaction hereunder, provided that such consultant is subject to any confidentiality obligation similar to that set forth herein. If the personnel or institutions employed or engaged by either Party disclose any confidential information, it will be deemed disclosure by such Party, and such Party shall be liable for breach of this Contract. This Article 12 shall survive the termination of this Contract for whatever reasons.</w:t>
      </w:r>
    </w:p>
    <w:p>
      <w:pPr>
        <w:spacing w:after="0" w:line="1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52"/>
          </w:cols>
          <w:pgMar w:left="248" w:top="274" w:right="299" w:bottom="1440" w:gutter="0" w:footer="0" w:header="0"/>
        </w:sectPr>
      </w:pPr>
    </w:p>
    <w:bookmarkStart w:id="552" w:name="page553"/>
    <w:bookmarkEnd w:id="552"/>
    <w:p>
      <w:pPr>
        <w:ind w:left="572" w:hanging="572"/>
        <w:spacing w:after="0"/>
        <w:tabs>
          <w:tab w:leader="none" w:pos="572"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and Dispute Resolution</w:t>
      </w:r>
    </w:p>
    <w:p>
      <w:pPr>
        <w:spacing w:after="0" w:line="134" w:lineRule="exact"/>
        <w:rPr>
          <w:rFonts w:ascii="Arial" w:cs="Arial" w:eastAsia="Arial" w:hAnsi="Arial"/>
          <w:sz w:val="18"/>
          <w:szCs w:val="18"/>
          <w:b w:val="1"/>
          <w:bCs w:val="1"/>
          <w:color w:val="auto"/>
        </w:rPr>
      </w:pPr>
    </w:p>
    <w:p>
      <w:pPr>
        <w:ind w:left="1132" w:right="80" w:hanging="56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13.1 The execution, validity, interpretation and performance hereof and the resolution of any dispute hereunder shall be governed by the publicly available laws officially promulgated by China. Any matters not covered by such laws shall be governed by the international legal principles and practices.</w:t>
      </w:r>
    </w:p>
    <w:p>
      <w:pPr>
        <w:spacing w:after="0" w:line="86" w:lineRule="exact"/>
        <w:rPr>
          <w:rFonts w:ascii="Arial" w:cs="Arial" w:eastAsia="Arial" w:hAnsi="Arial"/>
          <w:sz w:val="18"/>
          <w:szCs w:val="18"/>
          <w:b w:val="1"/>
          <w:bCs w:val="1"/>
          <w:color w:val="auto"/>
        </w:rPr>
      </w:pPr>
    </w:p>
    <w:p>
      <w:pPr>
        <w:ind w:left="1132" w:right="120" w:hanging="56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13.2 If any dispute arises from interpretation or performance of any provisions hereof, the Parties shall resolve such dispute in good faith through negotiation. If the Parties fail to reach a consensus on the solution of such dispute within 30 days after either Party requests for negotiation, either Party may refer the dispute to China International Economic and Trade Arbitration Commission for arbitration according to the currently effective arbitration rules of the Commission. The arbitration shall be carried out in Chinese in Beijing. The arbitral award shall be conclusive and binding upon the Parties in question.</w:t>
      </w:r>
    </w:p>
    <w:p>
      <w:pPr>
        <w:spacing w:after="0" w:line="93" w:lineRule="exact"/>
        <w:rPr>
          <w:rFonts w:ascii="Arial" w:cs="Arial" w:eastAsia="Arial" w:hAnsi="Arial"/>
          <w:sz w:val="18"/>
          <w:szCs w:val="18"/>
          <w:b w:val="1"/>
          <w:bCs w:val="1"/>
          <w:color w:val="auto"/>
        </w:rPr>
      </w:pPr>
    </w:p>
    <w:p>
      <w:pPr>
        <w:ind w:left="1132"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13.3 When any dispute arises from interpretation or performance of this Contract or the dispute is in arbitration, the Parties hereto shall continue to exercise their rights and perform their obligations hereunder other than those in dispute.</w:t>
      </w:r>
    </w:p>
    <w:p>
      <w:pPr>
        <w:spacing w:after="0" w:line="315" w:lineRule="exact"/>
        <w:rPr>
          <w:rFonts w:ascii="Arial" w:cs="Arial" w:eastAsia="Arial" w:hAnsi="Arial"/>
          <w:sz w:val="18"/>
          <w:szCs w:val="18"/>
          <w:b w:val="1"/>
          <w:bCs w:val="1"/>
          <w:color w:val="auto"/>
        </w:rPr>
      </w:pPr>
    </w:p>
    <w:p>
      <w:pPr>
        <w:ind w:left="572" w:hanging="572"/>
        <w:spacing w:after="0"/>
        <w:tabs>
          <w:tab w:leader="none" w:pos="572"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135" w:lineRule="exact"/>
        <w:rPr>
          <w:sz w:val="20"/>
          <w:szCs w:val="20"/>
          <w:color w:val="auto"/>
        </w:rPr>
      </w:pPr>
    </w:p>
    <w:p>
      <w:pPr>
        <w:jc w:val="both"/>
        <w:ind w:left="1132" w:right="80" w:hanging="566"/>
        <w:spacing w:after="0" w:line="264" w:lineRule="auto"/>
        <w:tabs>
          <w:tab w:leader="none" w:pos="1112" w:val="left"/>
        </w:tabs>
        <w:rPr>
          <w:sz w:val="20"/>
          <w:szCs w:val="20"/>
          <w:color w:val="auto"/>
        </w:rPr>
      </w:pPr>
      <w:r>
        <w:rPr>
          <w:rFonts w:ascii="Arial" w:cs="Arial" w:eastAsia="Arial" w:hAnsi="Arial"/>
          <w:sz w:val="18"/>
          <w:szCs w:val="18"/>
          <w:color w:val="auto"/>
        </w:rPr>
        <w:t>14.1</w:t>
        <w:tab/>
        <w:t>All notices and other communications required or permitted hereunder shall be sent to the following addresses by personal delivery, postage-prepaid registered mail, commercial express delivery or fax. A confirmation shall be sent by email with respect to each notice. Such notices shall be deemed validly delivered according to the following provisions:</w:t>
      </w:r>
    </w:p>
    <w:p>
      <w:pPr>
        <w:spacing w:after="0" w:line="87" w:lineRule="exact"/>
        <w:rPr>
          <w:sz w:val="20"/>
          <w:szCs w:val="20"/>
          <w:color w:val="auto"/>
        </w:rPr>
      </w:pPr>
    </w:p>
    <w:p>
      <w:pPr>
        <w:ind w:left="1812" w:right="200" w:hanging="674"/>
        <w:spacing w:after="0" w:line="277" w:lineRule="auto"/>
        <w:tabs>
          <w:tab w:leader="none" w:pos="1792" w:val="left"/>
        </w:tabs>
        <w:rPr>
          <w:sz w:val="20"/>
          <w:szCs w:val="20"/>
          <w:color w:val="auto"/>
        </w:rPr>
      </w:pPr>
      <w:r>
        <w:rPr>
          <w:rFonts w:ascii="Arial" w:cs="Arial" w:eastAsia="Arial" w:hAnsi="Arial"/>
          <w:sz w:val="18"/>
          <w:szCs w:val="18"/>
          <w:color w:val="auto"/>
        </w:rPr>
        <w:t>14.1.1</w:t>
        <w:tab/>
        <w:t>Where a notice is sent by personal delivery, express delivery or postage-prepaid registered mail, it will be deemed delivered when the notice is sent to or rejected at the designated address of the recipient.</w:t>
      </w:r>
    </w:p>
    <w:p>
      <w:pPr>
        <w:spacing w:after="0" w:line="76" w:lineRule="exact"/>
        <w:rPr>
          <w:sz w:val="20"/>
          <w:szCs w:val="20"/>
          <w:color w:val="auto"/>
        </w:rPr>
      </w:pPr>
    </w:p>
    <w:p>
      <w:pPr>
        <w:ind w:left="1812" w:right="80" w:hanging="674"/>
        <w:spacing w:after="0" w:line="277" w:lineRule="auto"/>
        <w:tabs>
          <w:tab w:leader="none" w:pos="1792" w:val="left"/>
        </w:tabs>
        <w:rPr>
          <w:sz w:val="20"/>
          <w:szCs w:val="20"/>
          <w:color w:val="auto"/>
        </w:rPr>
      </w:pPr>
      <w:r>
        <w:rPr>
          <w:rFonts w:ascii="Arial" w:cs="Arial" w:eastAsia="Arial" w:hAnsi="Arial"/>
          <w:sz w:val="18"/>
          <w:szCs w:val="18"/>
          <w:color w:val="auto"/>
        </w:rPr>
        <w:t>14.1.2</w:t>
        <w:tab/>
        <w:t>Where a notice is sent by fax, it will be deemed delivered when the notice is transmitted successfully, evidenced by the information of transmission confirmation automatically generated.</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52"/>
          </w:cols>
          <w:pgMar w:left="248" w:top="269" w:right="299" w:bottom="1440" w:gutter="0" w:footer="0" w:header="0"/>
        </w:sectPr>
      </w:pPr>
    </w:p>
    <w:bookmarkStart w:id="553" w:name="page554"/>
    <w:bookmarkEnd w:id="553"/>
    <w:p>
      <w:pPr>
        <w:ind w:left="572"/>
        <w:spacing w:after="0"/>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r>
      <w:r>
        <w:rPr>
          <w:sz w:val="20"/>
          <w:szCs w:val="20"/>
          <w:color w:val="auto"/>
        </w:rPr>
        <w:tab/>
      </w:r>
      <w:r>
        <w:rPr>
          <w:rFonts w:ascii="Arial" w:cs="Arial" w:eastAsia="Arial" w:hAnsi="Arial"/>
          <w:sz w:val="16"/>
          <w:szCs w:val="16"/>
          <w:color w:val="auto"/>
        </w:rPr>
        <w:t>For the purpose of notice, the addresses of the Parties are as follows:</w:t>
      </w:r>
    </w:p>
    <w:p>
      <w:pPr>
        <w:spacing w:after="0" w:line="117"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xml:space="preserve">Party A: OptAim (Beijing) Information Technology Co., Ltd. </w:t>
      </w:r>
      <w:r>
        <w:rPr>
          <w:sz w:val="1"/>
          <w:szCs w:val="1"/>
          <w:color w:val="auto"/>
        </w:rPr>
        <w:drawing>
          <wp:inline distT="0" distB="0" distL="0" distR="0">
            <wp:extent cx="1586230" cy="102870"/>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586230" cy="102870"/>
                    </a:xfrm>
                    <a:prstGeom prst="rect">
                      <a:avLst/>
                    </a:prstGeom>
                    <a:noFill/>
                    <a:ln>
                      <a:noFill/>
                    </a:ln>
                  </pic:spPr>
                </pic:pic>
              </a:graphicData>
            </a:graphic>
          </wp:inline>
        </w:drawing>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Address: Room C-1503-032, Building 1, Zhongguancun East Road No. 18, Haidian District, Beijing</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66065" cy="10287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 010-58733487</w:t>
      </w:r>
    </w:p>
    <w:p>
      <w:pPr>
        <w:spacing w:after="0" w:line="10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xml:space="preserve">Party B: Tang Jian </w:t>
      </w:r>
      <w:r>
        <w:rPr>
          <w:sz w:val="1"/>
          <w:szCs w:val="1"/>
          <w:color w:val="auto"/>
        </w:rPr>
        <w:drawing>
          <wp:inline distT="0" distB="0" distL="0" distR="0">
            <wp:extent cx="274320" cy="10287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Address: No. 2#1504, North Fourth Ring Road, No. 106, Chaoyang District, Beijing</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 010-58733487</w:t>
      </w:r>
    </w:p>
    <w:p>
      <w:pPr>
        <w:spacing w:after="0" w:line="10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xml:space="preserve">Party B: Jiao Jie </w:t>
      </w:r>
      <w:r>
        <w:rPr>
          <w:sz w:val="1"/>
          <w:szCs w:val="1"/>
          <w:color w:val="auto"/>
        </w:rPr>
        <w:drawing>
          <wp:inline distT="0" distB="0" distL="0" distR="0">
            <wp:extent cx="274320" cy="10287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Address: 15/F, Hong Fu Millennium Building, King’s Road No. 665, Hong Kong</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 +8613910905012</w:t>
      </w:r>
    </w:p>
    <w:p>
      <w:pPr>
        <w:spacing w:after="0" w:line="10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xml:space="preserve">Party C: Party C:Beijing OptAim Network Technology Co., Ltd. </w:t>
      </w:r>
      <w:r>
        <w:rPr>
          <w:sz w:val="1"/>
          <w:szCs w:val="1"/>
          <w:color w:val="auto"/>
        </w:rPr>
        <w:drawing>
          <wp:inline distT="0" distB="0" distL="0" distR="0">
            <wp:extent cx="1414780" cy="10287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414780" cy="102870"/>
                    </a:xfrm>
                    <a:prstGeom prst="rect">
                      <a:avLst/>
                    </a:prstGeom>
                    <a:noFill/>
                    <a:ln>
                      <a:noFill/>
                    </a:ln>
                  </pic:spPr>
                </pic:pic>
              </a:graphicData>
            </a:graphic>
          </wp:inline>
        </w:drawing>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Address: No. 2#9A, Building No. 3, Zhichun Road No. 48, Haidian District, Beijing</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xml:space="preserve">Addressee: Tang Jian </w:t>
      </w:r>
      <w:r>
        <w:rPr>
          <w:sz w:val="1"/>
          <w:szCs w:val="1"/>
          <w:color w:val="auto"/>
        </w:rPr>
        <w:drawing>
          <wp:inline distT="0" distB="0" distL="0" distR="0">
            <wp:extent cx="274320" cy="10287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74320" cy="102870"/>
                    </a:xfrm>
                    <a:prstGeom prst="rect">
                      <a:avLst/>
                    </a:prstGeom>
                    <a:noFill/>
                    <a:ln>
                      <a:noFill/>
                    </a:ln>
                  </pic:spPr>
                </pic:pic>
              </a:graphicData>
            </a:graphic>
          </wp:inline>
        </w:drawing>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 010-58733487</w:t>
      </w:r>
    </w:p>
    <w:p>
      <w:pPr>
        <w:spacing w:after="0" w:line="11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Either Party may change its address for notice by sending a notice to other Parties according to the provisions of this Article 14.</w:t>
      </w:r>
    </w:p>
    <w:p>
      <w:pPr>
        <w:spacing w:after="0" w:line="370" w:lineRule="exact"/>
        <w:rPr>
          <w:sz w:val="20"/>
          <w:szCs w:val="20"/>
          <w:color w:val="auto"/>
        </w:rPr>
      </w:pPr>
    </w:p>
    <w:p>
      <w:pPr>
        <w:ind w:left="572" w:hanging="572"/>
        <w:spacing w:after="0"/>
        <w:tabs>
          <w:tab w:leader="none" w:pos="572"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121" w:lineRule="exact"/>
        <w:rPr>
          <w:rFonts w:ascii="Arial" w:cs="Arial" w:eastAsia="Arial" w:hAnsi="Arial"/>
          <w:sz w:val="18"/>
          <w:szCs w:val="18"/>
          <w:b w:val="1"/>
          <w:bCs w:val="1"/>
          <w:color w:val="auto"/>
        </w:rPr>
      </w:pPr>
    </w:p>
    <w:p>
      <w:pPr>
        <w:ind w:left="57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any or several provisions hereof are decided as invalid, illegal or unenforceable in any respect according to any laws or regulations, the validity, legality or enforceability of other provisions hereof shall not be affected or prejudiced in any respect. The Parties shall negotiate in good faith to strive to replace such invalid, illegal or unenforceable provisions with any valid provisions to the maximum extent permitted by laws and expected by the Parties, so that the economic effect of such valid provisions shall be similar to that of such invalid, illegal or unenforceable provisions as much as possible.</w:t>
      </w:r>
    </w:p>
    <w:p>
      <w:pPr>
        <w:spacing w:after="0" w:line="332" w:lineRule="exact"/>
        <w:rPr>
          <w:rFonts w:ascii="Arial" w:cs="Arial" w:eastAsia="Arial" w:hAnsi="Arial"/>
          <w:sz w:val="18"/>
          <w:szCs w:val="18"/>
          <w:b w:val="1"/>
          <w:bCs w:val="1"/>
          <w:color w:val="auto"/>
        </w:rPr>
      </w:pPr>
    </w:p>
    <w:p>
      <w:pPr>
        <w:ind w:left="572" w:hanging="572"/>
        <w:spacing w:after="0"/>
        <w:tabs>
          <w:tab w:leader="none" w:pos="572"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Exhibits</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The exhibits hereto are an integral part of this Contract.</w:t>
      </w:r>
    </w:p>
    <w:p>
      <w:pPr>
        <w:spacing w:after="0" w:line="369" w:lineRule="exact"/>
        <w:rPr>
          <w:rFonts w:ascii="Arial" w:cs="Arial" w:eastAsia="Arial" w:hAnsi="Arial"/>
          <w:sz w:val="18"/>
          <w:szCs w:val="18"/>
          <w:b w:val="1"/>
          <w:bCs w:val="1"/>
          <w:color w:val="auto"/>
        </w:rPr>
      </w:pPr>
    </w:p>
    <w:p>
      <w:pPr>
        <w:ind w:left="572" w:hanging="572"/>
        <w:spacing w:after="0"/>
        <w:tabs>
          <w:tab w:leader="none" w:pos="572"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w:t>
      </w:r>
    </w:p>
    <w:p>
      <w:pPr>
        <w:spacing w:after="0" w:line="134"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17.1   This Contract shall become effective when the Parties duly sign it.</w:t>
      </w:r>
    </w:p>
    <w:p>
      <w:pPr>
        <w:spacing w:after="0" w:line="130" w:lineRule="exact"/>
        <w:rPr>
          <w:rFonts w:ascii="Arial" w:cs="Arial" w:eastAsia="Arial" w:hAnsi="Arial"/>
          <w:sz w:val="18"/>
          <w:szCs w:val="18"/>
          <w:b w:val="1"/>
          <w:bCs w:val="1"/>
          <w:color w:val="auto"/>
        </w:rPr>
      </w:pPr>
    </w:p>
    <w:p>
      <w:pPr>
        <w:ind w:left="1132" w:right="100"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17.2 Any amendment to, modification of or supplementation to this Contract shall be made in writing, and become effective when the Parties sign or seal and when the governmental registration procedure (if applicable) is completed.</w:t>
      </w:r>
    </w:p>
    <w:p>
      <w:pPr>
        <w:spacing w:after="0" w:line="75" w:lineRule="exact"/>
        <w:rPr>
          <w:rFonts w:ascii="Arial" w:cs="Arial" w:eastAsia="Arial" w:hAnsi="Arial"/>
          <w:sz w:val="18"/>
          <w:szCs w:val="18"/>
          <w:b w:val="1"/>
          <w:bCs w:val="1"/>
          <w:color w:val="auto"/>
        </w:rPr>
      </w:pPr>
    </w:p>
    <w:p>
      <w:pPr>
        <w:ind w:left="1132" w:right="40" w:hanging="56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17.3 This Contract is made in five (5) counterparts. Each signing Party shall hold one (1) counterpart, and one (1) counterpart shall be submitted to the Registration Authority. The counterparts of this Contract shall have equal legal force.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392"/>
          </w:cols>
          <w:pgMar w:left="248" w:top="273" w:right="259" w:bottom="1440" w:gutter="0" w:footer="0" w:header="0"/>
        </w:sectPr>
      </w:pPr>
    </w:p>
    <w:bookmarkStart w:id="554" w:name="page555"/>
    <w:bookmarkEnd w:id="554"/>
    <w:p>
      <w:pPr>
        <w:ind w:left="572" w:hanging="572"/>
        <w:spacing w:after="0"/>
        <w:tabs>
          <w:tab w:leader="none" w:pos="572"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Contract</w:t>
      </w:r>
    </w:p>
    <w:p>
      <w:pPr>
        <w:spacing w:after="0" w:line="121" w:lineRule="exact"/>
        <w:rPr>
          <w:rFonts w:ascii="Arial" w:cs="Arial" w:eastAsia="Arial" w:hAnsi="Arial"/>
          <w:sz w:val="18"/>
          <w:szCs w:val="18"/>
          <w:b w:val="1"/>
          <w:bCs w:val="1"/>
          <w:color w:val="auto"/>
        </w:rPr>
      </w:pPr>
    </w:p>
    <w:p>
      <w:pPr>
        <w:ind w:left="57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for the written amendment, supplementation or modification made after execution of this Contract, this Contract shall constitute the entire agreement between the Parties with respect to the subject matter hereof, and shall replace all previous oral or written negotiations, representations or contracts reached between the Parties with respect to the subject matter hereof.</w:t>
      </w:r>
    </w:p>
    <w:p>
      <w:pPr>
        <w:spacing w:after="0" w:line="181" w:lineRule="exact"/>
        <w:rPr>
          <w:sz w:val="20"/>
          <w:szCs w:val="20"/>
          <w:color w:val="auto"/>
        </w:rPr>
      </w:pPr>
    </w:p>
    <w:p>
      <w:pPr>
        <w:ind w:left="3752"/>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ind w:left="3712"/>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252"/>
          </w:cols>
          <w:pgMar w:left="248" w:top="270" w:right="399" w:bottom="1440" w:gutter="0" w:footer="0" w:header="0"/>
        </w:sectPr>
      </w:pPr>
    </w:p>
    <w:bookmarkStart w:id="555" w:name="page556"/>
    <w:bookmarkEnd w:id="555"/>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and/or their legal representatives have signed this Second Amended and Restated Equity Pledge Contract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 for their joint observance.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(Beijing) Information Technology Co., Ltd.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526540" cy="10287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26540" cy="102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 xml:space="preserve">Tang Jian </w:t>
      </w:r>
      <w:r>
        <w:rPr>
          <w:sz w:val="1"/>
          <w:szCs w:val="1"/>
          <w:color w:val="auto"/>
        </w:rPr>
        <w:drawing>
          <wp:inline distT="0" distB="0" distL="0" distR="0">
            <wp:extent cx="257175" cy="10287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legal representative</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Second Amended and Restated Equity Pledge Contract- Signature Page</w:t>
      </w:r>
    </w:p>
    <w:p>
      <w:pPr>
        <w:sectPr>
          <w:pgSz w:w="11900" w:h="16838" w:orient="portrait"/>
          <w:cols w:equalWidth="0" w:num="1">
            <w:col w:w="11080"/>
          </w:cols>
          <w:pgMar w:left="240" w:top="270" w:right="579" w:bottom="1440" w:gutter="0" w:footer="0" w:header="0"/>
        </w:sectPr>
      </w:pPr>
    </w:p>
    <w:bookmarkStart w:id="556" w:name="page557"/>
    <w:bookmarkEnd w:id="556"/>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and/or their legal representatives have signed this Second Amended and Restated Equity Pledge Contract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 for their joint observance.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 xml:space="preserve">Tang Jian </w:t>
      </w:r>
      <w:r>
        <w:rPr>
          <w:sz w:val="1"/>
          <w:szCs w:val="1"/>
          <w:color w:val="auto"/>
        </w:rPr>
        <w:drawing>
          <wp:inline distT="0" distB="0" distL="0" distR="0">
            <wp:extent cx="257175" cy="10287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Second Amended and Restated Equity Pledge Contract- Signature Page</w:t>
      </w:r>
    </w:p>
    <w:p>
      <w:pPr>
        <w:sectPr>
          <w:pgSz w:w="11900" w:h="16838" w:orient="portrait"/>
          <w:cols w:equalWidth="0" w:num="1">
            <w:col w:w="11080"/>
          </w:cols>
          <w:pgMar w:left="240" w:top="269" w:right="579" w:bottom="1440" w:gutter="0" w:footer="0" w:header="0"/>
        </w:sectPr>
      </w:pPr>
    </w:p>
    <w:bookmarkStart w:id="557" w:name="page558"/>
    <w:bookmarkEnd w:id="557"/>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and/or their legal representatives have signed this Second Amended and Restated Equity Pledge Contract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 for their joint observance.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 xml:space="preserve">Jiao Jie </w:t>
      </w:r>
      <w:r>
        <w:rPr>
          <w:sz w:val="1"/>
          <w:szCs w:val="1"/>
          <w:color w:val="auto"/>
        </w:rPr>
        <w:drawing>
          <wp:inline distT="0" distB="0" distL="0" distR="0">
            <wp:extent cx="257175" cy="102870"/>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Second Amended and Restated Equity Pledge Contract- Signature Page</w:t>
      </w:r>
    </w:p>
    <w:p>
      <w:pPr>
        <w:sectPr>
          <w:pgSz w:w="11900" w:h="16838" w:orient="portrait"/>
          <w:cols w:equalWidth="0" w:num="1">
            <w:col w:w="11080"/>
          </w:cols>
          <w:pgMar w:left="240" w:top="269" w:right="579" w:bottom="1440" w:gutter="0" w:footer="0" w:header="0"/>
        </w:sectPr>
      </w:pPr>
    </w:p>
    <w:bookmarkStart w:id="558" w:name="page559"/>
    <w:bookmarkEnd w:id="558"/>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and/or their legal representatives have signed this Second Amended and Restated Equity Pledge Contract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 for their joint observance.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 OptAim Network Technology Co., Ltd.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29055" cy="10287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29055" cy="102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 xml:space="preserve">Tang Jian </w:t>
      </w:r>
      <w:r>
        <w:rPr>
          <w:sz w:val="1"/>
          <w:szCs w:val="1"/>
          <w:color w:val="auto"/>
        </w:rPr>
        <w:drawing>
          <wp:inline distT="0" distB="0" distL="0" distR="0">
            <wp:extent cx="257175" cy="102870"/>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legal representative</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Second Amended and Restated Equity Pledge Contract- Signature Page</w:t>
      </w:r>
    </w:p>
    <w:p>
      <w:pPr>
        <w:sectPr>
          <w:pgSz w:w="11900" w:h="16838" w:orient="portrait"/>
          <w:cols w:equalWidth="0" w:num="1">
            <w:col w:w="11080"/>
          </w:cols>
          <w:pgMar w:left="240" w:top="270" w:right="579" w:bottom="1440" w:gutter="0" w:footer="0" w:header="0"/>
        </w:sectPr>
      </w:pPr>
    </w:p>
    <w:bookmarkStart w:id="559" w:name="page560"/>
    <w:bookmarkEnd w:id="5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OptAim Network Technology Co.,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Shareholders and Capital Contribution Certificate Recording the Pledge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Shareholders of Beijing OptAim Network Technology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relevant information of Beijing OptAim Network Technology Co., Ltd. (the “</w:t>
      </w:r>
      <w:r>
        <w:rPr>
          <w:rFonts w:ascii="Arial" w:cs="Arial" w:eastAsia="Arial" w:hAnsi="Arial"/>
          <w:sz w:val="18"/>
          <w:szCs w:val="18"/>
          <w:b w:val="1"/>
          <w:bCs w:val="1"/>
          <w:color w:val="auto"/>
        </w:rPr>
        <w:t>Company</w:t>
      </w:r>
      <w:r>
        <w:rPr>
          <w:rFonts w:ascii="Arial" w:cs="Arial" w:eastAsia="Arial" w:hAnsi="Arial"/>
          <w:sz w:val="18"/>
          <w:szCs w:val="18"/>
          <w:color w:val="auto"/>
        </w:rPr>
        <w:t>”)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Type of</w:t>
            </w:r>
          </w:p>
        </w:tc>
        <w:tc>
          <w:tcPr>
            <w:tcW w:w="18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contribution</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Form of</w:t>
            </w:r>
          </w:p>
        </w:tc>
        <w:tc>
          <w:tcPr>
            <w:tcW w:w="11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89"/>
              </w:rPr>
              <w:t>Shareholding</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Capital</w:t>
            </w:r>
          </w:p>
        </w:tc>
        <w:tc>
          <w:tcPr>
            <w:tcW w:w="17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Pledge</w:t>
            </w:r>
          </w:p>
        </w:tc>
        <w:tc>
          <w:tcPr>
            <w:tcW w:w="0" w:type="dxa"/>
            <w:vAlign w:val="bottom"/>
          </w:tcPr>
          <w:p>
            <w:pPr>
              <w:spacing w:after="0"/>
              <w:rPr>
                <w:sz w:val="1"/>
                <w:szCs w:val="1"/>
                <w:color w:val="auto"/>
              </w:rPr>
            </w:pPr>
          </w:p>
        </w:tc>
      </w:tr>
      <w:tr>
        <w:trPr>
          <w:trHeight w:val="149"/>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shareholder</w:t>
            </w:r>
          </w:p>
        </w:tc>
        <w:tc>
          <w:tcPr>
            <w:tcW w:w="4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Domicile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shareholder</w:t>
            </w:r>
          </w:p>
        </w:tc>
        <w:tc>
          <w:tcPr>
            <w:tcW w:w="18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contribution</w:t>
            </w:r>
          </w:p>
        </w:tc>
        <w:tc>
          <w:tcPr>
            <w:tcW w:w="11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6"/>
              </w:rPr>
              <w:t>percentage</w:t>
            </w:r>
          </w:p>
        </w:tc>
        <w:tc>
          <w:tcPr>
            <w:tcW w:w="10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Certificate</w:t>
            </w:r>
          </w:p>
        </w:tc>
        <w:tc>
          <w:tcPr>
            <w:tcW w:w="1740" w:type="dxa"/>
            <w:vAlign w:val="bottom"/>
          </w:tcPr>
          <w:p>
            <w:pPr>
              <w:ind w:left="520"/>
              <w:spacing w:after="0"/>
              <w:rPr>
                <w:sz w:val="20"/>
                <w:szCs w:val="20"/>
                <w:color w:val="auto"/>
              </w:rPr>
            </w:pPr>
            <w:r>
              <w:rPr>
                <w:rFonts w:ascii="Arial" w:cs="Arial" w:eastAsia="Arial" w:hAnsi="Arial"/>
                <w:sz w:val="14"/>
                <w:szCs w:val="14"/>
                <w:b w:val="1"/>
                <w:bCs w:val="1"/>
                <w:color w:val="auto"/>
              </w:rPr>
              <w:t>registration</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Tang Jian</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Natural</w:t>
            </w:r>
          </w:p>
        </w:tc>
        <w:tc>
          <w:tcPr>
            <w:tcW w:w="18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RMB 490,000</w:t>
            </w: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Cash</w:t>
            </w:r>
          </w:p>
        </w:tc>
        <w:tc>
          <w:tcPr>
            <w:tcW w:w="180" w:type="dxa"/>
            <w:vAlign w:val="bottom"/>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line="189"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 2#1504, North</w:t>
            </w: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No. 2017-1</w:t>
            </w:r>
          </w:p>
        </w:tc>
        <w:tc>
          <w:tcPr>
            <w:tcW w:w="200" w:type="dxa"/>
            <w:vAlign w:val="bottom"/>
          </w:tcPr>
          <w:p>
            <w:pPr>
              <w:spacing w:after="0"/>
              <w:rPr>
                <w:sz w:val="16"/>
                <w:szCs w:val="16"/>
                <w:color w:val="auto"/>
              </w:rPr>
            </w:pPr>
          </w:p>
        </w:tc>
        <w:tc>
          <w:tcPr>
            <w:tcW w:w="1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The 49% equity held by</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person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Fourth Ring Road,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5"/>
              </w:rPr>
              <w:t>Tang Jianin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No. 106, Chaoyang</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Company has been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ind w:left="100"/>
              <w:spacing w:after="0"/>
              <w:rPr>
                <w:sz w:val="20"/>
                <w:szCs w:val="20"/>
                <w:color w:val="auto"/>
              </w:rPr>
            </w:pPr>
            <w:r>
              <w:rPr>
                <w:rFonts w:ascii="Arial" w:cs="Arial" w:eastAsia="Arial" w:hAnsi="Arial"/>
                <w:sz w:val="18"/>
                <w:szCs w:val="18"/>
                <w:color w:val="auto"/>
              </w:rPr>
              <w:t>District, Beijing</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pledged to OptAim</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(Beijing) Information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Technology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-831215</wp:posOffset>
            </wp:positionV>
            <wp:extent cx="257175" cy="10287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57175" cy="10287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-273685</wp:posOffset>
            </wp:positionV>
            <wp:extent cx="702945" cy="44577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02945" cy="445770"/>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-685800</wp:posOffset>
            </wp:positionV>
            <wp:extent cx="334645" cy="10287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34645" cy="10287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0</wp:posOffset>
            </wp:positionV>
            <wp:extent cx="428625" cy="48006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28625" cy="48006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Jiao Jie </w:t>
      </w:r>
      <w:r>
        <w:rPr>
          <w:sz w:val="1"/>
          <w:szCs w:val="1"/>
          <w:color w:val="auto"/>
        </w:rPr>
        <w:drawing>
          <wp:inline distT="0" distB="0" distL="0" distR="0">
            <wp:extent cx="257175" cy="10287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Natural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RMB 510,000</w:t>
      </w:r>
      <w:r>
        <w:rPr>
          <w:sz w:val="20"/>
          <w:szCs w:val="20"/>
          <w:color w:val="auto"/>
        </w:rPr>
        <w:tab/>
      </w:r>
      <w:r>
        <w:rPr>
          <w:rFonts w:ascii="Arial" w:cs="Arial" w:eastAsia="Arial" w:hAnsi="Arial"/>
          <w:sz w:val="15"/>
          <w:szCs w:val="15"/>
          <w:color w:val="auto"/>
        </w:rPr>
        <w:t>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hanging="559"/>
        <w:spacing w:after="0" w:line="279" w:lineRule="auto"/>
        <w:rPr>
          <w:sz w:val="20"/>
          <w:szCs w:val="20"/>
          <w:color w:val="auto"/>
        </w:rPr>
      </w:pPr>
      <w:r>
        <w:rPr>
          <w:rFonts w:ascii="Arial" w:cs="Arial" w:eastAsia="Arial" w:hAnsi="Arial"/>
          <w:sz w:val="17"/>
          <w:szCs w:val="17"/>
          <w:color w:val="auto"/>
        </w:rPr>
        <w:t>51%</w:t>
      </w:r>
      <w:r>
        <w:rPr>
          <w:sz w:val="20"/>
          <w:szCs w:val="20"/>
          <w:color w:val="auto"/>
        </w:rPr>
        <w:t xml:space="preserve"> </w:t>
      </w:r>
      <w:r>
        <w:rPr>
          <w:rFonts w:ascii="Arial" w:cs="Arial" w:eastAsia="Arial" w:hAnsi="Arial"/>
          <w:sz w:val="17"/>
          <w:szCs w:val="17"/>
          <w:color w:val="auto"/>
        </w:rPr>
        <w:t>15/F, Hong Fu Millennium Building, King’s Road No.665, 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 2017-2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51% equity held by Jiao Jie </w:t>
      </w:r>
      <w:r>
        <w:rPr>
          <w:sz w:val="1"/>
          <w:szCs w:val="1"/>
          <w:color w:val="auto"/>
        </w:rPr>
        <w:drawing>
          <wp:inline distT="0" distB="0" distL="0" distR="0">
            <wp:extent cx="342900" cy="10287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42900" cy="102870"/>
                    </a:xfrm>
                    <a:prstGeom prst="rect">
                      <a:avLst/>
                    </a:prstGeom>
                    <a:noFill/>
                    <a:ln>
                      <a:noFill/>
                    </a:ln>
                  </pic:spPr>
                </pic:pic>
              </a:graphicData>
            </a:graphic>
          </wp:inline>
        </w:drawing>
      </w:r>
      <w:r>
        <w:rPr>
          <w:rFonts w:ascii="Arial" w:cs="Arial" w:eastAsia="Arial" w:hAnsi="Arial"/>
          <w:sz w:val="16"/>
          <w:szCs w:val="16"/>
          <w:color w:val="auto"/>
        </w:rPr>
        <w:t xml:space="preserve"> in the Company has been pledged to OptAim (Beijing)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420370" cy="48006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420370" cy="4800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6">
            <w:col w:w="1440" w:space="720"/>
            <w:col w:w="540" w:space="440"/>
            <w:col w:w="2720" w:space="720"/>
            <w:col w:w="1580" w:space="440"/>
            <w:col w:w="820" w:space="260"/>
            <w:col w:w="1740"/>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Equity Pledge Contract</w:t>
      </w:r>
    </w:p>
    <w:p>
      <w:pPr>
        <w:sectPr>
          <w:pgSz w:w="11900" w:h="16838" w:orient="portrait"/>
          <w:cols w:equalWidth="0" w:num="1">
            <w:col w:w="11420"/>
          </w:cols>
          <w:pgMar w:left="240" w:top="270" w:right="239" w:bottom="1440" w:gutter="0" w:footer="0" w:header="0"/>
          <w:type w:val="continuous"/>
        </w:sectPr>
      </w:pPr>
    </w:p>
    <w:bookmarkStart w:id="560" w:name="page561"/>
    <w:bookmarkEnd w:id="5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Beijing OptAim Network Technology Co., Ltd.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-121285</wp:posOffset>
            </wp:positionV>
            <wp:extent cx="1329055" cy="10287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29055" cy="10287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3036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32" w:lineRule="exact"/>
        <w:rPr>
          <w:sz w:val="20"/>
          <w:szCs w:val="20"/>
          <w:color w:val="auto"/>
        </w:rPr>
      </w:pPr>
    </w:p>
    <w:tbl>
      <w:tblPr>
        <w:tblLayout w:type="fixed"/>
        <w:tblInd w:w="8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Issuance date:</w:t>
            </w:r>
          </w:p>
        </w:tc>
        <w:tc>
          <w:tcPr>
            <w:tcW w:w="900" w:type="dxa"/>
            <w:vAlign w:val="bottom"/>
          </w:tcPr>
          <w:p>
            <w:pPr>
              <w:jc w:val="right"/>
              <w:spacing w:after="0"/>
              <w:rPr>
                <w:sz w:val="20"/>
                <w:szCs w:val="20"/>
                <w:color w:val="auto"/>
              </w:rPr>
            </w:pPr>
            <w:r>
              <w:rPr>
                <w:rFonts w:ascii="Arial" w:cs="Arial" w:eastAsia="Arial" w:hAnsi="Arial"/>
                <w:sz w:val="18"/>
                <w:szCs w:val="18"/>
                <w:color w:val="auto"/>
              </w:rPr>
              <w:t>,   , 2017</w:t>
            </w:r>
          </w:p>
        </w:tc>
      </w:tr>
    </w:tbl>
    <w:p>
      <w:pPr>
        <w:spacing w:after="0" w:line="13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0220"/>
          </w:cols>
          <w:pgMar w:left="1440" w:top="273" w:right="239" w:bottom="1440" w:gutter="0" w:footer="0" w:header="0"/>
        </w:sectPr>
      </w:pPr>
    </w:p>
    <w:bookmarkStart w:id="561" w:name="page562"/>
    <w:bookmarkEnd w:id="5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Beijing OptAim Network Technology Co.,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Capital Contribution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2017-1)</w:t>
      </w:r>
    </w:p>
    <w:p>
      <w:pPr>
        <w:spacing w:after="0" w:line="229" w:lineRule="exact"/>
        <w:rPr>
          <w:sz w:val="20"/>
          <w:szCs w:val="20"/>
          <w:color w:val="auto"/>
        </w:rPr>
      </w:pPr>
    </w:p>
    <w:p>
      <w:pPr>
        <w:ind w:left="180" w:hanging="172"/>
        <w:spacing w:after="0"/>
        <w:tabs>
          <w:tab w:leader="none" w:pos="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Company’s full name: Beijing OptAim Network Technology Co., Ltd. </w:t>
      </w:r>
      <w:r>
        <w:rPr>
          <w:rFonts w:ascii="Arial" w:cs="Arial" w:eastAsia="Arial" w:hAnsi="Arial"/>
          <w:sz w:val="1"/>
          <w:szCs w:val="1"/>
          <w:color w:val="auto"/>
        </w:rPr>
        <w:drawing>
          <wp:inline distT="0" distB="0" distL="0" distR="0">
            <wp:extent cx="1329055" cy="102870"/>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29055" cy="102870"/>
                    </a:xfrm>
                    <a:prstGeom prst="rect">
                      <a:avLst/>
                    </a:prstGeom>
                    <a:noFill/>
                    <a:ln>
                      <a:noFill/>
                    </a:ln>
                  </pic:spPr>
                </pic:pic>
              </a:graphicData>
            </a:graphic>
          </wp:inline>
        </w:drawing>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Company’s address: No. 2#9A, Building No. 3, Zhichun Road No. 48, Haidian District, Beijing</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Company’s date of establishment: September 7, 2012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Company’s registered capital: RMB 1 million</w:t>
      </w:r>
    </w:p>
    <w:p>
      <w:pPr>
        <w:spacing w:after="0" w:line="225" w:lineRule="exact"/>
        <w:rPr>
          <w:rFonts w:ascii="Arial" w:cs="Arial" w:eastAsia="Arial" w:hAnsi="Arial"/>
          <w:sz w:val="18"/>
          <w:szCs w:val="18"/>
          <w:color w:val="auto"/>
        </w:rPr>
      </w:pPr>
    </w:p>
    <w:p>
      <w:pPr>
        <w:ind w:right="160" w:firstLine="8"/>
        <w:spacing w:after="0" w:line="329" w:lineRule="auto"/>
        <w:tabs>
          <w:tab w:leader="none" w:pos="18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 xml:space="preserve">Company’s shareholders: Tang Jian </w:t>
      </w:r>
      <w:r>
        <w:rPr>
          <w:rFonts w:ascii="Arial" w:cs="Arial" w:eastAsia="Arial" w:hAnsi="Arial"/>
          <w:sz w:val="1"/>
          <w:szCs w:val="1"/>
          <w:color w:val="auto"/>
        </w:rPr>
        <w:drawing>
          <wp:inline distT="0" distB="0" distL="0" distR="0">
            <wp:extent cx="257175" cy="10287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6"/>
          <w:szCs w:val="16"/>
          <w:color w:val="auto"/>
        </w:rPr>
        <w:t xml:space="preserve"> is a shareholder of this Company, who holds 49% equity in the Company (corresponding to the contribution of RMB 490,000 in the registered capital which has been paid up), and is entitled to the shareholders’ rights set forth in the Company’s articles of association.</w:t>
      </w:r>
    </w:p>
    <w:p>
      <w:pPr>
        <w:spacing w:after="0" w:line="131" w:lineRule="exact"/>
        <w:rPr>
          <w:rFonts w:ascii="Arial" w:cs="Arial" w:eastAsia="Arial" w:hAnsi="Arial"/>
          <w:sz w:val="16"/>
          <w:szCs w:val="16"/>
          <w:color w:val="auto"/>
        </w:rPr>
      </w:pPr>
    </w:p>
    <w:p>
      <w:pPr>
        <w:ind w:left="180" w:hanging="172"/>
        <w:spacing w:after="0"/>
        <w:tabs>
          <w:tab w:leader="none" w:pos="18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 xml:space="preserve">Equity pledge: The 49% equity held by Tang Jian </w:t>
      </w:r>
      <w:r>
        <w:rPr>
          <w:rFonts w:ascii="Arial" w:cs="Arial" w:eastAsia="Arial" w:hAnsi="Arial"/>
          <w:sz w:val="1"/>
          <w:szCs w:val="1"/>
          <w:color w:val="auto"/>
        </w:rPr>
        <w:drawing>
          <wp:inline distT="0" distB="0" distL="0" distR="0">
            <wp:extent cx="248920" cy="102870"/>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r>
        <w:rPr>
          <w:rFonts w:ascii="Arial" w:cs="Arial" w:eastAsia="Arial" w:hAnsi="Arial"/>
          <w:sz w:val="16"/>
          <w:szCs w:val="16"/>
          <w:color w:val="auto"/>
        </w:rPr>
        <w:t xml:space="preserve"> in the Company has been pledged in favor of OptAim (Beijing)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551940" cy="10287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551940" cy="10287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Beijing OptAim Network Technology Co., Ltd.</w:t>
      </w:r>
    </w:p>
    <w:p>
      <w:pPr>
        <w:spacing w:after="0" w:line="225" w:lineRule="exact"/>
        <w:rPr>
          <w:sz w:val="20"/>
          <w:szCs w:val="20"/>
          <w:color w:val="auto"/>
        </w:rPr>
      </w:pPr>
    </w:p>
    <w:p>
      <w:pPr>
        <w:ind w:left="6860"/>
        <w:spacing w:after="0"/>
        <w:rPr>
          <w:sz w:val="20"/>
          <w:szCs w:val="20"/>
          <w:color w:val="auto"/>
        </w:rPr>
      </w:pPr>
      <w:r>
        <w:rPr>
          <w:sz w:val="1"/>
          <w:szCs w:val="1"/>
          <w:color w:val="auto"/>
        </w:rPr>
        <w:drawing>
          <wp:inline distT="0" distB="0" distL="0" distR="0">
            <wp:extent cx="1355090" cy="10287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355090" cy="102870"/>
                    </a:xfrm>
                    <a:prstGeom prst="rect">
                      <a:avLst/>
                    </a:prstGeom>
                    <a:noFill/>
                    <a:ln>
                      <a:noFill/>
                    </a:ln>
                  </pic:spPr>
                </pic:pic>
              </a:graphicData>
            </a:graphic>
          </wp:inline>
        </w:drawing>
      </w:r>
      <w:r>
        <w:rPr>
          <w:rFonts w:ascii="Arial" w:cs="Arial" w:eastAsia="Arial" w:hAnsi="Arial"/>
          <w:sz w:val="18"/>
          <w:szCs w:val="18"/>
          <w:color w:val="auto"/>
        </w:rPr>
        <w:t xml:space="preserve"> (seal)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14605</wp:posOffset>
            </wp:positionV>
            <wp:extent cx="112331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32" w:lineRule="exact"/>
        <w:rPr>
          <w:sz w:val="20"/>
          <w:szCs w:val="20"/>
          <w:color w:val="auto"/>
        </w:rPr>
      </w:pPr>
    </w:p>
    <w:p>
      <w:pPr>
        <w:jc w:val="right"/>
        <w:spacing w:after="0"/>
        <w:tabs>
          <w:tab w:leader="none" w:pos="700" w:val="left"/>
          <w:tab w:leader="none" w:pos="420" w:val="left"/>
        </w:tabs>
        <w:rPr>
          <w:sz w:val="20"/>
          <w:szCs w:val="20"/>
          <w:color w:val="auto"/>
        </w:rPr>
      </w:pPr>
      <w:r>
        <w:rPr>
          <w:rFonts w:ascii="Arial" w:cs="Arial" w:eastAsia="Arial" w:hAnsi="Arial"/>
          <w:sz w:val="18"/>
          <w:szCs w:val="18"/>
          <w:color w:val="auto"/>
        </w:rPr>
        <w:t>Issuance 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420"/>
          </w:cols>
          <w:pgMar w:left="240" w:top="270" w:right="239" w:bottom="1440" w:gutter="0" w:footer="0" w:header="0"/>
        </w:sectPr>
      </w:pPr>
    </w:p>
    <w:bookmarkStart w:id="562" w:name="page563"/>
    <w:bookmarkEnd w:id="562"/>
    <w:p>
      <w:pPr>
        <w:jc w:val="center"/>
        <w:ind w:right="-2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Beijing OptAim Network Technology Co., Ltd.</w:t>
      </w:r>
    </w:p>
    <w:p>
      <w:pPr>
        <w:spacing w:after="0" w:line="225"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Shareholder Capital Contribution Certificate</w:t>
      </w:r>
    </w:p>
    <w:p>
      <w:pPr>
        <w:spacing w:after="0" w:line="225"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(No. 2017-2)</w:t>
      </w:r>
    </w:p>
    <w:p>
      <w:pPr>
        <w:spacing w:after="0" w:line="229" w:lineRule="exact"/>
        <w:rPr>
          <w:sz w:val="20"/>
          <w:szCs w:val="20"/>
          <w:color w:val="auto"/>
        </w:rPr>
      </w:pPr>
    </w:p>
    <w:p>
      <w:pPr>
        <w:ind w:left="172" w:hanging="172"/>
        <w:spacing w:after="0"/>
        <w:tabs>
          <w:tab w:leader="none" w:pos="17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xml:space="preserve">Company’s full name: Beijing OptAim Network Technology Co., Ltd. </w:t>
      </w:r>
      <w:r>
        <w:rPr>
          <w:rFonts w:ascii="Arial" w:cs="Arial" w:eastAsia="Arial" w:hAnsi="Arial"/>
          <w:sz w:val="1"/>
          <w:szCs w:val="1"/>
          <w:color w:val="auto"/>
        </w:rPr>
        <w:drawing>
          <wp:inline distT="0" distB="0" distL="0" distR="0">
            <wp:extent cx="1320800" cy="10287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320800" cy="102870"/>
                    </a:xfrm>
                    <a:prstGeom prst="rect">
                      <a:avLst/>
                    </a:prstGeom>
                    <a:noFill/>
                    <a:ln>
                      <a:noFill/>
                    </a:ln>
                  </pic:spPr>
                </pic:pic>
              </a:graphicData>
            </a:graphic>
          </wp:inline>
        </w:drawing>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Company’s address: No. 2#9A, Building No. 3, Zhichun Road No. 48, Haidian District, Beijing</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Company’s date of establishment: September 7, 2012</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Company’s registered capital: RMB 1 million</w:t>
      </w:r>
    </w:p>
    <w:p>
      <w:pPr>
        <w:spacing w:after="0" w:line="225" w:lineRule="exact"/>
        <w:rPr>
          <w:rFonts w:ascii="Arial" w:cs="Arial" w:eastAsia="Arial" w:hAnsi="Arial"/>
          <w:sz w:val="18"/>
          <w:szCs w:val="18"/>
          <w:color w:val="auto"/>
        </w:rPr>
      </w:pPr>
    </w:p>
    <w:p>
      <w:pPr>
        <w:ind w:left="-8" w:firstLine="8"/>
        <w:spacing w:after="0" w:line="329" w:lineRule="auto"/>
        <w:tabs>
          <w:tab w:leader="none" w:pos="172" w:val="left"/>
        </w:tabs>
        <w:numPr>
          <w:ilvl w:val="0"/>
          <w:numId w:val="526"/>
        </w:numPr>
        <w:rPr>
          <w:rFonts w:ascii="Arial" w:cs="Arial" w:eastAsia="Arial" w:hAnsi="Arial"/>
          <w:sz w:val="16"/>
          <w:szCs w:val="16"/>
          <w:color w:val="auto"/>
        </w:rPr>
      </w:pPr>
      <w:r>
        <w:rPr>
          <w:rFonts w:ascii="Arial" w:cs="Arial" w:eastAsia="Arial" w:hAnsi="Arial"/>
          <w:sz w:val="16"/>
          <w:szCs w:val="16"/>
          <w:color w:val="auto"/>
        </w:rPr>
        <w:t xml:space="preserve">Company’s shareholders: Jiao Jie </w:t>
      </w:r>
      <w:r>
        <w:rPr>
          <w:rFonts w:ascii="Arial" w:cs="Arial" w:eastAsia="Arial" w:hAnsi="Arial"/>
          <w:sz w:val="1"/>
          <w:szCs w:val="1"/>
          <w:color w:val="auto"/>
        </w:rPr>
        <w:drawing>
          <wp:inline distT="0" distB="0" distL="0" distR="0">
            <wp:extent cx="248920" cy="102870"/>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r>
        <w:rPr>
          <w:rFonts w:ascii="Arial" w:cs="Arial" w:eastAsia="Arial" w:hAnsi="Arial"/>
          <w:sz w:val="16"/>
          <w:szCs w:val="16"/>
          <w:color w:val="auto"/>
        </w:rPr>
        <w:t xml:space="preserve"> is a shareholder of this Company, who holds 51% equity in the Company (corresponding to the contribution of RMB 510,000 in the registered capital which has been paid up), and is entitled to the shareholders’ rights set forth in the Company’s articles of association.</w:t>
      </w:r>
    </w:p>
    <w:p>
      <w:pPr>
        <w:spacing w:after="0" w:line="131" w:lineRule="exact"/>
        <w:rPr>
          <w:rFonts w:ascii="Arial" w:cs="Arial" w:eastAsia="Arial" w:hAnsi="Arial"/>
          <w:sz w:val="16"/>
          <w:szCs w:val="16"/>
          <w:color w:val="auto"/>
        </w:rPr>
      </w:pPr>
    </w:p>
    <w:p>
      <w:pPr>
        <w:ind w:left="172" w:hanging="172"/>
        <w:spacing w:after="0"/>
        <w:tabs>
          <w:tab w:leader="none" w:pos="172" w:val="left"/>
        </w:tabs>
        <w:numPr>
          <w:ilvl w:val="0"/>
          <w:numId w:val="526"/>
        </w:numPr>
        <w:rPr>
          <w:rFonts w:ascii="Arial" w:cs="Arial" w:eastAsia="Arial" w:hAnsi="Arial"/>
          <w:sz w:val="16"/>
          <w:szCs w:val="16"/>
          <w:color w:val="auto"/>
        </w:rPr>
      </w:pPr>
      <w:r>
        <w:rPr>
          <w:rFonts w:ascii="Arial" w:cs="Arial" w:eastAsia="Arial" w:hAnsi="Arial"/>
          <w:sz w:val="16"/>
          <w:szCs w:val="16"/>
          <w:color w:val="auto"/>
        </w:rPr>
        <w:t xml:space="preserve">Equity pledge: The 51% equity held by Jiao Jie </w:t>
      </w:r>
      <w:r>
        <w:rPr>
          <w:rFonts w:ascii="Arial" w:cs="Arial" w:eastAsia="Arial" w:hAnsi="Arial"/>
          <w:sz w:val="1"/>
          <w:szCs w:val="1"/>
          <w:color w:val="auto"/>
        </w:rPr>
        <w:drawing>
          <wp:inline distT="0" distB="0" distL="0" distR="0">
            <wp:extent cx="266065" cy="10287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66065" cy="102870"/>
                    </a:xfrm>
                    <a:prstGeom prst="rect">
                      <a:avLst/>
                    </a:prstGeom>
                    <a:noFill/>
                    <a:ln>
                      <a:noFill/>
                    </a:ln>
                  </pic:spPr>
                </pic:pic>
              </a:graphicData>
            </a:graphic>
          </wp:inline>
        </w:drawing>
      </w:r>
      <w:r>
        <w:rPr>
          <w:rFonts w:ascii="Arial" w:cs="Arial" w:eastAsia="Arial" w:hAnsi="Arial"/>
          <w:sz w:val="16"/>
          <w:szCs w:val="16"/>
          <w:color w:val="auto"/>
        </w:rPr>
        <w:t xml:space="preserve"> in the Company has been pledged in favor of OptAim (Beijing)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517650" cy="10287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517650" cy="10287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Beijing OptAim Network Technology Co., Ltd.</w:t>
      </w:r>
    </w:p>
    <w:p>
      <w:pPr>
        <w:spacing w:after="0" w:line="23" w:lineRule="exact"/>
        <w:rPr>
          <w:sz w:val="20"/>
          <w:szCs w:val="20"/>
          <w:color w:val="auto"/>
        </w:rPr>
      </w:pPr>
    </w:p>
    <w:p>
      <w:pPr>
        <w:ind w:left="6852"/>
        <w:spacing w:after="0"/>
        <w:rPr>
          <w:sz w:val="20"/>
          <w:szCs w:val="20"/>
          <w:color w:val="auto"/>
        </w:rPr>
      </w:pPr>
      <w:r>
        <w:rPr>
          <w:sz w:val="1"/>
          <w:szCs w:val="1"/>
          <w:color w:val="auto"/>
        </w:rPr>
        <w:drawing>
          <wp:inline distT="0" distB="0" distL="0" distR="0">
            <wp:extent cx="1355090" cy="10287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55090" cy="102870"/>
                    </a:xfrm>
                    <a:prstGeom prst="rect">
                      <a:avLst/>
                    </a:prstGeom>
                    <a:noFill/>
                    <a:ln>
                      <a:noFill/>
                    </a:ln>
                  </pic:spPr>
                </pic:pic>
              </a:graphicData>
            </a:graphic>
          </wp:inline>
        </w:drawing>
      </w:r>
      <w:r>
        <w:rPr>
          <w:rFonts w:ascii="Arial" w:cs="Arial" w:eastAsia="Arial" w:hAnsi="Arial"/>
          <w:sz w:val="18"/>
          <w:szCs w:val="18"/>
          <w:color w:val="auto"/>
        </w:rPr>
        <w:t xml:space="preserve"> (seal)</w:t>
      </w:r>
    </w:p>
    <w:p>
      <w:pPr>
        <w:spacing w:after="0" w:line="21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Legal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6123305</wp:posOffset>
            </wp:positionH>
            <wp:positionV relativeFrom="paragraph">
              <wp:posOffset>14605</wp:posOffset>
            </wp:positionV>
            <wp:extent cx="112331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32" w:lineRule="exact"/>
        <w:rPr>
          <w:sz w:val="20"/>
          <w:szCs w:val="20"/>
          <w:color w:val="auto"/>
        </w:rPr>
      </w:pPr>
    </w:p>
    <w:p>
      <w:pPr>
        <w:ind w:left="6852"/>
        <w:spacing w:after="0"/>
        <w:tabs>
          <w:tab w:leader="none" w:pos="8252" w:val="left"/>
          <w:tab w:leader="none" w:pos="8512" w:val="left"/>
        </w:tabs>
        <w:rPr>
          <w:sz w:val="20"/>
          <w:szCs w:val="20"/>
          <w:color w:val="auto"/>
        </w:rPr>
      </w:pPr>
      <w:r>
        <w:rPr>
          <w:rFonts w:ascii="Arial" w:cs="Arial" w:eastAsia="Arial" w:hAnsi="Arial"/>
          <w:sz w:val="18"/>
          <w:szCs w:val="18"/>
          <w:color w:val="auto"/>
        </w:rPr>
        <w:t>Issuance 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2017</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Second Amended and Restated Equity Pledge Contract</w:t>
      </w:r>
    </w:p>
    <w:p>
      <w:pPr>
        <w:sectPr>
          <w:pgSz w:w="11900" w:h="16838" w:orient="portrait"/>
          <w:cols w:equalWidth="0" w:num="1">
            <w:col w:w="11172"/>
          </w:cols>
          <w:pgMar w:left="248" w:top="269" w:right="479" w:bottom="1440" w:gutter="0" w:footer="0" w:header="0"/>
        </w:sectPr>
      </w:pPr>
    </w:p>
    <w:bookmarkStart w:id="563" w:name="page564"/>
    <w:bookmarkEnd w:id="563"/>
    <w:p>
      <w:pPr>
        <w:ind w:left="10480"/>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Date: May 26, 2017</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undersigned, Jiao Jie </w:t>
      </w:r>
      <w:r>
        <w:rPr>
          <w:sz w:val="1"/>
          <w:szCs w:val="1"/>
          <w:color w:val="auto"/>
        </w:rPr>
        <w:drawing>
          <wp:inline distT="0" distB="0" distL="0" distR="0">
            <wp:extent cx="257175" cy="10287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6"/>
          <w:szCs w:val="16"/>
          <w:color w:val="auto"/>
        </w:rPr>
        <w:t xml:space="preserve"> , a citizen of the People’s Republic of China (“</w:t>
      </w:r>
      <w:r>
        <w:rPr>
          <w:rFonts w:ascii="Arial" w:cs="Arial" w:eastAsia="Arial" w:hAnsi="Arial"/>
          <w:sz w:val="16"/>
          <w:szCs w:val="16"/>
          <w:b w:val="1"/>
          <w:bCs w:val="1"/>
          <w:color w:val="auto"/>
        </w:rPr>
        <w:t>China</w:t>
      </w:r>
      <w:r>
        <w:rPr>
          <w:rFonts w:ascii="Arial" w:cs="Arial" w:eastAsia="Arial" w:hAnsi="Arial"/>
          <w:sz w:val="16"/>
          <w:szCs w:val="16"/>
          <w:color w:val="auto"/>
        </w:rPr>
        <w:t>”) with Chinese ID No. 230103198009280023 and a holder of 51%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entire registered capital (“</w:t>
      </w:r>
      <w:r>
        <w:rPr>
          <w:rFonts w:ascii="Arial" w:cs="Arial" w:eastAsia="Arial" w:hAnsi="Arial"/>
          <w:sz w:val="17"/>
          <w:szCs w:val="17"/>
          <w:b w:val="1"/>
          <w:bCs w:val="1"/>
          <w:color w:val="auto"/>
        </w:rPr>
        <w:t>My Shareholding</w:t>
      </w:r>
      <w:r>
        <w:rPr>
          <w:rFonts w:ascii="Arial" w:cs="Arial" w:eastAsia="Arial" w:hAnsi="Arial"/>
          <w:sz w:val="17"/>
          <w:szCs w:val="17"/>
          <w:color w:val="auto"/>
        </w:rPr>
        <w:t xml:space="preserve">”) in Beijing OptAim Network Technology Co., Ltd. </w:t>
      </w:r>
      <w:r>
        <w:rPr>
          <w:sz w:val="1"/>
          <w:szCs w:val="1"/>
          <w:color w:val="auto"/>
        </w:rPr>
        <w:drawing>
          <wp:inline distT="0" distB="0" distL="0" distR="0">
            <wp:extent cx="1569085" cy="102870"/>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569085" cy="102870"/>
                    </a:xfrm>
                    <a:prstGeom prst="rect">
                      <a:avLst/>
                    </a:prstGeom>
                    <a:noFill/>
                    <a:ln>
                      <a:noFill/>
                    </a:ln>
                  </pic:spPr>
                </pic:pic>
              </a:graphicData>
            </a:graphic>
          </wp:inline>
        </w:drawing>
      </w:r>
      <w:r>
        <w:rPr>
          <w:rFonts w:ascii="Arial" w:cs="Arial" w:eastAsia="Arial" w:hAnsi="Arial"/>
          <w:sz w:val="17"/>
          <w:szCs w:val="17"/>
          <w:color w:val="auto"/>
        </w:rPr>
        <w:t xml:space="preserve"> (the “</w:t>
      </w:r>
      <w:r>
        <w:rPr>
          <w:rFonts w:ascii="Arial" w:cs="Arial" w:eastAsia="Arial" w:hAnsi="Arial"/>
          <w:sz w:val="17"/>
          <w:szCs w:val="17"/>
          <w:b w:val="1"/>
          <w:bCs w:val="1"/>
          <w:color w:val="auto"/>
        </w:rPr>
        <w:t>Domestic</w:t>
      </w:r>
    </w:p>
    <w:p>
      <w:pPr>
        <w:spacing w:after="0" w:line="1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xml:space="preserve">”), hereby irrevocably authorizes OptAim (Beijing) Information Technology Co., Ltd. </w:t>
      </w:r>
      <w:r>
        <w:rPr>
          <w:sz w:val="1"/>
          <w:szCs w:val="1"/>
          <w:color w:val="auto"/>
        </w:rPr>
        <w:drawing>
          <wp:inline distT="0" distB="0" distL="0" distR="0">
            <wp:extent cx="1492250" cy="10287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492250" cy="102870"/>
                    </a:xfrm>
                    <a:prstGeom prst="rect">
                      <a:avLst/>
                    </a:prstGeom>
                    <a:noFill/>
                    <a:ln>
                      <a:noFill/>
                    </a:ln>
                  </pic:spPr>
                </pic:pic>
              </a:graphicData>
            </a:graphic>
          </wp:inline>
        </w:drawing>
      </w:r>
      <w:r>
        <w:rPr>
          <w:rFonts w:ascii="Arial" w:cs="Arial" w:eastAsia="Arial" w:hAnsi="Arial"/>
          <w:sz w:val="18"/>
          <w:szCs w:val="18"/>
          <w:color w:val="auto"/>
        </w:rPr>
        <w:t xml:space="preserve"> (the “</w:t>
      </w:r>
      <w:r>
        <w:rPr>
          <w:rFonts w:ascii="Arial" w:cs="Arial" w:eastAsia="Arial" w:hAnsi="Arial"/>
          <w:sz w:val="18"/>
          <w:szCs w:val="18"/>
          <w:b w:val="1"/>
          <w:bCs w:val="1"/>
          <w:color w:val="auto"/>
        </w:rPr>
        <w:t>Wholly Foreign-owned Enterprise</w:t>
      </w:r>
      <w:r>
        <w:rPr>
          <w:rFonts w:ascii="Arial" w:cs="Arial" w:eastAsia="Arial" w:hAnsi="Arial"/>
          <w:sz w:val="18"/>
          <w:szCs w:val="18"/>
          <w:color w:val="auto"/>
        </w:rPr>
        <w:t>”) to exercise the following rights relating to My Shareholding during the term of this Power of Attorney:</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Wholly Foreign-owned Enterprise is hereby authorized to act on my behalf as my exclusive agent and attorney with respect to all matters concerning My Shareholding, including without limitation: (1) proposing, convening, and attending meetings of shareholders of the Domestic Company; (2) exercising all shareholder’s rights and shareholder’s voting rights that I am entitled to under the laws of China and articles of association of the Domestic Company, including but not limited to the sale, transfer, pledge or disposition of My Shareholding in part or in whole; and (3) nominating, designating, and/or appointing legal representatives (chairperson), directors, supervisors, chief executive officer (or manager), and other officers of the Domestic Company on my behalf (if I have such power).</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Without limiting the generality of the power granted hereunder, the Wholly Foreign-owned Enterprise shall have the power and authority under this Power of Attorney to perform on my behalf the terms and conditions of the Second Amended and Restated Equity Pledge Contract and the Second Amended and Restated Exclusive Option Contract executed on the same date of this Power of Attorney, to which I am a party, or execute other documents required to be executed under the aforesaid contracts, including but not limited to the transfer contract (to which I am required to be a Party) as agreed in the Second Amended and Restated Exclusive Option Contract executed on my behalf.</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Wholly Foreign-owned Enterprise has the right to re-authorize or assign the rights relating to the aforesaid matters to any other person or entity at its own discretion without giving prior notice to me or obtaining my consent.</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Power of Attorney will come into force on the date of execution. Provided that I am the shareholder of the Domestic Company, this Power of Attorney shall be irrevocably and continuously effective, unless the Wholly Foreign-owned Enterprise otherwise instructs in writing. Once the Wholly Foreign-owned Enterprise notifies me in writing of termination of this Power of Attorney in part or in whole, I will immediately revoke the entrustment and authorization previously granted to the Wholly Foreign-owned Enterprise and execute a power of attorney of the same format as this Power of Attorney, to grant other person nominated by the Wholly Foreign-owned Enterprise the same authorization and entrustment as those contained in this Power of Attorney.</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Power of Attorney shall be binding on my successors and assigns and I will cause my successors (if applicable) and assigns to sign a similar power of attorney.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Power of Attorney-Jiao Jie </w:t>
      </w:r>
      <w:r>
        <w:rPr>
          <w:sz w:val="1"/>
          <w:szCs w:val="1"/>
          <w:color w:val="auto"/>
        </w:rPr>
        <w:drawing>
          <wp:inline distT="0" distB="0" distL="0" distR="0">
            <wp:extent cx="248920" cy="10287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ectPr>
          <w:pgSz w:w="11900" w:h="16838" w:orient="portrait"/>
          <w:cols w:equalWidth="0" w:num="1">
            <w:col w:w="11420"/>
          </w:cols>
          <w:pgMar w:left="240" w:top="121" w:right="239" w:bottom="1440" w:gutter="0" w:footer="0" w:header="0"/>
        </w:sectPr>
      </w:pPr>
    </w:p>
    <w:bookmarkStart w:id="564" w:name="page565"/>
    <w:bookmarkEnd w:id="56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validity term of this Power of Attorney, I hereby waive all the rights associated with My Shareholding, which have been authorized to the Wholly Foreign-owned Enterprise through this Power of Attorney, and shall not exercise such rights by myself.</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Power of Attorney-Jiao Jie </w:t>
      </w:r>
      <w:r>
        <w:rPr>
          <w:sz w:val="1"/>
          <w:szCs w:val="1"/>
          <w:color w:val="auto"/>
        </w:rPr>
        <w:drawing>
          <wp:inline distT="0" distB="0" distL="0" distR="0">
            <wp:extent cx="248920" cy="10287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ectPr>
          <w:pgSz w:w="11900" w:h="16838" w:orient="portrait"/>
          <w:cols w:equalWidth="0" w:num="1">
            <w:col w:w="11320"/>
          </w:cols>
          <w:pgMar w:left="240" w:top="274" w:right="339"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 execute this Power of Attorney on such date first given above.</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 Jiao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Jiao Jie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-136525</wp:posOffset>
            </wp:positionV>
            <wp:extent cx="257175" cy="10287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57175" cy="102870"/>
                    </a:xfrm>
                    <a:prstGeom prst="rect">
                      <a:avLst/>
                    </a:prstGeom>
                    <a:noFill/>
                  </pic:spPr>
                </pic:pic>
              </a:graphicData>
            </a:graphic>
          </wp:anchor>
        </w:drawing>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Power of Attorney-Jiao Jie </w:t>
      </w:r>
      <w:r>
        <w:rPr>
          <w:sz w:val="1"/>
          <w:szCs w:val="1"/>
          <w:color w:val="auto"/>
        </w:rPr>
        <w:drawing>
          <wp:inline distT="0" distB="0" distL="0" distR="0">
            <wp:extent cx="248920" cy="102870"/>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r>
        <w:rPr>
          <w:rFonts w:ascii="Arial" w:cs="Arial" w:eastAsia="Arial" w:hAnsi="Arial"/>
          <w:sz w:val="18"/>
          <w:szCs w:val="18"/>
          <w:color w:val="auto"/>
        </w:rPr>
        <w:t xml:space="preserve"> – Signature Page</w:t>
      </w:r>
    </w:p>
    <w:p>
      <w:pPr>
        <w:sectPr>
          <w:pgSz w:w="11900" w:h="16838" w:orient="portrait"/>
          <w:cols w:equalWidth="0" w:num="1">
            <w:col w:w="11420"/>
          </w:cols>
          <w:pgMar w:left="240" w:top="273" w:right="239" w:bottom="1440" w:gutter="0" w:footer="0" w:header="0"/>
        </w:sectPr>
      </w:pPr>
    </w:p>
    <w:bookmarkStart w:id="566" w:name="page567"/>
    <w:bookmarkEnd w:id="5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Date: May 26, 2017</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undersigned, Tang Jian </w:t>
      </w:r>
      <w:r>
        <w:rPr>
          <w:sz w:val="1"/>
          <w:szCs w:val="1"/>
          <w:color w:val="auto"/>
        </w:rPr>
        <w:drawing>
          <wp:inline distT="0" distB="0" distL="0" distR="0">
            <wp:extent cx="257175" cy="10287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6"/>
          <w:szCs w:val="16"/>
          <w:color w:val="auto"/>
        </w:rPr>
        <w:t xml:space="preserve"> , a citizen of the People’s Republic of China (“</w:t>
      </w:r>
      <w:r>
        <w:rPr>
          <w:rFonts w:ascii="Arial" w:cs="Arial" w:eastAsia="Arial" w:hAnsi="Arial"/>
          <w:sz w:val="16"/>
          <w:szCs w:val="16"/>
          <w:b w:val="1"/>
          <w:bCs w:val="1"/>
          <w:color w:val="auto"/>
        </w:rPr>
        <w:t>China</w:t>
      </w:r>
      <w:r>
        <w:rPr>
          <w:rFonts w:ascii="Arial" w:cs="Arial" w:eastAsia="Arial" w:hAnsi="Arial"/>
          <w:sz w:val="16"/>
          <w:szCs w:val="16"/>
          <w:color w:val="auto"/>
        </w:rPr>
        <w:t>”) with Chinese ID No. 432922197608190035 and a holder of 49%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entire registered capital (“</w:t>
      </w:r>
      <w:r>
        <w:rPr>
          <w:rFonts w:ascii="Arial" w:cs="Arial" w:eastAsia="Arial" w:hAnsi="Arial"/>
          <w:sz w:val="18"/>
          <w:szCs w:val="18"/>
          <w:b w:val="1"/>
          <w:bCs w:val="1"/>
          <w:color w:val="auto"/>
        </w:rPr>
        <w:t>My Shareholding</w:t>
      </w:r>
      <w:r>
        <w:rPr>
          <w:rFonts w:ascii="Arial" w:cs="Arial" w:eastAsia="Arial" w:hAnsi="Arial"/>
          <w:sz w:val="18"/>
          <w:szCs w:val="18"/>
          <w:color w:val="auto"/>
        </w:rPr>
        <w:t xml:space="preserve">”) in Beijing OptAim Network Technology Co., Ltd. </w:t>
      </w:r>
      <w:r>
        <w:rPr>
          <w:sz w:val="1"/>
          <w:szCs w:val="1"/>
          <w:color w:val="auto"/>
        </w:rPr>
        <w:drawing>
          <wp:inline distT="0" distB="0" distL="0" distR="0">
            <wp:extent cx="1320800" cy="10287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20800" cy="102870"/>
                    </a:xfrm>
                    <a:prstGeom prst="rect">
                      <a:avLst/>
                    </a:prstGeom>
                    <a:noFill/>
                    <a:ln>
                      <a:noFill/>
                    </a:ln>
                  </pic:spPr>
                </pic:pic>
              </a:graphicData>
            </a:graphic>
          </wp:inline>
        </w:drawing>
      </w:r>
      <w:r>
        <w:rPr>
          <w:rFonts w:ascii="Arial" w:cs="Arial" w:eastAsia="Arial" w:hAnsi="Arial"/>
          <w:sz w:val="18"/>
          <w:szCs w:val="18"/>
          <w:color w:val="auto"/>
        </w:rPr>
        <w:t xml:space="preserve"> (the “</w:t>
      </w:r>
      <w:r>
        <w:rPr>
          <w:rFonts w:ascii="Arial" w:cs="Arial" w:eastAsia="Arial" w:hAnsi="Arial"/>
          <w:sz w:val="18"/>
          <w:szCs w:val="18"/>
          <w:b w:val="1"/>
          <w:bCs w:val="1"/>
          <w:color w:val="auto"/>
        </w:rPr>
        <w:t>Domestic</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xml:space="preserve">”), hereby irrevocably authorizes OptAim (Beijing) Information Technology Co., Ltd. </w:t>
      </w:r>
      <w:r>
        <w:rPr>
          <w:sz w:val="1"/>
          <w:szCs w:val="1"/>
          <w:color w:val="auto"/>
        </w:rPr>
        <w:drawing>
          <wp:inline distT="0" distB="0" distL="0" distR="0">
            <wp:extent cx="1492250" cy="102870"/>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492250" cy="102870"/>
                    </a:xfrm>
                    <a:prstGeom prst="rect">
                      <a:avLst/>
                    </a:prstGeom>
                    <a:noFill/>
                    <a:ln>
                      <a:noFill/>
                    </a:ln>
                  </pic:spPr>
                </pic:pic>
              </a:graphicData>
            </a:graphic>
          </wp:inline>
        </w:drawing>
      </w:r>
      <w:r>
        <w:rPr>
          <w:rFonts w:ascii="Arial" w:cs="Arial" w:eastAsia="Arial" w:hAnsi="Arial"/>
          <w:sz w:val="18"/>
          <w:szCs w:val="18"/>
          <w:color w:val="auto"/>
        </w:rPr>
        <w:t xml:space="preserve"> (the “</w:t>
      </w:r>
      <w:r>
        <w:rPr>
          <w:rFonts w:ascii="Arial" w:cs="Arial" w:eastAsia="Arial" w:hAnsi="Arial"/>
          <w:sz w:val="18"/>
          <w:szCs w:val="18"/>
          <w:b w:val="1"/>
          <w:bCs w:val="1"/>
          <w:color w:val="auto"/>
        </w:rPr>
        <w:t>Wholly Foreign-owned Enterprise</w:t>
      </w:r>
      <w:r>
        <w:rPr>
          <w:rFonts w:ascii="Arial" w:cs="Arial" w:eastAsia="Arial" w:hAnsi="Arial"/>
          <w:sz w:val="18"/>
          <w:szCs w:val="18"/>
          <w:color w:val="auto"/>
        </w:rPr>
        <w:t>”) to exercise the following rights relating to My Shareholding during the term of this Power of Attorney:</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Wholly Foreign-owned Enterprise is hereby authorized to act on my behalf as my exclusive agent and attorney with respect to all matters concerning My Shareholding, including without limitation: (1) proposing, convening, and attending meetings of shareholders of the Domestic Company; (2) exercising all shareholder’s rights and shareholder’s voting rights that I am entitled to under the laws of China and articles of association of the Domestic Company, including but not limited to the sale, transfer, pledge or disposition of My Shareholding in part or in whole; and (3) nominating, designating, and/or appointing legal representatives (chairperson), directors, supervisors, chief executive officer (or manager), and other officers of the Domestic Company on my behalf (if I have such power).</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Without limiting the generality of the power granted hereunder, the Wholly Foreign-owned Enterprise shall have the power and authority under this Power of Attorney to perform on my behalf the terms and conditions of the Second Amended and Restated Equity Pledge Contract and the Second Amended and Restated Exclusive Option Contract executed on the same date of this Power of Attorney, to which I am a party, or execute other documents required to be executed under the aforesaid contracts, including but not limited to the transfer contract (to which I am required to be a Party) as agreed in the Second Amended and Restated Exclusive Option Contract executed on my behalf.</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Wholly Foreign-owned Enterprise has the right to re-authorize or assign the rights relating to the aforesaid matters to any other person or entity at its own discretion without giving prior notice to me or obtaining my consent.</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Power of Attorney will come into force on the date of execution. Provided that I am the shareholder of the Domestic Company, this Power of Attorney shall be irrevocably and continuously effective, unless the Wholly Foreign-owned Enterprise otherwise instructs in writing. Once the Wholly Foreign-owned Enterprise notifies me in writing of termination of this Power of Attorney in part or in whole, I will immediately revoke the entrustment and authorization previously granted to the Wholly Foreign-owned Enterprise and execute a power of attorney of the same format as this Power of Attorney, to grant other person nominated by the Wholly Foreign-owned Enterprise the same authorization and entrustment as those contained in this Power of Attorney.</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Power of Attorney shall be binding on my successors and assigns and I will cause my successors (if applicable) and assigns to sign a similar power of attorney.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Power of Attorney-Tang Jian </w:t>
      </w:r>
      <w:r>
        <w:rPr>
          <w:sz w:val="1"/>
          <w:szCs w:val="1"/>
          <w:color w:val="auto"/>
        </w:rPr>
        <w:drawing>
          <wp:inline distT="0" distB="0" distL="0" distR="0">
            <wp:extent cx="248920" cy="102870"/>
            <wp:effectExtent l="0" t="0" r="0" b="0"/>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ectPr>
          <w:pgSz w:w="11900" w:h="16838" w:orient="portrait"/>
          <w:cols w:equalWidth="0" w:num="1">
            <w:col w:w="11420"/>
          </w:cols>
          <w:pgMar w:left="240" w:top="270" w:right="239" w:bottom="1440" w:gutter="0" w:footer="0" w:header="0"/>
        </w:sectPr>
      </w:pPr>
    </w:p>
    <w:bookmarkStart w:id="567" w:name="page568"/>
    <w:bookmarkEnd w:id="56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validity term of this Power of Attorney, I hereby waive all the rights associated with My Shareholding, which have been authorized to the Wholly Foreign-owned Enterprise through this Power of Attorney, and shall not exercise such rights by myself.</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Power of Attorney Tang Jian </w:t>
      </w:r>
      <w:r>
        <w:rPr>
          <w:sz w:val="1"/>
          <w:szCs w:val="1"/>
          <w:color w:val="auto"/>
        </w:rPr>
        <w:drawing>
          <wp:inline distT="0" distB="0" distL="0" distR="0">
            <wp:extent cx="248920" cy="10287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48920" cy="102870"/>
                    </a:xfrm>
                    <a:prstGeom prst="rect">
                      <a:avLst/>
                    </a:prstGeom>
                    <a:noFill/>
                    <a:ln>
                      <a:noFill/>
                    </a:ln>
                  </pic:spPr>
                </pic:pic>
              </a:graphicData>
            </a:graphic>
          </wp:inline>
        </w:drawing>
      </w:r>
    </w:p>
    <w:p>
      <w:pPr>
        <w:sectPr>
          <w:pgSz w:w="11900" w:h="16838" w:orient="portrait"/>
          <w:cols w:equalWidth="0" w:num="1">
            <w:col w:w="11320"/>
          </w:cols>
          <w:pgMar w:left="240" w:top="273" w:right="33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 execute this Power of Attorney on such date first given above.</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Tang Jian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-136525</wp:posOffset>
            </wp:positionV>
            <wp:extent cx="257175" cy="10287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57175" cy="102870"/>
                    </a:xfrm>
                    <a:prstGeom prst="rect">
                      <a:avLst/>
                    </a:prstGeom>
                    <a:noFill/>
                  </pic:spPr>
                </pic:pic>
              </a:graphicData>
            </a:graphic>
          </wp:anchor>
        </w:drawing>
      </w:r>
    </w:p>
    <w:p>
      <w:pPr>
        <w:spacing w:after="0" w:line="18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Power of Attorney–Tang Jian </w:t>
      </w:r>
      <w:r>
        <w:rPr>
          <w:sz w:val="1"/>
          <w:szCs w:val="1"/>
          <w:color w:val="auto"/>
        </w:rPr>
        <w:drawing>
          <wp:inline distT="0" distB="0" distL="0" distR="0">
            <wp:extent cx="257175" cy="102870"/>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8"/>
          <w:szCs w:val="18"/>
          <w:color w:val="auto"/>
        </w:rPr>
        <w:t xml:space="preserve"> -Signature Page</w:t>
      </w:r>
    </w:p>
    <w:p>
      <w:pPr>
        <w:sectPr>
          <w:pgSz w:w="11900" w:h="16838" w:orient="portrait"/>
          <w:cols w:equalWidth="0" w:num="1">
            <w:col w:w="11420"/>
          </w:cols>
          <w:pgMar w:left="240" w:top="274" w:right="239" w:bottom="1440" w:gutter="0" w:footer="0" w:header="0"/>
        </w:sectPr>
      </w:pPr>
    </w:p>
    <w:bookmarkStart w:id="569" w:name="page570"/>
    <w:bookmarkEnd w:id="56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Spouse Consent</w:t>
      </w:r>
    </w:p>
    <w:p>
      <w:pPr>
        <w:spacing w:after="0" w:line="22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Date: May 26, 2017</w:t>
      </w: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The undersigned, </w:t>
      </w:r>
      <w:r>
        <w:rPr>
          <w:rFonts w:ascii="Arial" w:cs="Arial" w:eastAsia="Arial" w:hAnsi="Arial"/>
          <w:sz w:val="16"/>
          <w:szCs w:val="16"/>
          <w:u w:val="single" w:color="auto"/>
          <w:color w:val="auto"/>
        </w:rPr>
        <w:t>Xinyu Fan</w:t>
      </w:r>
      <w:r>
        <w:rPr>
          <w:rFonts w:ascii="Arial" w:cs="Arial" w:eastAsia="Arial" w:hAnsi="Arial"/>
          <w:sz w:val="16"/>
          <w:szCs w:val="16"/>
          <w:color w:val="auto"/>
        </w:rPr>
        <w:t xml:space="preserve"> (ID No. 210804198009141067) hereby represents that (a) I am the legal spouse of Tang Jian </w:t>
      </w:r>
      <w:r>
        <w:rPr>
          <w:sz w:val="1"/>
          <w:szCs w:val="1"/>
          <w:color w:val="auto"/>
        </w:rPr>
        <w:drawing>
          <wp:inline distT="0" distB="0" distL="0" distR="0">
            <wp:extent cx="257175" cy="102870"/>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Arial" w:cs="Arial" w:eastAsia="Arial" w:hAnsi="Arial"/>
          <w:sz w:val="16"/>
          <w:szCs w:val="16"/>
          <w:color w:val="auto"/>
        </w:rPr>
        <w:t xml:space="preserve"> ; (b) I unconditionally and irrevocably agree that Tang Jian executes the following documents (hereinafter referred to as “</w:t>
      </w:r>
      <w:r>
        <w:rPr>
          <w:rFonts w:ascii="Arial" w:cs="Arial" w:eastAsia="Arial" w:hAnsi="Arial"/>
          <w:sz w:val="16"/>
          <w:szCs w:val="16"/>
          <w:b w:val="1"/>
          <w:bCs w:val="1"/>
          <w:color w:val="auto"/>
        </w:rPr>
        <w:t>Transaction Documents</w:t>
      </w:r>
      <w:r>
        <w:rPr>
          <w:rFonts w:ascii="Arial" w:cs="Arial" w:eastAsia="Arial" w:hAnsi="Arial"/>
          <w:sz w:val="16"/>
          <w:szCs w:val="16"/>
          <w:color w:val="auto"/>
        </w:rPr>
        <w:t>”) on May 26, 2017, and (c) I agree to</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the disposal of the equity interest of Beijing OptAim Network Technology Co., Ltd. </w:t>
      </w:r>
      <w:r>
        <w:rPr>
          <w:sz w:val="1"/>
          <w:szCs w:val="1"/>
          <w:color w:val="auto"/>
        </w:rPr>
        <w:drawing>
          <wp:inline distT="0" distB="0" distL="0" distR="0">
            <wp:extent cx="1303655" cy="102870"/>
            <wp:effectExtent l="0" t="0" r="0" b="0"/>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303655" cy="102870"/>
                    </a:xfrm>
                    <a:prstGeom prst="rect">
                      <a:avLst/>
                    </a:prstGeom>
                    <a:noFill/>
                    <a:ln>
                      <a:noFill/>
                    </a:ln>
                  </pic:spPr>
                </pic:pic>
              </a:graphicData>
            </a:graphic>
          </wp:inline>
        </w:drawing>
      </w:r>
      <w:r>
        <w:rPr>
          <w:rFonts w:ascii="Arial" w:cs="Arial" w:eastAsia="Arial" w:hAnsi="Arial"/>
          <w:sz w:val="18"/>
          <w:szCs w:val="18"/>
          <w:color w:val="auto"/>
        </w:rPr>
        <w:t xml:space="preserve"> held by Tang Jian and registered in his name in accordance with the provisions of the following documents:</w:t>
      </w:r>
    </w:p>
    <w:p>
      <w:pPr>
        <w:spacing w:after="0" w:line="89" w:lineRule="exact"/>
        <w:rPr>
          <w:sz w:val="20"/>
          <w:szCs w:val="20"/>
          <w:color w:val="auto"/>
        </w:rPr>
      </w:pPr>
    </w:p>
    <w:p>
      <w:pPr>
        <w:ind w:left="460" w:right="2280" w:hanging="452"/>
        <w:spacing w:after="0" w:line="304" w:lineRule="auto"/>
        <w:tabs>
          <w:tab w:leader="none" w:pos="46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Second Amended and Restated Equity Pledge Contract executed by OptAim (Beijing) Information Technology Co., Ltd. </w:t>
      </w:r>
      <w:r>
        <w:rPr>
          <w:rFonts w:ascii="Arial" w:cs="Arial" w:eastAsia="Arial" w:hAnsi="Arial"/>
          <w:sz w:val="1"/>
          <w:szCs w:val="1"/>
          <w:color w:val="auto"/>
        </w:rPr>
        <w:drawing>
          <wp:inline distT="0" distB="0" distL="0" distR="0">
            <wp:extent cx="1440815" cy="102870"/>
            <wp:effectExtent l="0" t="0" r="0" b="0"/>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440815" cy="10287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b w:val="1"/>
          <w:bCs w:val="1"/>
          <w:color w:val="auto"/>
        </w:rPr>
        <w:t>WFOE</w:t>
      </w:r>
      <w:r>
        <w:rPr>
          <w:rFonts w:ascii="Arial" w:cs="Arial" w:eastAsia="Arial" w:hAnsi="Arial"/>
          <w:sz w:val="17"/>
          <w:szCs w:val="17"/>
          <w:color w:val="auto"/>
        </w:rPr>
        <w:t>”), domestic company, and all shareholders of this domestic company;</w:t>
      </w:r>
    </w:p>
    <w:p>
      <w:pPr>
        <w:spacing w:after="0" w:line="55" w:lineRule="exact"/>
        <w:rPr>
          <w:rFonts w:ascii="Arial" w:cs="Arial" w:eastAsia="Arial" w:hAnsi="Arial"/>
          <w:sz w:val="17"/>
          <w:szCs w:val="17"/>
          <w:color w:val="auto"/>
        </w:rPr>
      </w:pPr>
    </w:p>
    <w:p>
      <w:pPr>
        <w:ind w:left="460" w:right="200" w:hanging="452"/>
        <w:spacing w:after="0" w:line="277" w:lineRule="auto"/>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Second Amended and Restated Exclusive Option Agreement executed by WFOE, domestic company, and all shareholders of this domestic company;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Power of attorney executed by Tang Jian, authorizing WFOE to exercise the rights of its domestic shareholders.</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 acknowledge that I am not entitled to any right or interest with respect to the equity interest of the domestic company and I undertake that I will not assert any claim with respect to the equity interests of such domestic company. I further acknowledge that performance of the Transaction Documents and further amendments or termination of such documents by Tang Jian do not otherwise require my authorization or consent.</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undertake to execute all necessary documents and take all necessary actions to ensure proper performance of the Transaction Documents (as amended from time to time).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agree and undertake that, if I acquire any equity interests of the domestic company for any reason, I will be bound by the Transaction Documents (as amended from time to time) and abide by the obligations under such Transaction Documents (as amended from time to time) as the shareholder of the domestic company. For this purpose, upon the request of WFOE, I will execute the written documents whose formats and contents are fundamentally similar to the Transaction Documents (as amended from time to time).</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Xinyu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the Spouse)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26, 2017</w:t>
      </w:r>
    </w:p>
    <w:p>
      <w:pPr>
        <w:sectPr>
          <w:pgSz w:w="11900" w:h="16838" w:orient="portrait"/>
          <w:cols w:equalWidth="0" w:num="1">
            <w:col w:w="11420"/>
          </w:cols>
          <w:pgMar w:left="240" w:top="121" w:right="23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Logo)</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PRIVATE AND CONFIDENTIAL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Mr./Ms.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behalf of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 have pleasure in making an offer of employment to you with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on the terms and conditions set out in this letter, as . The offer is subject to satisfactory background and references check result. For internal consistency, your internal job grade will be In the course of carrying out your duties you will be reporting directly to or any other person as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may from time to time determine (“Supervisor”).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16" w:lineRule="exact"/>
        <w:rPr>
          <w:sz w:val="20"/>
          <w:szCs w:val="20"/>
          <w:color w:val="auto"/>
        </w:rPr>
      </w:pPr>
    </w:p>
    <w:p>
      <w:pPr>
        <w:sectPr>
          <w:pgSz w:w="11900" w:h="16838" w:orient="portrait"/>
          <w:cols w:equalWidth="0" w:num="2">
            <w:col w:w="11100" w:space="200"/>
            <w:col w:w="120"/>
          </w:cols>
          <w:pgMar w:left="240" w:top="121" w:right="2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DATE OF COMMENCEMENT</w:t>
      </w:r>
    </w:p>
    <w:p>
      <w:pPr>
        <w:sectPr>
          <w:pgSz w:w="11900" w:h="16838" w:orient="portrait"/>
          <w:cols w:equalWidth="0" w:num="1">
            <w:col w:w="11420"/>
          </w:cols>
          <w:pgMar w:left="240" w:top="121" w:right="2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Your employment will commence 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and, if applicable, will be subject to the approval of your employment work visa by the relevant authorities.</w:t>
      </w:r>
    </w:p>
    <w:p>
      <w:pPr>
        <w:spacing w:after="0" w:line="200" w:lineRule="exact"/>
        <w:rPr>
          <w:sz w:val="20"/>
          <w:szCs w:val="20"/>
          <w:color w:val="auto"/>
        </w:rPr>
      </w:pPr>
    </w:p>
    <w:p>
      <w:pPr>
        <w:sectPr>
          <w:pgSz w:w="11900" w:h="16838" w:orient="portrait"/>
          <w:cols w:equalWidth="0" w:num="2">
            <w:col w:w="2680" w:space="580"/>
            <w:col w:w="8160"/>
          </w:cols>
          <w:pgMar w:left="240" w:top="121" w:right="239" w:bottom="1440" w:gutter="0" w:footer="0" w:header="0"/>
          <w:type w:val="continuous"/>
        </w:sectPr>
      </w:pPr>
    </w:p>
    <w:p>
      <w:pPr>
        <w:spacing w:after="0" w:line="44"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 xml:space="preserve">You will be subject to a </w:t>
      </w:r>
      <w:r>
        <w:rPr>
          <w:rFonts w:ascii="Arial" w:cs="Arial" w:eastAsia="Arial" w:hAnsi="Arial"/>
          <w:sz w:val="18"/>
          <w:szCs w:val="18"/>
          <w:b w:val="1"/>
          <w:bCs w:val="1"/>
          <w:color w:val="auto"/>
        </w:rPr>
        <w:t>-</w:t>
      </w:r>
      <w:r>
        <w:rPr>
          <w:rFonts w:ascii="Arial" w:cs="Arial" w:eastAsia="Arial" w:hAnsi="Arial"/>
          <w:sz w:val="18"/>
          <w:szCs w:val="18"/>
          <w:color w:val="auto"/>
        </w:rPr>
        <w:t xml:space="preserve">month probation (“Probation”) from the date of commencement of your employment.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may at its sole discretion, and if it sees fit to do so, to extend your Probation for a further three-month (“Extended Probation”) at the end of the Probation. You shall be notified of the Extended Probation prior to the end of your Probation.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POSITION, DUTIES AND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duties and responsibilities of employment are set out in the job description of your position.</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 xml:space="preserve">You acknowledge and agree that you may be transferred (“Transfer”) to a different division of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or a subsidiary or associated company of </w:t>
      </w:r>
      <w:r>
        <w:rPr>
          <w:rFonts w:ascii="Arial" w:cs="Arial" w:eastAsia="Arial" w:hAnsi="Arial"/>
          <w:sz w:val="18"/>
          <w:szCs w:val="18"/>
          <w:i w:val="1"/>
          <w:iCs w:val="1"/>
          <w:color w:val="auto"/>
        </w:rPr>
        <w:t>(Company)</w:t>
      </w:r>
      <w:r>
        <w:rPr>
          <w:rFonts w:ascii="Arial" w:cs="Arial" w:eastAsia="Arial" w:hAnsi="Arial"/>
          <w:sz w:val="18"/>
          <w:szCs w:val="18"/>
          <w:color w:val="auto"/>
        </w:rPr>
        <w:t>; or your duties and responsibilities may be varied (“Variation”) as</w:t>
      </w:r>
      <w:r>
        <w:rPr>
          <w:rFonts w:ascii="Arial" w:cs="Arial" w:eastAsia="Arial" w:hAnsi="Arial"/>
          <w:sz w:val="18"/>
          <w:szCs w:val="18"/>
          <w:i w:val="1"/>
          <w:iCs w:val="1"/>
          <w:color w:val="auto"/>
        </w:rPr>
        <w:t xml:space="preserve"> (Company) </w:t>
      </w:r>
      <w:r>
        <w:rPr>
          <w:rFonts w:ascii="Arial" w:cs="Arial" w:eastAsia="Arial" w:hAnsi="Arial"/>
          <w:sz w:val="18"/>
          <w:szCs w:val="18"/>
          <w:color w:val="auto"/>
        </w:rPr>
        <w:t>deems fit.</w:t>
      </w:r>
    </w:p>
    <w:p>
      <w:pPr>
        <w:spacing w:after="0" w:line="170"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 xml:space="preserve">Provided that such Transfer and/or Variation is within your competence, skill and training at the time of Transfer or Variation, you shall not object to such Transfer or Variation. Further you acknowledge that such Transfer or Variation shall not be grounds for a constructive dismissal claim against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set out in this letter will continue to apply in the event of any Transfer or Variation.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PLACE OF EMPLOYMENT</w:t>
      </w:r>
    </w:p>
    <w:p>
      <w:pPr>
        <w:spacing w:after="0" w:line="11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You will be primarily based in </w:t>
      </w:r>
      <w:r>
        <w:rPr>
          <w:rFonts w:ascii="Arial" w:cs="Arial" w:eastAsia="Arial" w:hAnsi="Arial"/>
          <w:sz w:val="18"/>
          <w:szCs w:val="18"/>
          <w:b w:val="1"/>
          <w:bCs w:val="1"/>
          <w:color w:val="auto"/>
        </w:rPr>
        <w:t>Location</w:t>
      </w:r>
      <w:r>
        <w:rPr>
          <w:rFonts w:ascii="Arial" w:cs="Arial" w:eastAsia="Arial" w:hAnsi="Arial"/>
          <w:sz w:val="18"/>
          <w:szCs w:val="18"/>
          <w:color w:val="auto"/>
        </w:rPr>
        <w:t xml:space="preserve">. Nevertheless, you will also be required to work at any other location at which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carries on its business or provides services, and which may be in Hong Kong and/or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1</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121" w:right="239" w:bottom="1440" w:gutter="0" w:footer="0" w:header="0"/>
          <w:type w:val="continuous"/>
        </w:sectPr>
      </w:pPr>
    </w:p>
    <w:bookmarkStart w:id="571" w:name="page572"/>
    <w:bookmarkEnd w:id="57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REMUNERATION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Pay</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Your gross annual base salary will be HK$ , paid monthly in arrears by cheque or direct credit to your nominated bank account at the end of each month.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Year-End Bonus</w:t>
      </w:r>
    </w:p>
    <w:p>
      <w:pPr>
        <w:spacing w:after="0" w:line="117"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 xml:space="preserve">At the discretion of </w:t>
      </w:r>
      <w:r>
        <w:rPr>
          <w:rFonts w:ascii="Arial" w:cs="Arial" w:eastAsia="Arial" w:hAnsi="Arial"/>
          <w:sz w:val="18"/>
          <w:szCs w:val="18"/>
          <w:i w:val="1"/>
          <w:iCs w:val="1"/>
          <w:color w:val="auto"/>
        </w:rPr>
        <w:t>(Company)</w:t>
      </w:r>
      <w:r>
        <w:rPr>
          <w:rFonts w:ascii="Arial" w:cs="Arial" w:eastAsia="Arial" w:hAnsi="Arial"/>
          <w:sz w:val="18"/>
          <w:szCs w:val="18"/>
          <w:color w:val="auto"/>
        </w:rPr>
        <w:t>, you may be paid a year-end bonus at the end of each year; it is up to</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of your annual base salary.</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In determining the amount of discretionary bonus,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shall consider your work performance, amongst other factors. Your performance will be reviewed periodically and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shall make adjustments to your salary as it sees fit.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METHOD OF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salary will be paid monthly in arrears by cheque or direct credit to your nominated bank account.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HOURS OF EMPLOYMENT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working hours will be from 9:00 am to 6:00 pm daily between Mondays to Fridays with a one hour lunch break without pay.</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Notwithstanding the aforesaid, you will be required to continue your work beyond those hours if and when the occasion requires or as required by your Supervisor, however,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does not make overtime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LEAVE ENTITLEMENTS</w:t>
      </w:r>
    </w:p>
    <w:p>
      <w:pPr>
        <w:spacing w:after="0" w:line="117"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You will be entitled to</w:t>
      </w:r>
      <w:r>
        <w:rPr>
          <w:sz w:val="20"/>
          <w:szCs w:val="20"/>
          <w:color w:val="auto"/>
        </w:rPr>
        <w:tab/>
      </w:r>
      <w:r>
        <w:rPr>
          <w:rFonts w:ascii="Arial" w:cs="Arial" w:eastAsia="Arial" w:hAnsi="Arial"/>
          <w:sz w:val="16"/>
          <w:szCs w:val="16"/>
          <w:color w:val="auto"/>
        </w:rPr>
        <w:t xml:space="preserve">days annual leave per year. You are required to apply for annual leave in accordance with the policies of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portion of annual leave required under Hong Kong law (which increases from year to year) is “statutory annual leave” and any leave granted in addition to that statutory minimum is referred to as “additional annual leave”. Except in the first year, annual leave taken will be reduced against the Employee’s statutory annual leave balance first. Once the Employee uses all of his statutory annual leave, any further leave he takes will be reduced against his additional annual leave balance. Statutory annual leave is paid in accordance with the Employment Ordinance. Additional annual leave is paid according to the Employer’s policy. Statutory annual leave must be taken at the time required under the Employment Ordinance, which is the year after it accrues. Any non-statutory annual leave must be taken within the same year that it accrues.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You are entitled to the Public Holidays as announced in the Government Gazette every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INSURANCE SCHEME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Subject to you complying with and satisfying any applicable requirements of </w:t>
      </w:r>
      <w:r>
        <w:rPr>
          <w:rFonts w:ascii="Arial" w:cs="Arial" w:eastAsia="Arial" w:hAnsi="Arial"/>
          <w:sz w:val="17"/>
          <w:szCs w:val="17"/>
          <w:i w:val="1"/>
          <w:iCs w:val="1"/>
          <w:color w:val="auto"/>
        </w:rPr>
        <w:t>(Company)</w:t>
      </w:r>
      <w:r>
        <w:rPr>
          <w:rFonts w:ascii="Arial" w:cs="Arial" w:eastAsia="Arial" w:hAnsi="Arial"/>
          <w:sz w:val="17"/>
          <w:szCs w:val="17"/>
          <w:color w:val="auto"/>
        </w:rPr>
        <w:t xml:space="preserve">’s insurers, you will be entitled to join, after your Probation or Extended Probation (if applicable), to </w:t>
      </w:r>
      <w:r>
        <w:rPr>
          <w:rFonts w:ascii="Arial" w:cs="Arial" w:eastAsia="Arial" w:hAnsi="Arial"/>
          <w:sz w:val="17"/>
          <w:szCs w:val="17"/>
          <w:i w:val="1"/>
          <w:iCs w:val="1"/>
          <w:color w:val="auto"/>
        </w:rPr>
        <w:t>(Company)</w:t>
      </w:r>
      <w:r>
        <w:rPr>
          <w:rFonts w:ascii="Arial" w:cs="Arial" w:eastAsia="Arial" w:hAnsi="Arial"/>
          <w:sz w:val="17"/>
          <w:szCs w:val="17"/>
          <w:color w:val="auto"/>
        </w:rPr>
        <w:t xml:space="preserve">’s standard medical insurance scheme, details of which will be provided to you separately. The insurance benefits are ex-gratia and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may change or cancel or suspend the insurance policies at any time without notice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2</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3" w:right="239" w:bottom="1440" w:gutter="0" w:footer="0" w:header="0"/>
        </w:sectPr>
      </w:pPr>
    </w:p>
    <w:bookmarkStart w:id="572" w:name="page573"/>
    <w:bookmarkEnd w:id="57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MPF</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As required by the Mandatory Provident Fund Schemes Ordinance, you will be enrolled into </w:t>
      </w:r>
      <w:r>
        <w:rPr>
          <w:rFonts w:ascii="Arial" w:cs="Arial" w:eastAsia="Arial" w:hAnsi="Arial"/>
          <w:sz w:val="18"/>
          <w:szCs w:val="18"/>
          <w:i w:val="1"/>
          <w:iCs w:val="1"/>
          <w:color w:val="auto"/>
        </w:rPr>
        <w:t>(Company)</w:t>
      </w:r>
      <w:r>
        <w:rPr>
          <w:rFonts w:ascii="Arial" w:cs="Arial" w:eastAsia="Arial" w:hAnsi="Arial"/>
          <w:sz w:val="18"/>
          <w:szCs w:val="18"/>
          <w:color w:val="auto"/>
        </w:rPr>
        <w:t>’s Mandatory Provident Fund Scheme (the “</w:t>
      </w:r>
      <w:r>
        <w:rPr>
          <w:rFonts w:ascii="Arial" w:cs="Arial" w:eastAsia="Arial" w:hAnsi="Arial"/>
          <w:sz w:val="18"/>
          <w:szCs w:val="18"/>
          <w:b w:val="1"/>
          <w:bCs w:val="1"/>
          <w:color w:val="auto"/>
        </w:rPr>
        <w:t>MPF</w:t>
      </w:r>
      <w:r>
        <w:rPr>
          <w:rFonts w:ascii="Arial" w:cs="Arial" w:eastAsia="Arial" w:hAnsi="Arial"/>
          <w:sz w:val="18"/>
          <w:szCs w:val="18"/>
          <w:color w:val="auto"/>
        </w:rPr>
        <w:t xml:space="preserve"> </w:t>
      </w:r>
      <w:r>
        <w:rPr>
          <w:rFonts w:ascii="Arial" w:cs="Arial" w:eastAsia="Arial" w:hAnsi="Arial"/>
          <w:sz w:val="18"/>
          <w:szCs w:val="18"/>
          <w:b w:val="1"/>
          <w:bCs w:val="1"/>
          <w:color w:val="auto"/>
        </w:rPr>
        <w:t>Scheme</w:t>
      </w:r>
      <w:r>
        <w:rPr>
          <w:rFonts w:ascii="Arial" w:cs="Arial" w:eastAsia="Arial" w:hAnsi="Arial"/>
          <w:sz w:val="18"/>
          <w:szCs w:val="18"/>
          <w:color w:val="auto"/>
        </w:rPr>
        <w:t>”). The level of contributions to be paid to the MPF Scheme will be as specified in the Mandatory Provident Fund Schemes Ordinance. Details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MPF Scheme will be provided to you separately.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TRANSFER/SECONDMENT</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(Company) </w:t>
      </w:r>
      <w:r>
        <w:rPr>
          <w:rFonts w:ascii="Arial" w:cs="Arial" w:eastAsia="Arial" w:hAnsi="Arial"/>
          <w:sz w:val="17"/>
          <w:szCs w:val="17"/>
          <w:color w:val="auto"/>
        </w:rPr>
        <w:t>has the right to transfer/second you to work part time or full time for any company within the Group (that is, any subsidiaries, holding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other affiliated companies).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shall have the discretion to request you to support any other such companies within the Group.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SALARIES TAX</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will be responsible and liable for filing and payment of your own Salaries Tax under the laws of Hong Kong in respect of salaries received by you and also to taxation from any other country.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TERMINATION</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During the first month of the probationary period, a notice of </w:t>
      </w:r>
      <w:r>
        <w:rPr>
          <w:rFonts w:ascii="Arial" w:cs="Arial" w:eastAsia="Arial" w:hAnsi="Arial"/>
          <w:sz w:val="18"/>
          <w:szCs w:val="18"/>
          <w:b w:val="1"/>
          <w:bCs w:val="1"/>
          <w:color w:val="auto"/>
        </w:rPr>
        <w:t>one (1)</w:t>
      </w:r>
      <w:r>
        <w:rPr>
          <w:rFonts w:ascii="Arial" w:cs="Arial" w:eastAsia="Arial" w:hAnsi="Arial"/>
          <w:sz w:val="18"/>
          <w:szCs w:val="18"/>
          <w:color w:val="auto"/>
        </w:rPr>
        <w:t xml:space="preserve"> day in writing or the equivalent of the </w:t>
      </w:r>
      <w:r>
        <w:rPr>
          <w:rFonts w:ascii="Arial" w:cs="Arial" w:eastAsia="Arial" w:hAnsi="Arial"/>
          <w:sz w:val="18"/>
          <w:szCs w:val="18"/>
          <w:b w:val="1"/>
          <w:bCs w:val="1"/>
          <w:color w:val="auto"/>
        </w:rPr>
        <w:t>one (1)</w:t>
      </w:r>
      <w:r>
        <w:rPr>
          <w:rFonts w:ascii="Arial" w:cs="Arial" w:eastAsia="Arial" w:hAnsi="Arial"/>
          <w:sz w:val="18"/>
          <w:szCs w:val="18"/>
          <w:color w:val="auto"/>
        </w:rPr>
        <w:t xml:space="preserve"> day’s salary in lieu of service of notice is required by either party to be given to the other party in the event of termination of employment herein under.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After the first month of the probationary period and before the probation confirmation, a notice of </w:t>
      </w:r>
      <w:r>
        <w:rPr>
          <w:rFonts w:ascii="Arial" w:cs="Arial" w:eastAsia="Arial" w:hAnsi="Arial"/>
          <w:sz w:val="17"/>
          <w:szCs w:val="17"/>
          <w:b w:val="1"/>
          <w:bCs w:val="1"/>
          <w:color w:val="auto"/>
        </w:rPr>
        <w:t>seven (7)</w:t>
      </w:r>
      <w:r>
        <w:rPr>
          <w:rFonts w:ascii="Arial" w:cs="Arial" w:eastAsia="Arial" w:hAnsi="Arial"/>
          <w:sz w:val="17"/>
          <w:szCs w:val="17"/>
          <w:color w:val="auto"/>
        </w:rPr>
        <w:t xml:space="preserve"> days in writing or the equivalent of </w:t>
      </w:r>
      <w:r>
        <w:rPr>
          <w:rFonts w:ascii="Arial" w:cs="Arial" w:eastAsia="Arial" w:hAnsi="Arial"/>
          <w:sz w:val="17"/>
          <w:szCs w:val="17"/>
          <w:b w:val="1"/>
          <w:bCs w:val="1"/>
          <w:color w:val="auto"/>
        </w:rPr>
        <w:t>seven</w:t>
      </w:r>
    </w:p>
    <w:p>
      <w:pPr>
        <w:spacing w:after="0" w:line="39" w:lineRule="exact"/>
        <w:rPr>
          <w:sz w:val="20"/>
          <w:szCs w:val="20"/>
          <w:color w:val="auto"/>
        </w:rPr>
      </w:pPr>
    </w:p>
    <w:p>
      <w:pPr>
        <w:ind w:left="260" w:hanging="252"/>
        <w:spacing w:after="0"/>
        <w:tabs>
          <w:tab w:leader="none" w:pos="260" w:val="left"/>
        </w:tabs>
        <w:numPr>
          <w:ilvl w:val="0"/>
          <w:numId w:val="528"/>
        </w:numPr>
        <w:rPr>
          <w:rFonts w:ascii="Arial" w:cs="Arial" w:eastAsia="Arial" w:hAnsi="Arial"/>
          <w:sz w:val="16"/>
          <w:szCs w:val="16"/>
          <w:b w:val="1"/>
          <w:bCs w:val="1"/>
          <w:color w:val="auto"/>
        </w:rPr>
      </w:pPr>
      <w:r>
        <w:rPr>
          <w:rFonts w:ascii="Arial" w:cs="Arial" w:eastAsia="Arial" w:hAnsi="Arial"/>
          <w:sz w:val="16"/>
          <w:szCs w:val="16"/>
          <w:color w:val="auto"/>
        </w:rPr>
        <w:t>days’ salary in lieu of service of notice is required by either party to be given to the other party in the event of termination of employment herein under.</w:t>
      </w:r>
    </w:p>
    <w:p>
      <w:pPr>
        <w:spacing w:after="0" w:line="234"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After the completion of probation, you will become confirmed as a permanent employee, a notice of no less than ( ) months in writing or the equivalent of ( ) month’s salary in lieu of service of notice will be required by either party to be given to the other party in the event of</w:t>
      </w:r>
    </w:p>
    <w:p>
      <w:pPr>
        <w:spacing w:after="0" w:line="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termination of employment, unless the Letter of Employment requires a shorter/longer notice period or except that such notice or payment will not be required if employment is terminated because of breach of Company regulations.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Notwithstanding the above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may, at its absolute discretion, also terminate this agreement by giving you a combination of a written notice for a period less than the Notice Period and to pay you a salary in lieu for the remaining portion of the Notice Period.</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reserves the right to terminate your employment without notice if you commit any dishonest act, serious misconduct as set out in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Handbook and all staff manuals, guidelines, policies and procedures of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(together, “Staff Regulations”) or any other act that justifies immediate dismissal, or you are precluded by law from performing your duties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3</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4" w:right="239" w:bottom="1440" w:gutter="0" w:footer="0" w:header="0"/>
        </w:sectPr>
      </w:pPr>
    </w:p>
    <w:bookmarkStart w:id="573" w:name="page574"/>
    <w:bookmarkEnd w:id="573"/>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are summarily dismissed, you will only be entitled to remuneration up to the date of dismissal and any untaken leave entitlements, but to no other compensation as a result of that termination.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MONIES OWED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is authorised to deduct from your salary or any of your entitlements any monies owed by you or advanced to you by</w:t>
      </w:r>
      <w:r>
        <w:rPr>
          <w:rFonts w:ascii="Arial" w:cs="Arial" w:eastAsia="Arial" w:hAnsi="Arial"/>
          <w:sz w:val="18"/>
          <w:szCs w:val="18"/>
          <w:i w:val="1"/>
          <w:iCs w:val="1"/>
          <w:color w:val="auto"/>
        </w:rPr>
        <w:t xml:space="preserve"> (Company)</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POLICIES &amp; PROCEDURES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has in place Staff Regulations for the effective and safe operation of the business and for the interests of its employees.</w:t>
      </w:r>
      <w:r>
        <w:rPr>
          <w:rFonts w:ascii="Arial" w:cs="Arial" w:eastAsia="Arial" w:hAnsi="Arial"/>
          <w:sz w:val="18"/>
          <w:szCs w:val="18"/>
          <w:i w:val="1"/>
          <w:iCs w:val="1"/>
          <w:color w:val="auto"/>
        </w:rPr>
        <w:t xml:space="preserve"> (Company) </w:t>
      </w:r>
      <w:r>
        <w:rPr>
          <w:rFonts w:ascii="Arial" w:cs="Arial" w:eastAsia="Arial" w:hAnsi="Arial"/>
          <w:sz w:val="18"/>
          <w:szCs w:val="18"/>
          <w:color w:val="auto"/>
        </w:rPr>
        <w:t>may vary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 new Staff Regulations as it considers appropriate.</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You must comply with all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Staff Regulations, including any amendments, alterations and additions made from time to time. If you breach any of the Staff Regulations,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may take reasonable disciplinary action against you, including, but without limitation to, termination of your employment.</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will not be obliged to nor does it represent that it will comply with or enforce its policies and procedures (which includes but is not limited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Handbook).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INTELLECTUAL PROPERTY</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All intellectual property rights in works (including but not limited to computer software, programs, sketches, artwork, plans, models, mock-ups, briefs, drawings, procedures, systems, marketing techniques, manuals, designs, plans and specifications) conceived, developed, written or otherwise created by you in the course of your employment, whether during or outside your normal working hours, vest solely in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and you will, at the request and expense of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you shall execute such assignments and assurances as may be reasonably necessary to perfect ownership by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of those rights.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MORAL RIGHTS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You agree to waive all moral and copyright to all works made by you or to be made by you in the course of your employment with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for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any client or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or as instructed by any member of staff of </w:t>
      </w:r>
      <w:r>
        <w:rPr>
          <w:rFonts w:ascii="Arial" w:cs="Arial" w:eastAsia="Arial" w:hAnsi="Arial"/>
          <w:sz w:val="18"/>
          <w:szCs w:val="18"/>
          <w:i w:val="1"/>
          <w:iCs w:val="1"/>
          <w:color w:val="auto"/>
        </w:rPr>
        <w:t>(Company)</w:t>
      </w:r>
      <w:r>
        <w:rPr>
          <w:rFonts w:ascii="Arial" w:cs="Arial" w:eastAsia="Arial" w:hAnsi="Arial"/>
          <w:sz w:val="18"/>
          <w:szCs w:val="18"/>
          <w:color w:val="auto"/>
        </w:rPr>
        <w:t>, whether alone or in conjunction with any other person. For the purposes of this clause,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w:t>
      </w:r>
      <w:r>
        <w:rPr>
          <w:rFonts w:ascii="Arial" w:cs="Arial" w:eastAsia="Arial" w:hAnsi="Arial"/>
          <w:sz w:val="18"/>
          <w:szCs w:val="18"/>
          <w:i w:val="1"/>
          <w:iCs w:val="1"/>
          <w:color w:val="auto"/>
        </w:rPr>
        <w:t>(Company)</w:t>
      </w:r>
      <w:r>
        <w:rPr>
          <w:rFonts w:ascii="Arial" w:cs="Arial" w:eastAsia="Arial" w:hAnsi="Arial"/>
          <w:sz w:val="18"/>
          <w:szCs w:val="18"/>
          <w:color w:val="auto"/>
        </w:rPr>
        <w:t>, its subsidiaries, holding and/or associated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PROTECTION OF (COMPANY)’S INTERESTS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You agree not to undertake other paid or unpaid employment or undertake any courses or activities which will impair your ability to carry out your duties under your employment with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or which constitutes a conflict of interest.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CONFIDENTIALITY</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In the course of your employment under this agreement you will have access to and be entrusted with information in respect of the business and financing of </w:t>
      </w:r>
      <w:r>
        <w:rPr>
          <w:rFonts w:ascii="Arial" w:cs="Arial" w:eastAsia="Arial" w:hAnsi="Arial"/>
          <w:sz w:val="17"/>
          <w:szCs w:val="17"/>
          <w:i w:val="1"/>
          <w:iCs w:val="1"/>
          <w:color w:val="auto"/>
        </w:rPr>
        <w:t xml:space="preserve">(Company) </w:t>
      </w:r>
      <w:r>
        <w:rPr>
          <w:rFonts w:ascii="Arial" w:cs="Arial" w:eastAsia="Arial" w:hAnsi="Arial"/>
          <w:sz w:val="17"/>
          <w:szCs w:val="17"/>
          <w:color w:val="auto"/>
        </w:rPr>
        <w:t>and its dealings, transactions and affairs and likewise in relation to its subsidiaries, holding and associated companies all of which information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may be confidential. You must keep information about </w:t>
      </w:r>
      <w:r>
        <w:rPr>
          <w:rFonts w:ascii="Arial" w:cs="Arial" w:eastAsia="Arial" w:hAnsi="Arial"/>
          <w:sz w:val="17"/>
          <w:szCs w:val="17"/>
          <w:i w:val="1"/>
          <w:iCs w:val="1"/>
          <w:color w:val="auto"/>
        </w:rPr>
        <w:t>(Company)</w:t>
      </w:r>
      <w:r>
        <w:rPr>
          <w:rFonts w:ascii="Arial" w:cs="Arial" w:eastAsia="Arial" w:hAnsi="Arial"/>
          <w:sz w:val="17"/>
          <w:szCs w:val="17"/>
          <w:color w:val="auto"/>
        </w:rPr>
        <w:t xml:space="preserve">’s business secret and confidential except to the extent that you are authorised by </w:t>
      </w:r>
      <w:r>
        <w:rPr>
          <w:rFonts w:ascii="Arial" w:cs="Arial" w:eastAsia="Arial" w:hAnsi="Arial"/>
          <w:sz w:val="17"/>
          <w:szCs w:val="17"/>
          <w:i w:val="1"/>
          <w:iCs w:val="1"/>
          <w:color w:val="auto"/>
        </w:rPr>
        <w:t xml:space="preserve">(Company) </w:t>
      </w:r>
      <w:r>
        <w:rPr>
          <w:rFonts w:ascii="Arial" w:cs="Arial" w:eastAsia="Arial" w:hAnsi="Arial"/>
          <w:sz w:val="17"/>
          <w:szCs w:val="17"/>
          <w:color w:val="auto"/>
        </w:rPr>
        <w:t>or by law to disclose it. This obligation will continue after the termination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4</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4" w:right="239" w:bottom="1440" w:gutter="0" w:footer="0" w:header="0"/>
        </w:sectPr>
      </w:pPr>
    </w:p>
    <w:bookmarkStart w:id="574" w:name="page575"/>
    <w:bookmarkEnd w:id="574"/>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You shall not (except in the proper course of your duties or if compelled to do so by law), during or after the period of your employment under this agreement, divulge to any person whatsoever or otherwise make use of (and shall use your best endeavours to prevent the publication or disclosure of) any confidential information including but not limited to any trade secret or secret manufacturing or technical process, any information concerning the processes, methods, systems, programs, manuals, books, reports, data, business transactions, finances, dealings, affairs, designs, price structures, marketing strategies, or operations of </w:t>
      </w:r>
      <w:r>
        <w:rPr>
          <w:rFonts w:ascii="Arial" w:cs="Arial" w:eastAsia="Arial" w:hAnsi="Arial"/>
          <w:sz w:val="16"/>
          <w:szCs w:val="16"/>
          <w:i w:val="1"/>
          <w:iCs w:val="1"/>
          <w:color w:val="auto"/>
        </w:rPr>
        <w:t>(Company)</w:t>
      </w:r>
      <w:r>
        <w:rPr>
          <w:rFonts w:ascii="Arial" w:cs="Arial" w:eastAsia="Arial" w:hAnsi="Arial"/>
          <w:sz w:val="16"/>
          <w:szCs w:val="16"/>
          <w:color w:val="auto"/>
        </w:rPr>
        <w:t>, any of its subsidiaries, holding and/or associated companies or any of its or their suppliers agents distributors or customers.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You must not use or attempt to use any such information in any manner which may injure or cause loss either directly or indirectly to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its subsidiaries, holding and/or associated companies or the suppliers, agents, distributors, or customers of </w:t>
      </w:r>
      <w:r>
        <w:rPr>
          <w:rFonts w:ascii="Arial" w:cs="Arial" w:eastAsia="Arial" w:hAnsi="Arial"/>
          <w:sz w:val="18"/>
          <w:szCs w:val="18"/>
          <w:i w:val="1"/>
          <w:iCs w:val="1"/>
          <w:color w:val="auto"/>
        </w:rPr>
        <w:t>(Company)</w:t>
      </w:r>
      <w:r>
        <w:rPr>
          <w:rFonts w:ascii="Arial" w:cs="Arial" w:eastAsia="Arial" w:hAnsi="Arial"/>
          <w:sz w:val="18"/>
          <w:szCs w:val="18"/>
          <w:color w:val="auto"/>
        </w:rPr>
        <w:t>, its subsidiaries, holding and/or associated companies.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All notes and memoranda of any trade secrets or confidential information concerning the business of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its subsidiaries, holding and/or associated companies or any of its or their suppliers, agents, distributors or customers shall be the property of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and shall be surrendered by you to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at the termination of your employment or at the request of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during the course of your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requirement to maintain confidentiality will continue to apply after the termination of your employment.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RESTRAINT</w:t>
      </w:r>
    </w:p>
    <w:p>
      <w:pPr>
        <w:spacing w:after="0" w:line="117"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 xml:space="preserve">You undertake and covenant to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that you will not during the term of your employment, and for a period of 6 months after termination of your employment with </w:t>
      </w:r>
      <w:r>
        <w:rPr>
          <w:rFonts w:ascii="Arial" w:cs="Arial" w:eastAsia="Arial" w:hAnsi="Arial"/>
          <w:sz w:val="17"/>
          <w:szCs w:val="17"/>
          <w:i w:val="1"/>
          <w:iCs w:val="1"/>
          <w:color w:val="auto"/>
        </w:rPr>
        <w:t>(Company)</w:t>
      </w:r>
      <w:r>
        <w:rPr>
          <w:rFonts w:ascii="Arial" w:cs="Arial" w:eastAsia="Arial" w:hAnsi="Arial"/>
          <w:sz w:val="17"/>
          <w:szCs w:val="17"/>
          <w:color w:val="auto"/>
        </w:rPr>
        <w:t>, either alone, in your name in the name of a firm or corporation, or jointly with any other person, firm or corporation, as a manager, agent, principal, consultant, employee, consultant, contractor or in any other capacity whether paid or unpaid:</w:t>
      </w:r>
    </w:p>
    <w:p>
      <w:pPr>
        <w:spacing w:after="0" w:line="71" w:lineRule="exact"/>
        <w:rPr>
          <w:sz w:val="20"/>
          <w:szCs w:val="20"/>
          <w:color w:val="auto"/>
        </w:rPr>
      </w:pPr>
    </w:p>
    <w:p>
      <w:pPr>
        <w:ind w:left="460" w:hanging="452"/>
        <w:spacing w:after="0"/>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be directly or indirectly engaged or involved in any business which shall be in competition with: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29"/>
        </w:numPr>
        <w:rPr>
          <w:rFonts w:ascii="Arial" w:cs="Arial" w:eastAsia="Arial" w:hAnsi="Arial"/>
          <w:sz w:val="16"/>
          <w:szCs w:val="16"/>
          <w:color w:val="auto"/>
        </w:rPr>
      </w:pPr>
      <w:r>
        <w:rPr>
          <w:rFonts w:ascii="Arial" w:cs="Arial" w:eastAsia="Arial" w:hAnsi="Arial"/>
          <w:sz w:val="16"/>
          <w:szCs w:val="16"/>
          <w:color w:val="auto"/>
        </w:rPr>
        <w:t xml:space="preserve">the business of </w:t>
      </w:r>
      <w:r>
        <w:rPr>
          <w:rFonts w:ascii="Arial" w:cs="Arial" w:eastAsia="Arial" w:hAnsi="Arial"/>
          <w:sz w:val="16"/>
          <w:szCs w:val="16"/>
          <w:i w:val="1"/>
          <w:iCs w:val="1"/>
          <w:color w:val="auto"/>
        </w:rPr>
        <w:t>(Company)</w:t>
      </w:r>
      <w:r>
        <w:rPr>
          <w:rFonts w:ascii="Arial" w:cs="Arial" w:eastAsia="Arial" w:hAnsi="Arial"/>
          <w:sz w:val="16"/>
          <w:szCs w:val="16"/>
          <w:color w:val="auto"/>
        </w:rPr>
        <w:t>, which is to provide marketing and public relations services relating to the measurement of internet web-site usage; 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 xml:space="preserve">any other business the same as or similar to the business operated by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460" w:right="80" w:hanging="452"/>
        <w:spacing w:after="0" w:line="286" w:lineRule="auto"/>
        <w:tabs>
          <w:tab w:leader="none" w:pos="46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directly or indirectly canvass or solicit from any person who is at the date of your termination of employment, or 6 months prior to that date, a client or customer of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or any of its subsidiaries, holding and/or associated companies, any orders for goods or services the same as or similar to those goods or services supplied to that person by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in the 6 months prior to the date of termination of employment;</w:t>
      </w:r>
    </w:p>
    <w:p>
      <w:pPr>
        <w:spacing w:after="0" w:line="70" w:lineRule="exact"/>
        <w:rPr>
          <w:rFonts w:ascii="Arial" w:cs="Arial" w:eastAsia="Arial" w:hAnsi="Arial"/>
          <w:sz w:val="17"/>
          <w:szCs w:val="17"/>
          <w:color w:val="auto"/>
        </w:rPr>
      </w:pPr>
    </w:p>
    <w:p>
      <w:pPr>
        <w:ind w:left="460" w:right="100" w:hanging="452"/>
        <w:spacing w:after="0" w:line="259" w:lineRule="auto"/>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xml:space="preserve">entice, endeavour to entice, persuade or in any way procure away from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or any of its subsidiaries, holding and/or associated companies any person who has at any time during the 6 months immediately preceding the termination of your employment been employed or engaged by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or any of its subsidiaries, holding and/or associated companies with a view to or an objective or purpose of that person ceasing to be employed or engaged by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5</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3" w:right="239" w:bottom="1440" w:gutter="0" w:footer="0" w:header="0"/>
        </w:sectPr>
      </w:pPr>
    </w:p>
    <w:bookmarkStart w:id="575" w:name="page576"/>
    <w:bookmarkEnd w:id="575"/>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above clause will have the effect as if it were several separate undertakings and covenants and is intended to be separate binding agreements, and the illegality or unenforceability of any such covenants shall not affect the validity of the remaining covenants.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Your obligations under this clause shall continue for a period of 6 months after the expiration or termination of your employment with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for whatever reason.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any of the several separate undertakings and covenants are to become invalid or unenforceable for any reason they will be severed whilst the others shall continue to remain in full force and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BREACH OF CLAUSES 15 to 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Without prejudice to any other rights, you acknowledge that any breach of clauses 15 to 18:</w:t>
      </w:r>
    </w:p>
    <w:p>
      <w:pPr>
        <w:spacing w:after="0" w:line="131" w:lineRule="exact"/>
        <w:rPr>
          <w:sz w:val="20"/>
          <w:szCs w:val="20"/>
          <w:color w:val="auto"/>
        </w:rPr>
      </w:pPr>
    </w:p>
    <w:p>
      <w:pPr>
        <w:ind w:left="460" w:hanging="452"/>
        <w:spacing w:after="0"/>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will be regarded as a very serious matter;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may result in you being dismissed immediately without any entitlement to pay in lieu of notice;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 xml:space="preserve">may result in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seeking an injunction against you as it is acknowledged that damages may not be an adequate remedy in such circumstances.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RETURN OF PROPERTY</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At the end of your employment or otherwise on request by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you must return to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all document, records,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or customer information including all confidential information, keys, access passes, mobile phone, vehicle, computer, computer software and programs or other property of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in your possession or control including any copies in your possession or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ENTIRE AGREEMENT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This letter sets out the entire agreement between you and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regarding the terms and conditions of your employment with </w:t>
      </w:r>
      <w:r>
        <w:rPr>
          <w:rFonts w:ascii="Arial" w:cs="Arial" w:eastAsia="Arial" w:hAnsi="Arial"/>
          <w:sz w:val="18"/>
          <w:szCs w:val="18"/>
          <w:i w:val="1"/>
          <w:iCs w:val="1"/>
          <w:color w:val="auto"/>
        </w:rPr>
        <w:t>(Company)</w:t>
      </w:r>
      <w:r>
        <w:rPr>
          <w:rFonts w:ascii="Arial" w:cs="Arial" w:eastAsia="Arial" w:hAnsi="Arial"/>
          <w:sz w:val="18"/>
          <w:szCs w:val="18"/>
          <w:color w:val="auto"/>
        </w:rPr>
        <w:t>, excepting any term or condition implied by law and which is not inconsistent with this agreement. No collateral agreement, commitment or understanding will be of any force and effect unless it is in writing and signed by both parties. Any and all prior negotiations, representations, warranties or commitments in relation to your employment are superseded by this letter and will be of no force and effect.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WAIVER</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failure of either party at any time to insist on performance of any term of this letter is not a waiver of its right at any later time to insist on performance of that or any other term of this letter.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VARIATION OF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terms and conditions of your employment cannot be varied unless such variation is in writing and signed by both you and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6</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4" w:right="239" w:bottom="1440" w:gutter="0" w:footer="0" w:header="0"/>
        </w:sectPr>
      </w:pPr>
    </w:p>
    <w:bookmarkStart w:id="576" w:name="page577"/>
    <w:bookmarkEnd w:id="57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GOVERNING LAW</w:t>
      </w:r>
    </w:p>
    <w:p>
      <w:pPr>
        <w:spacing w:after="0" w:line="11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Your employment will be governed by the laws of </w:t>
      </w:r>
      <w:r>
        <w:rPr>
          <w:rFonts w:ascii="Arial" w:cs="Arial" w:eastAsia="Arial" w:hAnsi="Arial"/>
          <w:sz w:val="18"/>
          <w:szCs w:val="18"/>
          <w:b w:val="1"/>
          <w:bCs w:val="1"/>
          <w:color w:val="auto"/>
        </w:rPr>
        <w:t>Hong Kong</w:t>
      </w:r>
      <w:r>
        <w:rPr>
          <w:rFonts w:ascii="Arial" w:cs="Arial" w:eastAsia="Arial" w:hAnsi="Arial"/>
          <w:sz w:val="18"/>
          <w:szCs w:val="18"/>
          <w:color w:val="auto"/>
        </w:rPr>
        <w:t xml:space="preserve"> and both you and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irrevocably submit to the jurisdiction of the Courts of </w:t>
      </w:r>
      <w:r>
        <w:rPr>
          <w:rFonts w:ascii="Arial" w:cs="Arial" w:eastAsia="Arial" w:hAnsi="Arial"/>
          <w:sz w:val="18"/>
          <w:szCs w:val="18"/>
          <w:b w:val="1"/>
          <w:bCs w:val="1"/>
          <w:color w:val="auto"/>
        </w:rPr>
        <w:t>Hong</w:t>
      </w:r>
      <w:r>
        <w:rPr>
          <w:rFonts w:ascii="Arial" w:cs="Arial" w:eastAsia="Arial" w:hAnsi="Arial"/>
          <w:sz w:val="18"/>
          <w:szCs w:val="18"/>
          <w:color w:val="auto"/>
        </w:rPr>
        <w:t xml:space="preserve"> </w:t>
      </w:r>
      <w:r>
        <w:rPr>
          <w:rFonts w:ascii="Arial" w:cs="Arial" w:eastAsia="Arial" w:hAnsi="Arial"/>
          <w:sz w:val="18"/>
          <w:szCs w:val="18"/>
          <w:b w:val="1"/>
          <w:bCs w:val="1"/>
          <w:color w:val="auto"/>
        </w:rPr>
        <w:t>Kong</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 ACCEPTANCE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You confirm acceptance of this offer of employment on these terms and conditions by signing and returning the enclosed copy of this letter. Your employment agreement with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is effective on the date set out in clause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Human Resources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the above terms and conditions and I hereby agree to be bounded by them.</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Signed: NAME</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8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HKID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84"/>
        </w:trPr>
        <w:tc>
          <w:tcPr>
            <w:tcW w:w="1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64"/>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80" w:type="dxa"/>
            <w:vAlign w:val="bottom"/>
            <w:gridSpan w:val="5"/>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11"/>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7</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3" w:right="239" w:bottom="1440" w:gutter="0" w:footer="0" w:header="0"/>
        </w:sectPr>
      </w:pPr>
    </w:p>
    <w:bookmarkStart w:id="577" w:name="page578"/>
    <w:bookmarkEnd w:id="5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 Job Descriptions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Position Title</w:t>
      </w:r>
      <w:r>
        <w:rPr>
          <w:rFonts w:ascii="Arial" w:cs="Arial" w:eastAsia="Arial" w:hAnsi="Arial"/>
          <w:sz w:val="18"/>
          <w:szCs w:val="18"/>
          <w:color w:val="auto"/>
        </w:rPr>
        <w:t xml:space="preserve"> will be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(Company name) | (Address) </w:t>
            </w: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T</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gridSpan w:val="4"/>
          </w:tcPr>
          <w:p>
            <w:pPr>
              <w:ind w:left="80"/>
              <w:spacing w:after="0"/>
              <w:rPr>
                <w:sz w:val="20"/>
                <w:szCs w:val="20"/>
                <w:color w:val="auto"/>
              </w:rPr>
            </w:pPr>
            <w:r>
              <w:rPr>
                <w:rFonts w:ascii="Arial" w:cs="Arial" w:eastAsia="Arial" w:hAnsi="Arial"/>
                <w:sz w:val="18"/>
                <w:szCs w:val="18"/>
                <w:color w:val="auto"/>
              </w:rPr>
              <w:t>| F</w:t>
            </w:r>
          </w:p>
        </w:tc>
      </w:tr>
      <w:tr>
        <w:trPr>
          <w:trHeight w:val="196"/>
        </w:trPr>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Pr>
          <w:p>
            <w:pPr>
              <w:ind w:left="182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(Website)</w:t>
            </w:r>
            <w:r>
              <w:rPr>
                <w:rFonts w:ascii="Arial" w:cs="Arial" w:eastAsia="Arial" w:hAnsi="Arial"/>
                <w:sz w:val="18"/>
                <w:szCs w:val="18"/>
                <w:color w:val="auto"/>
              </w:rPr>
              <w:t xml:space="preserve"> |</w:t>
            </w:r>
          </w:p>
        </w:tc>
      </w:tr>
      <w:tr>
        <w:trPr>
          <w:trHeight w:val="196"/>
        </w:trPr>
        <w:tc>
          <w:tcPr>
            <w:tcW w:w="2640" w:type="dxa"/>
            <w:vAlign w:val="bottom"/>
            <w:gridSpan w:val="3"/>
          </w:tcPr>
          <w:p>
            <w:pPr>
              <w:spacing w:after="0" w:line="196" w:lineRule="exact"/>
              <w:rPr>
                <w:sz w:val="20"/>
                <w:szCs w:val="20"/>
                <w:color w:val="auto"/>
              </w:rPr>
            </w:pPr>
            <w:r>
              <w:rPr>
                <w:rFonts w:ascii="Arial" w:cs="Arial" w:eastAsia="Arial" w:hAnsi="Arial"/>
                <w:sz w:val="18"/>
                <w:szCs w:val="18"/>
                <w:color w:val="auto"/>
              </w:rPr>
              <w:t>Initial (Company):</w:t>
            </w:r>
          </w:p>
        </w:tc>
        <w:tc>
          <w:tcPr>
            <w:tcW w:w="22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auto"/>
              </w:rPr>
              <w:t>Initial (Employee):</w:t>
            </w:r>
          </w:p>
        </w:tc>
      </w:tr>
      <w:tr>
        <w:trPr>
          <w:trHeight w:val="385"/>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8</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8</w:t>
            </w:r>
          </w:p>
        </w:tc>
      </w:tr>
    </w:tbl>
    <w:p>
      <w:pPr>
        <w:sectPr>
          <w:pgSz w:w="11900" w:h="16838" w:orient="portrait"/>
          <w:cols w:equalWidth="0" w:num="1">
            <w:col w:w="11420"/>
          </w:cols>
          <w:pgMar w:left="240" w:top="270" w:right="239" w:bottom="1440" w:gutter="0" w:footer="0" w:header="0"/>
        </w:sectPr>
      </w:pPr>
    </w:p>
    <w:bookmarkStart w:id="578" w:name="page579"/>
    <w:bookmarkEnd w:id="57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WAY NON-DISCLOSURE AGREEMENT</w:t>
      </w:r>
    </w:p>
    <w:p>
      <w:pPr>
        <w:sectPr>
          <w:pgSz w:w="11900" w:h="16838" w:orient="portrait"/>
          <w:cols w:equalWidth="0" w:num="1">
            <w:col w:w="11400"/>
          </w:cols>
          <w:pgMar w:left="240" w:top="273" w:right="259" w:bottom="1440" w:gutter="0" w:footer="0" w:header="0"/>
        </w:sectPr>
      </w:pPr>
    </w:p>
    <w:p>
      <w:pPr>
        <w:spacing w:after="0" w:line="125" w:lineRule="exact"/>
        <w:rPr>
          <w:sz w:val="20"/>
          <w:szCs w:val="20"/>
          <w:color w:val="auto"/>
        </w:rPr>
      </w:pPr>
    </w:p>
    <w:p>
      <w:pPr>
        <w:ind w:left="780" w:hanging="764"/>
        <w:spacing w:after="0" w:line="282" w:lineRule="auto"/>
        <w:rPr>
          <w:sz w:val="20"/>
          <w:szCs w:val="20"/>
          <w:color w:val="auto"/>
        </w:rPr>
      </w:pPr>
      <w:r>
        <w:rPr>
          <w:rFonts w:ascii="Arial" w:cs="Arial" w:eastAsia="Arial" w:hAnsi="Arial"/>
          <w:sz w:val="18"/>
          <w:szCs w:val="18"/>
          <w:color w:val="auto"/>
        </w:rPr>
        <w:t>This Non-Disclosure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between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or entity signing below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 a limited liability company incorporated in</w:t>
      </w:r>
    </w:p>
    <w:p>
      <w:pPr>
        <w:spacing w:after="0" w:line="464" w:lineRule="exact"/>
        <w:rPr>
          <w:sz w:val="20"/>
          <w:szCs w:val="20"/>
          <w:color w:val="auto"/>
        </w:rPr>
      </w:pPr>
    </w:p>
    <w:p>
      <w:pPr>
        <w:sectPr>
          <w:pgSz w:w="11900" w:h="16838" w:orient="portrait"/>
          <w:cols w:equalWidth="0" w:num="2">
            <w:col w:w="7620" w:space="580"/>
            <w:col w:w="3200"/>
          </w:cols>
          <w:pgMar w:left="240" w:top="273" w:right="259" w:bottom="1440" w:gutter="0" w:footer="0" w:header="0"/>
          <w:type w:val="continuous"/>
        </w:sectPr>
      </w:pPr>
    </w:p>
    <w:p>
      <w:pPr>
        <w:ind w:firstLine="8"/>
        <w:spacing w:after="0" w:line="259" w:lineRule="auto"/>
        <w:tabs>
          <w:tab w:leader="none" w:pos="1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xml:space="preserve">In connection with a possible business transaction or relationship between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Participant and for the purposes of evaluating certain technologies of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which may be deployed in connection with that business transaction or relationship (the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Participant may receive certain Confidential Information (as defined below) of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provides such Confidential Information to Participant only subject to the terms set forth in this Agreement.</w:t>
      </w:r>
    </w:p>
    <w:p>
      <w:pPr>
        <w:spacing w:after="0" w:line="182" w:lineRule="exact"/>
        <w:rPr>
          <w:rFonts w:ascii="Arial" w:cs="Arial" w:eastAsia="Arial" w:hAnsi="Arial"/>
          <w:sz w:val="18"/>
          <w:szCs w:val="18"/>
          <w:color w:val="auto"/>
        </w:rPr>
      </w:pPr>
    </w:p>
    <w:p>
      <w:pPr>
        <w:ind w:right="40" w:firstLine="8"/>
        <w:spacing w:after="0" w:line="281" w:lineRule="auto"/>
        <w:tabs>
          <w:tab w:leader="none" w:pos="18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means all technical and non-technical information of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and/or its licensors (including but not limited to product information, plans and pricing, financials, marketing plans, business strategies, customer information, data, research and development, software and hardware, APIs, specifications, designs, proprietary formulae and proprietary algorithms), which information is identified as being confidential or proprietary or which would, under the circumstances, appear to a reasonable person to be confidential or proprietary.</w:t>
      </w:r>
    </w:p>
    <w:p>
      <w:pPr>
        <w:spacing w:after="0" w:line="168" w:lineRule="exact"/>
        <w:rPr>
          <w:rFonts w:ascii="Arial" w:cs="Arial" w:eastAsia="Arial" w:hAnsi="Arial"/>
          <w:sz w:val="17"/>
          <w:szCs w:val="17"/>
          <w:color w:val="auto"/>
        </w:rPr>
      </w:pPr>
    </w:p>
    <w:p>
      <w:pPr>
        <w:ind w:firstLine="8"/>
        <w:spacing w:after="0" w:line="273" w:lineRule="auto"/>
        <w:tabs>
          <w:tab w:leader="none" w:pos="18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 xml:space="preserve">Participant will (a) hold the Confidential Information in confidence; (b) restrict disclosure of such Confidential Information to those of its employees or agents with a need to know such information and who have previously agreed (e.g. as a condition to their employment or agency) to be bound by terms respecting the protection of confidential information which are substantially similar to those of this Agreement and which would extend to </w:t>
      </w:r>
      <w:r>
        <w:rPr>
          <w:rFonts w:ascii="Arial" w:cs="Arial" w:eastAsia="Arial" w:hAnsi="Arial"/>
          <w:sz w:val="17"/>
          <w:szCs w:val="17"/>
          <w:i w:val="1"/>
          <w:iCs w:val="1"/>
          <w:color w:val="auto"/>
        </w:rPr>
        <w:t>(Company)</w:t>
      </w:r>
      <w:r>
        <w:rPr>
          <w:rFonts w:ascii="Arial" w:cs="Arial" w:eastAsia="Arial" w:hAnsi="Arial"/>
          <w:sz w:val="17"/>
          <w:szCs w:val="17"/>
          <w:color w:val="auto"/>
        </w:rPr>
        <w:t xml:space="preserve">’s Confidential Information; (c) use such Confidential Information only for the Transaction; and (d) to the extent applicable, not modify, reverse engineer, decompile, create other works from, or disassemble any such Confidential Information unless otherwise specified in writing by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Participant agrees and understands that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may use Participant’s suggestions and comments for any purpose without compensation of any kind.</w:t>
      </w:r>
    </w:p>
    <w:p>
      <w:pPr>
        <w:spacing w:after="0" w:line="178" w:lineRule="exact"/>
        <w:rPr>
          <w:rFonts w:ascii="Arial" w:cs="Arial" w:eastAsia="Arial" w:hAnsi="Arial"/>
          <w:sz w:val="17"/>
          <w:szCs w:val="17"/>
          <w:color w:val="auto"/>
        </w:rPr>
      </w:pPr>
    </w:p>
    <w:p>
      <w:pPr>
        <w:ind w:right="20" w:firstLine="8"/>
        <w:spacing w:after="0" w:line="255" w:lineRule="auto"/>
        <w:tabs>
          <w:tab w:leader="none" w:pos="1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xml:space="preserve">The restrictions in Section 3 will not apply to Confidential Information to the extent that Participant can provide written documentation to show it (a) was in the public domain at the time of disclosure; (b) became publicly available after disclosure to Participant without breach of this Agreement; (c) was lawfully received by Participant from a third party without such restrictions; (d) was known to Participant prior to its receipt from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(e) was independently developed by Participant without reference to such Confidential Information; or (f) is required to be disclosed by Participant pursuant to judicial order or other compulsion of law, provided that Participant will provide to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prompt notice of such order and comply with any protective order imposed on such disclosure.</w:t>
      </w:r>
    </w:p>
    <w:p>
      <w:pPr>
        <w:spacing w:after="0" w:line="193" w:lineRule="exact"/>
        <w:rPr>
          <w:rFonts w:ascii="Arial" w:cs="Arial" w:eastAsia="Arial" w:hAnsi="Arial"/>
          <w:sz w:val="18"/>
          <w:szCs w:val="18"/>
          <w:color w:val="auto"/>
        </w:rPr>
      </w:pPr>
    </w:p>
    <w:p>
      <w:pPr>
        <w:ind w:right="20" w:firstLine="8"/>
        <w:spacing w:after="0" w:line="297" w:lineRule="auto"/>
        <w:tabs>
          <w:tab w:leader="none" w:pos="18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 xml:space="preserve">Participant acknowledges and agrees that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is not required to disclose any particular information to Participant and any disclosure pursuant to this Agreement is entirely voluntary and does not, in itself: (a) create warranties or representations of any kind; (b) create a commitment as to any product, service, or prospective business relationship; (c) constitute solicitation of any business or the incurring of any obligation not specified herein; or (d) constitute a license or transfer of ownership under any intellectual property rights of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or its licensors. In addition, the existence and terms of this Agreement and the fact that discussions have taken, are taking, or may take place may not be disclosed by Participant without </w:t>
      </w:r>
      <w:r>
        <w:rPr>
          <w:rFonts w:ascii="Arial" w:cs="Arial" w:eastAsia="Arial" w:hAnsi="Arial"/>
          <w:sz w:val="16"/>
          <w:szCs w:val="16"/>
          <w:i w:val="1"/>
          <w:iCs w:val="1"/>
          <w:color w:val="auto"/>
        </w:rPr>
        <w:t>(Company)</w:t>
      </w:r>
      <w:r>
        <w:rPr>
          <w:rFonts w:ascii="Arial" w:cs="Arial" w:eastAsia="Arial" w:hAnsi="Arial"/>
          <w:sz w:val="16"/>
          <w:szCs w:val="16"/>
          <w:color w:val="auto"/>
        </w:rPr>
        <w:t>’s prior written consent.</w:t>
      </w:r>
    </w:p>
    <w:p>
      <w:pPr>
        <w:spacing w:after="0" w:line="158" w:lineRule="exact"/>
        <w:rPr>
          <w:rFonts w:ascii="Arial" w:cs="Arial" w:eastAsia="Arial" w:hAnsi="Arial"/>
          <w:sz w:val="16"/>
          <w:szCs w:val="16"/>
          <w:color w:val="auto"/>
        </w:rPr>
      </w:pPr>
    </w:p>
    <w:p>
      <w:pPr>
        <w:ind w:right="40" w:firstLine="8"/>
        <w:spacing w:after="0" w:line="297" w:lineRule="auto"/>
        <w:tabs>
          <w:tab w:leader="none" w:pos="18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 xml:space="preserve">This Agreement is effective as of the Effective Date.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may terminate this Agreement at any time by sending written notice thereof to the Participant. Upon receipt of such notice, Participant will return or destroy (at </w:t>
      </w:r>
      <w:r>
        <w:rPr>
          <w:rFonts w:ascii="Arial" w:cs="Arial" w:eastAsia="Arial" w:hAnsi="Arial"/>
          <w:sz w:val="16"/>
          <w:szCs w:val="16"/>
          <w:i w:val="1"/>
          <w:iCs w:val="1"/>
          <w:color w:val="auto"/>
        </w:rPr>
        <w:t>(Company)</w:t>
      </w:r>
      <w:r>
        <w:rPr>
          <w:rFonts w:ascii="Arial" w:cs="Arial" w:eastAsia="Arial" w:hAnsi="Arial"/>
          <w:sz w:val="16"/>
          <w:szCs w:val="16"/>
          <w:color w:val="auto"/>
        </w:rPr>
        <w:t xml:space="preserve">’s election) all copies of the Confidential Information in Participant’s possession or control (including archival copies) and will certify the same if so requested by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However, Participant’s obligations under Section 3 with respect to </w:t>
      </w:r>
      <w:r>
        <w:rPr>
          <w:rFonts w:ascii="Arial" w:cs="Arial" w:eastAsia="Arial" w:hAnsi="Arial"/>
          <w:sz w:val="16"/>
          <w:szCs w:val="16"/>
          <w:i w:val="1"/>
          <w:iCs w:val="1"/>
          <w:color w:val="auto"/>
        </w:rPr>
        <w:t>(Company)</w:t>
      </w:r>
      <w:r>
        <w:rPr>
          <w:rFonts w:ascii="Arial" w:cs="Arial" w:eastAsia="Arial" w:hAnsi="Arial"/>
          <w:sz w:val="16"/>
          <w:szCs w:val="16"/>
          <w:color w:val="auto"/>
        </w:rPr>
        <w:t>’s Confidential Information that has been disclosed to Participant during the term of this Agreement will survive such termination unless and until such Confidential Information falls within the public domain. In addition, this Section 6 will survive any such termination of this Agreement.</w:t>
      </w:r>
    </w:p>
    <w:p>
      <w:pPr>
        <w:spacing w:after="0" w:line="158" w:lineRule="exact"/>
        <w:rPr>
          <w:rFonts w:ascii="Arial" w:cs="Arial" w:eastAsia="Arial" w:hAnsi="Arial"/>
          <w:sz w:val="16"/>
          <w:szCs w:val="16"/>
          <w:color w:val="auto"/>
        </w:rPr>
      </w:pPr>
    </w:p>
    <w:p>
      <w:pPr>
        <w:ind w:firstLine="8"/>
        <w:spacing w:after="0" w:line="279" w:lineRule="auto"/>
        <w:tabs>
          <w:tab w:leader="none" w:pos="18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 xml:space="preserve">This Agreement supersedes all previous agreements between the parties regarding </w:t>
      </w:r>
      <w:r>
        <w:rPr>
          <w:rFonts w:ascii="Arial" w:cs="Arial" w:eastAsia="Arial" w:hAnsi="Arial"/>
          <w:sz w:val="17"/>
          <w:szCs w:val="17"/>
          <w:i w:val="1"/>
          <w:iCs w:val="1"/>
          <w:color w:val="auto"/>
        </w:rPr>
        <w:t>(Company)</w:t>
      </w:r>
      <w:r>
        <w:rPr>
          <w:rFonts w:ascii="Arial" w:cs="Arial" w:eastAsia="Arial" w:hAnsi="Arial"/>
          <w:sz w:val="17"/>
          <w:szCs w:val="17"/>
          <w:color w:val="auto"/>
        </w:rPr>
        <w:t>’s Confidential Information and cannot be cancelled, assigned or modified except by the written agreement of both parties. This Agreement will be governed and construed using the law of the Hong Kong Special Administrative Region, without giving effect to its conflict of law provisions or to constructive presumptions favoring either party. All actions arising out of or relating to this Agreement will be heard and determined exclusively by the courts of the Hong Kong Special Administrative Region.</w:t>
      </w:r>
    </w:p>
    <w:p>
      <w:pPr>
        <w:spacing w:after="0" w:line="171" w:lineRule="exact"/>
        <w:rPr>
          <w:rFonts w:ascii="Arial" w:cs="Arial" w:eastAsia="Arial" w:hAnsi="Arial"/>
          <w:sz w:val="17"/>
          <w:szCs w:val="17"/>
          <w:color w:val="auto"/>
        </w:rPr>
      </w:pPr>
    </w:p>
    <w:p>
      <w:pPr>
        <w:ind w:right="100" w:firstLine="8"/>
        <w:spacing w:after="0" w:line="342" w:lineRule="auto"/>
        <w:tabs>
          <w:tab w:leader="none" w:pos="18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 xml:space="preserve">Participant agrees that any violation or threatened violation of this Agreement will cause irreparable injury to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and that, in addition to any other available remedies,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will be entitled to obtain injunctive relief against the breach or threatened breach of this Agreement by Participant.</w:t>
      </w:r>
    </w:p>
    <w:p>
      <w:pPr>
        <w:sectPr>
          <w:pgSz w:w="11900" w:h="16838" w:orient="portrait"/>
          <w:cols w:equalWidth="0" w:num="1">
            <w:col w:w="11400"/>
          </w:cols>
          <w:pgMar w:left="240" w:top="273" w:right="259" w:bottom="1440" w:gutter="0" w:footer="0" w:header="0"/>
          <w:type w:val="continuous"/>
        </w:sectPr>
      </w:pPr>
    </w:p>
    <w:bookmarkStart w:id="579" w:name="page580"/>
    <w:bookmarkEnd w:id="579"/>
    <w:p>
      <w:pPr>
        <w:ind w:right="60" w:firstLine="8"/>
        <w:spacing w:after="0" w:line="257" w:lineRule="auto"/>
        <w:tabs>
          <w:tab w:leader="none" w:pos="180" w:val="left"/>
        </w:tabs>
        <w:numPr>
          <w:ilvl w:val="0"/>
          <w:numId w:val="5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notices, requests and other communications called for by this Agreement will be deemed to have been given immediately if made by e-mail (confirmed by concurrent written notice sent first class mail, postage prepaid), if to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at the email address below and at the physical address above, with a copy to its Finance Director, and if to Participant at the e-mail address set forth below and physical address to be provided separately, or to such other addresses as either party may specify to the other in writing. Notice by any other means will be deemed made when actually received by the party to which notice is provided.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by their duly authorized representatives, have executed and delivered this Agreement as of the Effective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(Company name)</w:t>
            </w:r>
          </w:p>
        </w:tc>
        <w:tc>
          <w:tcPr>
            <w:tcW w:w="3420" w:type="dxa"/>
            <w:vAlign w:val="bottom"/>
          </w:tcPr>
          <w:p>
            <w:pPr>
              <w:spacing w:after="0"/>
              <w:rPr>
                <w:sz w:val="19"/>
                <w:szCs w:val="19"/>
                <w:color w:val="auto"/>
              </w:rPr>
            </w:pPr>
          </w:p>
        </w:tc>
        <w:tc>
          <w:tcPr>
            <w:tcW w:w="6380" w:type="dxa"/>
            <w:vAlign w:val="bottom"/>
            <w:gridSpan w:val="3"/>
          </w:tcPr>
          <w:p>
            <w:pPr>
              <w:ind w:left="1040"/>
              <w:spacing w:after="0"/>
              <w:rPr>
                <w:sz w:val="20"/>
                <w:szCs w:val="20"/>
                <w:color w:val="auto"/>
              </w:rPr>
            </w:pPr>
            <w:r>
              <w:rPr>
                <w:rFonts w:ascii="Arial" w:cs="Arial" w:eastAsia="Arial" w:hAnsi="Arial"/>
                <w:sz w:val="18"/>
                <w:szCs w:val="18"/>
                <w:color w:val="auto"/>
              </w:rPr>
              <w:t>Participant:</w:t>
            </w: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440" w:type="dxa"/>
            <w:vAlign w:val="bottom"/>
            <w:gridSpan w:val="2"/>
            <w:vMerge w:val="restart"/>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00" w:type="dxa"/>
            <w:vAlign w:val="bottom"/>
            <w:vMerge w:val="continue"/>
          </w:tcPr>
          <w:p>
            <w:pPr>
              <w:spacing w:after="0"/>
              <w:rPr>
                <w:sz w:val="24"/>
                <w:szCs w:val="24"/>
                <w:color w:val="auto"/>
              </w:rPr>
            </w:pPr>
          </w:p>
        </w:tc>
        <w:tc>
          <w:tcPr>
            <w:tcW w:w="4440" w:type="dxa"/>
            <w:vAlign w:val="bottom"/>
            <w:tcBorders>
              <w:bottom w:val="single" w:sz="8" w:color="auto"/>
            </w:tcBorders>
            <w:gridSpan w:val="2"/>
            <w:vMerge w:val="continue"/>
          </w:tcPr>
          <w:p>
            <w:pPr>
              <w:spacing w:after="0"/>
              <w:rPr>
                <w:sz w:val="24"/>
                <w:szCs w:val="24"/>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0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HKID#:</w:t>
            </w:r>
          </w:p>
        </w:tc>
        <w:tc>
          <w:tcPr>
            <w:tcW w:w="45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Email:</w:t>
            </w:r>
          </w:p>
        </w:tc>
        <w:tc>
          <w:tcPr>
            <w:tcW w:w="10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820" w:type="dxa"/>
            <w:vAlign w:val="bottom"/>
          </w:tcPr>
          <w:p>
            <w:pPr>
              <w:ind w:left="1020"/>
              <w:spacing w:after="0"/>
              <w:rPr>
                <w:sz w:val="20"/>
                <w:szCs w:val="20"/>
                <w:color w:val="auto"/>
              </w:rPr>
            </w:pPr>
            <w:r>
              <w:rPr>
                <w:rFonts w:ascii="Arial" w:cs="Arial" w:eastAsia="Arial" w:hAnsi="Arial"/>
                <w:sz w:val="18"/>
                <w:szCs w:val="18"/>
                <w:color w:val="auto"/>
              </w:rPr>
              <w:t>Email:</w:t>
            </w:r>
          </w:p>
        </w:tc>
        <w:tc>
          <w:tcPr>
            <w:tcW w:w="45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040" w:type="dxa"/>
            <w:vAlign w:val="bottom"/>
            <w:gridSpan w:val="3"/>
          </w:tcPr>
          <w:p>
            <w:pPr>
              <w:spacing w:after="0"/>
              <w:rPr>
                <w:sz w:val="20"/>
                <w:szCs w:val="20"/>
                <w:color w:val="auto"/>
              </w:rPr>
            </w:pPr>
            <w:r>
              <w:rPr>
                <w:rFonts w:ascii="Arial" w:cs="Arial" w:eastAsia="Arial" w:hAnsi="Arial"/>
                <w:sz w:val="18"/>
                <w:szCs w:val="18"/>
                <w:i w:val="1"/>
                <w:iCs w:val="1"/>
                <w:color w:val="auto"/>
              </w:rPr>
              <w:t>(Company name)</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i w:val="1"/>
                <w:iCs w:val="1"/>
                <w:color w:val="auto"/>
              </w:rPr>
              <w:t>(Address)</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80" w:name="page581"/>
    <w:bookmarkEnd w:id="58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3"/>
          </w:tcPr>
          <w:p>
            <w:pPr>
              <w:ind w:left="76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tcPr>
          <w:p>
            <w:pPr>
              <w:spacing w:after="0"/>
              <w:rPr>
                <w:sz w:val="14"/>
                <w:szCs w:val="14"/>
                <w:color w:val="auto"/>
              </w:rPr>
            </w:pPr>
          </w:p>
        </w:tc>
        <w:tc>
          <w:tcPr>
            <w:tcW w:w="320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3"/>
              </w:rPr>
              <w:t>Place of Incorporation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Optimix Media Asia Limited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iClick Interactive Asia Limited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Digital Marketing Group Limited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Tetris Media Limited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(Singapore) Pte. Ltd.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90"/>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Performance Media Group Limited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(Beijing) Advertisement Co., Ltd.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Tetris Media (Shanghai) Co., Ltd.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432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Diablo Holdings Corporation</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w w:val="94"/>
              </w:rPr>
              <w:t>British Virgin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Harmanttan Capital Holdings Corporation</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4320" w:type="dxa"/>
            <w:vAlign w:val="bottom"/>
            <w:gridSpan w:val="3"/>
          </w:tcPr>
          <w:p>
            <w:pPr>
              <w:jc w:val="center"/>
              <w:ind w:right="700"/>
              <w:spacing w:after="0"/>
              <w:rPr>
                <w:sz w:val="20"/>
                <w:szCs w:val="20"/>
                <w:color w:val="auto"/>
              </w:rPr>
            </w:pPr>
            <w:r>
              <w:rPr>
                <w:rFonts w:ascii="Arial" w:cs="Arial" w:eastAsia="Arial" w:hAnsi="Arial"/>
                <w:sz w:val="18"/>
                <w:szCs w:val="18"/>
                <w:color w:val="auto"/>
                <w:w w:val="94"/>
              </w:rPr>
              <w:t>British Virgin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Search (Asia) Limited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Search Asia Technology (Shenzhen) Co., Ltd.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432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Buzzinate Company Limited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Buzzinate (Shanghai) Information Technology Co., Ltd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432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Ltd.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89"/>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OptAim (HK) Limited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(Beijing) Information Technology Co., Ltd.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p>
        </w:tc>
        <w:tc>
          <w:tcPr>
            <w:tcW w:w="8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Beijing OptAim Network Technology Co., Ltd.</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r>
              <w:rPr>
                <w:rFonts w:ascii="Arial" w:cs="Arial" w:eastAsia="Arial" w:hAnsi="Arial"/>
                <w:sz w:val="15"/>
                <w:szCs w:val="15"/>
                <w:color w:val="auto"/>
                <w:w w:val="91"/>
              </w:rPr>
              <w:t>1</w:t>
            </w:r>
          </w:p>
        </w:tc>
        <w:tc>
          <w:tcPr>
            <w:tcW w:w="820" w:type="dxa"/>
            <w:vAlign w:val="bottom"/>
          </w:tcPr>
          <w:p>
            <w:pPr>
              <w:spacing w:after="0"/>
              <w:rPr>
                <w:sz w:val="18"/>
                <w:szCs w:val="18"/>
                <w:color w:val="auto"/>
              </w:rPr>
            </w:pPr>
          </w:p>
        </w:tc>
        <w:tc>
          <w:tcPr>
            <w:tcW w:w="432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Zhiyunzhong (Shanghai) Technology Co., Ltd.</w:t>
            </w:r>
          </w:p>
        </w:tc>
        <w:tc>
          <w:tcPr>
            <w:tcW w:w="1520" w:type="dxa"/>
            <w:vAlign w:val="bottom"/>
            <w:gridSpan w:val="2"/>
            <w:shd w:val="clear" w:color="auto" w:fill="CCEEFF"/>
          </w:tcPr>
          <w:p>
            <w:pPr>
              <w:jc w:val="center"/>
              <w:ind w:left="691"/>
              <w:spacing w:after="0"/>
              <w:rPr>
                <w:sz w:val="20"/>
                <w:szCs w:val="20"/>
                <w:color w:val="auto"/>
              </w:rPr>
            </w:pPr>
            <w:r>
              <w:rPr>
                <w:rFonts w:ascii="Arial" w:cs="Arial" w:eastAsia="Arial" w:hAnsi="Arial"/>
                <w:sz w:val="18"/>
                <w:szCs w:val="18"/>
                <w:color w:val="auto"/>
                <w:w w:val="91"/>
              </w:rPr>
              <w:t>100%</w:t>
            </w:r>
            <w:r>
              <w:rPr>
                <w:rFonts w:ascii="Arial" w:cs="Arial" w:eastAsia="Arial" w:hAnsi="Arial"/>
                <w:sz w:val="15"/>
                <w:szCs w:val="15"/>
                <w:color w:val="auto"/>
                <w:w w:val="91"/>
              </w:rPr>
              <w:t>2</w:t>
            </w:r>
          </w:p>
        </w:tc>
        <w:tc>
          <w:tcPr>
            <w:tcW w:w="8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w w:val="91"/>
              </w:rPr>
              <w:t>People’s Republic of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iClick Interactive Taiwan Limited Taiwan Branch</w:t>
            </w:r>
          </w:p>
        </w:tc>
        <w:tc>
          <w:tcPr>
            <w:tcW w:w="152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100%</w:t>
            </w:r>
            <w:r>
              <w:rPr>
                <w:rFonts w:ascii="Arial" w:cs="Arial" w:eastAsia="Arial" w:hAnsi="Arial"/>
                <w:sz w:val="15"/>
                <w:szCs w:val="15"/>
                <w:color w:val="auto"/>
                <w:w w:val="91"/>
              </w:rPr>
              <w:t>3</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color w:val="auto"/>
                <w:w w:val="89"/>
              </w:rPr>
              <w:t>Taiwan</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VIE.</w:t>
      </w:r>
    </w:p>
    <w:p>
      <w:pPr>
        <w:spacing w:after="0" w:line="23" w:lineRule="exact"/>
        <w:rPr>
          <w:sz w:val="20"/>
          <w:szCs w:val="20"/>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VIE’s subsidiary.</w:t>
      </w:r>
    </w:p>
    <w:p>
      <w:pPr>
        <w:spacing w:after="0" w:line="9" w:lineRule="exact"/>
        <w:rPr>
          <w:sz w:val="20"/>
          <w:szCs w:val="20"/>
          <w:color w:val="auto"/>
        </w:rPr>
      </w:pPr>
    </w:p>
    <w:p>
      <w:pPr>
        <w:ind w:left="460" w:hanging="452"/>
        <w:spacing w:after="0"/>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Subsidiary’s branch.</w:t>
      </w:r>
    </w:p>
    <w:p>
      <w:pPr>
        <w:sectPr>
          <w:pgSz w:w="11900" w:h="16838" w:orient="portrait"/>
          <w:cols w:equalWidth="0" w:num="1">
            <w:col w:w="11420"/>
          </w:cols>
          <w:pgMar w:left="240" w:top="121" w:right="239" w:bottom="1440" w:gutter="0" w:footer="0" w:header="0"/>
        </w:sectPr>
      </w:pPr>
    </w:p>
    <w:bookmarkStart w:id="581" w:name="page582"/>
    <w:bookmarkEnd w:id="58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171450</wp:posOffset>
            </wp:positionV>
            <wp:extent cx="2470150" cy="4718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34/F, Tower 3, China Central Place, 77 Jianguo Road, Beijing 100025, China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(86-10) 5809-1000 Facsimile: (86-10) 5809-1100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Certain PRC Law Matters of iClick Interactive Asia Group Limited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auto"/>
        </w:rPr>
        <w:t>We are qualified lawyers of the People’s Republic of China (the “</w:t>
      </w:r>
      <w:r>
        <w:rPr>
          <w:rFonts w:ascii="Arial" w:cs="Arial" w:eastAsia="Arial" w:hAnsi="Arial"/>
          <w:sz w:val="16"/>
          <w:szCs w:val="16"/>
          <w:b w:val="1"/>
          <w:bCs w:val="1"/>
          <w:color w:val="auto"/>
        </w:rPr>
        <w:t>PRC</w:t>
      </w:r>
      <w:r>
        <w:rPr>
          <w:rFonts w:ascii="Arial" w:cs="Arial" w:eastAsia="Arial" w:hAnsi="Arial"/>
          <w:sz w:val="16"/>
          <w:szCs w:val="16"/>
          <w:color w:val="auto"/>
        </w:rPr>
        <w:t>”, for purposes of this legal opinion, excluding the Hong Kong Special Administrative Region, Macau Special Administrative Region and Taiwan) and as such are qualified to issue this opinion on PRC Laws (as defined below).</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We act as legal counsel to the Company on PRC Laws (as defined below) in connection with (a) the proposed initial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of certain number of American depositary shares (the “</w:t>
      </w:r>
      <w:r>
        <w:rPr>
          <w:rFonts w:ascii="Arial" w:cs="Arial" w:eastAsia="Arial" w:hAnsi="Arial"/>
          <w:sz w:val="17"/>
          <w:szCs w:val="17"/>
          <w:b w:val="1"/>
          <w:bCs w:val="1"/>
          <w:color w:val="auto"/>
        </w:rPr>
        <w:t>ADSs</w:t>
      </w:r>
      <w:r>
        <w:rPr>
          <w:rFonts w:ascii="Arial" w:cs="Arial" w:eastAsia="Arial" w:hAnsi="Arial"/>
          <w:sz w:val="17"/>
          <w:szCs w:val="17"/>
          <w:color w:val="auto"/>
        </w:rPr>
        <w:t>”), each representing certain number of ordinary shares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 by the Company as set forth in the Company’s registration statement on Form F-1, including all amendments or supplements thereto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in relation to the Offering, and (b) the proposed listing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of the Company’s ADSs on the [New York Stock Exchange /NASDAQ Global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as used in this opinion are defined as follows.</w:t>
      </w:r>
    </w:p>
    <w:p>
      <w:pPr>
        <w:spacing w:after="0" w:line="22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M&amp;A Rules</w:t>
      </w:r>
      <w:r>
        <w:rPr>
          <w:rFonts w:ascii="Arial" w:cs="Arial" w:eastAsia="Arial" w:hAnsi="Arial"/>
          <w:sz w:val="16"/>
          <w:szCs w:val="16"/>
          <w:color w:val="auto"/>
        </w:rPr>
        <w:t>” means the Regulations on Mergers and Acquisitions of Domestic Enterprises by Foreign Investors, which was issued by six PRC regulatory agencies, namely, the Ministry of Commerce, the State-owned Assets Supervision and Administration Commission, the State Administration for Taxation, the State Administration for Industry and Commerce, the China Securities Regulatory Commission (the “</w:t>
      </w:r>
      <w:r>
        <w:rPr>
          <w:rFonts w:ascii="Arial" w:cs="Arial" w:eastAsia="Arial" w:hAnsi="Arial"/>
          <w:sz w:val="16"/>
          <w:szCs w:val="16"/>
          <w:b w:val="1"/>
          <w:bCs w:val="1"/>
          <w:color w:val="auto"/>
        </w:rPr>
        <w:t>CSRC</w:t>
      </w:r>
      <w:r>
        <w:rPr>
          <w:rFonts w:ascii="Arial" w:cs="Arial" w:eastAsia="Arial" w:hAnsi="Arial"/>
          <w:sz w:val="16"/>
          <w:szCs w:val="16"/>
          <w:color w:val="auto"/>
        </w:rPr>
        <w:t>”) and the State Administration for Foreign Exchange, on August 8, 2006 and became effective on September 8, 2006, as amended by the Ministry of Commerce on June 22, 2009.</w:t>
      </w:r>
    </w:p>
    <w:p>
      <w:pPr>
        <w:sectPr>
          <w:pgSz w:w="11900" w:h="16838" w:orient="portrait"/>
          <w:cols w:equalWidth="0" w:num="1">
            <w:col w:w="11420"/>
          </w:cols>
          <w:pgMar w:left="240" w:top="121" w:right="239" w:bottom="1440" w:gutter="0" w:footer="0" w:header="0"/>
        </w:sectPr>
      </w:pPr>
    </w:p>
    <w:bookmarkStart w:id="582" w:name="page583"/>
    <w:bookmarkEnd w:id="582"/>
    <w:p>
      <w:pPr>
        <w:ind w:right="4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PRC Laws</w:t>
      </w:r>
      <w:r>
        <w:rPr>
          <w:rFonts w:ascii="Arial" w:cs="Arial" w:eastAsia="Arial" w:hAnsi="Arial"/>
          <w:sz w:val="18"/>
          <w:szCs w:val="18"/>
          <w:color w:val="auto"/>
        </w:rPr>
        <w:t>” means all laws, regulations, statutes, rules, decrees, guidelines, notices, and supreme court’s judicial interpretations currently in force and publicly available in the PRC as of the date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 Subsidiary</w:t>
      </w:r>
      <w:r>
        <w:rPr>
          <w:rFonts w:ascii="Arial" w:cs="Arial" w:eastAsia="Arial" w:hAnsi="Arial"/>
          <w:sz w:val="18"/>
          <w:szCs w:val="18"/>
          <w:color w:val="auto"/>
        </w:rPr>
        <w:t>” means each of, and “</w:t>
      </w:r>
      <w:r>
        <w:rPr>
          <w:rFonts w:ascii="Arial" w:cs="Arial" w:eastAsia="Arial" w:hAnsi="Arial"/>
          <w:sz w:val="18"/>
          <w:szCs w:val="18"/>
          <w:b w:val="1"/>
          <w:bCs w:val="1"/>
          <w:color w:val="auto"/>
        </w:rPr>
        <w:t>PRC Subsidiaries</w:t>
      </w:r>
      <w:r>
        <w:rPr>
          <w:rFonts w:ascii="Arial" w:cs="Arial" w:eastAsia="Arial" w:hAnsi="Arial"/>
          <w:sz w:val="18"/>
          <w:szCs w:val="18"/>
          <w:color w:val="auto"/>
        </w:rPr>
        <w:t>” means all of, iClick Interactive (Beijing) Advertisement Co., Ltd.</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1483360" cy="102870"/>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483360" cy="102870"/>
                    </a:xfrm>
                    <a:prstGeom prst="rect">
                      <a:avLst/>
                    </a:prstGeom>
                    <a:noFill/>
                    <a:ln>
                      <a:noFill/>
                    </a:ln>
                  </pic:spPr>
                </pic:pic>
              </a:graphicData>
            </a:graphic>
          </wp:inline>
        </w:drawing>
      </w:r>
      <w:r>
        <w:rPr>
          <w:rFonts w:ascii="Arial" w:cs="Arial" w:eastAsia="Arial" w:hAnsi="Arial"/>
          <w:sz w:val="18"/>
          <w:szCs w:val="18"/>
          <w:color w:val="auto"/>
        </w:rPr>
        <w:t xml:space="preserve"> , Tetris Media (Shanghai) Co. Ltd. </w:t>
      </w:r>
      <w:r>
        <w:rPr>
          <w:sz w:val="1"/>
          <w:szCs w:val="1"/>
          <w:color w:val="auto"/>
        </w:rPr>
        <w:drawing>
          <wp:inline distT="0" distB="0" distL="0" distR="0">
            <wp:extent cx="1303655" cy="102870"/>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03655" cy="102870"/>
                    </a:xfrm>
                    <a:prstGeom prst="rect">
                      <a:avLst/>
                    </a:prstGeom>
                    <a:noFill/>
                    <a:ln>
                      <a:noFill/>
                    </a:ln>
                  </pic:spPr>
                </pic:pic>
              </a:graphicData>
            </a:graphic>
          </wp:inline>
        </w:drawing>
      </w:r>
      <w:r>
        <w:rPr>
          <w:rFonts w:ascii="Arial" w:cs="Arial" w:eastAsia="Arial" w:hAnsi="Arial"/>
          <w:sz w:val="18"/>
          <w:szCs w:val="18"/>
          <w:color w:val="auto"/>
        </w:rPr>
        <w:t xml:space="preserve"> , Search Asia Technology (SZ) Ltd.</w:t>
      </w:r>
    </w:p>
    <w:p>
      <w:pPr>
        <w:spacing w:after="0" w:line="9" w:lineRule="exact"/>
        <w:rPr>
          <w:sz w:val="20"/>
          <w:szCs w:val="20"/>
          <w:color w:val="auto"/>
        </w:rPr>
      </w:pPr>
    </w:p>
    <w:p>
      <w:pPr>
        <w:spacing w:after="0"/>
        <w:rPr>
          <w:sz w:val="20"/>
          <w:szCs w:val="20"/>
          <w:color w:val="auto"/>
        </w:rPr>
      </w:pPr>
      <w:r>
        <w:rPr>
          <w:sz w:val="1"/>
          <w:szCs w:val="1"/>
          <w:color w:val="auto"/>
        </w:rPr>
        <w:drawing>
          <wp:inline distT="0" distB="0" distL="0" distR="0">
            <wp:extent cx="1509395" cy="10287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509395" cy="102870"/>
                    </a:xfrm>
                    <a:prstGeom prst="rect">
                      <a:avLst/>
                    </a:prstGeom>
                    <a:noFill/>
                    <a:ln>
                      <a:noFill/>
                    </a:ln>
                  </pic:spPr>
                </pic:pic>
              </a:graphicData>
            </a:graphic>
          </wp:inline>
        </w:drawing>
      </w:r>
      <w:r>
        <w:rPr>
          <w:rFonts w:ascii="Arial" w:cs="Arial" w:eastAsia="Arial" w:hAnsi="Arial"/>
          <w:sz w:val="17"/>
          <w:szCs w:val="17"/>
          <w:color w:val="auto"/>
        </w:rPr>
        <w:t xml:space="preserve"> , Buzzinate (Shanghai) Information Technology Co., Ltd. </w:t>
      </w:r>
      <w:r>
        <w:rPr>
          <w:sz w:val="1"/>
          <w:szCs w:val="1"/>
          <w:color w:val="auto"/>
        </w:rPr>
        <w:drawing>
          <wp:inline distT="0" distB="0" distL="0" distR="0">
            <wp:extent cx="1431925" cy="102870"/>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431925" cy="102870"/>
                    </a:xfrm>
                    <a:prstGeom prst="rect">
                      <a:avLst/>
                    </a:prstGeom>
                    <a:noFill/>
                    <a:ln>
                      <a:noFill/>
                    </a:ln>
                  </pic:spPr>
                </pic:pic>
              </a:graphicData>
            </a:graphic>
          </wp:inline>
        </w:drawing>
      </w:r>
      <w:r>
        <w:rPr>
          <w:rFonts w:ascii="Arial" w:cs="Arial" w:eastAsia="Arial" w:hAnsi="Arial"/>
          <w:sz w:val="17"/>
          <w:szCs w:val="17"/>
          <w:color w:val="auto"/>
        </w:rPr>
        <w:t xml:space="preserve"> , OptAim (Beijing)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Technology Co., Ltd. </w:t>
      </w:r>
      <w:r>
        <w:rPr>
          <w:sz w:val="1"/>
          <w:szCs w:val="1"/>
          <w:color w:val="auto"/>
        </w:rPr>
        <w:drawing>
          <wp:inline distT="0" distB="0" distL="0" distR="0">
            <wp:extent cx="1612265" cy="102870"/>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612265" cy="102870"/>
                    </a:xfrm>
                    <a:prstGeom prst="rect">
                      <a:avLst/>
                    </a:prstGeom>
                    <a:noFill/>
                    <a:ln>
                      <a:noFill/>
                    </a:ln>
                  </pic:spPr>
                </pic:pic>
              </a:graphicData>
            </a:graphic>
          </wp:inline>
        </w:drawing>
      </w:r>
      <w:r>
        <w:rPr>
          <w:rFonts w:ascii="Arial" w:cs="Arial" w:eastAsia="Arial" w:hAnsi="Arial"/>
          <w:sz w:val="17"/>
          <w:szCs w:val="17"/>
          <w:color w:val="auto"/>
        </w:rPr>
        <w:t xml:space="preserve"> , Beijing OptAim Network Technology Co., Ltd. </w:t>
      </w:r>
      <w:r>
        <w:rPr>
          <w:sz w:val="1"/>
          <w:szCs w:val="1"/>
          <w:color w:val="auto"/>
        </w:rPr>
        <w:drawing>
          <wp:inline distT="0" distB="0" distL="0" distR="0">
            <wp:extent cx="1406525" cy="102870"/>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406525" cy="102870"/>
                    </a:xfrm>
                    <a:prstGeom prst="rect">
                      <a:avLst/>
                    </a:prstGeom>
                    <a:noFill/>
                    <a:ln>
                      <a:noFill/>
                    </a:ln>
                  </pic:spPr>
                </pic:pic>
              </a:graphicData>
            </a:graphic>
          </wp:inline>
        </w:drawing>
      </w:r>
      <w:r>
        <w:rPr>
          <w:rFonts w:ascii="Arial" w:cs="Arial" w:eastAsia="Arial" w:hAnsi="Arial"/>
          <w:sz w:val="17"/>
          <w:szCs w:val="17"/>
          <w:color w:val="auto"/>
        </w:rPr>
        <w:t xml:space="preserve"> , Zhiyunzhong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(Shanghai) Technology Co., Ltd. </w:t>
      </w:r>
      <w:r>
        <w:rPr>
          <w:sz w:val="1"/>
          <w:szCs w:val="1"/>
          <w:color w:val="auto"/>
        </w:rPr>
        <w:drawing>
          <wp:inline distT="0" distB="0" distL="0" distR="0">
            <wp:extent cx="1337945" cy="102870"/>
            <wp:effectExtent l="0" t="0" r="0"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37945"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purpose of giving this opinion, we have examined the originals or copies, certified or otherwise identified to our satisfaction of corporate records, agreements, documents and other instruments provided to us and such other documents or certificates issued or representations made by officials of government authorities and other public organizations and by officers and representatives of the Company as we have deemed necessary and appropriate as a basis for the opinions hereinafter set forth.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opinions expressed below, we have assumed:</w:t>
      </w:r>
    </w:p>
    <w:p>
      <w:pPr>
        <w:spacing w:after="0" w:line="131" w:lineRule="exact"/>
        <w:rPr>
          <w:sz w:val="20"/>
          <w:szCs w:val="20"/>
          <w:color w:val="auto"/>
        </w:rPr>
      </w:pPr>
    </w:p>
    <w:p>
      <w:pPr>
        <w:ind w:left="460" w:hanging="452"/>
        <w:spacing w:after="0"/>
        <w:tabs>
          <w:tab w:leader="none" w:pos="46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authenticity of the documents submitted to us as originals and the conformity to the originals of the documents submitted to us as copies;</w:t>
      </w:r>
    </w:p>
    <w:p>
      <w:pPr>
        <w:spacing w:after="0" w:line="142" w:lineRule="exact"/>
        <w:rPr>
          <w:rFonts w:ascii="Arial" w:cs="Arial" w:eastAsia="Arial" w:hAnsi="Arial"/>
          <w:sz w:val="17"/>
          <w:szCs w:val="17"/>
          <w:color w:val="auto"/>
        </w:rPr>
      </w:pPr>
    </w:p>
    <w:p>
      <w:pPr>
        <w:ind w:left="460" w:right="500" w:hanging="452"/>
        <w:spacing w:after="0" w:line="277" w:lineRule="auto"/>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truthfulness, accuracy and completeness of all corporate minutes and resolutions of or in connection with the PRC Subsidiaries as they were presented to us;</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that the documents and the corporate minutes and resolutions which have been presented to us remain in full force and effect up to the date of the legal opinion and have not been revoked, amended, varied or supplemented, except as noted therein;</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truthfulness, accuracy and completeness of all factual statements in the documents and all other factual information provided to us by each of the Company and the PRC Subsidiaries;</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truthfulness, accuracy and completeness of the statements made by the Company, the PRC Subsidiaries and relevant government officials in response to our inquiries during the process of our due diligence for the purpose of the Offering;</w:t>
      </w:r>
    </w:p>
    <w:p>
      <w:pPr>
        <w:sectPr>
          <w:pgSz w:w="11900" w:h="16838" w:orient="portrait"/>
          <w:cols w:equalWidth="0" w:num="1">
            <w:col w:w="11320"/>
          </w:cols>
          <w:pgMar w:left="240" w:top="270" w:right="339" w:bottom="1440" w:gutter="0" w:footer="0" w:header="0"/>
        </w:sectPr>
      </w:pPr>
    </w:p>
    <w:bookmarkStart w:id="583" w:name="page584"/>
    <w:bookmarkEnd w:id="583"/>
    <w:p>
      <w:pPr>
        <w:ind w:left="460" w:right="20" w:hanging="452"/>
        <w:spacing w:after="0" w:line="276" w:lineRule="auto"/>
        <w:tabs>
          <w:tab w:leader="none" w:pos="4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response to our due diligence inquiries, requests and investigation for the purpose of this opinion, all the relevant information and materials that have been provided to us by the Company are true, accurate, complete and not misleading, and that the Company has not withheld anything that, if disclosed to us, would reasonably cause us to alter this opinion in whole or in part. Where important facts were not independently established to us, we have relied upon certificates issued by governmental authorities and appropriate representatives of the Company and/or other relevant entities and/or upon representations made by such persons in the course of our inquiry and consultation;</w:t>
      </w:r>
    </w:p>
    <w:p>
      <w:pPr>
        <w:spacing w:after="0" w:line="77" w:lineRule="exact"/>
        <w:rPr>
          <w:rFonts w:ascii="Arial" w:cs="Arial" w:eastAsia="Arial" w:hAnsi="Arial"/>
          <w:sz w:val="17"/>
          <w:szCs w:val="17"/>
          <w:color w:val="auto"/>
        </w:rPr>
      </w:pPr>
    </w:p>
    <w:p>
      <w:pPr>
        <w:ind w:left="460" w:right="260" w:hanging="452"/>
        <w:spacing w:after="0" w:line="342" w:lineRule="auto"/>
        <w:tabs>
          <w:tab w:leader="none" w:pos="46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that all parties other than the PRC Subsidiaries thereto have the requisite power and authority to enter into, and have duly executed, delivered and/or issued those documents to which they are parties, and have the requisite power and authority to perform their obligations thereunder; and</w:t>
      </w:r>
    </w:p>
    <w:p>
      <w:pPr>
        <w:spacing w:after="0" w:line="29"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with respect to all parties, the due compliance with, and the legality, validity, effectiveness and enforceability under, all laws other than the laws of the PRC.</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purport to be experts on and do not purport to be generally familiar with or qualified to express legal opinions on any laws other than the laws of the PRC and accordingly express no legal opinion herein on any laws of any jurisdiction other than the PRC.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and subject to the qualifications set out below, we are of the opinion that, as of the date hereof, so far as PRC Laws are concerned:</w:t>
      </w:r>
    </w:p>
    <w:p>
      <w:pPr>
        <w:spacing w:after="0" w:line="154" w:lineRule="exact"/>
        <w:rPr>
          <w:sz w:val="20"/>
          <w:szCs w:val="20"/>
          <w:color w:val="auto"/>
        </w:rPr>
      </w:pPr>
    </w:p>
    <w:p>
      <w:pPr>
        <w:ind w:left="460" w:right="80" w:hanging="452"/>
        <w:spacing w:after="0" w:line="277" w:lineRule="auto"/>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Each PRC Subsidiary is a limited liability company under PRC Laws, duly incorporated and validly existing under the PRC Laws and has the status of an independent legal person in the PRC.</w:t>
      </w:r>
    </w:p>
    <w:p>
      <w:pPr>
        <w:spacing w:after="0" w:line="75" w:lineRule="exact"/>
        <w:rPr>
          <w:rFonts w:ascii="Arial" w:cs="Arial" w:eastAsia="Arial" w:hAnsi="Arial"/>
          <w:sz w:val="18"/>
          <w:szCs w:val="18"/>
          <w:color w:val="auto"/>
        </w:rPr>
      </w:pPr>
    </w:p>
    <w:p>
      <w:pPr>
        <w:ind w:left="460" w:hanging="452"/>
        <w:spacing w:after="0" w:line="285" w:lineRule="auto"/>
        <w:tabs>
          <w:tab w:leader="none" w:pos="46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The M&amp;A Rules purports to require that an offshore special purpose vehicle controlled directly or indirectly by PRC domestic companies or individuals and formed for purposes of overseas listing through acquisition of PRC domestic interests obtain the approval of the CSRC prior to the listing and trading of such special purpose vehicle’s securities on an overseas stock exchange. The CSRC has not issued any definitive rules or interpretations concerning whether offerings such as the Offering are subject to the CSRC approval procedures under the M&amp;A Rules. Based on our understanding of the PRC Laws, the Company is not required to obtain approval from the CSRC for listing and trading of the ADSs because (i) the wholly owned</w:t>
      </w:r>
    </w:p>
    <w:p>
      <w:pPr>
        <w:spacing w:after="0" w:line="2" w:lineRule="exact"/>
        <w:rPr>
          <w:rFonts w:ascii="Arial" w:cs="Arial" w:eastAsia="Arial" w:hAnsi="Arial"/>
          <w:sz w:val="16"/>
          <w:szCs w:val="16"/>
          <w:color w:val="auto"/>
        </w:rPr>
      </w:pPr>
    </w:p>
    <w:p>
      <w:pPr>
        <w:jc w:val="both"/>
        <w:ind w:left="460" w:right="100"/>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foreign invested PRC subsidiaries Interactive (Beijing) Advertisement Co., Ltd. </w:t>
      </w:r>
      <w:r>
        <w:rPr>
          <w:rFonts w:ascii="Arial" w:cs="Arial" w:eastAsia="Arial" w:hAnsi="Arial"/>
          <w:sz w:val="1"/>
          <w:szCs w:val="1"/>
          <w:color w:val="auto"/>
        </w:rPr>
        <w:drawing>
          <wp:inline distT="0" distB="0" distL="0" distR="0">
            <wp:extent cx="1612265" cy="102870"/>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612265" cy="102870"/>
                    </a:xfrm>
                    <a:prstGeom prst="rect">
                      <a:avLst/>
                    </a:prstGeom>
                    <a:noFill/>
                    <a:ln>
                      <a:noFill/>
                    </a:ln>
                  </pic:spPr>
                </pic:pic>
              </a:graphicData>
            </a:graphic>
          </wp:inline>
        </w:drawing>
      </w:r>
      <w:r>
        <w:rPr>
          <w:rFonts w:ascii="Arial" w:cs="Arial" w:eastAsia="Arial" w:hAnsi="Arial"/>
          <w:sz w:val="16"/>
          <w:szCs w:val="16"/>
          <w:color w:val="auto"/>
        </w:rPr>
        <w:t xml:space="preserve"> , Tetris Media (Shanghai) Co. Ltd. </w:t>
      </w:r>
      <w:r>
        <w:rPr>
          <w:rFonts w:ascii="Arial" w:cs="Arial" w:eastAsia="Arial" w:hAnsi="Arial"/>
          <w:sz w:val="1"/>
          <w:szCs w:val="1"/>
          <w:color w:val="auto"/>
        </w:rPr>
        <w:drawing>
          <wp:inline distT="0" distB="0" distL="0" distR="0">
            <wp:extent cx="1226185" cy="102870"/>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26185" cy="102870"/>
                    </a:xfrm>
                    <a:prstGeom prst="rect">
                      <a:avLst/>
                    </a:prstGeom>
                    <a:noFill/>
                    <a:ln>
                      <a:noFill/>
                    </a:ln>
                  </pic:spPr>
                </pic:pic>
              </a:graphicData>
            </a:graphic>
          </wp:inline>
        </w:drawing>
      </w:r>
      <w:r>
        <w:rPr>
          <w:rFonts w:ascii="Arial" w:cs="Arial" w:eastAsia="Arial" w:hAnsi="Arial"/>
          <w:sz w:val="16"/>
          <w:szCs w:val="16"/>
          <w:color w:val="auto"/>
        </w:rPr>
        <w:t xml:space="preserve"> , Search Asia Technology (SZ) Ltd. </w:t>
      </w:r>
      <w:r>
        <w:rPr>
          <w:rFonts w:ascii="Arial" w:cs="Arial" w:eastAsia="Arial" w:hAnsi="Arial"/>
          <w:sz w:val="1"/>
          <w:szCs w:val="1"/>
          <w:color w:val="auto"/>
        </w:rPr>
        <w:drawing>
          <wp:inline distT="0" distB="0" distL="0" distR="0">
            <wp:extent cx="1509395" cy="102870"/>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509395" cy="102870"/>
                    </a:xfrm>
                    <a:prstGeom prst="rect">
                      <a:avLst/>
                    </a:prstGeom>
                    <a:noFill/>
                    <a:ln>
                      <a:noFill/>
                    </a:ln>
                  </pic:spPr>
                </pic:pic>
              </a:graphicData>
            </a:graphic>
          </wp:inline>
        </w:drawing>
      </w:r>
      <w:r>
        <w:rPr>
          <w:rFonts w:ascii="Arial" w:cs="Arial" w:eastAsia="Arial" w:hAnsi="Arial"/>
          <w:sz w:val="16"/>
          <w:szCs w:val="16"/>
          <w:color w:val="auto"/>
        </w:rPr>
        <w:t xml:space="preserve"> , Buzzinate (Shanghai) Information Technology Co.,</w:t>
      </w:r>
    </w:p>
    <w:p>
      <w:pPr>
        <w:ind w:left="460" w:right="80"/>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Ltd. </w:t>
      </w:r>
      <w:r>
        <w:rPr>
          <w:rFonts w:ascii="Arial" w:cs="Arial" w:eastAsia="Arial" w:hAnsi="Arial"/>
          <w:sz w:val="1"/>
          <w:szCs w:val="1"/>
          <w:color w:val="auto"/>
        </w:rPr>
        <w:drawing>
          <wp:inline distT="0" distB="0" distL="0" distR="0">
            <wp:extent cx="1431925" cy="102870"/>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431925" cy="102870"/>
                    </a:xfrm>
                    <a:prstGeom prst="rect">
                      <a:avLst/>
                    </a:prstGeom>
                    <a:noFill/>
                    <a:ln>
                      <a:noFill/>
                    </a:ln>
                  </pic:spPr>
                </pic:pic>
              </a:graphicData>
            </a:graphic>
          </wp:inline>
        </w:drawing>
      </w:r>
      <w:r>
        <w:rPr>
          <w:rFonts w:ascii="Arial" w:cs="Arial" w:eastAsia="Arial" w:hAnsi="Arial"/>
          <w:sz w:val="17"/>
          <w:szCs w:val="17"/>
          <w:color w:val="auto"/>
        </w:rPr>
        <w:t xml:space="preserve"> and OptAim (Beijing) Information Technology Co., Ltd. </w:t>
      </w:r>
      <w:r>
        <w:rPr>
          <w:rFonts w:ascii="Arial" w:cs="Arial" w:eastAsia="Arial" w:hAnsi="Arial"/>
          <w:sz w:val="1"/>
          <w:szCs w:val="1"/>
          <w:color w:val="auto"/>
        </w:rPr>
        <w:drawing>
          <wp:inline distT="0" distB="0" distL="0" distR="0">
            <wp:extent cx="1534795" cy="10287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534795" cy="102870"/>
                    </a:xfrm>
                    <a:prstGeom prst="rect">
                      <a:avLst/>
                    </a:prstGeom>
                    <a:noFill/>
                    <a:ln>
                      <a:noFill/>
                    </a:ln>
                  </pic:spPr>
                </pic:pic>
              </a:graphicData>
            </a:graphic>
          </wp:inline>
        </w:drawing>
      </w:r>
      <w:r>
        <w:rPr>
          <w:rFonts w:ascii="Arial" w:cs="Arial" w:eastAsia="Arial" w:hAnsi="Arial"/>
          <w:sz w:val="17"/>
          <w:szCs w:val="17"/>
          <w:color w:val="auto"/>
        </w:rPr>
        <w:t xml:space="preserve"> were incorporated as wholly foreign-owned enterprises by means of direct investment rather than by merger or acquisition of equity interest or assets of a PRC domestic company owned by PRC companies or individuals as defined under the M&amp;A Rules that are the beneficial owners of the Company, and (ii) no provision in the M&amp;A Rules clearly classifies contractual arrangements as a type of transaction subject to the M&amp;A Rules. However, uncertainties still exist as to how the M&amp;A Rules will be interpreted and implemented and our opinion stated above is subject to any new laws, rules and regulations or detailed implementations and interpretations in any form relating to the M&amp;A Rules.</w:t>
      </w:r>
    </w:p>
    <w:p>
      <w:pPr>
        <w:sectPr>
          <w:pgSz w:w="11900" w:h="16838" w:orient="portrait"/>
          <w:cols w:equalWidth="0" w:num="1">
            <w:col w:w="11400"/>
          </w:cols>
          <w:pgMar w:left="240" w:top="274" w:right="259" w:bottom="1440" w:gutter="0" w:footer="0" w:header="0"/>
        </w:sectPr>
      </w:pPr>
    </w:p>
    <w:bookmarkStart w:id="584" w:name="page585"/>
    <w:bookmarkEnd w:id="584"/>
    <w:p>
      <w:pPr>
        <w:ind w:left="452" w:right="40" w:hanging="452"/>
        <w:spacing w:after="0" w:line="272" w:lineRule="auto"/>
        <w:tabs>
          <w:tab w:leader="none" w:pos="452" w:val="left"/>
        </w:tabs>
        <w:numPr>
          <w:ilvl w:val="0"/>
          <w:numId w:val="5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VIE structure - The ownership structures of Beijing OptAim Network Technology Co., Ltd. and Zhiyunzhong (Shanghai) Technology Co., Ltd., both currently and immediately after giving effect to this Offering, does not and will not result in any violation of PRC Laws. Each of the contractual arrangements among OptAim (Beijing) Information Technology Co., Ltd., Beijing OptAim Network Technology Co., Ltd., Zhiyunzhong (Shanghai) Technology Co., Ltd. and the shareholders of Beijing OptAim Network Technology Co., Ltd., both currently and immediately after giving effect to this Offering, is valid, binding and enforceable and will not result in any violation of PRC Laws. The statements set forth in the Prospectus under the captions “Risk Factors — Risks Related to Our Corporate Structure” are fair and accurate summaries of the matters described therein, and nothing has been omitted from such summaries that would make the same misleading in any material respect.</w:t>
      </w:r>
    </w:p>
    <w:p>
      <w:pPr>
        <w:spacing w:after="0" w:line="83" w:lineRule="exact"/>
        <w:rPr>
          <w:rFonts w:ascii="Arial" w:cs="Arial" w:eastAsia="Arial" w:hAnsi="Arial"/>
          <w:sz w:val="17"/>
          <w:szCs w:val="17"/>
          <w:color w:val="auto"/>
        </w:rPr>
      </w:pPr>
    </w:p>
    <w:p>
      <w:pPr>
        <w:ind w:left="452" w:right="320" w:hanging="452"/>
        <w:spacing w:after="0" w:line="257" w:lineRule="auto"/>
        <w:tabs>
          <w:tab w:leader="none" w:pos="45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Enforcement of civil liabilities - we have advised the Company that there is uncertainty as to whether the courts of the PRC would: (i) recognize or enforce judgments of United States courts obtained against the Company or directors or officers of the Company predicated upon the civil liability provisions of the securities laws of the United States or any state in the United States; or (ii) entertain original actions brought in each respective jurisdiction against the Company or directors or officers of the Company predicated upon the securities laws of the United States or any state in the United States.</w:t>
      </w:r>
    </w:p>
    <w:p>
      <w:pPr>
        <w:spacing w:after="0" w:line="80" w:lineRule="exact"/>
        <w:rPr>
          <w:rFonts w:ascii="Arial" w:cs="Arial" w:eastAsia="Arial" w:hAnsi="Arial"/>
          <w:sz w:val="18"/>
          <w:szCs w:val="18"/>
          <w:color w:val="auto"/>
        </w:rPr>
      </w:pPr>
    </w:p>
    <w:p>
      <w:pPr>
        <w:ind w:left="452"/>
        <w:spacing w:after="0" w:line="285" w:lineRule="auto"/>
        <w:rPr>
          <w:rFonts w:ascii="Arial" w:cs="Arial" w:eastAsia="Arial" w:hAnsi="Arial"/>
          <w:sz w:val="18"/>
          <w:szCs w:val="18"/>
          <w:color w:val="auto"/>
        </w:rPr>
      </w:pPr>
      <w:r>
        <w:rPr>
          <w:rFonts w:ascii="Arial" w:cs="Arial" w:eastAsia="Arial" w:hAnsi="Arial"/>
          <w:sz w:val="16"/>
          <w:szCs w:val="16"/>
          <w:color w:val="auto"/>
        </w:rPr>
        <w:t>We have further advised the Company that the recognition and enforcement of foreign judgments are provided for under the PRC Civil Procedures Law. PRC courts may recognize and enforce foreign judgments in accordance with the requirements of the PRC Civil Procedures Law based either on treaties between the PRC and the country where the judgment is made or on principles of reciprocity between jurisdictions. The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the Company or the directors and officers of the Company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the PRC for disputes relating to contracts or other property interests, the PRC court may accept a course of action based on the laws or the parties’ express mutual agreement in contracts choosing PRC courts for dispute resolution if (a) the contract is signed and/or performed within the PRC, (b) the subject of the action is located within the PRC, (c) the company (as defendant) has seizable properties within the PRC, (d) the company has a representative organization within the PRC, or (e) other circumstances prescribed under the PRC law. The action may be initiated by a shareholder through filing a complaint with the PRC court.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ectPr>
          <w:pgSz w:w="11900" w:h="16838" w:orient="portrait"/>
          <w:cols w:equalWidth="0" w:num="1">
            <w:col w:w="11372"/>
          </w:cols>
          <w:pgMar w:left="248" w:top="273" w:right="279" w:bottom="1440" w:gutter="0" w:footer="0" w:header="0"/>
        </w:sectPr>
      </w:pPr>
    </w:p>
    <w:bookmarkStart w:id="585" w:name="page586"/>
    <w:bookmarkEnd w:id="585"/>
    <w:p>
      <w:pPr>
        <w:ind w:left="460" w:hanging="452"/>
        <w:spacing w:after="0" w:line="291" w:lineRule="auto"/>
        <w:tabs>
          <w:tab w:leader="none" w:pos="460" w:val="left"/>
        </w:tabs>
        <w:numPr>
          <w:ilvl w:val="0"/>
          <w:numId w:val="5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in the Prospectus. The statements in the Prospectus under the headings “Prospectus Summary”, “Risk Factors”, “Corporate History and Structure”, “Management’s Discussion and Analysis of Financial Condition and Results of Operations”, “Enforceability of Civil Liabilities”, “Dividend Policy”, “Business”, “Management”, “Related Party Transactions”, “Regulation”, “Taxation” and “Legal Matters” (other than the financial statements and related schedules and other financial data contained therein to which we express no opinion), to the extent such statements relate to matters of the PRC Laws or documents, agreements or proceedings governed by the PRC Laws, are true and accurate in all material respects, and fairly present and fairly summarize in all material respects the PRC Laws, documents, agreements or proceedings referred to therein, and nothing has been omitted from such statements which would make the statements, in light of the circumstance under which they were made, misleading in any material respect.</w:t>
      </w:r>
    </w:p>
    <w:p>
      <w:pPr>
        <w:spacing w:after="0" w:line="72" w:lineRule="exact"/>
        <w:rPr>
          <w:rFonts w:ascii="Arial" w:cs="Arial" w:eastAsia="Arial" w:hAnsi="Arial"/>
          <w:sz w:val="16"/>
          <w:szCs w:val="16"/>
          <w:color w:val="auto"/>
        </w:rPr>
      </w:pPr>
    </w:p>
    <w:p>
      <w:pPr>
        <w:ind w:left="460" w:right="260" w:hanging="452"/>
        <w:spacing w:after="0" w:line="264" w:lineRule="auto"/>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statements made in the Registration Statement under the caption “Taxation—People’s Republic of China Taxation,” with respect to the PRC tax laws and regulations or interpretations, constitute true and accurate descriptions of the matters described therein in all material aspects and such statements represent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opinion is further subject to the following qualifications:</w:t>
      </w:r>
    </w:p>
    <w:p>
      <w:pPr>
        <w:spacing w:after="0" w:line="131" w:lineRule="exact"/>
        <w:rPr>
          <w:sz w:val="20"/>
          <w:szCs w:val="20"/>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we express no opinion as to any Laws other than the PRC Laws in force on the date of this opinion;</w:t>
      </w:r>
    </w:p>
    <w:p>
      <w:pPr>
        <w:sectPr>
          <w:pgSz w:w="11900" w:h="16838" w:orient="portrait"/>
          <w:cols w:equalWidth="0" w:num="1">
            <w:col w:w="11400"/>
          </w:cols>
          <w:pgMar w:left="240" w:top="274" w:right="259" w:bottom="1440" w:gutter="0" w:footer="0" w:header="0"/>
        </w:sectPr>
      </w:pPr>
    </w:p>
    <w:bookmarkStart w:id="586" w:name="page587"/>
    <w:bookmarkEnd w:id="586"/>
    <w:p>
      <w:pPr>
        <w:ind w:left="460" w:right="380" w:hanging="452"/>
        <w:spacing w:after="0" w:line="342" w:lineRule="auto"/>
        <w:tabs>
          <w:tab w:leader="none" w:pos="460" w:val="left"/>
        </w:tabs>
        <w:numPr>
          <w:ilvl w:val="0"/>
          <w:numId w:val="5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PRC Laws referred to herein are Laws currently in force and there is no guarantee that any of such Laws, or the interpretation thereof or enforcement therefore, will not be changed, amended or replaced in the immediate future or in the longer term with or without retrospective effect;</w:t>
      </w:r>
    </w:p>
    <w:p>
      <w:pPr>
        <w:spacing w:after="0" w:line="2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this opinion is intended to be used in the context which is specifically referred to herein and each section should be looked on as a whole regarding the same subject matter; and</w:t>
      </w:r>
    </w:p>
    <w:p>
      <w:pPr>
        <w:spacing w:after="0" w:line="75"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this opinion is subject to the effects of (i) certain legal or statutory principles affecting the validity and enforceability of contractual rights generally under the concepts of public interest, social ethics, national security, good faith, fair dealing, and applicable statutes of limitation; (ii) any circumstance in connection with formulation, execution or performance of any legal documents that would be deemed materially mistaken, clearly unconscionable, fraudulent, coercionary or concealing illegal intentions with a lawful form; (iii) judicial discretion with respect to the availability of indemnifications, remedies or defenses, the calculation of damages, the entitlement to attorney’s fees and other costs, and the waiver of immunity from jurisdiction of any court or from legal process; and (iv) the discretion of any competent PRC legislative, administrative or judicial bodies in exercising their authority in the PRC.</w:t>
      </w:r>
    </w:p>
    <w:p>
      <w:pPr>
        <w:spacing w:after="0" w:line="189"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This opinion is delivered in our capacity as the Company’s PRC legal counsel solely for the purpose of the Registration Statement and may not be used for any other purpose without our prior written consent. We hereby consent to the use of this opinion in, and the filing hereof as an exhibit to, the Registration Statement, and to the reference to our name in such Registration Statement. We do not thereby admit that we fall within the category of the persons whose consent is required under Section 7 of the U.S. Securities Act of 1933, as amended, or the regulations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Jingtian &amp; Gongcheng</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EF6B80"/>
    <w:multiLevelType w:val="hybridMultilevel"/>
    <w:lvl w:ilvl="0">
      <w:lvlJc w:val="left"/>
      <w:lvlText w:val="(%1)"/>
      <w:numFmt w:val="decimal"/>
      <w:start w:val="2"/>
    </w:lvl>
  </w:abstractNum>
  <w:abstractNum w:abstractNumId="1">
    <w:nsid w:val="12FCDE5E"/>
    <w:multiLevelType w:val="hybridMultilevel"/>
    <w:lvl w:ilvl="0">
      <w:lvlJc w:val="left"/>
      <w:lvlText w:val="•"/>
      <w:numFmt w:val="bullet"/>
      <w:start w:val="1"/>
    </w:lvl>
  </w:abstractNum>
  <w:abstractNum w:abstractNumId="2">
    <w:nsid w:val="4A1D606E"/>
    <w:multiLevelType w:val="hybridMultilevel"/>
    <w:lvl w:ilvl="0">
      <w:lvlJc w:val="left"/>
      <w:lvlText w:val="•"/>
      <w:numFmt w:val="bullet"/>
      <w:start w:val="1"/>
    </w:lvl>
  </w:abstractNum>
  <w:abstractNum w:abstractNumId="3">
    <w:nsid w:val="4382503"/>
    <w:multiLevelType w:val="hybridMultilevel"/>
    <w:lvl w:ilvl="0">
      <w:lvlJc w:val="left"/>
      <w:lvlText w:val="•"/>
      <w:numFmt w:val="bullet"/>
      <w:start w:val="1"/>
    </w:lvl>
  </w:abstractNum>
  <w:abstractNum w:abstractNumId="4">
    <w:nsid w:val="59B76E28"/>
    <w:multiLevelType w:val="hybridMultilevel"/>
    <w:lvl w:ilvl="0">
      <w:lvlJc w:val="left"/>
      <w:lvlText w:val="•"/>
      <w:numFmt w:val="bullet"/>
      <w:start w:val="1"/>
    </w:lvl>
  </w:abstractNum>
  <w:abstractNum w:abstractNumId="5">
    <w:nsid w:val="4252C2DA"/>
    <w:multiLevelType w:val="hybridMultilevel"/>
    <w:lvl w:ilvl="0">
      <w:lvlJc w:val="left"/>
      <w:lvlText w:val="•"/>
      <w:numFmt w:val="bullet"/>
      <w:start w:val="1"/>
    </w:lvl>
  </w:abstractNum>
  <w:abstractNum w:abstractNumId="6">
    <w:nsid w:val="6A92EF4C"/>
    <w:multiLevelType w:val="hybridMultilevel"/>
    <w:lvl w:ilvl="0">
      <w:lvlJc w:val="left"/>
      <w:lvlText w:val="(%1)"/>
      <w:numFmt w:val="decimal"/>
      <w:start w:val="1"/>
    </w:lvl>
  </w:abstractNum>
  <w:abstractNum w:abstractNumId="7">
    <w:nsid w:val="41ED20D7"/>
    <w:multiLevelType w:val="hybridMultilevel"/>
    <w:lvl w:ilvl="0">
      <w:lvlJc w:val="left"/>
      <w:lvlText w:val="•"/>
      <w:numFmt w:val="bullet"/>
      <w:start w:val="1"/>
    </w:lvl>
  </w:abstractNum>
  <w:abstractNum w:abstractNumId="8">
    <w:nsid w:val="E6B3F6A"/>
    <w:multiLevelType w:val="hybridMultilevel"/>
    <w:lvl w:ilvl="0">
      <w:lvlJc w:val="left"/>
      <w:lvlText w:val="•"/>
      <w:numFmt w:val="bullet"/>
      <w:start w:val="1"/>
    </w:lvl>
  </w:abstractNum>
  <w:abstractNum w:abstractNumId="9">
    <w:nsid w:val="3EB21819"/>
    <w:multiLevelType w:val="hybridMultilevel"/>
    <w:lvl w:ilvl="0">
      <w:lvlJc w:val="left"/>
      <w:lvlText w:val="•"/>
      <w:numFmt w:val="bullet"/>
      <w:start w:val="1"/>
    </w:lvl>
  </w:abstractNum>
  <w:abstractNum w:abstractNumId="10">
    <w:nsid w:val="41531DED"/>
    <w:multiLevelType w:val="hybridMultilevel"/>
    <w:lvl w:ilvl="0">
      <w:lvlJc w:val="left"/>
      <w:lvlText w:val="•"/>
      <w:numFmt w:val="bullet"/>
      <w:start w:val="1"/>
    </w:lvl>
  </w:abstractNum>
  <w:abstractNum w:abstractNumId="11">
    <w:nsid w:val="6353CD2"/>
    <w:multiLevelType w:val="hybridMultilevel"/>
    <w:lvl w:ilvl="0">
      <w:lvlJc w:val="left"/>
      <w:lvlText w:val="•"/>
      <w:numFmt w:val="bullet"/>
      <w:start w:val="1"/>
    </w:lvl>
  </w:abstractNum>
  <w:abstractNum w:abstractNumId="12">
    <w:nsid w:val="683CAAD3"/>
    <w:multiLevelType w:val="hybridMultilevel"/>
    <w:lvl w:ilvl="0">
      <w:lvlJc w:val="left"/>
      <w:lvlText w:val="•"/>
      <w:numFmt w:val="bullet"/>
      <w:start w:val="1"/>
    </w:lvl>
  </w:abstractNum>
  <w:abstractNum w:abstractNumId="13">
    <w:nsid w:val="313C7C99"/>
    <w:multiLevelType w:val="hybridMultilevel"/>
    <w:lvl w:ilvl="0">
      <w:lvlJc w:val="left"/>
      <w:lvlText w:val="•"/>
      <w:numFmt w:val="bullet"/>
      <w:start w:val="1"/>
    </w:lvl>
  </w:abstractNum>
  <w:abstractNum w:abstractNumId="14">
    <w:nsid w:val="519EB94C"/>
    <w:multiLevelType w:val="hybridMultilevel"/>
    <w:lvl w:ilvl="0">
      <w:lvlJc w:val="left"/>
      <w:lvlText w:val="•"/>
      <w:numFmt w:val="bullet"/>
      <w:start w:val="1"/>
    </w:lvl>
  </w:abstractNum>
  <w:abstractNum w:abstractNumId="15">
    <w:nsid w:val="39DF2579"/>
    <w:multiLevelType w:val="hybridMultilevel"/>
    <w:lvl w:ilvl="0">
      <w:lvlJc w:val="left"/>
      <w:lvlText w:val="•"/>
      <w:numFmt w:val="bullet"/>
      <w:start w:val="1"/>
    </w:lvl>
  </w:abstractNum>
  <w:abstractNum w:abstractNumId="16">
    <w:nsid w:val="126E008B"/>
    <w:multiLevelType w:val="hybridMultilevel"/>
    <w:lvl w:ilvl="0">
      <w:lvlJc w:val="left"/>
      <w:lvlText w:val="•"/>
      <w:numFmt w:val="bullet"/>
      <w:start w:val="1"/>
    </w:lvl>
  </w:abstractNum>
  <w:abstractNum w:abstractNumId="17">
    <w:nsid w:val="34DFBC00"/>
    <w:multiLevelType w:val="hybridMultilevel"/>
    <w:lvl w:ilvl="0">
      <w:lvlJc w:val="left"/>
      <w:lvlText w:val="•"/>
      <w:numFmt w:val="bullet"/>
      <w:start w:val="1"/>
    </w:lvl>
  </w:abstractNum>
  <w:abstractNum w:abstractNumId="18">
    <w:nsid w:val="1F9EC322"/>
    <w:multiLevelType w:val="hybridMultilevel"/>
    <w:lvl w:ilvl="0">
      <w:lvlJc w:val="left"/>
      <w:lvlText w:val="•"/>
      <w:numFmt w:val="bullet"/>
      <w:start w:val="1"/>
    </w:lvl>
  </w:abstractNum>
  <w:abstractNum w:abstractNumId="19">
    <w:nsid w:val="3410ED56"/>
    <w:multiLevelType w:val="hybridMultilevel"/>
    <w:lvl w:ilvl="0">
      <w:lvlJc w:val="left"/>
      <w:lvlText w:val="•"/>
      <w:numFmt w:val="bullet"/>
      <w:start w:val="1"/>
    </w:lvl>
  </w:abstractNum>
  <w:abstractNum w:abstractNumId="20">
    <w:nsid w:val="23C049A"/>
    <w:multiLevelType w:val="hybridMultilevel"/>
    <w:lvl w:ilvl="0">
      <w:lvlJc w:val="left"/>
      <w:lvlText w:val="•"/>
      <w:numFmt w:val="bullet"/>
      <w:start w:val="1"/>
    </w:lvl>
  </w:abstractNum>
  <w:abstractNum w:abstractNumId="21">
    <w:nsid w:val="5BDA35D4"/>
    <w:multiLevelType w:val="hybridMultilevel"/>
    <w:lvl w:ilvl="0">
      <w:lvlJc w:val="left"/>
      <w:lvlText w:val="•"/>
      <w:numFmt w:val="bullet"/>
      <w:start w:val="1"/>
    </w:lvl>
  </w:abstractNum>
  <w:abstractNum w:abstractNumId="22">
    <w:nsid w:val="496FB218"/>
    <w:multiLevelType w:val="hybridMultilevel"/>
    <w:lvl w:ilvl="0">
      <w:lvlJc w:val="left"/>
      <w:lvlText w:val="•"/>
      <w:numFmt w:val="bullet"/>
      <w:start w:val="1"/>
    </w:lvl>
  </w:abstractNum>
  <w:abstractNum w:abstractNumId="23">
    <w:nsid w:val="680EA5D1"/>
    <w:multiLevelType w:val="hybridMultilevel"/>
    <w:lvl w:ilvl="0">
      <w:lvlJc w:val="left"/>
      <w:lvlText w:val="•"/>
      <w:numFmt w:val="bullet"/>
      <w:start w:val="1"/>
    </w:lvl>
  </w:abstractNum>
  <w:abstractNum w:abstractNumId="24">
    <w:nsid w:val="4A9554FE"/>
    <w:multiLevelType w:val="hybridMultilevel"/>
    <w:lvl w:ilvl="0">
      <w:lvlJc w:val="left"/>
      <w:lvlText w:val="•"/>
      <w:numFmt w:val="bullet"/>
      <w:start w:val="1"/>
    </w:lvl>
  </w:abstractNum>
  <w:abstractNum w:abstractNumId="25">
    <w:nsid w:val="392EDBE4"/>
    <w:multiLevelType w:val="hybridMultilevel"/>
    <w:lvl w:ilvl="0">
      <w:lvlJc w:val="left"/>
      <w:lvlText w:val="•"/>
      <w:numFmt w:val="bullet"/>
      <w:start w:val="1"/>
    </w:lvl>
  </w:abstractNum>
  <w:abstractNum w:abstractNumId="26">
    <w:nsid w:val="3D1A2DD9"/>
    <w:multiLevelType w:val="hybridMultilevel"/>
    <w:lvl w:ilvl="0">
      <w:lvlJc w:val="left"/>
      <w:lvlText w:val="•"/>
      <w:numFmt w:val="bullet"/>
      <w:start w:val="1"/>
    </w:lvl>
  </w:abstractNum>
  <w:abstractNum w:abstractNumId="27">
    <w:nsid w:val="7F618FCD"/>
    <w:multiLevelType w:val="hybridMultilevel"/>
    <w:lvl w:ilvl="0">
      <w:lvlJc w:val="left"/>
      <w:lvlText w:val="(%1)"/>
      <w:numFmt w:val="decimal"/>
      <w:start w:val="1"/>
    </w:lvl>
  </w:abstractNum>
  <w:abstractNum w:abstractNumId="28">
    <w:nsid w:val="7843E45"/>
    <w:multiLevelType w:val="hybridMultilevel"/>
    <w:lvl w:ilvl="0">
      <w:lvlJc w:val="left"/>
      <w:lvlText w:val="(%1)"/>
      <w:numFmt w:val="decimal"/>
      <w:start w:val="1"/>
    </w:lvl>
  </w:abstractNum>
  <w:abstractNum w:abstractNumId="29">
    <w:nsid w:val="9815DA3"/>
    <w:multiLevelType w:val="hybridMultilevel"/>
    <w:lvl w:ilvl="0">
      <w:lvlJc w:val="left"/>
      <w:lvlText w:val="(%1)"/>
      <w:numFmt w:val="decimal"/>
      <w:start w:val="1"/>
    </w:lvl>
  </w:abstractNum>
  <w:abstractNum w:abstractNumId="30">
    <w:nsid w:val="5204A191"/>
    <w:multiLevelType w:val="hybridMultilevel"/>
    <w:lvl w:ilvl="0">
      <w:lvlJc w:val="left"/>
      <w:lvlText w:val="•"/>
      <w:numFmt w:val="bullet"/>
      <w:start w:val="1"/>
    </w:lvl>
  </w:abstractNum>
  <w:abstractNum w:abstractNumId="31">
    <w:nsid w:val="4C73A9C6"/>
    <w:multiLevelType w:val="hybridMultilevel"/>
    <w:lvl w:ilvl="0">
      <w:lvlJc w:val="left"/>
      <w:lvlText w:val="•"/>
      <w:numFmt w:val="bullet"/>
      <w:start w:val="1"/>
    </w:lvl>
  </w:abstractNum>
  <w:abstractNum w:abstractNumId="32">
    <w:nsid w:val="1C7E3C01"/>
    <w:multiLevelType w:val="hybridMultilevel"/>
    <w:lvl w:ilvl="0">
      <w:lvlJc w:val="left"/>
      <w:lvlText w:val="•"/>
      <w:numFmt w:val="bullet"/>
      <w:start w:val="1"/>
    </w:lvl>
  </w:abstractNum>
  <w:abstractNum w:abstractNumId="33">
    <w:nsid w:val="1C2201FF"/>
    <w:multiLevelType w:val="hybridMultilevel"/>
    <w:lvl w:ilvl="0">
      <w:lvlJc w:val="left"/>
      <w:lvlText w:val="•"/>
      <w:numFmt w:val="bullet"/>
      <w:start w:val="1"/>
    </w:lvl>
  </w:abstractNum>
  <w:abstractNum w:abstractNumId="34">
    <w:nsid w:val="50ABCEC9"/>
    <w:multiLevelType w:val="hybridMultilevel"/>
    <w:lvl w:ilvl="0">
      <w:lvlJc w:val="left"/>
      <w:lvlText w:val="1"/>
      <w:numFmt w:val="bullet"/>
      <w:start w:val="1"/>
    </w:lvl>
  </w:abstractNum>
  <w:abstractNum w:abstractNumId="35">
    <w:nsid w:val="7635AA2A"/>
    <w:multiLevelType w:val="hybridMultilevel"/>
    <w:lvl w:ilvl="0">
      <w:lvlJc w:val="left"/>
      <w:lvlText w:val="•"/>
      <w:numFmt w:val="bullet"/>
      <w:start w:val="1"/>
    </w:lvl>
  </w:abstractNum>
  <w:abstractNum w:abstractNumId="36">
    <w:nsid w:val="5E74C4D9"/>
    <w:multiLevelType w:val="hybridMultilevel"/>
    <w:lvl w:ilvl="0">
      <w:lvlJc w:val="left"/>
      <w:lvlText w:val="•"/>
      <w:numFmt w:val="bullet"/>
      <w:start w:val="1"/>
    </w:lvl>
  </w:abstractNum>
  <w:abstractNum w:abstractNumId="37">
    <w:nsid w:val="3B3EBE15"/>
    <w:multiLevelType w:val="hybridMultilevel"/>
    <w:lvl w:ilvl="0">
      <w:lvlJc w:val="left"/>
      <w:lvlText w:val="(%1)"/>
      <w:numFmt w:val="decimal"/>
      <w:start w:val="4"/>
    </w:lvl>
  </w:abstractNum>
  <w:abstractNum w:abstractNumId="38">
    <w:nsid w:val="3822CB01"/>
    <w:multiLevelType w:val="hybridMultilevel"/>
    <w:lvl w:ilvl="0">
      <w:lvlJc w:val="left"/>
      <w:lvlText w:val="•"/>
      <w:numFmt w:val="bullet"/>
      <w:start w:val="1"/>
    </w:lvl>
  </w:abstractNum>
  <w:abstractNum w:abstractNumId="39">
    <w:nsid w:val="6CE00443"/>
    <w:multiLevelType w:val="hybridMultilevel"/>
    <w:lvl w:ilvl="0">
      <w:lvlJc w:val="left"/>
      <w:lvlText w:val="(%1)"/>
      <w:numFmt w:val="decimal"/>
      <w:start w:val="1"/>
    </w:lvl>
  </w:abstractNum>
  <w:abstractNum w:abstractNumId="40">
    <w:nsid w:val="79F0D62F"/>
    <w:multiLevelType w:val="hybridMultilevel"/>
    <w:lvl w:ilvl="0">
      <w:lvlJc w:val="left"/>
      <w:lvlText w:val="•"/>
      <w:numFmt w:val="bullet"/>
      <w:start w:val="1"/>
    </w:lvl>
  </w:abstractNum>
  <w:abstractNum w:abstractNumId="41">
    <w:nsid w:val="7975E8EE"/>
    <w:multiLevelType w:val="hybridMultilevel"/>
    <w:lvl w:ilvl="0">
      <w:lvlJc w:val="left"/>
      <w:lvlText w:val="•"/>
      <w:numFmt w:val="bullet"/>
      <w:start w:val="1"/>
    </w:lvl>
  </w:abstractNum>
  <w:abstractNum w:abstractNumId="42">
    <w:nsid w:val="73154115"/>
    <w:multiLevelType w:val="hybridMultilevel"/>
    <w:lvl w:ilvl="0">
      <w:lvlJc w:val="left"/>
      <w:lvlText w:val="•"/>
      <w:numFmt w:val="bullet"/>
      <w:start w:val="1"/>
    </w:lvl>
  </w:abstractNum>
  <w:abstractNum w:abstractNumId="43">
    <w:nsid w:val="622D8102"/>
    <w:multiLevelType w:val="hybridMultilevel"/>
    <w:lvl w:ilvl="0">
      <w:lvlJc w:val="left"/>
      <w:lvlText w:val="•"/>
      <w:numFmt w:val="bullet"/>
      <w:start w:val="1"/>
    </w:lvl>
  </w:abstractNum>
  <w:abstractNum w:abstractNumId="44">
    <w:nsid w:val="2AB26587"/>
    <w:multiLevelType w:val="hybridMultilevel"/>
    <w:lvl w:ilvl="0">
      <w:lvlJc w:val="left"/>
      <w:lvlText w:val="(%1)"/>
      <w:numFmt w:val="lowerLetter"/>
      <w:start w:val="1"/>
    </w:lvl>
  </w:abstractNum>
  <w:abstractNum w:abstractNumId="45">
    <w:nsid w:val="44B3FA61"/>
    <w:multiLevelType w:val="hybridMultilevel"/>
    <w:lvl w:ilvl="0">
      <w:lvlJc w:val="left"/>
      <w:lvlText w:val="•"/>
      <w:numFmt w:val="bullet"/>
      <w:start w:val="1"/>
    </w:lvl>
  </w:abstractNum>
  <w:abstractNum w:abstractNumId="46">
    <w:nsid w:val="1C0CA67C"/>
    <w:multiLevelType w:val="hybridMultilevel"/>
    <w:lvl w:ilvl="0">
      <w:lvlJc w:val="left"/>
      <w:lvlText w:val="•"/>
      <w:numFmt w:val="bullet"/>
      <w:start w:val="1"/>
    </w:lvl>
  </w:abstractNum>
  <w:abstractNum w:abstractNumId="47">
    <w:nsid w:val="3D206613"/>
    <w:multiLevelType w:val="hybridMultilevel"/>
    <w:lvl w:ilvl="0">
      <w:lvlJc w:val="left"/>
      <w:lvlText w:val="•"/>
      <w:numFmt w:val="bullet"/>
      <w:start w:val="1"/>
    </w:lvl>
  </w:abstractNum>
  <w:abstractNum w:abstractNumId="48">
    <w:nsid w:val="7993B662"/>
    <w:multiLevelType w:val="hybridMultilevel"/>
    <w:lvl w:ilvl="0">
      <w:lvlJc w:val="left"/>
      <w:lvlText w:val="•"/>
      <w:numFmt w:val="bullet"/>
      <w:start w:val="1"/>
    </w:lvl>
  </w:abstractNum>
  <w:abstractNum w:abstractNumId="49">
    <w:nsid w:val="3BAB699E"/>
    <w:multiLevelType w:val="hybridMultilevel"/>
    <w:lvl w:ilvl="0">
      <w:lvlJc w:val="left"/>
      <w:lvlText w:val="•"/>
      <w:numFmt w:val="bullet"/>
      <w:start w:val="1"/>
    </w:lvl>
  </w:abstractNum>
  <w:abstractNum w:abstractNumId="50">
    <w:nsid w:val="71315369"/>
    <w:multiLevelType w:val="hybridMultilevel"/>
    <w:lvl w:ilvl="0">
      <w:lvlJc w:val="left"/>
      <w:lvlText w:val="•"/>
      <w:numFmt w:val="bullet"/>
      <w:start w:val="1"/>
    </w:lvl>
  </w:abstractNum>
  <w:abstractNum w:abstractNumId="51">
    <w:nsid w:val="7BCFBAFC"/>
    <w:multiLevelType w:val="hybridMultilevel"/>
    <w:lvl w:ilvl="0">
      <w:lvlJc w:val="left"/>
      <w:lvlText w:val="•"/>
      <w:numFmt w:val="bullet"/>
      <w:start w:val="1"/>
    </w:lvl>
  </w:abstractNum>
  <w:abstractNum w:abstractNumId="52">
    <w:nsid w:val="17859F72"/>
    <w:multiLevelType w:val="hybridMultilevel"/>
    <w:lvl w:ilvl="0">
      <w:lvlJc w:val="left"/>
      <w:lvlText w:val="•"/>
      <w:numFmt w:val="bullet"/>
      <w:start w:val="1"/>
    </w:lvl>
  </w:abstractNum>
  <w:abstractNum w:abstractNumId="53">
    <w:nsid w:val="3AA10581"/>
    <w:multiLevelType w:val="hybridMultilevel"/>
    <w:lvl w:ilvl="0">
      <w:lvlJc w:val="left"/>
      <w:lvlText w:val="•"/>
      <w:numFmt w:val="bullet"/>
      <w:start w:val="1"/>
    </w:lvl>
  </w:abstractNum>
  <w:abstractNum w:abstractNumId="54">
    <w:nsid w:val="63DE60CD"/>
    <w:multiLevelType w:val="hybridMultilevel"/>
    <w:lvl w:ilvl="0">
      <w:lvlJc w:val="left"/>
      <w:lvlText w:val="•"/>
      <w:numFmt w:val="bullet"/>
      <w:start w:val="1"/>
    </w:lvl>
  </w:abstractNum>
  <w:abstractNum w:abstractNumId="55">
    <w:nsid w:val="621AF471"/>
    <w:multiLevelType w:val="hybridMultilevel"/>
    <w:lvl w:ilvl="0">
      <w:lvlJc w:val="left"/>
      <w:lvlText w:val="•"/>
      <w:numFmt w:val="bullet"/>
      <w:start w:val="1"/>
    </w:lvl>
  </w:abstractNum>
  <w:abstractNum w:abstractNumId="56">
    <w:nsid w:val="73CFE165"/>
    <w:multiLevelType w:val="hybridMultilevel"/>
    <w:lvl w:ilvl="0">
      <w:lvlJc w:val="left"/>
      <w:lvlText w:val="•"/>
      <w:numFmt w:val="bullet"/>
      <w:start w:val="1"/>
    </w:lvl>
  </w:abstractNum>
  <w:abstractNum w:abstractNumId="57">
    <w:nsid w:val="20F88EA6"/>
    <w:multiLevelType w:val="hybridMultilevel"/>
    <w:lvl w:ilvl="0">
      <w:lvlJc w:val="left"/>
      <w:lvlText w:val="•"/>
      <w:numFmt w:val="bullet"/>
      <w:start w:val="1"/>
    </w:lvl>
  </w:abstractNum>
  <w:abstractNum w:abstractNumId="58">
    <w:nsid w:val="617C843E"/>
    <w:multiLevelType w:val="hybridMultilevel"/>
    <w:lvl w:ilvl="0">
      <w:lvlJc w:val="left"/>
      <w:lvlText w:val="•"/>
      <w:numFmt w:val="bullet"/>
      <w:start w:val="1"/>
    </w:lvl>
  </w:abstractNum>
  <w:abstractNum w:abstractNumId="59">
    <w:nsid w:val="7B541FAB"/>
    <w:multiLevelType w:val="hybridMultilevel"/>
    <w:lvl w:ilvl="0">
      <w:lvlJc w:val="left"/>
      <w:lvlText w:val="•"/>
      <w:numFmt w:val="bullet"/>
      <w:start w:val="1"/>
    </w:lvl>
  </w:abstractNum>
  <w:abstractNum w:abstractNumId="60">
    <w:nsid w:val="2A79EC49"/>
    <w:multiLevelType w:val="hybridMultilevel"/>
    <w:lvl w:ilvl="0">
      <w:lvlJc w:val="left"/>
      <w:lvlText w:val="•"/>
      <w:numFmt w:val="bullet"/>
      <w:start w:val="1"/>
    </w:lvl>
  </w:abstractNum>
  <w:abstractNum w:abstractNumId="61">
    <w:nsid w:val="338125CF"/>
    <w:multiLevelType w:val="hybridMultilevel"/>
    <w:lvl w:ilvl="0">
      <w:lvlJc w:val="left"/>
      <w:lvlText w:val="•"/>
      <w:numFmt w:val="bullet"/>
      <w:start w:val="1"/>
    </w:lvl>
  </w:abstractNum>
  <w:abstractNum w:abstractNumId="62">
    <w:nsid w:val="47C7C971"/>
    <w:multiLevelType w:val="hybridMultilevel"/>
    <w:lvl w:ilvl="0">
      <w:lvlJc w:val="left"/>
      <w:lvlText w:val="(%1)"/>
      <w:numFmt w:val="lowerRoman"/>
      <w:start w:val="2"/>
    </w:lvl>
  </w:abstractNum>
  <w:abstractNum w:abstractNumId="63">
    <w:nsid w:val="46F8284B"/>
    <w:multiLevelType w:val="hybridMultilevel"/>
    <w:lvl w:ilvl="0">
      <w:lvlJc w:val="left"/>
      <w:lvlText w:val="•"/>
      <w:numFmt w:val="bullet"/>
      <w:start w:val="1"/>
    </w:lvl>
  </w:abstractNum>
  <w:abstractNum w:abstractNumId="64">
    <w:nsid w:val="4FA327CE"/>
    <w:multiLevelType w:val="hybridMultilevel"/>
    <w:lvl w:ilvl="0">
      <w:lvlJc w:val="left"/>
      <w:lvlText w:val="•"/>
      <w:numFmt w:val="bullet"/>
      <w:start w:val="1"/>
    </w:lvl>
  </w:abstractNum>
  <w:abstractNum w:abstractNumId="65">
    <w:nsid w:val="1873983A"/>
    <w:multiLevelType w:val="hybridMultilevel"/>
    <w:lvl w:ilvl="0">
      <w:lvlJc w:val="left"/>
      <w:lvlText w:val="•"/>
      <w:numFmt w:val="bullet"/>
      <w:start w:val="1"/>
    </w:lvl>
  </w:abstractNum>
  <w:abstractNum w:abstractNumId="66">
    <w:nsid w:val="3D2DD275"/>
    <w:multiLevelType w:val="hybridMultilevel"/>
    <w:lvl w:ilvl="0">
      <w:lvlJc w:val="left"/>
      <w:lvlText w:val="(%1)"/>
      <w:numFmt w:val="lowerRoman"/>
      <w:start w:val="1"/>
    </w:lvl>
  </w:abstractNum>
  <w:abstractNum w:abstractNumId="67">
    <w:nsid w:val="2E17ECA7"/>
    <w:multiLevelType w:val="hybridMultilevel"/>
    <w:lvl w:ilvl="0">
      <w:lvlJc w:val="left"/>
      <w:lvlText w:val="*"/>
      <w:numFmt w:val="bullet"/>
      <w:start w:val="1"/>
    </w:lvl>
  </w:abstractNum>
  <w:abstractNum w:abstractNumId="68">
    <w:nsid w:val="53B2564F"/>
    <w:multiLevelType w:val="hybridMultilevel"/>
    <w:lvl w:ilvl="0">
      <w:lvlJc w:val="left"/>
      <w:lvlText w:val="•"/>
      <w:numFmt w:val="bullet"/>
      <w:start w:val="1"/>
    </w:lvl>
  </w:abstractNum>
  <w:abstractNum w:abstractNumId="69">
    <w:nsid w:val="75509D76"/>
    <w:multiLevelType w:val="hybridMultilevel"/>
    <w:lvl w:ilvl="0">
      <w:lvlJc w:val="left"/>
      <w:lvlText w:val="*"/>
      <w:numFmt w:val="bullet"/>
      <w:start w:val="1"/>
    </w:lvl>
  </w:abstractNum>
  <w:abstractNum w:abstractNumId="70">
    <w:nsid w:val="1AF7F0EA"/>
    <w:multiLevelType w:val="hybridMultilevel"/>
    <w:lvl w:ilvl="0">
      <w:lvlJc w:val="left"/>
      <w:lvlText w:val="**"/>
      <w:numFmt w:val="bullet"/>
      <w:start w:val="1"/>
    </w:lvl>
  </w:abstractNum>
  <w:abstractNum w:abstractNumId="71">
    <w:nsid w:val="4DA32C7E"/>
    <w:multiLevelType w:val="hybridMultilevel"/>
    <w:lvl w:ilvl="0">
      <w:lvlJc w:val="left"/>
      <w:lvlText w:val="(%1)"/>
      <w:numFmt w:val="decimal"/>
      <w:start w:val="1"/>
    </w:lvl>
  </w:abstractNum>
  <w:abstractNum w:abstractNumId="72">
    <w:nsid w:val="6EC68664"/>
    <w:multiLevelType w:val="hybridMultilevel"/>
    <w:lvl w:ilvl="0">
      <w:lvlJc w:val="left"/>
      <w:lvlText w:val="(%1)"/>
      <w:numFmt w:val="decimal"/>
      <w:start w:val="9"/>
    </w:lvl>
  </w:abstractNum>
  <w:abstractNum w:abstractNumId="73">
    <w:nsid w:val="E0D31FF"/>
    <w:multiLevelType w:val="hybridMultilevel"/>
    <w:lvl w:ilvl="0">
      <w:lvlJc w:val="left"/>
      <w:lvlText w:val="(%1)"/>
      <w:numFmt w:val="lowerLetter"/>
      <w:start w:val="1"/>
    </w:lvl>
  </w:abstractNum>
  <w:abstractNum w:abstractNumId="74">
    <w:nsid w:val="2FD0AD81"/>
    <w:multiLevelType w:val="hybridMultilevel"/>
    <w:lvl w:ilvl="0">
      <w:lvlJc w:val="left"/>
      <w:lvlText w:val="(%1)"/>
      <w:numFmt w:val="lowerLetter"/>
      <w:start w:val="2"/>
    </w:lvl>
  </w:abstractNum>
  <w:abstractNum w:abstractNumId="75">
    <w:nsid w:val="1978EBEB"/>
    <w:multiLevelType w:val="hybridMultilevel"/>
    <w:lvl w:ilvl="0">
      <w:lvlJc w:val="left"/>
      <w:lvlText w:val="•"/>
      <w:numFmt w:val="bullet"/>
      <w:start w:val="1"/>
    </w:lvl>
  </w:abstractNum>
  <w:abstractNum w:abstractNumId="76">
    <w:nsid w:val="52C12C61"/>
    <w:multiLevelType w:val="hybridMultilevel"/>
    <w:lvl w:ilvl="0">
      <w:lvlJc w:val="left"/>
      <w:lvlText w:val="•"/>
      <w:numFmt w:val="bullet"/>
      <w:start w:val="1"/>
    </w:lvl>
  </w:abstractNum>
  <w:abstractNum w:abstractNumId="77">
    <w:nsid w:val="4BDD53FD"/>
    <w:multiLevelType w:val="hybridMultilevel"/>
    <w:lvl w:ilvl="0">
      <w:lvlJc w:val="left"/>
      <w:lvlText w:val="•"/>
      <w:numFmt w:val="bullet"/>
      <w:start w:val="1"/>
    </w:lvl>
  </w:abstractNum>
  <w:abstractNum w:abstractNumId="78">
    <w:nsid w:val="569951FE"/>
    <w:multiLevelType w:val="hybridMultilevel"/>
    <w:lvl w:ilvl="0">
      <w:lvlJc w:val="left"/>
      <w:lvlText w:val="•"/>
      <w:numFmt w:val="bullet"/>
      <w:start w:val="1"/>
    </w:lvl>
  </w:abstractNum>
  <w:abstractNum w:abstractNumId="79">
    <w:nsid w:val="4C54E2C3"/>
    <w:multiLevelType w:val="hybridMultilevel"/>
    <w:lvl w:ilvl="0">
      <w:lvlJc w:val="left"/>
      <w:lvlText w:val="•"/>
      <w:numFmt w:val="bullet"/>
      <w:start w:val="1"/>
    </w:lvl>
  </w:abstractNum>
  <w:abstractNum w:abstractNumId="80">
    <w:nsid w:val="788BD9B"/>
    <w:multiLevelType w:val="hybridMultilevel"/>
    <w:lvl w:ilvl="0">
      <w:lvlJc w:val="left"/>
      <w:lvlText w:val="(%1)"/>
      <w:numFmt w:val="lowerLetter"/>
      <w:start w:val="1"/>
    </w:lvl>
  </w:abstractNum>
  <w:abstractNum w:abstractNumId="81">
    <w:nsid w:val="47CAA567"/>
    <w:multiLevelType w:val="hybridMultilevel"/>
    <w:lvl w:ilvl="0">
      <w:lvlJc w:val="left"/>
      <w:lvlText w:val=","/>
      <w:numFmt w:val="bullet"/>
      <w:start w:val="1"/>
    </w:lvl>
  </w:abstractNum>
  <w:abstractNum w:abstractNumId="82">
    <w:nsid w:val="48249DBF"/>
    <w:multiLevelType w:val="hybridMultilevel"/>
    <w:lvl w:ilvl="0">
      <w:lvlJc w:val="left"/>
      <w:lvlText w:val="(%1)"/>
      <w:numFmt w:val="lowerRoman"/>
      <w:start w:val="1"/>
    </w:lvl>
  </w:abstractNum>
  <w:abstractNum w:abstractNumId="83">
    <w:nsid w:val="1F0E5D0D"/>
    <w:multiLevelType w:val="hybridMultilevel"/>
    <w:lvl w:ilvl="0">
      <w:lvlJc w:val="left"/>
      <w:lvlText w:val="•"/>
      <w:numFmt w:val="bullet"/>
      <w:start w:val="1"/>
    </w:lvl>
  </w:abstractNum>
  <w:abstractNum w:abstractNumId="84">
    <w:nsid w:val="26BAAE9"/>
    <w:multiLevelType w:val="hybridMultilevel"/>
    <w:lvl w:ilvl="0">
      <w:lvlJc w:val="left"/>
      <w:lvlText w:val="•"/>
      <w:numFmt w:val="bullet"/>
      <w:start w:val="1"/>
    </w:lvl>
  </w:abstractNum>
  <w:abstractNum w:abstractNumId="85">
    <w:nsid w:val="2C02FE8C"/>
    <w:multiLevelType w:val="hybridMultilevel"/>
    <w:lvl w:ilvl="0">
      <w:lvlJc w:val="left"/>
      <w:lvlText w:val="(%1)"/>
      <w:numFmt w:val="lowerRoman"/>
      <w:start w:val="1"/>
    </w:lvl>
  </w:abstractNum>
  <w:abstractNum w:abstractNumId="86">
    <w:nsid w:val="129517E"/>
    <w:multiLevelType w:val="hybridMultilevel"/>
    <w:lvl w:ilvl="0">
      <w:lvlJc w:val="left"/>
      <w:lvlText w:val="•"/>
      <w:numFmt w:val="bullet"/>
      <w:start w:val="1"/>
    </w:lvl>
  </w:abstractNum>
  <w:abstractNum w:abstractNumId="87">
    <w:nsid w:val="763B8C4E"/>
    <w:multiLevelType w:val="hybridMultilevel"/>
    <w:lvl w:ilvl="0">
      <w:lvlJc w:val="left"/>
      <w:lvlText w:val="•"/>
      <w:numFmt w:val="bullet"/>
      <w:start w:val="1"/>
    </w:lvl>
  </w:abstractNum>
  <w:abstractNum w:abstractNumId="88">
    <w:nsid w:val="4CFB8D32"/>
    <w:multiLevelType w:val="hybridMultilevel"/>
    <w:lvl w:ilvl="0">
      <w:lvlJc w:val="left"/>
      <w:lvlText w:val="(%1)"/>
      <w:numFmt w:val="decimal"/>
      <w:start w:val="1"/>
    </w:lvl>
  </w:abstractNum>
  <w:abstractNum w:abstractNumId="89">
    <w:nsid w:val="62A5D5BD"/>
    <w:multiLevelType w:val="hybridMultilevel"/>
    <w:lvl w:ilvl="0">
      <w:lvlJc w:val="left"/>
      <w:lvlText w:val="(%1)"/>
      <w:numFmt w:val="lowerRoman"/>
      <w:start w:val="1"/>
    </w:lvl>
  </w:abstractNum>
  <w:abstractNum w:abstractNumId="90">
    <w:nsid w:val="718FABF9"/>
    <w:multiLevelType w:val="hybridMultilevel"/>
    <w:lvl w:ilvl="0">
      <w:lvlJc w:val="left"/>
      <w:lvlText w:val="•"/>
      <w:numFmt w:val="bullet"/>
      <w:start w:val="1"/>
    </w:lvl>
  </w:abstractNum>
  <w:abstractNum w:abstractNumId="91">
    <w:nsid w:val="7775797C"/>
    <w:multiLevelType w:val="hybridMultilevel"/>
    <w:lvl w:ilvl="0">
      <w:lvlJc w:val="left"/>
      <w:lvlText w:val="(%1)"/>
      <w:numFmt w:val="lowerRoman"/>
      <w:start w:val="1"/>
    </w:lvl>
  </w:abstractNum>
  <w:abstractNum w:abstractNumId="92">
    <w:nsid w:val="1626FB8C"/>
    <w:multiLevelType w:val="hybridMultilevel"/>
    <w:lvl w:ilvl="0">
      <w:lvlJc w:val="left"/>
      <w:lvlText w:val="•"/>
      <w:numFmt w:val="bullet"/>
      <w:start w:val="1"/>
    </w:lvl>
  </w:abstractNum>
  <w:abstractNum w:abstractNumId="93">
    <w:nsid w:val="3957756A"/>
    <w:multiLevelType w:val="hybridMultilevel"/>
    <w:lvl w:ilvl="0">
      <w:lvlJc w:val="left"/>
      <w:lvlText w:val="•"/>
      <w:numFmt w:val="bullet"/>
      <w:start w:val="1"/>
    </w:lvl>
  </w:abstractNum>
  <w:abstractNum w:abstractNumId="94">
    <w:nsid w:val="3E6DA1C7"/>
    <w:multiLevelType w:val="hybridMultilevel"/>
    <w:lvl w:ilvl="0">
      <w:lvlJc w:val="left"/>
      <w:lvlText w:val="(%1)"/>
      <w:numFmt w:val="lowerRoman"/>
      <w:start w:val="1"/>
    </w:lvl>
  </w:abstractNum>
  <w:abstractNum w:abstractNumId="95">
    <w:nsid w:val="65CA235B"/>
    <w:multiLevelType w:val="hybridMultilevel"/>
    <w:lvl w:ilvl="0">
      <w:lvlJc w:val="left"/>
      <w:lvlText w:val="•"/>
      <w:numFmt w:val="bullet"/>
      <w:start w:val="1"/>
    </w:lvl>
  </w:abstractNum>
  <w:abstractNum w:abstractNumId="96">
    <w:nsid w:val="51CB0DA4"/>
    <w:multiLevelType w:val="hybridMultilevel"/>
    <w:lvl w:ilvl="0">
      <w:lvlJc w:val="left"/>
      <w:lvlText w:val="•"/>
      <w:numFmt w:val="bullet"/>
      <w:start w:val="1"/>
    </w:lvl>
  </w:abstractNum>
  <w:abstractNum w:abstractNumId="97">
    <w:nsid w:val="7B9B743C"/>
    <w:multiLevelType w:val="hybridMultilevel"/>
    <w:lvl w:ilvl="0">
      <w:lvlJc w:val="left"/>
      <w:lvlText w:val="•"/>
      <w:numFmt w:val="bullet"/>
      <w:start w:val="1"/>
    </w:lvl>
  </w:abstractNum>
  <w:abstractNum w:abstractNumId="98">
    <w:nsid w:val="13E21002"/>
    <w:multiLevelType w:val="hybridMultilevel"/>
    <w:lvl w:ilvl="0">
      <w:lvlJc w:val="left"/>
      <w:lvlText w:val="•"/>
      <w:numFmt w:val="bullet"/>
      <w:start w:val="1"/>
    </w:lvl>
  </w:abstractNum>
  <w:abstractNum w:abstractNumId="99">
    <w:nsid w:val="257D63F4"/>
    <w:multiLevelType w:val="hybridMultilevel"/>
    <w:lvl w:ilvl="0">
      <w:lvlJc w:val="left"/>
      <w:lvlText w:val="•"/>
      <w:numFmt w:val="bullet"/>
      <w:start w:val="1"/>
    </w:lvl>
  </w:abstractNum>
  <w:abstractNum w:abstractNumId="100">
    <w:nsid w:val="70EC11B2"/>
    <w:multiLevelType w:val="hybridMultilevel"/>
    <w:lvl w:ilvl="0">
      <w:lvlJc w:val="left"/>
      <w:lvlText w:val="•"/>
      <w:numFmt w:val="bullet"/>
      <w:start w:val="1"/>
    </w:lvl>
  </w:abstractNum>
  <w:abstractNum w:abstractNumId="101">
    <w:nsid w:val="2EDA00ED"/>
    <w:multiLevelType w:val="hybridMultilevel"/>
    <w:lvl w:ilvl="0">
      <w:lvlJc w:val="left"/>
      <w:lvlText w:val="•"/>
      <w:numFmt w:val="bullet"/>
      <w:start w:val="1"/>
    </w:lvl>
  </w:abstractNum>
  <w:abstractNum w:abstractNumId="102">
    <w:nsid w:val="73209072"/>
    <w:multiLevelType w:val="hybridMultilevel"/>
    <w:lvl w:ilvl="0">
      <w:lvlJc w:val="left"/>
      <w:lvlText w:val="•"/>
      <w:numFmt w:val="bullet"/>
      <w:start w:val="1"/>
    </w:lvl>
  </w:abstractNum>
  <w:abstractNum w:abstractNumId="103">
    <w:nsid w:val="5FB29816"/>
    <w:multiLevelType w:val="hybridMultilevel"/>
    <w:lvl w:ilvl="0">
      <w:lvlJc w:val="left"/>
      <w:lvlText w:val="•"/>
      <w:numFmt w:val="bullet"/>
      <w:start w:val="1"/>
    </w:lvl>
  </w:abstractNum>
  <w:abstractNum w:abstractNumId="104">
    <w:nsid w:val="3CE732EC"/>
    <w:multiLevelType w:val="hybridMultilevel"/>
    <w:lvl w:ilvl="0">
      <w:lvlJc w:val="left"/>
      <w:lvlText w:val="•"/>
      <w:numFmt w:val="bullet"/>
      <w:start w:val="1"/>
    </w:lvl>
  </w:abstractNum>
  <w:abstractNum w:abstractNumId="105">
    <w:nsid w:val="22F13DF3"/>
    <w:multiLevelType w:val="hybridMultilevel"/>
    <w:lvl w:ilvl="0">
      <w:lvlJc w:val="left"/>
      <w:lvlText w:val="•"/>
      <w:numFmt w:val="bullet"/>
      <w:start w:val="1"/>
    </w:lvl>
  </w:abstractNum>
  <w:abstractNum w:abstractNumId="106">
    <w:nsid w:val="792B8401"/>
    <w:multiLevelType w:val="hybridMultilevel"/>
    <w:lvl w:ilvl="0">
      <w:lvlJc w:val="left"/>
      <w:lvlText w:val="•"/>
      <w:numFmt w:val="bullet"/>
      <w:start w:val="1"/>
    </w:lvl>
  </w:abstractNum>
  <w:abstractNum w:abstractNumId="107">
    <w:nsid w:val="FA85F4D"/>
    <w:multiLevelType w:val="hybridMultilevel"/>
    <w:lvl w:ilvl="0">
      <w:lvlJc w:val="left"/>
      <w:lvlText w:val="•"/>
      <w:numFmt w:val="bullet"/>
      <w:start w:val="1"/>
    </w:lvl>
  </w:abstractNum>
  <w:abstractNum w:abstractNumId="108">
    <w:nsid w:val="6ECE91F0"/>
    <w:multiLevelType w:val="hybridMultilevel"/>
    <w:lvl w:ilvl="0">
      <w:lvlJc w:val="left"/>
      <w:lvlText w:val="•"/>
      <w:numFmt w:val="bullet"/>
      <w:start w:val="1"/>
    </w:lvl>
  </w:abstractNum>
  <w:abstractNum w:abstractNumId="109">
    <w:nsid w:val="4FC4D600"/>
    <w:multiLevelType w:val="hybridMultilevel"/>
    <w:lvl w:ilvl="0">
      <w:lvlJc w:val="left"/>
      <w:lvlText w:val="•"/>
      <w:numFmt w:val="bullet"/>
      <w:start w:val="1"/>
    </w:lvl>
    <w:lvl w:ilvl="1">
      <w:lvlJc w:val="left"/>
      <w:lvlText w:val="(%2)"/>
      <w:numFmt w:val="lowerRoman"/>
      <w:start w:val="1"/>
    </w:lvl>
  </w:abstractNum>
  <w:abstractNum w:abstractNumId="110">
    <w:nsid w:val="5BFD4210"/>
    <w:multiLevelType w:val="hybridMultilevel"/>
    <w:lvl w:ilvl="0">
      <w:lvlJc w:val="left"/>
      <w:lvlText w:val="•"/>
      <w:numFmt w:val="bullet"/>
      <w:start w:val="1"/>
    </w:lvl>
  </w:abstractNum>
  <w:abstractNum w:abstractNumId="111">
    <w:nsid w:val="76574F8B"/>
    <w:multiLevelType w:val="hybridMultilevel"/>
    <w:lvl w:ilvl="0">
      <w:lvlJc w:val="left"/>
      <w:lvlText w:val="1"/>
      <w:numFmt w:val="bullet"/>
      <w:start w:val="1"/>
    </w:lvl>
  </w:abstractNum>
  <w:abstractNum w:abstractNumId="112">
    <w:nsid w:val="178F7B67"/>
    <w:multiLevelType w:val="hybridMultilevel"/>
    <w:lvl w:ilvl="0">
      <w:lvlJc w:val="left"/>
      <w:lvlText w:val="(%1)"/>
      <w:numFmt w:val="lowerLetter"/>
      <w:start w:val="1"/>
    </w:lvl>
  </w:abstractNum>
  <w:abstractNum w:abstractNumId="113">
    <w:nsid w:val="2421DFCF"/>
    <w:multiLevelType w:val="hybridMultilevel"/>
    <w:lvl w:ilvl="0">
      <w:lvlJc w:val="left"/>
      <w:lvlText w:val="1"/>
      <w:numFmt w:val="bullet"/>
      <w:start w:val="1"/>
    </w:lvl>
  </w:abstractNum>
  <w:abstractNum w:abstractNumId="114">
    <w:nsid w:val="1565AC99"/>
    <w:multiLevelType w:val="hybridMultilevel"/>
    <w:lvl w:ilvl="0">
      <w:lvlJc w:val="left"/>
      <w:lvlText w:val="(%1)"/>
      <w:numFmt w:val="lowerLetter"/>
      <w:start w:val="1"/>
    </w:lvl>
  </w:abstractNum>
  <w:abstractNum w:abstractNumId="115">
    <w:nsid w:val="19FB2650"/>
    <w:multiLevelType w:val="hybridMultilevel"/>
    <w:lvl w:ilvl="0">
      <w:lvlJc w:val="left"/>
      <w:lvlText w:val="1"/>
      <w:numFmt w:val="bullet"/>
      <w:start w:val="1"/>
    </w:lvl>
  </w:abstractNum>
  <w:abstractNum w:abstractNumId="116">
    <w:nsid w:val="5024DE5B"/>
    <w:multiLevelType w:val="hybridMultilevel"/>
    <w:lvl w:ilvl="0">
      <w:lvlJc w:val="left"/>
      <w:lvlText w:val="(%1)"/>
      <w:numFmt w:val="lowerLetter"/>
      <w:start w:val="1"/>
    </w:lvl>
  </w:abstractNum>
  <w:abstractNum w:abstractNumId="117">
    <w:nsid w:val="168EFE17"/>
    <w:multiLevelType w:val="hybridMultilevel"/>
    <w:lvl w:ilvl="0">
      <w:lvlJc w:val="left"/>
      <w:lvlText w:val="1"/>
      <w:numFmt w:val="bullet"/>
      <w:start w:val="1"/>
    </w:lvl>
  </w:abstractNum>
  <w:abstractNum w:abstractNumId="118">
    <w:nsid w:val="1036B29F"/>
    <w:multiLevelType w:val="hybridMultilevel"/>
    <w:lvl w:ilvl="0">
      <w:lvlJc w:val="left"/>
      <w:lvlText w:val="(%1)"/>
      <w:numFmt w:val="lowerLetter"/>
      <w:start w:val="2"/>
    </w:lvl>
  </w:abstractNum>
  <w:abstractNum w:abstractNumId="119">
    <w:nsid w:val="1D206B8E"/>
    <w:multiLevelType w:val="hybridMultilevel"/>
    <w:lvl w:ilvl="0">
      <w:lvlJc w:val="left"/>
      <w:lvlText w:val="•"/>
      <w:numFmt w:val="bullet"/>
      <w:start w:val="1"/>
    </w:lvl>
  </w:abstractNum>
  <w:abstractNum w:abstractNumId="120">
    <w:nsid w:val="7934D3D4"/>
    <w:multiLevelType w:val="hybridMultilevel"/>
    <w:lvl w:ilvl="0">
      <w:lvlJc w:val="left"/>
      <w:lvlText w:val="•"/>
      <w:numFmt w:val="bullet"/>
      <w:start w:val="1"/>
    </w:lvl>
  </w:abstractNum>
  <w:abstractNum w:abstractNumId="121">
    <w:nsid w:val="1C65E98"/>
    <w:multiLevelType w:val="hybridMultilevel"/>
    <w:lvl w:ilvl="0">
      <w:lvlJc w:val="left"/>
      <w:lvlText w:val="•"/>
      <w:numFmt w:val="bullet"/>
      <w:start w:val="1"/>
    </w:lvl>
  </w:abstractNum>
  <w:abstractNum w:abstractNumId="122">
    <w:nsid w:val="1495E50A"/>
    <w:multiLevelType w:val="hybridMultilevel"/>
    <w:lvl w:ilvl="0">
      <w:lvlJc w:val="left"/>
      <w:lvlText w:val="1"/>
      <w:numFmt w:val="bullet"/>
      <w:start w:val="1"/>
    </w:lvl>
  </w:abstractNum>
  <w:abstractNum w:abstractNumId="123">
    <w:nsid w:val="F5BCF61"/>
    <w:multiLevelType w:val="hybridMultilevel"/>
    <w:lvl w:ilvl="0">
      <w:lvlJc w:val="left"/>
      <w:lvlText w:val="(%1)"/>
      <w:numFmt w:val="lowerLetter"/>
      <w:start w:val="2"/>
    </w:lvl>
  </w:abstractNum>
  <w:abstractNum w:abstractNumId="124">
    <w:nsid w:val="3B1DD403"/>
    <w:multiLevelType w:val="hybridMultilevel"/>
    <w:lvl w:ilvl="0">
      <w:lvlJc w:val="left"/>
      <w:lvlText w:val="•"/>
      <w:numFmt w:val="bullet"/>
      <w:start w:val="1"/>
    </w:lvl>
  </w:abstractNum>
  <w:abstractNum w:abstractNumId="125">
    <w:nsid w:val="530386D1"/>
    <w:multiLevelType w:val="hybridMultilevel"/>
    <w:lvl w:ilvl="0">
      <w:lvlJc w:val="left"/>
      <w:lvlText w:val="•"/>
      <w:numFmt w:val="bullet"/>
      <w:start w:val="1"/>
    </w:lvl>
  </w:abstractNum>
  <w:abstractNum w:abstractNumId="126">
    <w:nsid w:val="7525F2BC"/>
    <w:multiLevelType w:val="hybridMultilevel"/>
    <w:lvl w:ilvl="0">
      <w:lvlJc w:val="left"/>
      <w:lvlText w:val="1"/>
      <w:numFmt w:val="bullet"/>
      <w:start w:val="1"/>
    </w:lvl>
  </w:abstractNum>
  <w:abstractNum w:abstractNumId="127">
    <w:nsid w:val="CE8E1A7"/>
    <w:multiLevelType w:val="hybridMultilevel"/>
    <w:lvl w:ilvl="0">
      <w:lvlJc w:val="left"/>
      <w:lvlText w:val="(%1)"/>
      <w:numFmt w:val="lowerLetter"/>
      <w:start w:val="2"/>
    </w:lvl>
  </w:abstractNum>
  <w:abstractNum w:abstractNumId="128">
    <w:nsid w:val="4E9EFB0D"/>
    <w:multiLevelType w:val="hybridMultilevel"/>
    <w:lvl w:ilvl="0">
      <w:lvlJc w:val="left"/>
      <w:lvlText w:val="2"/>
      <w:numFmt w:val="bullet"/>
      <w:start w:val="1"/>
    </w:lvl>
  </w:abstractNum>
  <w:abstractNum w:abstractNumId="129">
    <w:nsid w:val="90802BE"/>
    <w:multiLevelType w:val="hybridMultilevel"/>
    <w:lvl w:ilvl="0">
      <w:lvlJc w:val="left"/>
      <w:lvlText w:val="(%1)"/>
      <w:numFmt w:val="lowerLetter"/>
      <w:start w:val="1"/>
    </w:lvl>
  </w:abstractNum>
  <w:abstractNum w:abstractNumId="130">
    <w:nsid w:val="3266459B"/>
    <w:multiLevelType w:val="hybridMultilevel"/>
    <w:lvl w:ilvl="0">
      <w:lvlJc w:val="left"/>
      <w:lvlText w:val="2"/>
      <w:numFmt w:val="bullet"/>
      <w:start w:val="1"/>
    </w:lvl>
  </w:abstractNum>
  <w:abstractNum w:abstractNumId="131">
    <w:nsid w:val="3F8B0CBF"/>
    <w:multiLevelType w:val="hybridMultilevel"/>
    <w:lvl w:ilvl="0">
      <w:lvlJc w:val="left"/>
      <w:lvlText w:val="(%1)"/>
      <w:numFmt w:val="lowerLetter"/>
      <w:start w:val="3"/>
    </w:lvl>
  </w:abstractNum>
  <w:abstractNum w:abstractNumId="132">
    <w:nsid w:val="37E203AB"/>
    <w:multiLevelType w:val="hybridMultilevel"/>
    <w:lvl w:ilvl="0">
      <w:lvlJc w:val="left"/>
      <w:lvlText w:val="2"/>
      <w:numFmt w:val="bullet"/>
      <w:start w:val="1"/>
    </w:lvl>
  </w:abstractNum>
  <w:abstractNum w:abstractNumId="133">
    <w:nsid w:val="2586D60E"/>
    <w:multiLevelType w:val="hybridMultilevel"/>
    <w:lvl w:ilvl="0">
      <w:lvlJc w:val="left"/>
      <w:lvlText w:val="(%1)"/>
      <w:numFmt w:val="lowerLetter"/>
      <w:start w:val="5"/>
    </w:lvl>
  </w:abstractNum>
  <w:abstractNum w:abstractNumId="134">
    <w:nsid w:val="1F3DA4D5"/>
    <w:multiLevelType w:val="hybridMultilevel"/>
    <w:lvl w:ilvl="0">
      <w:lvlJc w:val="left"/>
      <w:lvlText w:val="2"/>
      <w:numFmt w:val="bullet"/>
      <w:start w:val="1"/>
    </w:lvl>
  </w:abstractNum>
  <w:abstractNum w:abstractNumId="135">
    <w:nsid w:val="74C93698"/>
    <w:multiLevelType w:val="hybridMultilevel"/>
    <w:lvl w:ilvl="0">
      <w:lvlJc w:val="left"/>
      <w:lvlText w:val="(%1)"/>
      <w:numFmt w:val="lowerLetter"/>
      <w:start w:val="9"/>
    </w:lvl>
  </w:abstractNum>
  <w:abstractNum w:abstractNumId="136">
    <w:nsid w:val="48781401"/>
    <w:multiLevelType w:val="hybridMultilevel"/>
    <w:lvl w:ilvl="0">
      <w:lvlJc w:val="left"/>
      <w:lvlText w:val="2"/>
      <w:numFmt w:val="bullet"/>
      <w:start w:val="1"/>
    </w:lvl>
  </w:abstractNum>
  <w:abstractNum w:abstractNumId="137">
    <w:nsid w:val="186928D6"/>
    <w:multiLevelType w:val="hybridMultilevel"/>
    <w:lvl w:ilvl="0">
      <w:lvlJc w:val="left"/>
      <w:lvlText w:val="(%1)"/>
      <w:numFmt w:val="lowerLetter"/>
      <w:start w:val="12"/>
    </w:lvl>
  </w:abstractNum>
  <w:abstractNum w:abstractNumId="138">
    <w:nsid w:val="47195E5"/>
    <w:multiLevelType w:val="hybridMultilevel"/>
    <w:lvl w:ilvl="0">
      <w:lvlJc w:val="left"/>
      <w:lvlText w:val="(%1)"/>
      <w:numFmt w:val="lowerLetter"/>
      <w:start w:val="13"/>
    </w:lvl>
  </w:abstractNum>
  <w:abstractNum w:abstractNumId="139">
    <w:nsid w:val="3746A5F2"/>
    <w:multiLevelType w:val="hybridMultilevel"/>
    <w:lvl w:ilvl="0">
      <w:lvlJc w:val="left"/>
      <w:lvlText w:val="(%1)"/>
      <w:numFmt w:val="lowerLetter"/>
      <w:start w:val="15"/>
    </w:lvl>
  </w:abstractNum>
  <w:abstractNum w:abstractNumId="140">
    <w:nsid w:val="682DFED6"/>
    <w:multiLevelType w:val="hybridMultilevel"/>
    <w:lvl w:ilvl="0">
      <w:lvlJc w:val="left"/>
      <w:lvlText w:val="2"/>
      <w:numFmt w:val="bullet"/>
      <w:start w:val="1"/>
    </w:lvl>
  </w:abstractNum>
  <w:abstractNum w:abstractNumId="141">
    <w:nsid w:val="606ED7F6"/>
    <w:multiLevelType w:val="hybridMultilevel"/>
    <w:lvl w:ilvl="0">
      <w:lvlJc w:val="left"/>
      <w:lvlText w:val="(%1)"/>
      <w:numFmt w:val="lowerLetter"/>
      <w:start w:val="17"/>
    </w:lvl>
  </w:abstractNum>
  <w:abstractNum w:abstractNumId="142">
    <w:nsid w:val="2D9DF57D"/>
    <w:multiLevelType w:val="hybridMultilevel"/>
    <w:lvl w:ilvl="0">
      <w:lvlJc w:val="left"/>
      <w:lvlText w:val="2"/>
      <w:numFmt w:val="bullet"/>
      <w:start w:val="1"/>
    </w:lvl>
  </w:abstractNum>
  <w:abstractNum w:abstractNumId="143">
    <w:nsid w:val="7FBD7A3E"/>
    <w:multiLevelType w:val="hybridMultilevel"/>
    <w:lvl w:ilvl="0">
      <w:lvlJc w:val="left"/>
      <w:lvlText w:val="(%1)"/>
      <w:numFmt w:val="lowerLetter"/>
      <w:start w:val="20"/>
    </w:lvl>
  </w:abstractNum>
  <w:abstractNum w:abstractNumId="144">
    <w:nsid w:val="490B7C5"/>
    <w:multiLevelType w:val="hybridMultilevel"/>
    <w:lvl w:ilvl="0">
      <w:lvlJc w:val="left"/>
      <w:lvlText w:val="2"/>
      <w:numFmt w:val="bullet"/>
      <w:start w:val="1"/>
    </w:lvl>
  </w:abstractNum>
  <w:abstractNum w:abstractNumId="145">
    <w:nsid w:val="4303A216"/>
    <w:multiLevelType w:val="hybridMultilevel"/>
    <w:lvl w:ilvl="0">
      <w:lvlJc w:val="left"/>
      <w:lvlText w:val="(%1)"/>
      <w:numFmt w:val="lowerLetter"/>
      <w:start w:val="21"/>
    </w:lvl>
  </w:abstractNum>
  <w:abstractNum w:abstractNumId="146">
    <w:nsid w:val="19B8A08E"/>
    <w:multiLevelType w:val="hybridMultilevel"/>
    <w:lvl w:ilvl="0">
      <w:lvlJc w:val="left"/>
      <w:lvlText w:val="(%1)"/>
      <w:numFmt w:val="lowerRoman"/>
      <w:start w:val="3"/>
    </w:lvl>
  </w:abstractNum>
  <w:abstractNum w:abstractNumId="147">
    <w:nsid w:val="54B59621"/>
    <w:multiLevelType w:val="hybridMultilevel"/>
    <w:lvl w:ilvl="0">
      <w:lvlJc w:val="left"/>
      <w:lvlText w:val="(%1)"/>
      <w:numFmt w:val="lowerLetter"/>
      <w:start w:val="24"/>
    </w:lvl>
  </w:abstractNum>
  <w:abstractNum w:abstractNumId="148">
    <w:nsid w:val="5992A02E"/>
    <w:multiLevelType w:val="hybridMultilevel"/>
    <w:lvl w:ilvl="0">
      <w:lvlJc w:val="left"/>
      <w:lvlText w:val="2"/>
      <w:numFmt w:val="bullet"/>
      <w:start w:val="1"/>
    </w:lvl>
  </w:abstractNum>
  <w:abstractNum w:abstractNumId="149">
    <w:nsid w:val="29EF532D"/>
    <w:multiLevelType w:val="hybridMultilevel"/>
    <w:lvl w:ilvl="0">
      <w:lvlJc w:val="left"/>
      <w:lvlText w:val="(%1)"/>
      <w:numFmt w:val="lowerLetter"/>
      <w:start w:val="26"/>
    </w:lvl>
  </w:abstractNum>
  <w:abstractNum w:abstractNumId="150">
    <w:nsid w:val="71D601AF"/>
    <w:multiLevelType w:val="hybridMultilevel"/>
    <w:lvl w:ilvl="0">
      <w:lvlJc w:val="left"/>
      <w:lvlText w:val="(%1)"/>
      <w:numFmt w:val="lowerLetter"/>
      <w:start w:val="27"/>
    </w:lvl>
  </w:abstractNum>
  <w:abstractNum w:abstractNumId="151">
    <w:nsid w:val="52C77402"/>
    <w:multiLevelType w:val="hybridMultilevel"/>
    <w:lvl w:ilvl="0">
      <w:lvlJc w:val="left"/>
      <w:lvlText w:val="2"/>
      <w:numFmt w:val="bullet"/>
      <w:start w:val="1"/>
    </w:lvl>
  </w:abstractNum>
  <w:abstractNum w:abstractNumId="152">
    <w:nsid w:val="2BB5B1C6"/>
    <w:multiLevelType w:val="hybridMultilevel"/>
    <w:lvl w:ilvl="0">
      <w:lvlJc w:val="left"/>
      <w:lvlText w:val="2"/>
      <w:numFmt w:val="bullet"/>
      <w:start w:val="1"/>
    </w:lvl>
  </w:abstractNum>
  <w:abstractNum w:abstractNumId="153">
    <w:nsid w:val="66BE6B9"/>
    <w:multiLevelType w:val="hybridMultilevel"/>
    <w:lvl w:ilvl="0">
      <w:lvlJc w:val="left"/>
      <w:lvlText w:val="2"/>
      <w:numFmt w:val="bullet"/>
      <w:start w:val="1"/>
    </w:lvl>
  </w:abstractNum>
  <w:abstractNum w:abstractNumId="154">
    <w:nsid w:val="62234363"/>
    <w:multiLevelType w:val="hybridMultilevel"/>
    <w:lvl w:ilvl="0">
      <w:lvlJc w:val="left"/>
      <w:lvlText w:val="2"/>
      <w:numFmt w:val="bullet"/>
      <w:start w:val="1"/>
    </w:lvl>
  </w:abstractNum>
  <w:abstractNum w:abstractNumId="155">
    <w:nsid w:val="66D385C9"/>
    <w:multiLevelType w:val="hybridMultilevel"/>
    <w:lvl w:ilvl="0">
      <w:lvlJc w:val="left"/>
      <w:lvlText w:val="(%1)"/>
      <w:numFmt w:val="lowerRoman"/>
      <w:start w:val="2"/>
    </w:lvl>
  </w:abstractNum>
  <w:abstractNum w:abstractNumId="156">
    <w:nsid w:val="596F6D8A"/>
    <w:multiLevelType w:val="hybridMultilevel"/>
    <w:lvl w:ilvl="0">
      <w:lvlJc w:val="left"/>
      <w:lvlText w:val="2"/>
      <w:numFmt w:val="bullet"/>
      <w:start w:val="1"/>
    </w:lvl>
  </w:abstractNum>
  <w:abstractNum w:abstractNumId="157">
    <w:nsid w:val="5749361F"/>
    <w:multiLevelType w:val="hybridMultilevel"/>
    <w:lvl w:ilvl="0">
      <w:lvlJc w:val="left"/>
      <w:lvlText w:val="3"/>
      <w:numFmt w:val="bullet"/>
      <w:start w:val="1"/>
    </w:lvl>
  </w:abstractNum>
  <w:abstractNum w:abstractNumId="158">
    <w:nsid w:val="73BC6770"/>
    <w:multiLevelType w:val="hybridMultilevel"/>
    <w:lvl w:ilvl="0">
      <w:lvlJc w:val="left"/>
      <w:lvlText w:val="(%1)"/>
      <w:numFmt w:val="lowerLetter"/>
      <w:start w:val="1"/>
    </w:lvl>
    <w:lvl w:ilvl="1">
      <w:lvlJc w:val="left"/>
      <w:lvlText w:val="•"/>
      <w:numFmt w:val="bullet"/>
      <w:start w:val="1"/>
    </w:lvl>
  </w:abstractNum>
  <w:abstractNum w:abstractNumId="159">
    <w:nsid w:val="280E6897"/>
    <w:multiLevelType w:val="hybridMultilevel"/>
    <w:lvl w:ilvl="0">
      <w:lvlJc w:val="left"/>
      <w:lvlText w:val="3"/>
      <w:numFmt w:val="bullet"/>
      <w:start w:val="1"/>
    </w:lvl>
  </w:abstractNum>
  <w:abstractNum w:abstractNumId="160">
    <w:nsid w:val="605138DE"/>
    <w:multiLevelType w:val="hybridMultilevel"/>
    <w:lvl w:ilvl="0">
      <w:lvlJc w:val="left"/>
      <w:lvlText w:val="(%1)"/>
      <w:numFmt w:val="lowerLetter"/>
      <w:start w:val="1"/>
    </w:lvl>
  </w:abstractNum>
  <w:abstractNum w:abstractNumId="161">
    <w:nsid w:val="2622AD0C"/>
    <w:multiLevelType w:val="hybridMultilevel"/>
    <w:lvl w:ilvl="0">
      <w:lvlJc w:val="left"/>
      <w:lvlText w:val="3"/>
      <w:numFmt w:val="bullet"/>
      <w:start w:val="1"/>
    </w:lvl>
  </w:abstractNum>
  <w:abstractNum w:abstractNumId="162">
    <w:nsid w:val="67997556"/>
    <w:multiLevelType w:val="hybridMultilevel"/>
    <w:lvl w:ilvl="0">
      <w:lvlJc w:val="left"/>
      <w:lvlText w:val="(%1)"/>
      <w:numFmt w:val="lowerLetter"/>
      <w:start w:val="1"/>
    </w:lvl>
  </w:abstractNum>
  <w:abstractNum w:abstractNumId="163">
    <w:nsid w:val="18333C89"/>
    <w:multiLevelType w:val="hybridMultilevel"/>
    <w:lvl w:ilvl="0">
      <w:lvlJc w:val="left"/>
      <w:lvlText w:val="3"/>
      <w:numFmt w:val="bullet"/>
      <w:start w:val="1"/>
    </w:lvl>
  </w:abstractNum>
  <w:abstractNum w:abstractNumId="164">
    <w:nsid w:val="4BA9831A"/>
    <w:multiLevelType w:val="hybridMultilevel"/>
    <w:lvl w:ilvl="0">
      <w:lvlJc w:val="left"/>
      <w:lvlText w:val="(%1)"/>
      <w:numFmt w:val="lowerLetter"/>
      <w:start w:val="1"/>
    </w:lvl>
  </w:abstractNum>
  <w:abstractNum w:abstractNumId="165">
    <w:nsid w:val="6D71A2B"/>
    <w:multiLevelType w:val="hybridMultilevel"/>
    <w:lvl w:ilvl="0">
      <w:lvlJc w:val="left"/>
      <w:lvlText w:val="3"/>
      <w:numFmt w:val="bullet"/>
      <w:start w:val="1"/>
    </w:lvl>
  </w:abstractNum>
  <w:abstractNum w:abstractNumId="166">
    <w:nsid w:val="CFC7321"/>
    <w:multiLevelType w:val="hybridMultilevel"/>
    <w:lvl w:ilvl="0">
      <w:lvlJc w:val="left"/>
      <w:lvlText w:val="(%1)"/>
      <w:numFmt w:val="lowerLetter"/>
      <w:start w:val="3"/>
    </w:lvl>
  </w:abstractNum>
  <w:abstractNum w:abstractNumId="167">
    <w:nsid w:val="1421971B"/>
    <w:multiLevelType w:val="hybridMultilevel"/>
    <w:lvl w:ilvl="0">
      <w:lvlJc w:val="left"/>
      <w:lvlText w:val="(%1)"/>
      <w:numFmt w:val="lowerLetter"/>
      <w:start w:val="4"/>
    </w:lvl>
  </w:abstractNum>
  <w:abstractNum w:abstractNumId="168">
    <w:nsid w:val="1F404301"/>
    <w:multiLevelType w:val="hybridMultilevel"/>
    <w:lvl w:ilvl="0">
      <w:lvlJc w:val="left"/>
      <w:lvlText w:val="(%1)"/>
      <w:numFmt w:val="lowerRoman"/>
      <w:start w:val="1"/>
    </w:lvl>
  </w:abstractNum>
  <w:abstractNum w:abstractNumId="169">
    <w:nsid w:val="116E0907"/>
    <w:multiLevelType w:val="hybridMultilevel"/>
    <w:lvl w:ilvl="0">
      <w:lvlJc w:val="left"/>
      <w:lvlText w:val="(%1)"/>
      <w:numFmt w:val="lowerRoman"/>
      <w:start w:val="2"/>
    </w:lvl>
  </w:abstractNum>
  <w:abstractNum w:abstractNumId="170">
    <w:nsid w:val="4B683D0D"/>
    <w:multiLevelType w:val="hybridMultilevel"/>
    <w:lvl w:ilvl="0">
      <w:lvlJc w:val="left"/>
      <w:lvlText w:val="3"/>
      <w:numFmt w:val="bullet"/>
      <w:start w:val="1"/>
    </w:lvl>
  </w:abstractNum>
  <w:abstractNum w:abstractNumId="171">
    <w:nsid w:val="76E41D8"/>
    <w:multiLevelType w:val="hybridMultilevel"/>
    <w:lvl w:ilvl="0">
      <w:lvlJc w:val="left"/>
      <w:lvlText w:val="(%1)"/>
      <w:numFmt w:val="lowerLetter"/>
      <w:start w:val="4"/>
    </w:lvl>
    <w:lvl w:ilvl="1">
      <w:lvlJc w:val="left"/>
      <w:lvlText w:val="(%2)"/>
      <w:numFmt w:val="lowerLetter"/>
      <w:start w:val="35"/>
    </w:lvl>
  </w:abstractNum>
  <w:abstractNum w:abstractNumId="172">
    <w:nsid w:val="71DCE0FD"/>
    <w:multiLevelType w:val="hybridMultilevel"/>
    <w:lvl w:ilvl="0">
      <w:lvlJc w:val="left"/>
      <w:lvlText w:val="(%1)"/>
      <w:numFmt w:val="lowerRoman"/>
      <w:start w:val="2"/>
    </w:lvl>
  </w:abstractNum>
  <w:abstractNum w:abstractNumId="173">
    <w:nsid w:val="7906328B"/>
    <w:multiLevelType w:val="hybridMultilevel"/>
    <w:lvl w:ilvl="0">
      <w:lvlJc w:val="left"/>
      <w:lvlText w:val="4"/>
      <w:numFmt w:val="bullet"/>
      <w:start w:val="1"/>
    </w:lvl>
  </w:abstractNum>
  <w:abstractNum w:abstractNumId="174">
    <w:nsid w:val="72BBC16"/>
    <w:multiLevelType w:val="hybridMultilevel"/>
    <w:lvl w:ilvl="0">
      <w:lvlJc w:val="left"/>
      <w:lvlText w:val="(%1)"/>
      <w:numFmt w:val="lowerLetter"/>
      <w:start w:val="1"/>
    </w:lvl>
  </w:abstractNum>
  <w:abstractNum w:abstractNumId="175">
    <w:nsid w:val="766D98C2"/>
    <w:multiLevelType w:val="hybridMultilevel"/>
    <w:lvl w:ilvl="0">
      <w:lvlJc w:val="left"/>
      <w:lvlText w:val="4"/>
      <w:numFmt w:val="bullet"/>
      <w:start w:val="1"/>
    </w:lvl>
  </w:abstractNum>
  <w:abstractNum w:abstractNumId="176">
    <w:nsid w:val="3C09D4A1"/>
    <w:multiLevelType w:val="hybridMultilevel"/>
    <w:lvl w:ilvl="0">
      <w:lvlJc w:val="left"/>
      <w:lvlText w:val="(%1)"/>
      <w:numFmt w:val="lowerLetter"/>
      <w:start w:val="1"/>
    </w:lvl>
  </w:abstractNum>
  <w:abstractNum w:abstractNumId="177">
    <w:nsid w:val="20E45CA4"/>
    <w:multiLevelType w:val="hybridMultilevel"/>
    <w:lvl w:ilvl="0">
      <w:lvlJc w:val="left"/>
      <w:lvlText w:val="4"/>
      <w:numFmt w:val="bullet"/>
      <w:start w:val="1"/>
    </w:lvl>
  </w:abstractNum>
  <w:abstractNum w:abstractNumId="178">
    <w:nsid w:val="4B232EE3"/>
    <w:multiLevelType w:val="hybridMultilevel"/>
    <w:lvl w:ilvl="0">
      <w:lvlJc w:val="left"/>
      <w:lvlText w:val="(%1)"/>
      <w:numFmt w:val="lowerLetter"/>
      <w:start w:val="1"/>
    </w:lvl>
  </w:abstractNum>
  <w:abstractNum w:abstractNumId="179">
    <w:nsid w:val="159C74CF"/>
    <w:multiLevelType w:val="hybridMultilevel"/>
    <w:lvl w:ilvl="0">
      <w:lvlJc w:val="left"/>
      <w:lvlText w:val="(%1)"/>
      <w:numFmt w:val="lowerLetter"/>
      <w:start w:val="2"/>
    </w:lvl>
  </w:abstractNum>
  <w:abstractNum w:abstractNumId="180">
    <w:nsid w:val="4AD3AFD2"/>
    <w:multiLevelType w:val="hybridMultilevel"/>
    <w:lvl w:ilvl="0">
      <w:lvlJc w:val="left"/>
      <w:lvlText w:val="4"/>
      <w:numFmt w:val="bullet"/>
      <w:start w:val="1"/>
    </w:lvl>
  </w:abstractNum>
  <w:abstractNum w:abstractNumId="181">
    <w:nsid w:val="3CF93092"/>
    <w:multiLevelType w:val="hybridMultilevel"/>
    <w:lvl w:ilvl="0">
      <w:lvlJc w:val="left"/>
      <w:lvlText w:val="(%1)"/>
      <w:numFmt w:val="lowerLetter"/>
      <w:start w:val="2"/>
    </w:lvl>
  </w:abstractNum>
  <w:abstractNum w:abstractNumId="182">
    <w:nsid w:val="6863E8D2"/>
    <w:multiLevelType w:val="hybridMultilevel"/>
    <w:lvl w:ilvl="0">
      <w:lvlJc w:val="left"/>
      <w:lvlText w:val="5"/>
      <w:numFmt w:val="bullet"/>
      <w:start w:val="1"/>
    </w:lvl>
  </w:abstractNum>
  <w:abstractNum w:abstractNumId="183">
    <w:nsid w:val="76896198"/>
    <w:multiLevelType w:val="hybridMultilevel"/>
    <w:lvl w:ilvl="0">
      <w:lvlJc w:val="left"/>
      <w:lvlText w:val="6"/>
      <w:numFmt w:val="bullet"/>
      <w:start w:val="1"/>
    </w:lvl>
  </w:abstractNum>
  <w:abstractNum w:abstractNumId="184">
    <w:nsid w:val="4365174B"/>
    <w:multiLevelType w:val="hybridMultilevel"/>
    <w:lvl w:ilvl="0">
      <w:lvlJc w:val="left"/>
      <w:lvlText w:val="7"/>
      <w:numFmt w:val="bullet"/>
      <w:start w:val="1"/>
    </w:lvl>
  </w:abstractNum>
  <w:abstractNum w:abstractNumId="185">
    <w:nsid w:val="4A872C35"/>
    <w:multiLevelType w:val="hybridMultilevel"/>
    <w:lvl w:ilvl="0">
      <w:lvlJc w:val="left"/>
      <w:lvlText w:val="%1"/>
      <w:numFmt w:val="decimal"/>
      <w:start w:val="10"/>
    </w:lvl>
  </w:abstractNum>
  <w:abstractNum w:abstractNumId="186">
    <w:nsid w:val="5D5CE761"/>
    <w:multiLevelType w:val="hybridMultilevel"/>
    <w:lvl w:ilvl="0">
      <w:lvlJc w:val="left"/>
      <w:lvlText w:val="%1"/>
      <w:numFmt w:val="decimal"/>
      <w:start w:val="10"/>
    </w:lvl>
  </w:abstractNum>
  <w:abstractNum w:abstractNumId="187">
    <w:nsid w:val="1CD484D5"/>
    <w:multiLevelType w:val="hybridMultilevel"/>
    <w:lvl w:ilvl="0">
      <w:lvlJc w:val="left"/>
      <w:lvlText w:val="(%1)"/>
      <w:numFmt w:val="lowerRoman"/>
      <w:start w:val="1"/>
    </w:lvl>
  </w:abstractNum>
  <w:abstractNum w:abstractNumId="188">
    <w:nsid w:val="21D06255"/>
    <w:multiLevelType w:val="hybridMultilevel"/>
    <w:lvl w:ilvl="0">
      <w:lvlJc w:val="left"/>
      <w:lvlText w:val="(%1)"/>
      <w:numFmt w:val="lowerRoman"/>
      <w:start w:val="6"/>
    </w:lvl>
  </w:abstractNum>
  <w:abstractNum w:abstractNumId="189">
    <w:nsid w:val="51194ED1"/>
    <w:multiLevelType w:val="hybridMultilevel"/>
    <w:lvl w:ilvl="0">
      <w:lvlJc w:val="left"/>
      <w:lvlText w:val="%1"/>
      <w:numFmt w:val="decimal"/>
      <w:start w:val="16"/>
    </w:lvl>
  </w:abstractNum>
  <w:abstractNum w:abstractNumId="190">
    <w:nsid w:val="44E2ED6C"/>
    <w:multiLevelType w:val="hybridMultilevel"/>
    <w:lvl w:ilvl="0">
      <w:lvlJc w:val="left"/>
      <w:lvlText w:val="%1"/>
      <w:numFmt w:val="decimal"/>
      <w:start w:val="16"/>
    </w:lvl>
  </w:abstractNum>
  <w:abstractNum w:abstractNumId="191">
    <w:nsid w:val="2219B33"/>
    <w:multiLevelType w:val="hybridMultilevel"/>
    <w:lvl w:ilvl="0">
      <w:lvlJc w:val="left"/>
      <w:lvlText w:val="%1"/>
      <w:numFmt w:val="decimal"/>
      <w:start w:val="16"/>
    </w:lvl>
    <w:lvl w:ilvl="1">
      <w:lvlJc w:val="left"/>
      <w:lvlText w:val="•"/>
      <w:numFmt w:val="bullet"/>
      <w:start w:val="1"/>
    </w:lvl>
  </w:abstractNum>
  <w:abstractNum w:abstractNumId="192">
    <w:nsid w:val="773BFBDD"/>
    <w:multiLevelType w:val="hybridMultilevel"/>
    <w:lvl w:ilvl="0">
      <w:lvlJc w:val="left"/>
      <w:lvlText w:val="%1"/>
      <w:numFmt w:val="decimal"/>
      <w:start w:val="16"/>
    </w:lvl>
  </w:abstractNum>
  <w:abstractNum w:abstractNumId="193">
    <w:nsid w:val="2C7C62C2"/>
    <w:multiLevelType w:val="hybridMultilevel"/>
    <w:lvl w:ilvl="0">
      <w:lvlJc w:val="left"/>
      <w:lvlText w:val="%1"/>
      <w:numFmt w:val="decimal"/>
      <w:start w:val="16"/>
    </w:lvl>
  </w:abstractNum>
  <w:abstractNum w:abstractNumId="194">
    <w:nsid w:val="1A54D7BC"/>
    <w:multiLevelType w:val="hybridMultilevel"/>
    <w:lvl w:ilvl="0">
      <w:lvlJc w:val="left"/>
      <w:lvlText w:val="%1"/>
      <w:numFmt w:val="decimal"/>
      <w:start w:val="16"/>
    </w:lvl>
  </w:abstractNum>
  <w:abstractNum w:abstractNumId="195">
    <w:nsid w:val="42E57EF7"/>
    <w:multiLevelType w:val="hybridMultilevel"/>
    <w:lvl w:ilvl="0">
      <w:lvlJc w:val="left"/>
      <w:lvlText w:val="%1"/>
      <w:numFmt w:val="decimal"/>
      <w:start w:val="16"/>
    </w:lvl>
  </w:abstractNum>
  <w:abstractNum w:abstractNumId="196">
    <w:nsid w:val="33537CED"/>
    <w:multiLevelType w:val="hybridMultilevel"/>
    <w:lvl w:ilvl="0">
      <w:lvlJc w:val="left"/>
      <w:lvlText w:val="%1"/>
      <w:numFmt w:val="decimal"/>
      <w:start w:val="17"/>
    </w:lvl>
  </w:abstractNum>
  <w:abstractNum w:abstractNumId="197">
    <w:nsid w:val="27514ADE"/>
    <w:multiLevelType w:val="hybridMultilevel"/>
    <w:lvl w:ilvl="0">
      <w:lvlJc w:val="left"/>
      <w:lvlText w:val="%1"/>
      <w:numFmt w:val="decimal"/>
      <w:start w:val="17"/>
    </w:lvl>
  </w:abstractNum>
  <w:abstractNum w:abstractNumId="198">
    <w:nsid w:val="57071613"/>
    <w:multiLevelType w:val="hybridMultilevel"/>
    <w:lvl w:ilvl="0">
      <w:lvlJc w:val="left"/>
      <w:lvlText w:val="(%1)"/>
      <w:numFmt w:val="lowerLetter"/>
      <w:start w:val="1"/>
    </w:lvl>
  </w:abstractNum>
  <w:abstractNum w:abstractNumId="199">
    <w:nsid w:val="5293BFEF"/>
    <w:multiLevelType w:val="hybridMultilevel"/>
    <w:lvl w:ilvl="0">
      <w:lvlJc w:val="left"/>
      <w:lvlText w:val="(%1)"/>
      <w:numFmt w:val="lowerRoman"/>
      <w:start w:val="1"/>
    </w:lvl>
  </w:abstractNum>
  <w:abstractNum w:abstractNumId="200">
    <w:nsid w:val="38BF53E5"/>
    <w:multiLevelType w:val="hybridMultilevel"/>
    <w:lvl w:ilvl="0">
      <w:lvlJc w:val="left"/>
      <w:lvlText w:val="(%1)"/>
      <w:numFmt w:val="lowerLetter"/>
      <w:start w:val="1"/>
    </w:lvl>
    <w:lvl w:ilvl="1">
      <w:lvlJc w:val="left"/>
      <w:lvlText w:val="(%2)"/>
      <w:numFmt w:val="lowerRoman"/>
      <w:start w:val="3"/>
    </w:lvl>
  </w:abstractNum>
  <w:abstractNum w:abstractNumId="201">
    <w:nsid w:val="226F5320"/>
    <w:multiLevelType w:val="hybridMultilevel"/>
    <w:lvl w:ilvl="0">
      <w:lvlJc w:val="left"/>
      <w:lvlText w:val="(%1)"/>
      <w:numFmt w:val="lowerLetter"/>
      <w:start w:val="1"/>
    </w:lvl>
  </w:abstractNum>
  <w:abstractNum w:abstractNumId="202">
    <w:nsid w:val="5A0201C7"/>
    <w:multiLevelType w:val="hybridMultilevel"/>
    <w:lvl w:ilvl="0">
      <w:lvlJc w:val="left"/>
      <w:lvlText w:val="(%1)"/>
      <w:numFmt w:val="lowerLetter"/>
      <w:start w:val="1"/>
    </w:lvl>
  </w:abstractNum>
  <w:abstractNum w:abstractNumId="203">
    <w:nsid w:val="2A9C34E2"/>
    <w:multiLevelType w:val="hybridMultilevel"/>
    <w:lvl w:ilvl="0">
      <w:lvlJc w:val="left"/>
      <w:lvlText w:val="%1"/>
      <w:numFmt w:val="lowerLetter"/>
      <w:start w:val="1"/>
    </w:lvl>
    <w:lvl w:ilvl="1">
      <w:lvlJc w:val="left"/>
      <w:lvlText w:val="(%2)"/>
      <w:numFmt w:val="lowerRoman"/>
      <w:start w:val="1"/>
    </w:lvl>
  </w:abstractNum>
  <w:abstractNum w:abstractNumId="204">
    <w:nsid w:val="1B7585AB"/>
    <w:multiLevelType w:val="hybridMultilevel"/>
    <w:lvl w:ilvl="0">
      <w:lvlJc w:val="left"/>
      <w:lvlText w:val="(%1)"/>
      <w:numFmt w:val="lowerLetter"/>
      <w:start w:val="2"/>
    </w:lvl>
    <w:lvl w:ilvl="1">
      <w:lvlJc w:val="left"/>
      <w:lvlText w:val="%2"/>
      <w:numFmt w:val="lowerRoman"/>
      <w:start w:val="1"/>
    </w:lvl>
  </w:abstractNum>
  <w:abstractNum w:abstractNumId="205">
    <w:nsid w:val="612DBDDD"/>
    <w:multiLevelType w:val="hybridMultilevel"/>
    <w:lvl w:ilvl="0">
      <w:lvlJc w:val="left"/>
      <w:lvlText w:val="(%1)"/>
      <w:numFmt w:val="lowerLetter"/>
      <w:start w:val="3"/>
    </w:lvl>
  </w:abstractNum>
  <w:abstractNum w:abstractNumId="206">
    <w:nsid w:val="2109CDA4"/>
    <w:multiLevelType w:val="hybridMultilevel"/>
    <w:lvl w:ilvl="0">
      <w:lvlJc w:val="left"/>
      <w:lvlText w:val="(%1)"/>
      <w:numFmt w:val="lowerRoman"/>
      <w:start w:val="1"/>
    </w:lvl>
  </w:abstractNum>
  <w:abstractNum w:abstractNumId="207">
    <w:nsid w:val="577F5A4D"/>
    <w:multiLevelType w:val="hybridMultilevel"/>
    <w:lvl w:ilvl="0">
      <w:lvlJc w:val="left"/>
      <w:lvlText w:val="(%1)"/>
      <w:numFmt w:val="lowerRoman"/>
      <w:start w:val="3"/>
    </w:lvl>
  </w:abstractNum>
  <w:abstractNum w:abstractNumId="208">
    <w:nsid w:val="2121A81"/>
    <w:multiLevelType w:val="hybridMultilevel"/>
    <w:lvl w:ilvl="0">
      <w:lvlJc w:val="left"/>
      <w:lvlText w:val="(%1)"/>
      <w:numFmt w:val="lowerLetter"/>
      <w:start w:val="1"/>
    </w:lvl>
  </w:abstractNum>
  <w:abstractNum w:abstractNumId="209">
    <w:nsid w:val="6C2CFC88"/>
    <w:multiLevelType w:val="hybridMultilevel"/>
    <w:lvl w:ilvl="0">
      <w:lvlJc w:val="left"/>
      <w:lvlText w:val="(%1)"/>
      <w:numFmt w:val="lowerRoman"/>
      <w:start w:val="3"/>
    </w:lvl>
  </w:abstractNum>
  <w:abstractNum w:abstractNumId="210">
    <w:nsid w:val="6D1BCF1C"/>
    <w:multiLevelType w:val="hybridMultilevel"/>
    <w:lvl w:ilvl="0">
      <w:lvlJc w:val="left"/>
      <w:lvlText w:val="(%1)"/>
      <w:numFmt w:val="lowerRoman"/>
      <w:start w:val="1"/>
    </w:lvl>
  </w:abstractNum>
  <w:abstractNum w:abstractNumId="211">
    <w:nsid w:val="4CE5CA53"/>
    <w:multiLevelType w:val="hybridMultilevel"/>
    <w:lvl w:ilvl="0">
      <w:lvlJc w:val="left"/>
      <w:lvlText w:val="(%1)"/>
      <w:numFmt w:val="lowerLetter"/>
      <w:start w:val="1"/>
    </w:lvl>
  </w:abstractNum>
  <w:abstractNum w:abstractNumId="212">
    <w:nsid w:val="29262D1A"/>
    <w:multiLevelType w:val="hybridMultilevel"/>
    <w:lvl w:ilvl="0">
      <w:lvlJc w:val="left"/>
      <w:lvlText w:val="(%1)"/>
      <w:numFmt w:val="lowerLetter"/>
      <w:start w:val="2"/>
    </w:lvl>
  </w:abstractNum>
  <w:abstractNum w:abstractNumId="213">
    <w:nsid w:val="557FB7EE"/>
    <w:multiLevelType w:val="hybridMultilevel"/>
    <w:lvl w:ilvl="0">
      <w:lvlJc w:val="left"/>
      <w:lvlText w:val="(%1)"/>
      <w:numFmt w:val="lowerLetter"/>
      <w:start w:val="2"/>
    </w:lvl>
  </w:abstractNum>
  <w:abstractNum w:abstractNumId="214">
    <w:nsid w:val="436F2BEB"/>
    <w:multiLevelType w:val="hybridMultilevel"/>
    <w:lvl w:ilvl="0">
      <w:lvlJc w:val="left"/>
      <w:lvlText w:val="%1"/>
      <w:numFmt w:val="decimal"/>
      <w:start w:val="24"/>
    </w:lvl>
  </w:abstractNum>
  <w:abstractNum w:abstractNumId="215">
    <w:nsid w:val="6C8B4466"/>
    <w:multiLevelType w:val="hybridMultilevel"/>
    <w:lvl w:ilvl="0">
      <w:lvlJc w:val="left"/>
      <w:lvlText w:val="(%1)"/>
      <w:numFmt w:val="lowerLetter"/>
      <w:start w:val="1"/>
    </w:lvl>
  </w:abstractNum>
  <w:abstractNum w:abstractNumId="216">
    <w:nsid w:val="2006E424"/>
    <w:multiLevelType w:val="hybridMultilevel"/>
    <w:lvl w:ilvl="0">
      <w:lvlJc w:val="left"/>
      <w:lvlText w:val="(%1)"/>
      <w:numFmt w:val="lowerLetter"/>
      <w:start w:val="2"/>
    </w:lvl>
  </w:abstractNum>
  <w:abstractNum w:abstractNumId="217">
    <w:nsid w:val="20CC134C"/>
    <w:multiLevelType w:val="hybridMultilevel"/>
    <w:lvl w:ilvl="0">
      <w:lvlJc w:val="left"/>
      <w:lvlText w:val="%1"/>
      <w:numFmt w:val="decimal"/>
      <w:start w:val="26"/>
    </w:lvl>
  </w:abstractNum>
  <w:abstractNum w:abstractNumId="218">
    <w:nsid w:val="95FC93B"/>
    <w:multiLevelType w:val="hybridMultilevel"/>
    <w:lvl w:ilvl="0">
      <w:lvlJc w:val="left"/>
      <w:lvlText w:val="%1"/>
      <w:numFmt w:val="decimal"/>
      <w:start w:val="26"/>
    </w:lvl>
  </w:abstractNum>
  <w:abstractNum w:abstractNumId="219">
    <w:nsid w:val="41D74679"/>
    <w:multiLevelType w:val="hybridMultilevel"/>
    <w:lvl w:ilvl="0">
      <w:lvlJc w:val="left"/>
      <w:lvlText w:val="1"/>
      <w:numFmt w:val="bullet"/>
      <w:start w:val="1"/>
    </w:lvl>
  </w:abstractNum>
  <w:abstractNum w:abstractNumId="220">
    <w:nsid w:val="71E5621E"/>
    <w:multiLevelType w:val="hybridMultilevel"/>
    <w:lvl w:ilvl="0">
      <w:lvlJc w:val="left"/>
      <w:lvlText w:val="(%1)"/>
      <w:numFmt w:val="lowerLetter"/>
      <w:start w:val="1"/>
    </w:lvl>
  </w:abstractNum>
  <w:abstractNum w:abstractNumId="221">
    <w:nsid w:val="4E42B6A8"/>
    <w:multiLevelType w:val="hybridMultilevel"/>
    <w:lvl w:ilvl="0">
      <w:lvlJc w:val="left"/>
      <w:lvlText w:val="(%1)"/>
      <w:numFmt w:val="lowerLetter"/>
      <w:start w:val="2"/>
    </w:lvl>
  </w:abstractNum>
  <w:abstractNum w:abstractNumId="222">
    <w:nsid w:val="43F8E1AC"/>
    <w:multiLevelType w:val="hybridMultilevel"/>
    <w:lvl w:ilvl="0">
      <w:lvlJc w:val="left"/>
      <w:lvlText w:val="1"/>
      <w:numFmt w:val="bullet"/>
      <w:start w:val="1"/>
    </w:lvl>
  </w:abstractNum>
  <w:abstractNum w:abstractNumId="223">
    <w:nsid w:val="69215DFB"/>
    <w:multiLevelType w:val="hybridMultilevel"/>
    <w:lvl w:ilvl="0">
      <w:lvlJc w:val="left"/>
      <w:lvlText w:val="(%1)"/>
      <w:numFmt w:val="lowerLetter"/>
      <w:start w:val="2"/>
    </w:lvl>
  </w:abstractNum>
  <w:abstractNum w:abstractNumId="224">
    <w:nsid w:val="7ABF196A"/>
    <w:multiLevelType w:val="hybridMultilevel"/>
    <w:lvl w:ilvl="0">
      <w:lvlJc w:val="left"/>
      <w:lvlText w:val="•"/>
      <w:numFmt w:val="bullet"/>
      <w:start w:val="1"/>
    </w:lvl>
  </w:abstractNum>
  <w:abstractNum w:abstractNumId="225">
    <w:nsid w:val="5E4DB968"/>
    <w:multiLevelType w:val="hybridMultilevel"/>
    <w:lvl w:ilvl="0">
      <w:lvlJc w:val="left"/>
      <w:lvlText w:val="•"/>
      <w:numFmt w:val="bullet"/>
      <w:start w:val="1"/>
    </w:lvl>
  </w:abstractNum>
  <w:abstractNum w:abstractNumId="226">
    <w:nsid w:val="2C06DCF3"/>
    <w:multiLevelType w:val="hybridMultilevel"/>
    <w:lvl w:ilvl="0">
      <w:lvlJc w:val="left"/>
      <w:lvlText w:val="•"/>
      <w:numFmt w:val="bullet"/>
      <w:start w:val="1"/>
    </w:lvl>
  </w:abstractNum>
  <w:abstractNum w:abstractNumId="227">
    <w:nsid w:val="2E129658"/>
    <w:multiLevelType w:val="hybridMultilevel"/>
    <w:lvl w:ilvl="0">
      <w:lvlJc w:val="left"/>
      <w:lvlText w:val="1"/>
      <w:numFmt w:val="bullet"/>
      <w:start w:val="1"/>
    </w:lvl>
  </w:abstractNum>
  <w:abstractNum w:abstractNumId="228">
    <w:nsid w:val="59F0446"/>
    <w:multiLevelType w:val="hybridMultilevel"/>
    <w:lvl w:ilvl="0">
      <w:lvlJc w:val="left"/>
      <w:lvlText w:val="(%1)"/>
      <w:numFmt w:val="lowerLetter"/>
      <w:start w:val="3"/>
    </w:lvl>
  </w:abstractNum>
  <w:abstractNum w:abstractNumId="229">
    <w:nsid w:val="30DF306"/>
    <w:multiLevelType w:val="hybridMultilevel"/>
    <w:lvl w:ilvl="0">
      <w:lvlJc w:val="left"/>
      <w:lvlText w:val="•"/>
      <w:numFmt w:val="bullet"/>
      <w:start w:val="1"/>
    </w:lvl>
  </w:abstractNum>
  <w:abstractNum w:abstractNumId="230">
    <w:nsid w:val="A65647"/>
    <w:multiLevelType w:val="hybridMultilevel"/>
    <w:lvl w:ilvl="0">
      <w:lvlJc w:val="left"/>
      <w:lvlText w:val="•"/>
      <w:numFmt w:val="bullet"/>
      <w:start w:val="1"/>
    </w:lvl>
  </w:abstractNum>
  <w:abstractNum w:abstractNumId="231">
    <w:nsid w:val="3E5E582B"/>
    <w:multiLevelType w:val="hybridMultilevel"/>
    <w:lvl w:ilvl="0">
      <w:lvlJc w:val="left"/>
      <w:lvlText w:val="1"/>
      <w:numFmt w:val="bullet"/>
      <w:start w:val="1"/>
    </w:lvl>
  </w:abstractNum>
  <w:abstractNum w:abstractNumId="232">
    <w:nsid w:val="257D4626"/>
    <w:multiLevelType w:val="hybridMultilevel"/>
    <w:lvl w:ilvl="0">
      <w:lvlJc w:val="left"/>
      <w:lvlText w:val="(%1)"/>
      <w:numFmt w:val="lowerLetter"/>
      <w:start w:val="3"/>
    </w:lvl>
  </w:abstractNum>
  <w:abstractNum w:abstractNumId="233">
    <w:nsid w:val="5AA8580E"/>
    <w:multiLevelType w:val="hybridMultilevel"/>
    <w:lvl w:ilvl="0">
      <w:lvlJc w:val="left"/>
      <w:lvlText w:val="2"/>
      <w:numFmt w:val="bullet"/>
      <w:start w:val="1"/>
    </w:lvl>
  </w:abstractNum>
  <w:abstractNum w:abstractNumId="234">
    <w:nsid w:val="68FA8D0D"/>
    <w:multiLevelType w:val="hybridMultilevel"/>
    <w:lvl w:ilvl="0">
      <w:lvlJc w:val="left"/>
      <w:lvlText w:val="(%1)"/>
      <w:numFmt w:val="lowerLetter"/>
      <w:start w:val="1"/>
    </w:lvl>
  </w:abstractNum>
  <w:abstractNum w:abstractNumId="235">
    <w:nsid w:val="40F2CBD2"/>
    <w:multiLevelType w:val="hybridMultilevel"/>
    <w:lvl w:ilvl="0">
      <w:lvlJc w:val="left"/>
      <w:lvlText w:val="2"/>
      <w:numFmt w:val="bullet"/>
      <w:start w:val="1"/>
    </w:lvl>
  </w:abstractNum>
  <w:abstractNum w:abstractNumId="236">
    <w:nsid w:val="3BD615EB"/>
    <w:multiLevelType w:val="hybridMultilevel"/>
    <w:lvl w:ilvl="0">
      <w:lvlJc w:val="left"/>
      <w:lvlText w:val="(%1)"/>
      <w:numFmt w:val="lowerLetter"/>
      <w:start w:val="3"/>
    </w:lvl>
  </w:abstractNum>
  <w:abstractNum w:abstractNumId="237">
    <w:nsid w:val="A045AB2"/>
    <w:multiLevelType w:val="hybridMultilevel"/>
    <w:lvl w:ilvl="0">
      <w:lvlJc w:val="left"/>
      <w:lvlText w:val="2"/>
      <w:numFmt w:val="bullet"/>
      <w:start w:val="1"/>
    </w:lvl>
  </w:abstractNum>
  <w:abstractNum w:abstractNumId="238">
    <w:nsid w:val="1872261F"/>
    <w:multiLevelType w:val="hybridMultilevel"/>
    <w:lvl w:ilvl="0">
      <w:lvlJc w:val="left"/>
      <w:lvlText w:val="(%1)"/>
      <w:numFmt w:val="lowerLetter"/>
      <w:start w:val="5"/>
    </w:lvl>
  </w:abstractNum>
  <w:abstractNum w:abstractNumId="239">
    <w:nsid w:val="3DE8306C"/>
    <w:multiLevelType w:val="hybridMultilevel"/>
    <w:lvl w:ilvl="0">
      <w:lvlJc w:val="left"/>
      <w:lvlText w:val="2"/>
      <w:numFmt w:val="bullet"/>
      <w:start w:val="1"/>
    </w:lvl>
  </w:abstractNum>
  <w:abstractNum w:abstractNumId="240">
    <w:nsid w:val="7631573A"/>
    <w:multiLevelType w:val="hybridMultilevel"/>
    <w:lvl w:ilvl="0">
      <w:lvlJc w:val="left"/>
      <w:lvlText w:val="(%1)"/>
      <w:numFmt w:val="lowerLetter"/>
      <w:start w:val="8"/>
    </w:lvl>
  </w:abstractNum>
  <w:abstractNum w:abstractNumId="241">
    <w:nsid w:val="58DF53B"/>
    <w:multiLevelType w:val="hybridMultilevel"/>
    <w:lvl w:ilvl="0">
      <w:lvlJc w:val="left"/>
      <w:lvlText w:val="2"/>
      <w:numFmt w:val="bullet"/>
      <w:start w:val="1"/>
    </w:lvl>
  </w:abstractNum>
  <w:abstractNum w:abstractNumId="242">
    <w:nsid w:val="ACDFAC0"/>
    <w:multiLevelType w:val="hybridMultilevel"/>
    <w:lvl w:ilvl="0">
      <w:lvlJc w:val="left"/>
      <w:lvlText w:val="(%1)"/>
      <w:numFmt w:val="lowerLetter"/>
      <w:start w:val="11"/>
    </w:lvl>
  </w:abstractNum>
  <w:abstractNum w:abstractNumId="243">
    <w:nsid w:val="1F578454"/>
    <w:multiLevelType w:val="hybridMultilevel"/>
    <w:lvl w:ilvl="0">
      <w:lvlJc w:val="left"/>
      <w:lvlText w:val="2"/>
      <w:numFmt w:val="bullet"/>
      <w:start w:val="1"/>
    </w:lvl>
  </w:abstractNum>
  <w:abstractNum w:abstractNumId="244">
    <w:nsid w:val="5B0DAD2A"/>
    <w:multiLevelType w:val="hybridMultilevel"/>
    <w:lvl w:ilvl="0">
      <w:lvlJc w:val="left"/>
      <w:lvlText w:val="(%1)"/>
      <w:numFmt w:val="lowerLetter"/>
      <w:start w:val="13"/>
    </w:lvl>
  </w:abstractNum>
  <w:abstractNum w:abstractNumId="245">
    <w:nsid w:val="4E3D26AB"/>
    <w:multiLevelType w:val="hybridMultilevel"/>
    <w:lvl w:ilvl="0">
      <w:lvlJc w:val="left"/>
      <w:lvlText w:val="(%1)"/>
      <w:numFmt w:val="lowerLetter"/>
      <w:start w:val="15"/>
    </w:lvl>
  </w:abstractNum>
  <w:abstractNum w:abstractNumId="246">
    <w:nsid w:val="BE2C8BA"/>
    <w:multiLevelType w:val="hybridMultilevel"/>
    <w:lvl w:ilvl="0">
      <w:lvlJc w:val="left"/>
      <w:lvlText w:val="2"/>
      <w:numFmt w:val="bullet"/>
      <w:start w:val="1"/>
    </w:lvl>
  </w:abstractNum>
  <w:abstractNum w:abstractNumId="247">
    <w:nsid w:val="7B14914E"/>
    <w:multiLevelType w:val="hybridMultilevel"/>
    <w:lvl w:ilvl="0">
      <w:lvlJc w:val="left"/>
      <w:lvlText w:val="(%1)"/>
      <w:numFmt w:val="lowerLetter"/>
      <w:start w:val="18"/>
    </w:lvl>
  </w:abstractNum>
  <w:abstractNum w:abstractNumId="248">
    <w:nsid w:val="6F0939F8"/>
    <w:multiLevelType w:val="hybridMultilevel"/>
    <w:lvl w:ilvl="0">
      <w:lvlJc w:val="left"/>
      <w:lvlText w:val="2"/>
      <w:numFmt w:val="bullet"/>
      <w:start w:val="1"/>
    </w:lvl>
  </w:abstractNum>
  <w:abstractNum w:abstractNumId="249">
    <w:nsid w:val="154291F6"/>
    <w:multiLevelType w:val="hybridMultilevel"/>
    <w:lvl w:ilvl="0">
      <w:lvlJc w:val="left"/>
      <w:lvlText w:val="(%1)"/>
      <w:numFmt w:val="lowerLetter"/>
      <w:start w:val="20"/>
    </w:lvl>
  </w:abstractNum>
  <w:abstractNum w:abstractNumId="250">
    <w:nsid w:val="3CEBD7C7"/>
    <w:multiLevelType w:val="hybridMultilevel"/>
    <w:lvl w:ilvl="0">
      <w:lvlJc w:val="left"/>
      <w:lvlText w:val="2"/>
      <w:numFmt w:val="bullet"/>
      <w:start w:val="1"/>
    </w:lvl>
  </w:abstractNum>
  <w:abstractNum w:abstractNumId="251">
    <w:nsid w:val="60EE9C16"/>
    <w:multiLevelType w:val="hybridMultilevel"/>
    <w:lvl w:ilvl="0">
      <w:lvlJc w:val="left"/>
      <w:lvlText w:val="(%1)"/>
      <w:numFmt w:val="lowerLetter"/>
      <w:start w:val="22"/>
    </w:lvl>
  </w:abstractNum>
  <w:abstractNum w:abstractNumId="252">
    <w:nsid w:val="6385489E"/>
    <w:multiLevelType w:val="hybridMultilevel"/>
    <w:lvl w:ilvl="0">
      <w:lvlJc w:val="left"/>
      <w:lvlText w:val="2"/>
      <w:numFmt w:val="bullet"/>
      <w:start w:val="1"/>
    </w:lvl>
  </w:abstractNum>
  <w:abstractNum w:abstractNumId="253">
    <w:nsid w:val="E4B973"/>
    <w:multiLevelType w:val="hybridMultilevel"/>
    <w:lvl w:ilvl="0">
      <w:lvlJc w:val="left"/>
      <w:lvlText w:val="(%1)"/>
      <w:numFmt w:val="lowerLetter"/>
      <w:start w:val="26"/>
    </w:lvl>
  </w:abstractNum>
  <w:abstractNum w:abstractNumId="254">
    <w:nsid w:val="4A0FFA11"/>
    <w:multiLevelType w:val="hybridMultilevel"/>
    <w:lvl w:ilvl="0">
      <w:lvlJc w:val="left"/>
      <w:lvlText w:val="2"/>
      <w:numFmt w:val="bullet"/>
      <w:start w:val="1"/>
    </w:lvl>
  </w:abstractNum>
  <w:abstractNum w:abstractNumId="255">
    <w:nsid w:val="5E446208"/>
    <w:multiLevelType w:val="hybridMultilevel"/>
    <w:lvl w:ilvl="0">
      <w:lvlJc w:val="left"/>
      <w:lvlText w:val="(%1)"/>
      <w:numFmt w:val="lowerLetter"/>
      <w:start w:val="26"/>
    </w:lvl>
  </w:abstractNum>
  <w:abstractNum w:abstractNumId="256">
    <w:nsid w:val="5F3272DB"/>
    <w:multiLevelType w:val="hybridMultilevel"/>
    <w:lvl w:ilvl="0">
      <w:lvlJc w:val="left"/>
      <w:lvlText w:val="2"/>
      <w:numFmt w:val="bullet"/>
      <w:start w:val="1"/>
    </w:lvl>
  </w:abstractNum>
  <w:abstractNum w:abstractNumId="257">
    <w:nsid w:val="7616D704"/>
    <w:multiLevelType w:val="hybridMultilevel"/>
    <w:lvl w:ilvl="0">
      <w:lvlJc w:val="left"/>
      <w:lvlText w:val="(%1)"/>
      <w:numFmt w:val="lowerLetter"/>
      <w:start w:val="26"/>
    </w:lvl>
  </w:abstractNum>
  <w:abstractNum w:abstractNumId="258">
    <w:nsid w:val="C56F860"/>
    <w:multiLevelType w:val="hybridMultilevel"/>
    <w:lvl w:ilvl="0">
      <w:lvlJc w:val="left"/>
      <w:lvlText w:val="3"/>
      <w:numFmt w:val="bullet"/>
      <w:start w:val="1"/>
    </w:lvl>
  </w:abstractNum>
  <w:abstractNum w:abstractNumId="259">
    <w:nsid w:val="64D17722"/>
    <w:multiLevelType w:val="hybridMultilevel"/>
    <w:lvl w:ilvl="0">
      <w:lvlJc w:val="left"/>
      <w:lvlText w:val="(%1)"/>
      <w:numFmt w:val="lowerLetter"/>
      <w:start w:val="1"/>
    </w:lvl>
    <w:lvl w:ilvl="1">
      <w:lvlJc w:val="left"/>
      <w:lvlText w:val="•"/>
      <w:numFmt w:val="bullet"/>
      <w:start w:val="1"/>
    </w:lvl>
  </w:abstractNum>
  <w:abstractNum w:abstractNumId="260">
    <w:nsid w:val="7924CA0A"/>
    <w:multiLevelType w:val="hybridMultilevel"/>
    <w:lvl w:ilvl="0">
      <w:lvlJc w:val="left"/>
      <w:lvlText w:val="3"/>
      <w:numFmt w:val="bullet"/>
      <w:start w:val="1"/>
    </w:lvl>
  </w:abstractNum>
  <w:abstractNum w:abstractNumId="261">
    <w:nsid w:val="CFD4EA7"/>
    <w:multiLevelType w:val="hybridMultilevel"/>
    <w:lvl w:ilvl="0">
      <w:lvlJc w:val="left"/>
      <w:lvlText w:val="(%1)"/>
      <w:numFmt w:val="lowerLetter"/>
      <w:start w:val="1"/>
    </w:lvl>
  </w:abstractNum>
  <w:abstractNum w:abstractNumId="262">
    <w:nsid w:val="232FCF4D"/>
    <w:multiLevelType w:val="hybridMultilevel"/>
    <w:lvl w:ilvl="0">
      <w:lvlJc w:val="left"/>
      <w:lvlText w:val="•"/>
      <w:numFmt w:val="bullet"/>
      <w:start w:val="1"/>
    </w:lvl>
  </w:abstractNum>
  <w:abstractNum w:abstractNumId="263">
    <w:nsid w:val="1EA21031"/>
    <w:multiLevelType w:val="hybridMultilevel"/>
    <w:lvl w:ilvl="0">
      <w:lvlJc w:val="left"/>
      <w:lvlText w:val="3"/>
      <w:numFmt w:val="bullet"/>
      <w:start w:val="1"/>
    </w:lvl>
  </w:abstractNum>
  <w:abstractNum w:abstractNumId="264">
    <w:nsid w:val="67A5A6B5"/>
    <w:multiLevelType w:val="hybridMultilevel"/>
    <w:lvl w:ilvl="0">
      <w:lvlJc w:val="left"/>
      <w:lvlText w:val="(%1)"/>
      <w:numFmt w:val="lowerLetter"/>
      <w:start w:val="1"/>
    </w:lvl>
  </w:abstractNum>
  <w:abstractNum w:abstractNumId="265">
    <w:nsid w:val="C2A5C5B"/>
    <w:multiLevelType w:val="hybridMultilevel"/>
    <w:lvl w:ilvl="0">
      <w:lvlJc w:val="left"/>
      <w:lvlText w:val="3"/>
      <w:numFmt w:val="bullet"/>
      <w:start w:val="1"/>
    </w:lvl>
  </w:abstractNum>
  <w:abstractNum w:abstractNumId="266">
    <w:nsid w:val="5F94DC03"/>
    <w:multiLevelType w:val="hybridMultilevel"/>
    <w:lvl w:ilvl="0">
      <w:lvlJc w:val="left"/>
      <w:lvlText w:val="(%1)"/>
      <w:numFmt w:val="lowerLetter"/>
      <w:start w:val="2"/>
    </w:lvl>
  </w:abstractNum>
  <w:abstractNum w:abstractNumId="267">
    <w:nsid w:val="237BBCA0"/>
    <w:multiLevelType w:val="hybridMultilevel"/>
    <w:lvl w:ilvl="0">
      <w:lvlJc w:val="left"/>
      <w:lvlText w:val="(%1)"/>
      <w:numFmt w:val="lowerRoman"/>
      <w:start w:val="1"/>
    </w:lvl>
  </w:abstractNum>
  <w:abstractNum w:abstractNumId="268">
    <w:nsid w:val="162EB70D"/>
    <w:multiLevelType w:val="hybridMultilevel"/>
    <w:lvl w:ilvl="0">
      <w:lvlJc w:val="left"/>
      <w:lvlText w:val="(%1)"/>
      <w:numFmt w:val="lowerRoman"/>
      <w:start w:val="2"/>
    </w:lvl>
  </w:abstractNum>
  <w:abstractNum w:abstractNumId="269">
    <w:nsid w:val="78070222"/>
    <w:multiLevelType w:val="hybridMultilevel"/>
    <w:lvl w:ilvl="0">
      <w:lvlJc w:val="left"/>
      <w:lvlText w:val="3"/>
      <w:numFmt w:val="bullet"/>
      <w:start w:val="1"/>
    </w:lvl>
  </w:abstractNum>
  <w:abstractNum w:abstractNumId="270">
    <w:nsid w:val="6163ED0D"/>
    <w:multiLevelType w:val="hybridMultilevel"/>
    <w:lvl w:ilvl="0">
      <w:lvlJc w:val="left"/>
      <w:lvlText w:val="(%1)"/>
      <w:numFmt w:val="lowerLetter"/>
      <w:start w:val="3"/>
    </w:lvl>
  </w:abstractNum>
  <w:abstractNum w:abstractNumId="271">
    <w:nsid w:val="C600E47"/>
    <w:multiLevelType w:val="hybridMultilevel"/>
    <w:lvl w:ilvl="0">
      <w:lvlJc w:val="left"/>
      <w:lvlText w:val="4"/>
      <w:numFmt w:val="bullet"/>
      <w:start w:val="1"/>
    </w:lvl>
  </w:abstractNum>
  <w:abstractNum w:abstractNumId="272">
    <w:nsid w:val="7D94F75D"/>
    <w:multiLevelType w:val="hybridMultilevel"/>
    <w:lvl w:ilvl="0">
      <w:lvlJc w:val="left"/>
      <w:lvlText w:val="6"/>
      <w:numFmt w:val="bullet"/>
      <w:start w:val="1"/>
    </w:lvl>
  </w:abstractNum>
  <w:abstractNum w:abstractNumId="273">
    <w:nsid w:val="6C31E7CD"/>
    <w:multiLevelType w:val="hybridMultilevel"/>
    <w:lvl w:ilvl="0">
      <w:lvlJc w:val="left"/>
      <w:lvlText w:val="7"/>
      <w:numFmt w:val="bullet"/>
      <w:start w:val="1"/>
    </w:lvl>
  </w:abstractNum>
  <w:abstractNum w:abstractNumId="274">
    <w:nsid w:val="2BB7929B"/>
    <w:multiLevelType w:val="hybridMultilevel"/>
    <w:lvl w:ilvl="0">
      <w:lvlJc w:val="left"/>
      <w:lvlText w:val="8"/>
      <w:numFmt w:val="bullet"/>
      <w:start w:val="1"/>
    </w:lvl>
  </w:abstractNum>
  <w:abstractNum w:abstractNumId="275">
    <w:nsid w:val="58A2A487"/>
    <w:multiLevelType w:val="hybridMultilevel"/>
    <w:lvl w:ilvl="0">
      <w:lvlJc w:val="left"/>
      <w:lvlText w:val="9"/>
      <w:numFmt w:val="bullet"/>
      <w:start w:val="1"/>
    </w:lvl>
  </w:abstractNum>
  <w:abstractNum w:abstractNumId="276">
    <w:nsid w:val="3A6F0E78"/>
    <w:multiLevelType w:val="hybridMultilevel"/>
    <w:lvl w:ilvl="0">
      <w:lvlJc w:val="left"/>
      <w:lvlText w:val="%1"/>
      <w:numFmt w:val="decimal"/>
      <w:start w:val="10"/>
    </w:lvl>
  </w:abstractNum>
  <w:abstractNum w:abstractNumId="277">
    <w:nsid w:val="379A5B56"/>
    <w:multiLevelType w:val="hybridMultilevel"/>
    <w:lvl w:ilvl="0">
      <w:lvlJc w:val="left"/>
      <w:lvlText w:val="%1"/>
      <w:numFmt w:val="decimal"/>
      <w:start w:val="10"/>
    </w:lvl>
  </w:abstractNum>
  <w:abstractNum w:abstractNumId="278">
    <w:nsid w:val="53B735D5"/>
    <w:multiLevelType w:val="hybridMultilevel"/>
    <w:lvl w:ilvl="0">
      <w:lvlJc w:val="left"/>
      <w:lvlText w:val="%1"/>
      <w:numFmt w:val="decimal"/>
      <w:start w:val="12"/>
    </w:lvl>
  </w:abstractNum>
  <w:abstractNum w:abstractNumId="279">
    <w:nsid w:val="29784870"/>
    <w:multiLevelType w:val="hybridMultilevel"/>
    <w:lvl w:ilvl="0">
      <w:lvlJc w:val="left"/>
      <w:lvlText w:val="%1"/>
      <w:numFmt w:val="decimal"/>
      <w:start w:val="12"/>
    </w:lvl>
  </w:abstractNum>
  <w:abstractNum w:abstractNumId="280">
    <w:nsid w:val="4CDCED4C"/>
    <w:multiLevelType w:val="hybridMultilevel"/>
    <w:lvl w:ilvl="0">
      <w:lvlJc w:val="left"/>
      <w:lvlText w:val="(%1)"/>
      <w:numFmt w:val="lowerLetter"/>
      <w:start w:val="1"/>
    </w:lvl>
  </w:abstractNum>
  <w:abstractNum w:abstractNumId="281">
    <w:nsid w:val="10A30D9C"/>
    <w:multiLevelType w:val="hybridMultilevel"/>
    <w:lvl w:ilvl="0">
      <w:lvlJc w:val="left"/>
      <w:lvlText w:val="(%1)"/>
      <w:numFmt w:val="lowerLetter"/>
      <w:start w:val="1"/>
    </w:lvl>
  </w:abstractNum>
  <w:abstractNum w:abstractNumId="282">
    <w:nsid w:val="A66E486"/>
    <w:multiLevelType w:val="hybridMultilevel"/>
    <w:lvl w:ilvl="0">
      <w:lvlJc w:val="left"/>
      <w:lvlText w:val="(%1)"/>
      <w:numFmt w:val="lowerRoman"/>
      <w:start w:val="1"/>
    </w:lvl>
  </w:abstractNum>
  <w:abstractNum w:abstractNumId="283">
    <w:nsid w:val="306235EA"/>
    <w:multiLevelType w:val="hybridMultilevel"/>
    <w:lvl w:ilvl="0">
      <w:lvlJc w:val="left"/>
      <w:lvlText w:val="(%1)"/>
      <w:numFmt w:val="lowerLetter"/>
      <w:start w:val="1"/>
    </w:lvl>
    <w:lvl w:ilvl="1">
      <w:lvlJc w:val="left"/>
      <w:lvlText w:val="(%2)"/>
      <w:numFmt w:val="lowerRoman"/>
      <w:start w:val="7"/>
    </w:lvl>
  </w:abstractNum>
  <w:abstractNum w:abstractNumId="284">
    <w:nsid w:val="1187C70F"/>
    <w:multiLevelType w:val="hybridMultilevel"/>
    <w:lvl w:ilvl="0">
      <w:lvlJc w:val="left"/>
      <w:lvlText w:val="(%1)"/>
      <w:numFmt w:val="lowerLetter"/>
      <w:start w:val="1"/>
    </w:lvl>
    <w:lvl w:ilvl="1">
      <w:lvlJc w:val="left"/>
      <w:lvlText w:val="(%2)"/>
      <w:numFmt w:val="lowerRoman"/>
      <w:start w:val="18"/>
    </w:lvl>
  </w:abstractNum>
  <w:abstractNum w:abstractNumId="285">
    <w:nsid w:val="5476DE98"/>
    <w:multiLevelType w:val="hybridMultilevel"/>
    <w:lvl w:ilvl="0">
      <w:lvlJc w:val="left"/>
      <w:lvlText w:val="(%1)"/>
      <w:numFmt w:val="lowerLetter"/>
      <w:start w:val="1"/>
    </w:lvl>
  </w:abstractNum>
  <w:abstractNum w:abstractNumId="286">
    <w:nsid w:val="EA697F2"/>
    <w:multiLevelType w:val="hybridMultilevel"/>
    <w:lvl w:ilvl="0">
      <w:lvlJc w:val="left"/>
      <w:lvlText w:val="(%1)"/>
      <w:numFmt w:val="lowerRoman"/>
      <w:start w:val="1"/>
    </w:lvl>
  </w:abstractNum>
  <w:abstractNum w:abstractNumId="287">
    <w:nsid w:val="70BA39EB"/>
    <w:multiLevelType w:val="hybridMultilevel"/>
    <w:lvl w:ilvl="0">
      <w:lvlJc w:val="left"/>
      <w:lvlText w:val="(%1)"/>
      <w:numFmt w:val="lowerRoman"/>
      <w:start w:val="1"/>
    </w:lvl>
  </w:abstractNum>
  <w:abstractNum w:abstractNumId="288">
    <w:nsid w:val="4A8DB59C"/>
    <w:multiLevelType w:val="hybridMultilevel"/>
    <w:lvl w:ilvl="0">
      <w:lvlJc w:val="left"/>
      <w:lvlText w:val="(%1)"/>
      <w:numFmt w:val="lowerRoman"/>
      <w:start w:val="3"/>
    </w:lvl>
  </w:abstractNum>
  <w:abstractNum w:abstractNumId="289">
    <w:nsid w:val="1AFD9053"/>
    <w:multiLevelType w:val="hybridMultilevel"/>
    <w:lvl w:ilvl="0">
      <w:lvlJc w:val="left"/>
      <w:lvlText w:val="(%1)"/>
      <w:numFmt w:val="lowerLetter"/>
      <w:start w:val="61"/>
    </w:lvl>
    <w:lvl w:ilvl="1">
      <w:lvlJc w:val="left"/>
      <w:lvlText w:val="(%2)"/>
      <w:numFmt w:val="lowerLetter"/>
      <w:start w:val="1"/>
    </w:lvl>
  </w:abstractNum>
  <w:abstractNum w:abstractNumId="290">
    <w:nsid w:val="558BB10D"/>
    <w:multiLevelType w:val="hybridMultilevel"/>
    <w:lvl w:ilvl="0">
      <w:lvlJc w:val="left"/>
      <w:lvlText w:val="(%1)"/>
      <w:numFmt w:val="lowerRoman"/>
      <w:start w:val="3"/>
    </w:lvl>
  </w:abstractNum>
  <w:abstractNum w:abstractNumId="291">
    <w:nsid w:val="43B27FA7"/>
    <w:multiLevelType w:val="hybridMultilevel"/>
    <w:lvl w:ilvl="0">
      <w:lvlJc w:val="left"/>
      <w:lvlText w:val="(%1)"/>
      <w:numFmt w:val="lowerLetter"/>
      <w:start w:val="1"/>
    </w:lvl>
  </w:abstractNum>
  <w:abstractNum w:abstractNumId="292">
    <w:nsid w:val="27FADEFA"/>
    <w:multiLevelType w:val="hybridMultilevel"/>
    <w:lvl w:ilvl="0">
      <w:lvlJc w:val="left"/>
      <w:lvlText w:val="(%1)"/>
      <w:numFmt w:val="lowerLetter"/>
      <w:start w:val="1"/>
    </w:lvl>
  </w:abstractNum>
  <w:abstractNum w:abstractNumId="293">
    <w:nsid w:val="78BB805A"/>
    <w:multiLevelType w:val="hybridMultilevel"/>
    <w:lvl w:ilvl="0">
      <w:lvlJc w:val="left"/>
      <w:lvlText w:val="(%1)"/>
      <w:numFmt w:val="lowerLetter"/>
      <w:start w:val="2"/>
    </w:lvl>
  </w:abstractNum>
  <w:abstractNum w:abstractNumId="294">
    <w:nsid w:val="62548FD8"/>
    <w:multiLevelType w:val="hybridMultilevel"/>
    <w:lvl w:ilvl="0">
      <w:lvlJc w:val="left"/>
      <w:lvlText w:val="%1"/>
      <w:numFmt w:val="decimal"/>
      <w:start w:val="17"/>
    </w:lvl>
  </w:abstractNum>
  <w:abstractNum w:abstractNumId="295">
    <w:nsid w:val="FA085B0"/>
    <w:multiLevelType w:val="hybridMultilevel"/>
    <w:lvl w:ilvl="0">
      <w:lvlJc w:val="left"/>
      <w:lvlText w:val="(%1)"/>
      <w:numFmt w:val="decimal"/>
      <w:start w:val="2"/>
    </w:lvl>
  </w:abstractNum>
  <w:abstractNum w:abstractNumId="296">
    <w:nsid w:val="4E5DCB5"/>
    <w:multiLevelType w:val="hybridMultilevel"/>
    <w:lvl w:ilvl="0">
      <w:lvlJc w:val="left"/>
      <w:lvlText w:val="1"/>
      <w:numFmt w:val="bullet"/>
      <w:start w:val="1"/>
    </w:lvl>
  </w:abstractNum>
  <w:abstractNum w:abstractNumId="297">
    <w:nsid w:val="41E96BDB"/>
    <w:multiLevelType w:val="hybridMultilevel"/>
    <w:lvl w:ilvl="0">
      <w:lvlJc w:val="left"/>
      <w:lvlText w:val="2"/>
      <w:numFmt w:val="bullet"/>
      <w:start w:val="1"/>
    </w:lvl>
  </w:abstractNum>
  <w:abstractNum w:abstractNumId="298">
    <w:nsid w:val="331C4250"/>
    <w:multiLevelType w:val="hybridMultilevel"/>
    <w:lvl w:ilvl="0">
      <w:lvlJc w:val="left"/>
      <w:lvlText w:val="3"/>
      <w:numFmt w:val="bullet"/>
      <w:start w:val="1"/>
    </w:lvl>
  </w:abstractNum>
  <w:abstractNum w:abstractNumId="299">
    <w:nsid w:val="1B1493C2"/>
    <w:multiLevelType w:val="hybridMultilevel"/>
    <w:lvl w:ilvl="0">
      <w:lvlJc w:val="left"/>
      <w:lvlText w:val="4"/>
      <w:numFmt w:val="bullet"/>
      <w:start w:val="1"/>
    </w:lvl>
  </w:abstractNum>
  <w:abstractNum w:abstractNumId="300">
    <w:nsid w:val="39F06DFD"/>
    <w:multiLevelType w:val="hybridMultilevel"/>
    <w:lvl w:ilvl="0">
      <w:lvlJc w:val="left"/>
      <w:lvlText w:val="5"/>
      <w:numFmt w:val="bullet"/>
      <w:start w:val="1"/>
    </w:lvl>
  </w:abstractNum>
  <w:abstractNum w:abstractNumId="301">
    <w:nsid w:val="14802F5D"/>
    <w:multiLevelType w:val="hybridMultilevel"/>
    <w:lvl w:ilvl="0">
      <w:lvlJc w:val="left"/>
      <w:lvlText w:val="(%1)"/>
      <w:numFmt w:val="decimal"/>
      <w:start w:val="1"/>
    </w:lvl>
  </w:abstractNum>
  <w:abstractNum w:abstractNumId="302">
    <w:nsid w:val="2774A209"/>
    <w:multiLevelType w:val="hybridMultilevel"/>
    <w:lvl w:ilvl="0">
      <w:lvlJc w:val="left"/>
      <w:lvlText w:val=","/>
      <w:numFmt w:val="bullet"/>
      <w:start w:val="1"/>
    </w:lvl>
  </w:abstractNum>
  <w:abstractNum w:abstractNumId="303">
    <w:nsid w:val="3785655A"/>
    <w:multiLevelType w:val="hybridMultilevel"/>
    <w:lvl w:ilvl="0">
      <w:lvlJc w:val="left"/>
      <w:lvlText w:val="*"/>
      <w:numFmt w:val="bullet"/>
      <w:start w:val="1"/>
    </w:lvl>
  </w:abstractNum>
  <w:abstractNum w:abstractNumId="304">
    <w:nsid w:val="B2172A"/>
    <w:multiLevelType w:val="hybridMultilevel"/>
    <w:lvl w:ilvl="0">
      <w:lvlJc w:val="left"/>
      <w:lvlText w:val="1"/>
      <w:numFmt w:val="bullet"/>
      <w:start w:val="1"/>
    </w:lvl>
  </w:abstractNum>
  <w:abstractNum w:abstractNumId="305">
    <w:nsid w:val="532C34A5"/>
    <w:multiLevelType w:val="hybridMultilevel"/>
    <w:lvl w:ilvl="0">
      <w:lvlJc w:val="left"/>
      <w:lvlText w:val="2"/>
      <w:numFmt w:val="bullet"/>
      <w:start w:val="1"/>
    </w:lvl>
  </w:abstractNum>
  <w:abstractNum w:abstractNumId="306">
    <w:nsid w:val="102809E2"/>
    <w:multiLevelType w:val="hybridMultilevel"/>
    <w:lvl w:ilvl="0">
      <w:lvlJc w:val="left"/>
      <w:lvlText w:val="3"/>
      <w:numFmt w:val="bullet"/>
      <w:start w:val="1"/>
    </w:lvl>
  </w:abstractNum>
  <w:abstractNum w:abstractNumId="307">
    <w:nsid w:val="3B2125A3"/>
    <w:multiLevelType w:val="hybridMultilevel"/>
    <w:lvl w:ilvl="0">
      <w:lvlJc w:val="left"/>
      <w:lvlText w:val="4"/>
      <w:numFmt w:val="bullet"/>
      <w:start w:val="1"/>
    </w:lvl>
  </w:abstractNum>
  <w:abstractNum w:abstractNumId="308">
    <w:nsid w:val="AC68FFB"/>
    <w:multiLevelType w:val="hybridMultilevel"/>
    <w:lvl w:ilvl="0">
      <w:lvlJc w:val="left"/>
      <w:lvlText w:val="5"/>
      <w:numFmt w:val="bullet"/>
      <w:start w:val="1"/>
    </w:lvl>
  </w:abstractNum>
  <w:abstractNum w:abstractNumId="309">
    <w:nsid w:val="63DF3FB7"/>
    <w:multiLevelType w:val="hybridMultilevel"/>
    <w:lvl w:ilvl="0">
      <w:lvlJc w:val="left"/>
      <w:lvlText w:val="6"/>
      <w:numFmt w:val="bullet"/>
      <w:start w:val="1"/>
    </w:lvl>
  </w:abstractNum>
  <w:abstractNum w:abstractNumId="310">
    <w:nsid w:val="64996E13"/>
    <w:multiLevelType w:val="hybridMultilevel"/>
    <w:lvl w:ilvl="0">
      <w:lvlJc w:val="left"/>
      <w:lvlText w:val="7"/>
      <w:numFmt w:val="bullet"/>
      <w:start w:val="1"/>
    </w:lvl>
  </w:abstractNum>
  <w:abstractNum w:abstractNumId="311">
    <w:nsid w:val="57A37D47"/>
    <w:multiLevelType w:val="hybridMultilevel"/>
    <w:lvl w:ilvl="0">
      <w:lvlJc w:val="left"/>
      <w:lvlText w:val="1"/>
      <w:numFmt w:val="bullet"/>
      <w:start w:val="1"/>
    </w:lvl>
  </w:abstractNum>
  <w:abstractNum w:abstractNumId="312">
    <w:nsid w:val="74824D54"/>
    <w:multiLevelType w:val="hybridMultilevel"/>
    <w:lvl w:ilvl="0">
      <w:lvlJc w:val="left"/>
      <w:lvlText w:val="(%1)"/>
      <w:numFmt w:val="lowerLetter"/>
      <w:start w:val="1"/>
    </w:lvl>
  </w:abstractNum>
  <w:abstractNum w:abstractNumId="313">
    <w:nsid w:val="6F00529A"/>
    <w:multiLevelType w:val="hybridMultilevel"/>
    <w:lvl w:ilvl="0">
      <w:lvlJc w:val="left"/>
      <w:lvlText w:val="2"/>
      <w:numFmt w:val="bullet"/>
      <w:start w:val="1"/>
    </w:lvl>
  </w:abstractNum>
  <w:abstractNum w:abstractNumId="314">
    <w:nsid w:val="805B331"/>
    <w:multiLevelType w:val="hybridMultilevel"/>
    <w:lvl w:ilvl="0">
      <w:lvlJc w:val="left"/>
      <w:lvlText w:val="3"/>
      <w:numFmt w:val="bullet"/>
      <w:start w:val="1"/>
    </w:lvl>
  </w:abstractNum>
  <w:abstractNum w:abstractNumId="315">
    <w:nsid w:val="60A1463"/>
    <w:multiLevelType w:val="hybridMultilevel"/>
    <w:lvl w:ilvl="0">
      <w:lvlJc w:val="left"/>
      <w:lvlText w:val="4"/>
      <w:numFmt w:val="bullet"/>
      <w:start w:val="1"/>
    </w:lvl>
  </w:abstractNum>
  <w:abstractNum w:abstractNumId="316">
    <w:nsid w:val="43773132"/>
    <w:multiLevelType w:val="hybridMultilevel"/>
    <w:lvl w:ilvl="0">
      <w:lvlJc w:val="left"/>
      <w:lvlText w:val="5"/>
      <w:numFmt w:val="bullet"/>
      <w:start w:val="1"/>
    </w:lvl>
  </w:abstractNum>
  <w:abstractNum w:abstractNumId="317">
    <w:nsid w:val="16AC4B23"/>
    <w:multiLevelType w:val="hybridMultilevel"/>
    <w:lvl w:ilvl="0">
      <w:lvlJc w:val="left"/>
      <w:lvlText w:val="6"/>
      <w:numFmt w:val="bullet"/>
      <w:start w:val="1"/>
    </w:lvl>
  </w:abstractNum>
  <w:abstractNum w:abstractNumId="318">
    <w:nsid w:val="76C44E4E"/>
    <w:multiLevelType w:val="hybridMultilevel"/>
    <w:lvl w:ilvl="0">
      <w:lvlJc w:val="left"/>
      <w:lvlText w:val="7"/>
      <w:numFmt w:val="bullet"/>
      <w:start w:val="1"/>
    </w:lvl>
  </w:abstractNum>
  <w:abstractNum w:abstractNumId="319">
    <w:nsid w:val="E04E6CE"/>
    <w:multiLevelType w:val="hybridMultilevel"/>
    <w:lvl w:ilvl="0">
      <w:lvlJc w:val="left"/>
      <w:lvlText w:val="8"/>
      <w:numFmt w:val="bullet"/>
      <w:start w:val="1"/>
    </w:lvl>
  </w:abstractNum>
  <w:abstractNum w:abstractNumId="320">
    <w:nsid w:val="31A9DB76"/>
    <w:multiLevelType w:val="hybridMultilevel"/>
    <w:lvl w:ilvl="0">
      <w:lvlJc w:val="left"/>
      <w:lvlText w:val="9"/>
      <w:numFmt w:val="bullet"/>
      <w:start w:val="1"/>
    </w:lvl>
  </w:abstractNum>
  <w:abstractNum w:abstractNumId="321">
    <w:nsid w:val="4C4FFF5B"/>
    <w:multiLevelType w:val="hybridMultilevel"/>
    <w:lvl w:ilvl="0">
      <w:lvlJc w:val="left"/>
      <w:lvlText w:val="%1"/>
      <w:numFmt w:val="decimal"/>
      <w:start w:val="10"/>
    </w:lvl>
  </w:abstractNum>
  <w:abstractNum w:abstractNumId="322">
    <w:nsid w:val="51B76675"/>
    <w:multiLevelType w:val="hybridMultilevel"/>
    <w:lvl w:ilvl="0">
      <w:lvlJc w:val="left"/>
      <w:lvlText w:val="(%1)"/>
      <w:numFmt w:val="lowerLetter"/>
      <w:start w:val="1"/>
    </w:lvl>
  </w:abstractNum>
  <w:abstractNum w:abstractNumId="323">
    <w:nsid w:val="59A4BA71"/>
    <w:multiLevelType w:val="hybridMultilevel"/>
    <w:lvl w:ilvl="0">
      <w:lvlJc w:val="left"/>
      <w:lvlText w:val="(%1)"/>
      <w:numFmt w:val="lowerLetter"/>
      <w:start w:val="1"/>
    </w:lvl>
  </w:abstractNum>
  <w:abstractNum w:abstractNumId="324">
    <w:nsid w:val="450B7FB6"/>
    <w:multiLevelType w:val="hybridMultilevel"/>
    <w:lvl w:ilvl="0">
      <w:lvlJc w:val="left"/>
      <w:lvlText w:val="(%1)"/>
      <w:numFmt w:val="lowerLetter"/>
      <w:start w:val="4"/>
    </w:lvl>
  </w:abstractNum>
  <w:abstractNum w:abstractNumId="325">
    <w:nsid w:val="340BF64D"/>
    <w:multiLevelType w:val="hybridMultilevel"/>
    <w:lvl w:ilvl="0">
      <w:lvlJc w:val="left"/>
      <w:lvlText w:val="%1"/>
      <w:numFmt w:val="decimal"/>
      <w:start w:val="17"/>
    </w:lvl>
  </w:abstractNum>
  <w:abstractNum w:abstractNumId="326">
    <w:nsid w:val="69454021"/>
    <w:multiLevelType w:val="hybridMultilevel"/>
    <w:lvl w:ilvl="0">
      <w:lvlJc w:val="left"/>
      <w:lvlText w:val="(%1)"/>
      <w:numFmt w:val="lowerLetter"/>
      <w:start w:val="1"/>
    </w:lvl>
  </w:abstractNum>
  <w:abstractNum w:abstractNumId="327">
    <w:nsid w:val="49F15C6B"/>
    <w:multiLevelType w:val="hybridMultilevel"/>
    <w:lvl w:ilvl="0">
      <w:lvlJc w:val="left"/>
      <w:lvlText w:val="(%1)"/>
      <w:numFmt w:val="lowerRoman"/>
      <w:start w:val="3"/>
    </w:lvl>
  </w:abstractNum>
  <w:abstractNum w:abstractNumId="328">
    <w:nsid w:val="75F56228"/>
    <w:multiLevelType w:val="hybridMultilevel"/>
    <w:lvl w:ilvl="0">
      <w:lvlJc w:val="left"/>
      <w:lvlText w:val="%1"/>
      <w:numFmt w:val="decimal"/>
      <w:start w:val="23"/>
    </w:lvl>
  </w:abstractNum>
  <w:abstractNum w:abstractNumId="329">
    <w:nsid w:val="1C618271"/>
    <w:multiLevelType w:val="hybridMultilevel"/>
    <w:lvl w:ilvl="0">
      <w:lvlJc w:val="left"/>
      <w:lvlText w:val="(%1)"/>
      <w:numFmt w:val="lowerLetter"/>
      <w:start w:val="1"/>
    </w:lvl>
  </w:abstractNum>
  <w:abstractNum w:abstractNumId="330">
    <w:nsid w:val="6505F02E"/>
    <w:multiLevelType w:val="hybridMultilevel"/>
    <w:lvl w:ilvl="0">
      <w:lvlJc w:val="left"/>
      <w:lvlText w:val="(%1)"/>
      <w:numFmt w:val="lowerLetter"/>
      <w:start w:val="2"/>
    </w:lvl>
  </w:abstractNum>
  <w:abstractNum w:abstractNumId="331">
    <w:nsid w:val="2FE5D025"/>
    <w:multiLevelType w:val="hybridMultilevel"/>
    <w:lvl w:ilvl="0">
      <w:lvlJc w:val="left"/>
      <w:lvlText w:val="%1"/>
      <w:numFmt w:val="decimal"/>
      <w:start w:val="28"/>
    </w:lvl>
    <w:lvl w:ilvl="1">
      <w:lvlJc w:val="left"/>
      <w:lvlText w:val="(%2)"/>
      <w:numFmt w:val="lowerLetter"/>
      <w:start w:val="1"/>
    </w:lvl>
  </w:abstractNum>
  <w:abstractNum w:abstractNumId="332">
    <w:nsid w:val="30E1B1CF"/>
    <w:multiLevelType w:val="hybridMultilevel"/>
    <w:lvl w:ilvl="0">
      <w:lvlJc w:val="left"/>
      <w:lvlText w:val="%1"/>
      <w:numFmt w:val="decimal"/>
      <w:start w:val="30"/>
    </w:lvl>
  </w:abstractNum>
  <w:abstractNum w:abstractNumId="333">
    <w:nsid w:val="C7A9237"/>
    <w:multiLevelType w:val="hybridMultilevel"/>
    <w:lvl w:ilvl="0">
      <w:lvlJc w:val="left"/>
      <w:lvlText w:val="%1"/>
      <w:numFmt w:val="decimal"/>
      <w:start w:val="32"/>
    </w:lvl>
  </w:abstractNum>
  <w:abstractNum w:abstractNumId="334">
    <w:nsid w:val="676B3580"/>
    <w:multiLevelType w:val="hybridMultilevel"/>
    <w:lvl w:ilvl="0">
      <w:lvlJc w:val="left"/>
      <w:lvlText w:val="%1"/>
      <w:numFmt w:val="decimal"/>
      <w:start w:val="35"/>
    </w:lvl>
  </w:abstractNum>
  <w:abstractNum w:abstractNumId="335">
    <w:nsid w:val="3193C8F9"/>
    <w:multiLevelType w:val="hybridMultilevel"/>
    <w:lvl w:ilvl="0">
      <w:lvlJc w:val="left"/>
      <w:lvlText w:val="%1"/>
      <w:numFmt w:val="decimal"/>
      <w:start w:val="39"/>
    </w:lvl>
  </w:abstractNum>
  <w:abstractNum w:abstractNumId="336">
    <w:nsid w:val="5FA6C6DC"/>
    <w:multiLevelType w:val="hybridMultilevel"/>
    <w:lvl w:ilvl="0">
      <w:lvlJc w:val="left"/>
      <w:lvlText w:val="%1"/>
      <w:numFmt w:val="decimal"/>
      <w:start w:val="44"/>
    </w:lvl>
  </w:abstractNum>
  <w:abstractNum w:abstractNumId="337">
    <w:nsid w:val="77933F62"/>
    <w:multiLevelType w:val="hybridMultilevel"/>
    <w:lvl w:ilvl="0">
      <w:lvlJc w:val="left"/>
      <w:lvlText w:val="(%1)"/>
      <w:numFmt w:val="lowerLetter"/>
      <w:start w:val="1"/>
    </w:lvl>
    <w:lvl w:ilvl="1">
      <w:lvlJc w:val="left"/>
      <w:lvlText w:val="(%2)"/>
      <w:numFmt w:val="lowerRoman"/>
      <w:start w:val="1"/>
    </w:lvl>
  </w:abstractNum>
  <w:abstractNum w:abstractNumId="338">
    <w:nsid w:val="6CB4EE9C"/>
    <w:multiLevelType w:val="hybridMultilevel"/>
    <w:lvl w:ilvl="0">
      <w:lvlJc w:val="left"/>
      <w:lvlText w:val="(%1)"/>
      <w:numFmt w:val="lowerLetter"/>
      <w:start w:val="3"/>
    </w:lvl>
    <w:lvl w:ilvl="1">
      <w:lvlJc w:val="left"/>
      <w:lvlText w:val="(%2)"/>
      <w:numFmt w:val="lowerRoman"/>
      <w:start w:val="1"/>
    </w:lvl>
  </w:abstractNum>
  <w:abstractNum w:abstractNumId="339">
    <w:nsid w:val="6A6D56D7"/>
    <w:multiLevelType w:val="hybridMultilevel"/>
    <w:lvl w:ilvl="0">
      <w:lvlJc w:val="left"/>
      <w:lvlText w:val="(%1)"/>
      <w:numFmt w:val="lowerLetter"/>
      <w:start w:val="1"/>
    </w:lvl>
  </w:abstractNum>
  <w:abstractNum w:abstractNumId="340">
    <w:nsid w:val="5B727F1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1">
    <w:nsid w:val="514E5CB0"/>
    <w:multiLevelType w:val="hybridMultilevel"/>
    <w:lvl w:ilvl="0">
      <w:lvlJc w:val="left"/>
      <w:lvlText w:val="(%1)"/>
      <w:numFmt w:val="lowerRoman"/>
      <w:start w:val="1"/>
    </w:lvl>
    <w:lvl w:ilvl="1">
      <w:lvlJc w:val="left"/>
      <w:lvlText w:val="(%2)"/>
      <w:numFmt w:val="upperLetter"/>
      <w:start w:val="1"/>
    </w:lvl>
  </w:abstractNum>
  <w:abstractNum w:abstractNumId="342">
    <w:nsid w:val="4210D41E"/>
    <w:multiLevelType w:val="hybridMultilevel"/>
    <w:lvl w:ilvl="0">
      <w:lvlJc w:val="left"/>
      <w:lvlText w:val="%1"/>
      <w:numFmt w:val="lowerLetter"/>
      <w:start w:val="1"/>
    </w:lvl>
    <w:lvl w:ilvl="1">
      <w:lvlJc w:val="left"/>
      <w:lvlText w:val="(%2)"/>
      <w:numFmt w:val="lowerLetter"/>
      <w:start w:val="22"/>
    </w:lvl>
  </w:abstractNum>
  <w:abstractNum w:abstractNumId="343">
    <w:nsid w:val="4FF4CC6D"/>
    <w:multiLevelType w:val="hybridMultilevel"/>
    <w:lvl w:ilvl="0">
      <w:lvlJc w:val="left"/>
      <w:lvlText w:val="(%1)"/>
      <w:numFmt w:val="lowerLetter"/>
      <w:start w:val="4"/>
    </w:lvl>
    <w:lvl w:ilvl="1">
      <w:lvlJc w:val="left"/>
      <w:lvlText w:val="%2"/>
      <w:numFmt w:val="lowerLetter"/>
      <w:start w:val="1"/>
    </w:lvl>
  </w:abstractNum>
  <w:abstractNum w:abstractNumId="344">
    <w:nsid w:val="404EAF4A"/>
    <w:multiLevelType w:val="hybridMultilevel"/>
    <w:lvl w:ilvl="0">
      <w:lvlJc w:val="left"/>
      <w:lvlText w:val="(%1)"/>
      <w:numFmt w:val="lowerLetter"/>
      <w:start w:val="1"/>
    </w:lvl>
    <w:lvl w:ilvl="1">
      <w:lvlJc w:val="left"/>
      <w:lvlText w:val="(%2)"/>
      <w:numFmt w:val="lowerRoman"/>
      <w:start w:val="1"/>
    </w:lvl>
  </w:abstractNum>
  <w:abstractNum w:abstractNumId="345">
    <w:nsid w:val="4A16874F"/>
    <w:multiLevelType w:val="hybridMultilevel"/>
    <w:lvl w:ilvl="0">
      <w:lvlJc w:val="left"/>
      <w:lvlText w:val="(%1)"/>
      <w:numFmt w:val="lowerRoman"/>
      <w:start w:val="2"/>
    </w:lvl>
  </w:abstractNum>
  <w:abstractNum w:abstractNumId="346">
    <w:nsid w:val="55FEE0D1"/>
    <w:multiLevelType w:val="hybridMultilevel"/>
    <w:lvl w:ilvl="0">
      <w:lvlJc w:val="left"/>
      <w:lvlText w:val="(%1)"/>
      <w:numFmt w:val="lowerRoman"/>
      <w:start w:val="1"/>
    </w:lvl>
  </w:abstractNum>
  <w:abstractNum w:abstractNumId="347">
    <w:nsid w:val="3C5E07C"/>
    <w:multiLevelType w:val="hybridMultilevel"/>
    <w:lvl w:ilvl="0">
      <w:lvlJc w:val="left"/>
      <w:lvlText w:val="(%1)"/>
      <w:numFmt w:val="lowerRoman"/>
      <w:start w:val="4"/>
    </w:lvl>
  </w:abstractNum>
  <w:abstractNum w:abstractNumId="348">
    <w:nsid w:val="60C2D273"/>
    <w:multiLevelType w:val="hybridMultilevel"/>
    <w:lvl w:ilvl="0">
      <w:lvlJc w:val="left"/>
      <w:lvlText w:val="(%1)"/>
      <w:numFmt w:val="lowerLetter"/>
      <w:start w:val="1"/>
    </w:lvl>
  </w:abstractNum>
  <w:abstractNum w:abstractNumId="349">
    <w:nsid w:val="4CC32F1F"/>
    <w:multiLevelType w:val="hybridMultilevel"/>
    <w:lvl w:ilvl="0">
      <w:lvlJc w:val="left"/>
      <w:lvlText w:val="(%1)"/>
      <w:numFmt w:val="lowerLetter"/>
      <w:start w:val="3"/>
    </w:lvl>
  </w:abstractNum>
  <w:abstractNum w:abstractNumId="350">
    <w:nsid w:val="11CAC74A"/>
    <w:multiLevelType w:val="hybridMultilevel"/>
    <w:lvl w:ilvl="0">
      <w:lvlJc w:val="left"/>
      <w:lvlText w:val="(%1)"/>
      <w:numFmt w:val="lowerLetter"/>
      <w:start w:val="5"/>
    </w:lvl>
  </w:abstractNum>
  <w:abstractNum w:abstractNumId="351">
    <w:nsid w:val="126CADE9"/>
    <w:multiLevelType w:val="hybridMultilevel"/>
    <w:lvl w:ilvl="0">
      <w:lvlJc w:val="left"/>
      <w:lvlText w:val="(%1)"/>
      <w:numFmt w:val="lowerLetter"/>
      <w:start w:val="1"/>
    </w:lvl>
  </w:abstractNum>
  <w:abstractNum w:abstractNumId="352">
    <w:nsid w:val="19132E7B"/>
    <w:multiLevelType w:val="hybridMultilevel"/>
    <w:lvl w:ilvl="0">
      <w:lvlJc w:val="left"/>
      <w:lvlText w:val="(%1)"/>
      <w:numFmt w:val="lowerLetter"/>
      <w:start w:val="1"/>
    </w:lvl>
  </w:abstractNum>
  <w:abstractNum w:abstractNumId="353">
    <w:nsid w:val="63822DC0"/>
    <w:multiLevelType w:val="hybridMultilevel"/>
    <w:lvl w:ilvl="0">
      <w:lvlJc w:val="left"/>
      <w:lvlText w:val="(%1)"/>
      <w:numFmt w:val="lowerLetter"/>
      <w:start w:val="3"/>
    </w:lvl>
    <w:lvl w:ilvl="1">
      <w:lvlJc w:val="left"/>
      <w:lvlText w:val="(%2)"/>
      <w:numFmt w:val="lowerRoman"/>
      <w:start w:val="1"/>
    </w:lvl>
  </w:abstractNum>
  <w:abstractNum w:abstractNumId="354">
    <w:nsid w:val="6C11685A"/>
    <w:multiLevelType w:val="hybridMultilevel"/>
    <w:lvl w:ilvl="0">
      <w:lvlJc w:val="left"/>
      <w:lvlText w:val="(%1)"/>
      <w:numFmt w:val="lowerLetter"/>
      <w:start w:val="4"/>
    </w:lvl>
    <w:lvl w:ilvl="1">
      <w:lvlJc w:val="left"/>
      <w:lvlText w:val="(%2)"/>
      <w:numFmt w:val="lowerRoman"/>
      <w:start w:val="1"/>
    </w:lvl>
  </w:abstractNum>
  <w:abstractNum w:abstractNumId="355">
    <w:nsid w:val="5E1EAE31"/>
    <w:multiLevelType w:val="hybridMultilevel"/>
    <w:lvl w:ilvl="0">
      <w:lvlJc w:val="left"/>
      <w:lvlText w:val="(%1)"/>
      <w:numFmt w:val="lowerRoman"/>
      <w:start w:val="5"/>
    </w:lvl>
  </w:abstractNum>
  <w:abstractNum w:abstractNumId="356">
    <w:nsid w:val="178E240D"/>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24"/>
    </w:lvl>
  </w:abstractNum>
  <w:abstractNum w:abstractNumId="357">
    <w:nsid w:val="5556A87B"/>
    <w:multiLevelType w:val="hybridMultilevel"/>
    <w:lvl w:ilvl="0">
      <w:lvlJc w:val="left"/>
      <w:lvlText w:val="(%1)"/>
      <w:numFmt w:val="lowerRoman"/>
      <w:start w:val="3"/>
    </w:lvl>
  </w:abstractNum>
  <w:abstractNum w:abstractNumId="358">
    <w:nsid w:val="28100A9C"/>
    <w:multiLevelType w:val="hybridMultilevel"/>
    <w:lvl w:ilvl="0">
      <w:lvlJc w:val="left"/>
      <w:lvlText w:val="(%1)"/>
      <w:numFmt w:val="lowerRoman"/>
      <w:start w:val="5"/>
    </w:lvl>
  </w:abstractNum>
  <w:abstractNum w:abstractNumId="359">
    <w:nsid w:val="D838636"/>
    <w:multiLevelType w:val="hybridMultilevel"/>
    <w:lvl w:ilvl="0">
      <w:lvlJc w:val="left"/>
      <w:lvlText w:val="(%1)"/>
      <w:numFmt w:val="lowerLetter"/>
      <w:start w:val="1"/>
    </w:lvl>
  </w:abstractNum>
  <w:abstractNum w:abstractNumId="360">
    <w:nsid w:val="71B82AED"/>
    <w:multiLevelType w:val="hybridMultilevel"/>
    <w:lvl w:ilvl="0">
      <w:lvlJc w:val="left"/>
      <w:lvlText w:val="(%1)"/>
      <w:numFmt w:val="lowerLetter"/>
      <w:start w:val="2"/>
    </w:lvl>
  </w:abstractNum>
  <w:abstractNum w:abstractNumId="361">
    <w:nsid w:val="D15FACA"/>
    <w:multiLevelType w:val="hybridMultilevel"/>
    <w:lvl w:ilvl="0">
      <w:lvlJc w:val="left"/>
      <w:lvlText w:val="(%1)"/>
      <w:numFmt w:val="lowerLetter"/>
      <w:start w:val="1"/>
    </w:lvl>
  </w:abstractNum>
  <w:abstractNum w:abstractNumId="362">
    <w:nsid w:val="3D69565B"/>
    <w:multiLevelType w:val="hybridMultilevel"/>
    <w:lvl w:ilvl="0">
      <w:lvlJc w:val="left"/>
      <w:lvlText w:val="(%1)"/>
      <w:numFmt w:val="lowerRoman"/>
      <w:start w:val="1"/>
    </w:lvl>
  </w:abstractNum>
  <w:abstractNum w:abstractNumId="363">
    <w:nsid w:val="2299DCBC"/>
    <w:multiLevelType w:val="hybridMultilevel"/>
    <w:lvl w:ilvl="0">
      <w:lvlJc w:val="left"/>
      <w:lvlText w:val="(%1)"/>
      <w:numFmt w:val="lowerRoman"/>
      <w:start w:val="2"/>
    </w:lvl>
  </w:abstractNum>
  <w:abstractNum w:abstractNumId="364">
    <w:nsid w:val="19908D02"/>
    <w:multiLevelType w:val="hybridMultilevel"/>
    <w:lvl w:ilvl="0">
      <w:lvlJc w:val="left"/>
      <w:lvlText w:val="(%1)"/>
      <w:numFmt w:val="lowerLetter"/>
      <w:start w:val="1"/>
    </w:lvl>
  </w:abstractNum>
  <w:abstractNum w:abstractNumId="365">
    <w:nsid w:val="24D48BDB"/>
    <w:multiLevelType w:val="hybridMultilevel"/>
    <w:lvl w:ilvl="0">
      <w:lvlJc w:val="left"/>
      <w:lvlText w:val="(%1)"/>
      <w:numFmt w:val="lowerLetter"/>
      <w:start w:val="4"/>
    </w:lvl>
  </w:abstractNum>
  <w:abstractNum w:abstractNumId="366">
    <w:nsid w:val="542DA5B5"/>
    <w:multiLevelType w:val="hybridMultilevel"/>
    <w:lvl w:ilvl="0">
      <w:lvlJc w:val="left"/>
      <w:lvlText w:val="(%1)"/>
      <w:numFmt w:val="lowerLetter"/>
      <w:start w:val="1"/>
    </w:lvl>
  </w:abstractNum>
  <w:abstractNum w:abstractNumId="367">
    <w:nsid w:val="793753DE"/>
    <w:multiLevelType w:val="hybridMultilevel"/>
    <w:lvl w:ilvl="0">
      <w:lvlJc w:val="left"/>
      <w:lvlText w:val="(%1)"/>
      <w:numFmt w:val="lowerLetter"/>
      <w:start w:val="3"/>
    </w:lvl>
  </w:abstractNum>
  <w:abstractNum w:abstractNumId="368">
    <w:nsid w:val="1C67CB3D"/>
    <w:multiLevelType w:val="hybridMultilevel"/>
    <w:lvl w:ilvl="0">
      <w:lvlJc w:val="left"/>
      <w:lvlText w:val="(%1)"/>
      <w:numFmt w:val="lowerLetter"/>
      <w:start w:val="1"/>
    </w:lvl>
  </w:abstractNum>
  <w:abstractNum w:abstractNumId="369">
    <w:nsid w:val="40E29452"/>
    <w:multiLevelType w:val="hybridMultilevel"/>
    <w:lvl w:ilvl="0">
      <w:lvlJc w:val="left"/>
      <w:lvlText w:val="(%1)"/>
      <w:numFmt w:val="lowerLetter"/>
      <w:start w:val="1"/>
    </w:lvl>
  </w:abstractNum>
  <w:abstractNum w:abstractNumId="370">
    <w:nsid w:val="63A4AAB6"/>
    <w:multiLevelType w:val="hybridMultilevel"/>
    <w:lvl w:ilvl="0">
      <w:lvlJc w:val="left"/>
      <w:lvlText w:val="(%1)"/>
      <w:numFmt w:val="lowerLetter"/>
      <w:start w:val="10"/>
    </w:lvl>
  </w:abstractNum>
  <w:abstractNum w:abstractNumId="371">
    <w:nsid w:val="77DA4A57"/>
    <w:multiLevelType w:val="hybridMultilevel"/>
    <w:lvl w:ilvl="0">
      <w:lvlJc w:val="left"/>
      <w:lvlText w:val="(%1)"/>
      <w:numFmt w:val="lowerLetter"/>
      <w:start w:val="22"/>
    </w:lvl>
  </w:abstractNum>
  <w:abstractNum w:abstractNumId="372">
    <w:nsid w:val="1230F102"/>
    <w:multiLevelType w:val="hybridMultilevel"/>
    <w:lvl w:ilvl="0">
      <w:lvlJc w:val="left"/>
      <w:lvlText w:val="(%1)"/>
      <w:numFmt w:val="lowerLetter"/>
      <w:start w:val="1"/>
    </w:lvl>
  </w:abstractNum>
  <w:abstractNum w:abstractNumId="373">
    <w:nsid w:val="25B57ED4"/>
    <w:multiLevelType w:val="hybridMultilevel"/>
    <w:lvl w:ilvl="0">
      <w:lvlJc w:val="left"/>
      <w:lvlText w:val="(%1)"/>
      <w:numFmt w:val="decimal"/>
      <w:start w:val="90"/>
    </w:lvl>
  </w:abstractNum>
  <w:abstractNum w:abstractNumId="374">
    <w:nsid w:val="47CF16C4"/>
    <w:multiLevelType w:val="hybridMultilevel"/>
    <w:lvl w:ilvl="0">
      <w:lvlJc w:val="left"/>
      <w:lvlText w:val="(%1)"/>
      <w:numFmt w:val="lowerLetter"/>
      <w:start w:val="2"/>
    </w:lvl>
  </w:abstractNum>
  <w:abstractNum w:abstractNumId="375">
    <w:nsid w:val="527FA04C"/>
    <w:multiLevelType w:val="hybridMultilevel"/>
    <w:lvl w:ilvl="0">
      <w:lvlJc w:val="left"/>
      <w:lvlText w:val="(%1)"/>
      <w:numFmt w:val="lowerLetter"/>
      <w:start w:val="1"/>
    </w:lvl>
  </w:abstractNum>
  <w:abstractNum w:abstractNumId="376">
    <w:nsid w:val="6FCC0624"/>
    <w:multiLevelType w:val="hybridMultilevel"/>
    <w:lvl w:ilvl="0">
      <w:lvlJc w:val="left"/>
      <w:lvlText w:val="(%1)"/>
      <w:numFmt w:val="lowerLetter"/>
      <w:start w:val="2"/>
    </w:lvl>
  </w:abstractNum>
  <w:abstractNum w:abstractNumId="377">
    <w:nsid w:val="1DCDF795"/>
    <w:multiLevelType w:val="hybridMultilevel"/>
    <w:lvl w:ilvl="0">
      <w:lvlJc w:val="left"/>
      <w:lvlText w:val="(%1)"/>
      <w:numFmt w:val="lowerLetter"/>
      <w:start w:val="1"/>
    </w:lvl>
  </w:abstractNum>
  <w:abstractNum w:abstractNumId="378">
    <w:nsid w:val="564580C8"/>
    <w:multiLevelType w:val="hybridMultilevel"/>
    <w:lvl w:ilvl="0">
      <w:lvlJc w:val="left"/>
      <w:lvlText w:val="%1"/>
      <w:numFmt w:val="lowerLetter"/>
      <w:start w:val="1"/>
    </w:lvl>
    <w:lvl w:ilvl="1">
      <w:lvlJc w:val="left"/>
      <w:lvlText w:val="(%2)"/>
      <w:numFmt w:val="lowerLetter"/>
      <w:start w:val="3"/>
    </w:lvl>
  </w:abstractNum>
  <w:abstractNum w:abstractNumId="379">
    <w:nsid w:val="508ED897"/>
    <w:multiLevelType w:val="hybridMultilevel"/>
    <w:lvl w:ilvl="0">
      <w:lvlJc w:val="left"/>
      <w:lvlText w:val="(%1)"/>
      <w:numFmt w:val="lowerLetter"/>
      <w:start w:val="2"/>
    </w:lvl>
    <w:lvl w:ilvl="1">
      <w:lvlJc w:val="left"/>
      <w:lvlText w:val="%2"/>
      <w:numFmt w:val="lowerLetter"/>
      <w:start w:val="1"/>
    </w:lvl>
  </w:abstractNum>
  <w:abstractNum w:abstractNumId="380">
    <w:nsid w:val="6A9126B5"/>
    <w:multiLevelType w:val="hybridMultilevel"/>
    <w:lvl w:ilvl="0">
      <w:lvlJc w:val="left"/>
      <w:lvlText w:val="%1."/>
      <w:numFmt w:val="decimal"/>
      <w:start w:val="1"/>
    </w:lvl>
  </w:abstractNum>
  <w:abstractNum w:abstractNumId="381">
    <w:nsid w:val="68104812"/>
    <w:multiLevelType w:val="hybridMultilevel"/>
    <w:lvl w:ilvl="0">
      <w:lvlJc w:val="left"/>
      <w:lvlText w:val="(%1)"/>
      <w:numFmt w:val="lowerLetter"/>
      <w:start w:val="2"/>
    </w:lvl>
  </w:abstractNum>
  <w:abstractNum w:abstractNumId="382">
    <w:nsid w:val="62FB8680"/>
    <w:multiLevelType w:val="hybridMultilevel"/>
    <w:lvl w:ilvl="0">
      <w:lvlJc w:val="left"/>
      <w:lvlText w:val="(%1)"/>
      <w:numFmt w:val="lowerLetter"/>
      <w:start w:val="6"/>
    </w:lvl>
  </w:abstractNum>
  <w:abstractNum w:abstractNumId="383">
    <w:nsid w:val="3A45530"/>
    <w:multiLevelType w:val="hybridMultilevel"/>
    <w:lvl w:ilvl="0">
      <w:lvlJc w:val="left"/>
      <w:lvlText w:val="%1."/>
      <w:numFmt w:val="decimal"/>
      <w:start w:val="2"/>
    </w:lvl>
  </w:abstractNum>
  <w:abstractNum w:abstractNumId="384">
    <w:nsid w:val="4B9275D2"/>
    <w:multiLevelType w:val="hybridMultilevel"/>
    <w:lvl w:ilvl="0">
      <w:lvlJc w:val="left"/>
      <w:lvlText w:val="%1"/>
      <w:numFmt w:val="decimal"/>
      <w:start w:val="1"/>
    </w:lvl>
    <w:lvl w:ilvl="1">
      <w:lvlJc w:val="left"/>
      <w:lvlText w:val="(%2)"/>
      <w:numFmt w:val="lowerRoman"/>
      <w:start w:val="1"/>
    </w:lvl>
  </w:abstractNum>
  <w:abstractNum w:abstractNumId="385">
    <w:nsid w:val="4F0CEEDB"/>
    <w:multiLevelType w:val="hybridMultilevel"/>
    <w:lvl w:ilvl="0">
      <w:lvlJc w:val="left"/>
      <w:lvlText w:val="(%1)"/>
      <w:numFmt w:val="decimal"/>
      <w:start w:val="3"/>
    </w:lvl>
    <w:lvl w:ilvl="1">
      <w:lvlJc w:val="left"/>
      <w:lvlText w:val="%2"/>
      <w:numFmt w:val="lowerRoman"/>
      <w:start w:val="1"/>
    </w:lvl>
  </w:abstractNum>
  <w:abstractNum w:abstractNumId="386">
    <w:nsid w:val="61C30361"/>
    <w:multiLevelType w:val="hybridMultilevel"/>
    <w:lvl w:ilvl="0">
      <w:lvlJc w:val="left"/>
      <w:lvlText w:val="%1."/>
      <w:numFmt w:val="decimal"/>
      <w:start w:val="3"/>
    </w:lvl>
  </w:abstractNum>
  <w:abstractNum w:abstractNumId="387">
    <w:nsid w:val="632099E0"/>
    <w:multiLevelType w:val="hybridMultilevel"/>
    <w:lvl w:ilvl="0">
      <w:lvlJc w:val="left"/>
      <w:lvlText w:val="(%1)"/>
      <w:numFmt w:val="lowerRoman"/>
      <w:start w:val="1"/>
    </w:lvl>
  </w:abstractNum>
  <w:abstractNum w:abstractNumId="388">
    <w:nsid w:val="24639756"/>
    <w:multiLevelType w:val="hybridMultilevel"/>
    <w:lvl w:ilvl="0">
      <w:lvlJc w:val="left"/>
      <w:lvlText w:val="(%1)"/>
      <w:numFmt w:val="lowerLetter"/>
      <w:start w:val="1"/>
    </w:lvl>
    <w:lvl w:ilvl="1">
      <w:lvlJc w:val="left"/>
      <w:lvlText w:val="(%2)"/>
      <w:numFmt w:val="lowerRoman"/>
      <w:start w:val="2"/>
    </w:lvl>
  </w:abstractNum>
  <w:abstractNum w:abstractNumId="389">
    <w:nsid w:val="9D30DFD"/>
    <w:multiLevelType w:val="hybridMultilevel"/>
    <w:lvl w:ilvl="0">
      <w:lvlJc w:val="left"/>
      <w:lvlText w:val="4"/>
      <w:numFmt w:val="bullet"/>
      <w:start w:val="1"/>
    </w:lvl>
  </w:abstractNum>
  <w:abstractNum w:abstractNumId="390">
    <w:nsid w:val="70A42016"/>
    <w:multiLevelType w:val="hybridMultilevel"/>
    <w:lvl w:ilvl="0">
      <w:lvlJc w:val="left"/>
      <w:lvlText w:val="(%1)"/>
      <w:numFmt w:val="lowerRoman"/>
      <w:start w:val="4"/>
    </w:lvl>
  </w:abstractNum>
  <w:abstractNum w:abstractNumId="391">
    <w:nsid w:val="161BC243"/>
    <w:multiLevelType w:val="hybridMultilevel"/>
    <w:lvl w:ilvl="0">
      <w:lvlJc w:val="left"/>
      <w:lvlText w:val="(%1)"/>
      <w:numFmt w:val="lowerRoman"/>
      <w:start w:val="1"/>
    </w:lvl>
  </w:abstractNum>
  <w:abstractNum w:abstractNumId="392">
    <w:nsid w:val="16E908C8"/>
    <w:multiLevelType w:val="hybridMultilevel"/>
    <w:lvl w:ilvl="0">
      <w:lvlJc w:val="left"/>
      <w:lvlText w:val="(%1)"/>
      <w:numFmt w:val="lowerRoman"/>
      <w:start w:val="2"/>
    </w:lvl>
  </w:abstractNum>
  <w:abstractNum w:abstractNumId="393">
    <w:nsid w:val="2E0D7671"/>
    <w:multiLevelType w:val="hybridMultilevel"/>
    <w:lvl w:ilvl="0">
      <w:lvlJc w:val="left"/>
      <w:lvlText w:val="%1"/>
      <w:numFmt w:val="lowerLetter"/>
      <w:start w:val="1"/>
    </w:lvl>
    <w:lvl w:ilvl="1">
      <w:lvlJc w:val="left"/>
      <w:lvlText w:val="(%2)"/>
      <w:numFmt w:val="lowerLetter"/>
      <w:start w:val="9"/>
    </w:lvl>
  </w:abstractNum>
  <w:abstractNum w:abstractNumId="394">
    <w:nsid w:val="38B59EFF"/>
    <w:multiLevelType w:val="hybridMultilevel"/>
    <w:lvl w:ilvl="0">
      <w:lvlJc w:val="left"/>
      <w:lvlText w:val="(%1)"/>
      <w:numFmt w:val="lowerLetter"/>
      <w:start w:val="3"/>
    </w:lvl>
    <w:lvl w:ilvl="1">
      <w:lvlJc w:val="left"/>
      <w:lvlText w:val="(%2)"/>
      <w:numFmt w:val="lowerLetter"/>
      <w:start w:val="35"/>
    </w:lvl>
  </w:abstractNum>
  <w:abstractNum w:abstractNumId="395">
    <w:nsid w:val="307995CA"/>
    <w:multiLevelType w:val="hybridMultilevel"/>
    <w:lvl w:ilvl="0">
      <w:lvlJc w:val="left"/>
      <w:lvlText w:val="(%1)"/>
      <w:numFmt w:val="lowerRoman"/>
      <w:start w:val="3"/>
    </w:lvl>
  </w:abstractNum>
  <w:abstractNum w:abstractNumId="396">
    <w:nsid w:val="52E2024D"/>
    <w:multiLevelType w:val="hybridMultilevel"/>
    <w:lvl w:ilvl="0">
      <w:lvlJc w:val="left"/>
      <w:lvlText w:val="(%1)"/>
      <w:numFmt w:val="lowerRoman"/>
      <w:start w:val="1"/>
    </w:lvl>
  </w:abstractNum>
  <w:abstractNum w:abstractNumId="397">
    <w:nsid w:val="CE344B5"/>
    <w:multiLevelType w:val="hybridMultilevel"/>
    <w:lvl w:ilvl="0">
      <w:lvlJc w:val="left"/>
      <w:lvlText w:val="(%1)"/>
      <w:numFmt w:val="lowerRoman"/>
      <w:start w:val="4"/>
    </w:lvl>
  </w:abstractNum>
  <w:abstractNum w:abstractNumId="398">
    <w:nsid w:val="29B0E9A8"/>
    <w:multiLevelType w:val="hybridMultilevel"/>
    <w:lvl w:ilvl="0">
      <w:lvlJc w:val="left"/>
      <w:lvlText w:val="%1"/>
      <w:numFmt w:val="lowerLetter"/>
      <w:start w:val="1"/>
    </w:lvl>
    <w:lvl w:ilvl="1">
      <w:lvlJc w:val="left"/>
      <w:lvlText w:val="(%2)"/>
      <w:numFmt w:val="lowerLetter"/>
      <w:start w:val="9"/>
    </w:lvl>
  </w:abstractNum>
  <w:abstractNum w:abstractNumId="399">
    <w:nsid w:val="6F49CD8A"/>
    <w:multiLevelType w:val="hybridMultilevel"/>
    <w:lvl w:ilvl="0">
      <w:lvlJc w:val="left"/>
      <w:lvlText w:val="(%1)"/>
      <w:numFmt w:val="lowerLetter"/>
      <w:start w:val="1"/>
    </w:lvl>
    <w:lvl w:ilvl="1">
      <w:lvlJc w:val="left"/>
      <w:lvlText w:val="%2"/>
      <w:numFmt w:val="lowerLetter"/>
      <w:start w:val="1"/>
    </w:lvl>
  </w:abstractNum>
  <w:abstractNum w:abstractNumId="400">
    <w:nsid w:val="4DC5D907"/>
    <w:multiLevelType w:val="hybridMultilevel"/>
    <w:lvl w:ilvl="0">
      <w:lvlJc w:val="left"/>
      <w:lvlText w:val="(%1)"/>
      <w:numFmt w:val="lowerLetter"/>
      <w:start w:val="13"/>
    </w:lvl>
    <w:lvl w:ilvl="1">
      <w:lvlJc w:val="left"/>
      <w:lvlText w:val="(%2)"/>
      <w:numFmt w:val="lowerLetter"/>
      <w:start w:val="35"/>
    </w:lvl>
  </w:abstractNum>
  <w:abstractNum w:abstractNumId="401">
    <w:nsid w:val="D55945E"/>
    <w:multiLevelType w:val="hybridMultilevel"/>
    <w:lvl w:ilvl="0">
      <w:lvlJc w:val="left"/>
      <w:lvlText w:val="(%1)"/>
      <w:numFmt w:val="lowerRoman"/>
      <w:start w:val="1"/>
    </w:lvl>
  </w:abstractNum>
  <w:abstractNum w:abstractNumId="402">
    <w:nsid w:val="672417E1"/>
    <w:multiLevelType w:val="hybridMultilevel"/>
    <w:lvl w:ilvl="0">
      <w:lvlJc w:val="left"/>
      <w:lvlText w:val="(%1)"/>
      <w:numFmt w:val="lowerRoman"/>
      <w:start w:val="2"/>
    </w:lvl>
    <w:lvl w:ilvl="1">
      <w:lvlJc w:val="left"/>
      <w:lvlText w:val="(%2)"/>
      <w:numFmt w:val="lowerLetter"/>
      <w:start w:val="1"/>
    </w:lvl>
  </w:abstractNum>
  <w:abstractNum w:abstractNumId="403">
    <w:nsid w:val="5FF6CA09"/>
    <w:multiLevelType w:val="hybridMultilevel"/>
    <w:lvl w:ilvl="0">
      <w:lvlJc w:val="left"/>
      <w:lvlText w:val="%1"/>
      <w:numFmt w:val="lowerRoman"/>
      <w:start w:val="1"/>
    </w:lvl>
    <w:lvl w:ilvl="1">
      <w:lvlJc w:val="left"/>
      <w:lvlText w:val="(%2)"/>
      <w:numFmt w:val="lowerLetter"/>
      <w:start w:val="3"/>
    </w:lvl>
  </w:abstractNum>
  <w:abstractNum w:abstractNumId="404">
    <w:nsid w:val="330B1333"/>
    <w:multiLevelType w:val="hybridMultilevel"/>
    <w:lvl w:ilvl="0">
      <w:lvlJc w:val="left"/>
      <w:lvlText w:val="(%1)"/>
      <w:numFmt w:val="lowerRoman"/>
      <w:start w:val="5"/>
    </w:lvl>
    <w:lvl w:ilvl="1">
      <w:lvlJc w:val="left"/>
      <w:lvlText w:val="%2"/>
      <w:numFmt w:val="lowerLetter"/>
      <w:start w:val="1"/>
    </w:lvl>
  </w:abstractNum>
  <w:abstractNum w:abstractNumId="405">
    <w:nsid w:val="2EF32EA6"/>
    <w:multiLevelType w:val="hybridMultilevel"/>
    <w:lvl w:ilvl="0">
      <w:lvlJc w:val="left"/>
      <w:lvlText w:val="(%1)"/>
      <w:numFmt w:val="lowerRoman"/>
      <w:start w:val="7"/>
    </w:lvl>
  </w:abstractNum>
  <w:abstractNum w:abstractNumId="406">
    <w:nsid w:val="32766A55"/>
    <w:multiLevelType w:val="hybridMultilevel"/>
    <w:lvl w:ilvl="0">
      <w:lvlJc w:val="left"/>
      <w:lvlText w:val="%1"/>
      <w:numFmt w:val="lowerLetter"/>
      <w:start w:val="1"/>
    </w:lvl>
    <w:lvl w:ilvl="1">
      <w:lvlJc w:val="left"/>
      <w:lvlText w:val="(%2)"/>
      <w:numFmt w:val="lowerRoman"/>
      <w:start w:val="1"/>
    </w:lvl>
  </w:abstractNum>
  <w:abstractNum w:abstractNumId="407">
    <w:nsid w:val="22D71957"/>
    <w:multiLevelType w:val="hybridMultilevel"/>
    <w:lvl w:ilvl="0">
      <w:lvlJc w:val="left"/>
      <w:lvlText w:val="(%1)"/>
      <w:numFmt w:val="lowerLetter"/>
      <w:start w:val="1"/>
    </w:lvl>
    <w:lvl w:ilvl="1">
      <w:lvlJc w:val="left"/>
      <w:lvlText w:val="(%2)"/>
      <w:numFmt w:val="lowerRoman"/>
      <w:start w:val="4"/>
    </w:lvl>
  </w:abstractNum>
  <w:abstractNum w:abstractNumId="408">
    <w:nsid w:val="4CC1263B"/>
    <w:multiLevelType w:val="hybridMultilevel"/>
    <w:lvl w:ilvl="0">
      <w:lvlJc w:val="left"/>
      <w:lvlText w:val="(%1)"/>
      <w:numFmt w:val="lowerRoman"/>
      <w:start w:val="1"/>
    </w:lvl>
  </w:abstractNum>
  <w:abstractNum w:abstractNumId="409">
    <w:nsid w:val="8BBEB1D"/>
    <w:multiLevelType w:val="hybridMultilevel"/>
    <w:lvl w:ilvl="0">
      <w:lvlJc w:val="left"/>
      <w:lvlText w:val="%1"/>
      <w:numFmt w:val="lowerRoman"/>
      <w:start w:val="1"/>
    </w:lvl>
    <w:lvl w:ilvl="1">
      <w:lvlJc w:val="left"/>
      <w:lvlText w:val="(%2)"/>
      <w:numFmt w:val="lowerRoman"/>
      <w:start w:val="2"/>
    </w:lvl>
  </w:abstractNum>
  <w:abstractNum w:abstractNumId="410">
    <w:nsid w:val="7365F1EE"/>
    <w:multiLevelType w:val="hybridMultilevel"/>
    <w:lvl w:ilvl="0">
      <w:lvlJc w:val="left"/>
      <w:lvlText w:val="(%1)"/>
      <w:numFmt w:val="lowerRoman"/>
      <w:start w:val="1"/>
    </w:lvl>
    <w:lvl w:ilvl="1">
      <w:lvlJc w:val="left"/>
      <w:lvlText w:val="(%2)"/>
      <w:numFmt w:val="lowerRoman"/>
      <w:start w:val="3"/>
    </w:lvl>
  </w:abstractNum>
  <w:abstractNum w:abstractNumId="411">
    <w:nsid w:val="37524CF0"/>
    <w:multiLevelType w:val="hybridMultilevel"/>
    <w:lvl w:ilvl="0">
      <w:lvlJc w:val="left"/>
      <w:lvlText w:val="(%1)"/>
      <w:numFmt w:val="lowerRoman"/>
      <w:start w:val="5"/>
    </w:lvl>
  </w:abstractNum>
  <w:abstractNum w:abstractNumId="412">
    <w:nsid w:val="70CC332F"/>
    <w:multiLevelType w:val="hybridMultilevel"/>
    <w:lvl w:ilvl="0">
      <w:lvlJc w:val="left"/>
      <w:lvlText w:val="(%1)"/>
      <w:numFmt w:val="lowerRoman"/>
      <w:start w:val="1"/>
    </w:lvl>
  </w:abstractNum>
  <w:abstractNum w:abstractNumId="413">
    <w:nsid w:val="5661786E"/>
    <w:multiLevelType w:val="hybridMultilevel"/>
    <w:lvl w:ilvl="0">
      <w:lvlJc w:val="left"/>
      <w:lvlText w:val="(%1)"/>
      <w:numFmt w:val="lowerRoman"/>
      <w:start w:val="1"/>
    </w:lvl>
  </w:abstractNum>
  <w:abstractNum w:abstractNumId="414">
    <w:nsid w:val="3AF6A220"/>
    <w:multiLevelType w:val="hybridMultilevel"/>
    <w:lvl w:ilvl="0">
      <w:lvlJc w:val="left"/>
      <w:lvlText w:val="(%1)"/>
      <w:numFmt w:val="lowerRoman"/>
      <w:start w:val="2"/>
    </w:lvl>
  </w:abstractNum>
  <w:abstractNum w:abstractNumId="415">
    <w:nsid w:val="3C5EA902"/>
    <w:multiLevelType w:val="hybridMultilevel"/>
    <w:lvl w:ilvl="0">
      <w:lvlJc w:val="left"/>
      <w:lvlText w:val="%1."/>
      <w:numFmt w:val="decimal"/>
      <w:start w:val="4"/>
    </w:lvl>
  </w:abstractNum>
  <w:abstractNum w:abstractNumId="416">
    <w:nsid w:val="256E6749"/>
    <w:multiLevelType w:val="hybridMultilevel"/>
    <w:lvl w:ilvl="0">
      <w:lvlJc w:val="left"/>
      <w:lvlText w:val="(%1)"/>
      <w:numFmt w:val="lowerLetter"/>
      <w:start w:val="1"/>
    </w:lvl>
  </w:abstractNum>
  <w:abstractNum w:abstractNumId="417">
    <w:nsid w:val="1CB9A581"/>
    <w:multiLevelType w:val="hybridMultilevel"/>
    <w:lvl w:ilvl="0">
      <w:lvlJc w:val="left"/>
      <w:lvlText w:val="%1."/>
      <w:numFmt w:val="decimal"/>
      <w:start w:val="5"/>
    </w:lvl>
  </w:abstractNum>
  <w:abstractNum w:abstractNumId="418">
    <w:nsid w:val="1F7F42E2"/>
    <w:multiLevelType w:val="hybridMultilevel"/>
    <w:lvl w:ilvl="0">
      <w:lvlJc w:val="left"/>
      <w:lvlText w:val="(%1)"/>
      <w:numFmt w:val="lowerRoman"/>
      <w:start w:val="1"/>
    </w:lvl>
  </w:abstractNum>
  <w:abstractNum w:abstractNumId="419">
    <w:nsid w:val="49D1FEA0"/>
    <w:multiLevelType w:val="hybridMultilevel"/>
    <w:lvl w:ilvl="0">
      <w:lvlJc w:val="left"/>
      <w:lvlText w:val="%1."/>
      <w:numFmt w:val="decimal"/>
      <w:start w:val="6"/>
    </w:lvl>
  </w:abstractNum>
  <w:abstractNum w:abstractNumId="420">
    <w:nsid w:val="268CB37F"/>
    <w:multiLevelType w:val="hybridMultilevel"/>
    <w:lvl w:ilvl="0">
      <w:lvlJc w:val="left"/>
      <w:lvlText w:val="%1."/>
      <w:numFmt w:val="decimal"/>
      <w:start w:val="7"/>
    </w:lvl>
  </w:abstractNum>
  <w:abstractNum w:abstractNumId="421">
    <w:nsid w:val="102362F8"/>
    <w:multiLevelType w:val="hybridMultilevel"/>
    <w:lvl w:ilvl="0">
      <w:lvlJc w:val="left"/>
      <w:lvlText w:val="(%1)"/>
      <w:numFmt w:val="lowerRoman"/>
      <w:start w:val="1"/>
    </w:lvl>
  </w:abstractNum>
  <w:abstractNum w:abstractNumId="422">
    <w:nsid w:val="5FEDC0E3"/>
    <w:multiLevelType w:val="hybridMultilevel"/>
    <w:lvl w:ilvl="0">
      <w:lvlJc w:val="left"/>
      <w:lvlText w:val="(%1)"/>
      <w:numFmt w:val="lowerRoman"/>
      <w:start w:val="2"/>
    </w:lvl>
  </w:abstractNum>
  <w:abstractNum w:abstractNumId="423">
    <w:nsid w:val="3D75BC47"/>
    <w:multiLevelType w:val="hybridMultilevel"/>
    <w:lvl w:ilvl="0">
      <w:lvlJc w:val="left"/>
      <w:lvlText w:val="(%1)"/>
      <w:numFmt w:val="lowerRoman"/>
      <w:start w:val="1"/>
    </w:lvl>
  </w:abstractNum>
  <w:abstractNum w:abstractNumId="424">
    <w:nsid w:val="3E30D969"/>
    <w:multiLevelType w:val="hybridMultilevel"/>
    <w:lvl w:ilvl="0">
      <w:lvlJc w:val="left"/>
      <w:lvlText w:val="%1)"/>
      <w:numFmt w:val="lowerLetter"/>
      <w:start w:val="1"/>
    </w:lvl>
  </w:abstractNum>
  <w:abstractNum w:abstractNumId="425">
    <w:nsid w:val="18A35F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6">
    <w:nsid w:val="6DEF521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27">
    <w:nsid w:val="1112DBB6"/>
    <w:multiLevelType w:val="hybridMultilevel"/>
    <w:lvl w:ilvl="0">
      <w:lvlJc w:val="left"/>
      <w:lvlText w:val="%1."/>
      <w:numFmt w:val="decimal"/>
      <w:start w:val="9"/>
    </w:lvl>
  </w:abstractNum>
  <w:abstractNum w:abstractNumId="428">
    <w:nsid w:val="2586A498"/>
    <w:multiLevelType w:val="hybridMultilevel"/>
    <w:lvl w:ilvl="0">
      <w:lvlJc w:val="left"/>
      <w:lvlText w:val="(%1)"/>
      <w:numFmt w:val="lowerRoman"/>
      <w:start w:val="1"/>
    </w:lvl>
  </w:abstractNum>
  <w:abstractNum w:abstractNumId="429">
    <w:nsid w:val="17A03BB9"/>
    <w:multiLevelType w:val="hybridMultilevel"/>
    <w:lvl w:ilvl="0">
      <w:lvlJc w:val="left"/>
      <w:lvlText w:val="(%1)"/>
      <w:numFmt w:val="lowerRoman"/>
      <w:start w:val="2"/>
    </w:lvl>
  </w:abstractNum>
  <w:abstractNum w:abstractNumId="430">
    <w:nsid w:val="5CA941"/>
    <w:multiLevelType w:val="hybridMultilevel"/>
    <w:lvl w:ilvl="0">
      <w:lvlJc w:val="left"/>
      <w:lvlText w:val="(%1)"/>
      <w:numFmt w:val="lowerRoman"/>
      <w:start w:val="1"/>
    </w:lvl>
  </w:abstractNum>
  <w:abstractNum w:abstractNumId="431">
    <w:nsid w:val="734C7D9F"/>
    <w:multiLevelType w:val="hybridMultilevel"/>
    <w:lvl w:ilvl="0">
      <w:lvlJc w:val="left"/>
      <w:lvlText w:val="(%1)"/>
      <w:numFmt w:val="lowerRoman"/>
      <w:start w:val="1"/>
    </w:lvl>
  </w:abstractNum>
  <w:abstractNum w:abstractNumId="432">
    <w:nsid w:val="24F5D018"/>
    <w:multiLevelType w:val="hybridMultilevel"/>
    <w:lvl w:ilvl="0">
      <w:lvlJc w:val="left"/>
      <w:lvlText w:val="%1."/>
      <w:numFmt w:val="upperLetter"/>
      <w:start w:val="1"/>
    </w:lvl>
  </w:abstractNum>
  <w:abstractNum w:abstractNumId="433">
    <w:nsid w:val="6780C122"/>
    <w:multiLevelType w:val="hybridMultilevel"/>
    <w:lvl w:ilvl="0">
      <w:lvlJc w:val="left"/>
      <w:lvlText w:val="%1."/>
      <w:numFmt w:val="decimal"/>
      <w:start w:val="1"/>
    </w:lvl>
  </w:abstractNum>
  <w:abstractNum w:abstractNumId="434">
    <w:nsid w:val="534347A8"/>
    <w:multiLevelType w:val="hybridMultilevel"/>
    <w:lvl w:ilvl="0">
      <w:lvlJc w:val="left"/>
      <w:lvlText w:val="(%1)"/>
      <w:numFmt w:val="lowerRoman"/>
      <w:start w:val="3"/>
    </w:lvl>
  </w:abstractNum>
  <w:abstractNum w:abstractNumId="435">
    <w:nsid w:val="5800E34B"/>
    <w:multiLevelType w:val="hybridMultilevel"/>
    <w:lvl w:ilvl="0">
      <w:lvlJc w:val="left"/>
      <w:lvlText w:val="%1."/>
      <w:numFmt w:val="decimal"/>
      <w:start w:val="2"/>
    </w:lvl>
  </w:abstractNum>
  <w:abstractNum w:abstractNumId="436">
    <w:nsid w:val="1673EFC8"/>
    <w:multiLevelType w:val="hybridMultilevel"/>
    <w:lvl w:ilvl="0">
      <w:lvlJc w:val="left"/>
      <w:lvlText w:val="(%1)"/>
      <w:numFmt w:val="lowerLetter"/>
      <w:start w:val="9"/>
    </w:lvl>
    <w:lvl w:ilvl="1">
      <w:lvlJc w:val="left"/>
      <w:lvlText w:val="(%2)"/>
      <w:numFmt w:val="lowerLetter"/>
      <w:start w:val="1"/>
    </w:lvl>
  </w:abstractNum>
  <w:abstractNum w:abstractNumId="437">
    <w:nsid w:val="5B9B1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8">
    <w:nsid w:val="7AD7FCA2"/>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439">
    <w:nsid w:val="6335160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440">
    <w:nsid w:val="E759D1A"/>
    <w:multiLevelType w:val="hybridMultilevel"/>
    <w:lvl w:ilvl="0">
      <w:lvlJc w:val="left"/>
      <w:lvlText w:val="%1."/>
      <w:numFmt w:val="decimal"/>
      <w:start w:val="3"/>
    </w:lvl>
  </w:abstractNum>
  <w:abstractNum w:abstractNumId="441">
    <w:nsid w:val="6E3DEE90"/>
    <w:multiLevelType w:val="hybridMultilevel"/>
    <w:lvl w:ilvl="0">
      <w:lvlJc w:val="left"/>
      <w:lvlText w:val="(%1)"/>
      <w:numFmt w:val="lowerRoman"/>
      <w:start w:val="1"/>
    </w:lvl>
  </w:abstractNum>
  <w:abstractNum w:abstractNumId="442">
    <w:nsid w:val="1A8762F4"/>
    <w:multiLevelType w:val="hybridMultilevel"/>
    <w:lvl w:ilvl="0">
      <w:lvlJc w:val="left"/>
      <w:lvlText w:val="(%1)"/>
      <w:numFmt w:val="lowerRoman"/>
      <w:start w:val="2"/>
    </w:lvl>
  </w:abstractNum>
  <w:abstractNum w:abstractNumId="443">
    <w:nsid w:val="7F41D049"/>
    <w:multiLevelType w:val="hybridMultilevel"/>
    <w:lvl w:ilvl="0">
      <w:lvlJc w:val="left"/>
      <w:lvlText w:val="%1."/>
      <w:numFmt w:val="decimal"/>
      <w:start w:val="4"/>
    </w:lvl>
  </w:abstractNum>
  <w:abstractNum w:abstractNumId="444">
    <w:nsid w:val="449F66FE"/>
    <w:multiLevelType w:val="hybridMultilevel"/>
    <w:lvl w:ilvl="0">
      <w:lvlJc w:val="left"/>
      <w:lvlText w:val="(%1)"/>
      <w:numFmt w:val="lowerRoman"/>
      <w:start w:val="1"/>
    </w:lvl>
  </w:abstractNum>
  <w:abstractNum w:abstractNumId="445">
    <w:nsid w:val="557E0515"/>
    <w:multiLevelType w:val="hybridMultilevel"/>
    <w:lvl w:ilvl="0">
      <w:lvlJc w:val="left"/>
      <w:lvlText w:val="(%1)"/>
      <w:numFmt w:val="lowerRoman"/>
      <w:start w:val="2"/>
    </w:lvl>
  </w:abstractNum>
  <w:abstractNum w:abstractNumId="446">
    <w:nsid w:val="3BA0794B"/>
    <w:multiLevelType w:val="hybridMultilevel"/>
    <w:lvl w:ilvl="0">
      <w:lvlJc w:val="left"/>
      <w:lvlText w:val="(%1)"/>
      <w:numFmt w:val="lowerRoman"/>
      <w:start w:val="8"/>
    </w:lvl>
  </w:abstractNum>
  <w:abstractNum w:abstractNumId="447">
    <w:nsid w:val="6A0DCE4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48">
    <w:nsid w:val="7237AA96"/>
    <w:multiLevelType w:val="hybridMultilevel"/>
    <w:lvl w:ilvl="0">
      <w:lvlJc w:val="left"/>
      <w:lvlText w:val="(%1)"/>
      <w:numFmt w:val="lowerRoman"/>
      <w:start w:val="2"/>
    </w:lvl>
  </w:abstractNum>
  <w:abstractNum w:abstractNumId="449">
    <w:nsid w:val="5B1FBC2D"/>
    <w:multiLevelType w:val="hybridMultilevel"/>
    <w:lvl w:ilvl="0">
      <w:lvlJc w:val="left"/>
      <w:lvlText w:val="(%1)"/>
      <w:numFmt w:val="lowerRoman"/>
      <w:start w:val="1"/>
    </w:lvl>
  </w:abstractNum>
  <w:abstractNum w:abstractNumId="450">
    <w:nsid w:val="33DFCCE8"/>
    <w:multiLevelType w:val="hybridMultilevel"/>
    <w:lvl w:ilvl="0">
      <w:lvlJc w:val="left"/>
      <w:lvlText w:val="(%1)"/>
      <w:numFmt w:val="lowerRoman"/>
      <w:start w:val="2"/>
    </w:lvl>
  </w:abstractNum>
  <w:abstractNum w:abstractNumId="451">
    <w:nsid w:val="18C45E15"/>
    <w:multiLevelType w:val="hybridMultilevel"/>
    <w:lvl w:ilvl="0">
      <w:lvlJc w:val="left"/>
      <w:lvlText w:val="%1."/>
      <w:numFmt w:val="decimal"/>
      <w:start w:val="6"/>
    </w:lvl>
  </w:abstractNum>
  <w:abstractNum w:abstractNumId="452">
    <w:nsid w:val="6B431F25"/>
    <w:multiLevelType w:val="hybridMultilevel"/>
    <w:lvl w:ilvl="0">
      <w:lvlJc w:val="left"/>
      <w:lvlText w:val="(%1)"/>
      <w:numFmt w:val="lowerRoman"/>
      <w:start w:val="1"/>
    </w:lvl>
  </w:abstractNum>
  <w:abstractNum w:abstractNumId="453">
    <w:nsid w:val="13CD8DCB"/>
    <w:multiLevelType w:val="hybridMultilevel"/>
    <w:lvl w:ilvl="0">
      <w:lvlJc w:val="left"/>
      <w:lvlText w:val="%1."/>
      <w:numFmt w:val="decimal"/>
      <w:start w:val="7"/>
    </w:lvl>
  </w:abstractNum>
  <w:abstractNum w:abstractNumId="454">
    <w:nsid w:val="563A1A5C"/>
    <w:multiLevelType w:val="hybridMultilevel"/>
    <w:lvl w:ilvl="0">
      <w:lvlJc w:val="left"/>
      <w:lvlText w:val="%1."/>
      <w:numFmt w:val="decimal"/>
      <w:start w:val="8"/>
    </w:lvl>
  </w:abstractNum>
  <w:abstractNum w:abstractNumId="455">
    <w:nsid w:val="2973F88F"/>
    <w:multiLevelType w:val="hybridMultilevel"/>
    <w:lvl w:ilvl="0">
      <w:lvlJc w:val="left"/>
      <w:lvlText w:val="(%1)"/>
      <w:numFmt w:val="lowerRoman"/>
      <w:start w:val="1"/>
    </w:lvl>
  </w:abstractNum>
  <w:abstractNum w:abstractNumId="456">
    <w:nsid w:val="2C70EDAE"/>
    <w:multiLevelType w:val="hybridMultilevel"/>
    <w:lvl w:ilvl="0">
      <w:lvlJc w:val="left"/>
      <w:lvlText w:val="(%1)"/>
      <w:numFmt w:val="lowerRoman"/>
      <w:start w:val="2"/>
    </w:lvl>
  </w:abstractNum>
  <w:abstractNum w:abstractNumId="457">
    <w:nsid w:val="44296C6D"/>
    <w:multiLevelType w:val="hybridMultilevel"/>
    <w:lvl w:ilvl="0">
      <w:lvlJc w:val="left"/>
      <w:lvlText w:val="(%1)"/>
      <w:numFmt w:val="lowerRoman"/>
      <w:start w:val="1"/>
    </w:lvl>
  </w:abstractNum>
  <w:abstractNum w:abstractNumId="458">
    <w:nsid w:val="3A86D445"/>
    <w:multiLevelType w:val="hybridMultilevel"/>
    <w:lvl w:ilvl="0">
      <w:lvlJc w:val="left"/>
      <w:lvlText w:val="(%1)"/>
      <w:numFmt w:val="upperLetter"/>
      <w:start w:val="1"/>
    </w:lvl>
  </w:abstractNum>
  <w:abstractNum w:abstractNumId="459">
    <w:nsid w:val="51F79246"/>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460">
    <w:nsid w:val="5BC9A827"/>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461">
    <w:nsid w:val="3AE37D86"/>
    <w:multiLevelType w:val="hybridMultilevel"/>
    <w:lvl w:ilvl="0">
      <w:lvlJc w:val="left"/>
      <w:lvlText w:val="(%1)"/>
      <w:numFmt w:val="lowerRoman"/>
      <w:start w:val="2"/>
    </w:lvl>
  </w:abstractNum>
  <w:abstractNum w:abstractNumId="462">
    <w:nsid w:val="45440FE5"/>
    <w:multiLevelType w:val="hybridMultilevel"/>
    <w:lvl w:ilvl="0">
      <w:lvlJc w:val="left"/>
      <w:lvlText w:val="(%1)"/>
      <w:numFmt w:val="decimal"/>
      <w:start w:val="4"/>
    </w:lvl>
  </w:abstractNum>
  <w:abstractNum w:abstractNumId="463">
    <w:nsid w:val="BF783F"/>
    <w:multiLevelType w:val="hybridMultilevel"/>
    <w:lvl w:ilvl="0">
      <w:lvlJc w:val="left"/>
      <w:lvlText w:val="%1."/>
      <w:numFmt w:val="decimal"/>
      <w:start w:val="10"/>
    </w:lvl>
  </w:abstractNum>
  <w:abstractNum w:abstractNumId="464">
    <w:nsid w:val="22643EA9"/>
    <w:multiLevelType w:val="hybridMultilevel"/>
    <w:lvl w:ilvl="0">
      <w:lvlJc w:val="left"/>
      <w:lvlText w:val="(%1)"/>
      <w:numFmt w:val="lowerLetter"/>
      <w:start w:val="1"/>
    </w:lvl>
  </w:abstractNum>
  <w:abstractNum w:abstractNumId="465">
    <w:nsid w:val="1887578D"/>
    <w:multiLevelType w:val="hybridMultilevel"/>
    <w:lvl w:ilvl="0">
      <w:lvlJc w:val="left"/>
      <w:lvlText w:val="(%1)"/>
      <w:numFmt w:val="lowerLetter"/>
      <w:start w:val="4"/>
    </w:lvl>
  </w:abstractNum>
  <w:abstractNum w:abstractNumId="466">
    <w:nsid w:val="58C05B8A"/>
    <w:multiLevelType w:val="hybridMultilevel"/>
    <w:lvl w:ilvl="0">
      <w:lvlJc w:val="left"/>
      <w:lvlText w:val="(%1)"/>
      <w:numFmt w:val="lowerLetter"/>
      <w:start w:val="1"/>
    </w:lvl>
  </w:abstractNum>
  <w:abstractNum w:abstractNumId="467">
    <w:nsid w:val="38D82E71"/>
    <w:multiLevelType w:val="hybridMultilevel"/>
    <w:lvl w:ilvl="0">
      <w:lvlJc w:val="left"/>
      <w:lvlText w:val="(%1)"/>
      <w:numFmt w:val="lowerLetter"/>
      <w:start w:val="3"/>
    </w:lvl>
  </w:abstractNum>
  <w:abstractNum w:abstractNumId="468">
    <w:nsid w:val="1E41098A"/>
    <w:multiLevelType w:val="hybridMultilevel"/>
    <w:lvl w:ilvl="0">
      <w:lvlJc w:val="left"/>
      <w:lvlText w:val="(%1)"/>
      <w:numFmt w:val="lowerLetter"/>
      <w:start w:val="1"/>
    </w:lvl>
  </w:abstractNum>
  <w:abstractNum w:abstractNumId="469">
    <w:nsid w:val="5398582C"/>
    <w:multiLevelType w:val="hybridMultilevel"/>
    <w:lvl w:ilvl="0">
      <w:lvlJc w:val="left"/>
      <w:lvlText w:val="(%1)"/>
      <w:numFmt w:val="lowerLetter"/>
      <w:start w:val="1"/>
    </w:lvl>
  </w:abstractNum>
  <w:abstractNum w:abstractNumId="470">
    <w:nsid w:val="1C0D4475"/>
    <w:multiLevelType w:val="hybridMultilevel"/>
    <w:lvl w:ilvl="0">
      <w:lvlJc w:val="left"/>
      <w:lvlText w:val="(%1)"/>
      <w:numFmt w:val="lowerLetter"/>
      <w:start w:val="13"/>
    </w:lvl>
  </w:abstractNum>
  <w:abstractNum w:abstractNumId="471">
    <w:nsid w:val="2CB6A6A4"/>
    <w:multiLevelType w:val="hybridMultilevel"/>
    <w:lvl w:ilvl="0">
      <w:lvlJc w:val="left"/>
      <w:lvlText w:val="(%1)"/>
      <w:numFmt w:val="lowerLetter"/>
      <w:start w:val="1"/>
    </w:lvl>
  </w:abstractNum>
  <w:abstractNum w:abstractNumId="472">
    <w:nsid w:val="41D646BC"/>
    <w:multiLevelType w:val="hybridMultilevel"/>
    <w:lvl w:ilvl="0">
      <w:lvlJc w:val="left"/>
      <w:lvlText w:val="(%1)"/>
      <w:numFmt w:val="lowerLetter"/>
      <w:start w:val="2"/>
    </w:lvl>
  </w:abstractNum>
  <w:abstractNum w:abstractNumId="473">
    <w:nsid w:val="3694A76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474">
    <w:nsid w:val="2BF876EE"/>
    <w:multiLevelType w:val="hybridMultilevel"/>
    <w:lvl w:ilvl="0">
      <w:lvlJc w:val="left"/>
      <w:lvlText w:val="%1."/>
      <w:numFmt w:val="decimal"/>
      <w:start w:val="11"/>
    </w:lvl>
    <w:lvl w:ilvl="1">
      <w:lvlJc w:val="left"/>
      <w:lvlText w:val="(%2)"/>
      <w:numFmt w:val="lowerRoman"/>
      <w:start w:val="1"/>
    </w:lvl>
    <w:lvl w:ilvl="2">
      <w:lvlJc w:val="left"/>
      <w:lvlText w:val="%3"/>
      <w:numFmt w:val="lowerLetter"/>
      <w:start w:val="1"/>
    </w:lvl>
  </w:abstractNum>
  <w:abstractNum w:abstractNumId="475">
    <w:nsid w:val="675ADBA"/>
    <w:multiLevelType w:val="hybridMultilevel"/>
    <w:lvl w:ilvl="0">
      <w:lvlJc w:val="left"/>
      <w:lvlText w:val="(%1)"/>
      <w:numFmt w:val="lowerRoman"/>
      <w:start w:val="3"/>
    </w:lvl>
  </w:abstractNum>
  <w:abstractNum w:abstractNumId="476">
    <w:nsid w:val="C12AC7F"/>
    <w:multiLevelType w:val="hybridMultilevel"/>
    <w:lvl w:ilvl="0">
      <w:lvlJc w:val="left"/>
      <w:lvlText w:val="(%1)"/>
      <w:numFmt w:val="lowerRoman"/>
      <w:start w:val="6"/>
    </w:lvl>
  </w:abstractNum>
  <w:abstractNum w:abstractNumId="477">
    <w:nsid w:val="6798F039"/>
    <w:multiLevelType w:val="hybridMultilevel"/>
    <w:lvl w:ilvl="0">
      <w:lvlJc w:val="left"/>
      <w:lvlText w:val="(%1)"/>
      <w:numFmt w:val="lowerRoman"/>
      <w:start w:val="1"/>
    </w:lvl>
  </w:abstractNum>
  <w:abstractNum w:abstractNumId="478">
    <w:nsid w:val="70837C02"/>
    <w:multiLevelType w:val="hybridMultilevel"/>
    <w:lvl w:ilvl="0">
      <w:lvlJc w:val="left"/>
      <w:lvlText w:val="%1."/>
      <w:numFmt w:val="decimal"/>
      <w:start w:val="12"/>
    </w:lvl>
  </w:abstractNum>
  <w:abstractNum w:abstractNumId="479">
    <w:nsid w:val="7E4A5715"/>
    <w:multiLevelType w:val="hybridMultilevel"/>
    <w:lvl w:ilvl="0">
      <w:lvlJc w:val="left"/>
      <w:lvlText w:val="(%1)"/>
      <w:numFmt w:val="lowerRoman"/>
      <w:start w:val="1"/>
    </w:lvl>
  </w:abstractNum>
  <w:abstractNum w:abstractNumId="480">
    <w:nsid w:val="42B8AC67"/>
    <w:multiLevelType w:val="hybridMultilevel"/>
    <w:lvl w:ilvl="0">
      <w:lvlJc w:val="left"/>
      <w:lvlText w:val="(%1)"/>
      <w:numFmt w:val="lowerRoman"/>
      <w:start w:val="4"/>
    </w:lvl>
  </w:abstractNum>
  <w:abstractNum w:abstractNumId="481">
    <w:nsid w:val="246348EA"/>
    <w:multiLevelType w:val="hybridMultilevel"/>
    <w:lvl w:ilvl="0">
      <w:lvlJc w:val="left"/>
      <w:lvlText w:val="(%1)"/>
      <w:numFmt w:val="lowerRoman"/>
      <w:start w:val="6"/>
    </w:lvl>
    <w:lvl w:ilvl="1">
      <w:lvlJc w:val="left"/>
      <w:lvlText w:val="(%2)"/>
      <w:numFmt w:val="decimal"/>
      <w:start w:val="2"/>
    </w:lvl>
    <w:lvl w:ilvl="2">
      <w:lvlJc w:val="left"/>
      <w:lvlText w:val="(%3)"/>
      <w:numFmt w:val="lowerLetter"/>
      <w:start w:val="1"/>
    </w:lvl>
  </w:abstractNum>
  <w:abstractNum w:abstractNumId="482">
    <w:nsid w:val="170EB52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483">
    <w:nsid w:val="2DFBCB8C"/>
    <w:multiLevelType w:val="hybridMultilevel"/>
    <w:lvl w:ilvl="0">
      <w:lvlJc w:val="left"/>
      <w:lvlText w:val="%1"/>
      <w:numFmt w:val="lowerRoman"/>
      <w:start w:val="1"/>
    </w:lvl>
    <w:lvl w:ilvl="1">
      <w:lvlJc w:val="left"/>
      <w:lvlText w:val="(%2)"/>
      <w:numFmt w:val="lowerLetter"/>
      <w:start w:val="5"/>
    </w:lvl>
  </w:abstractNum>
  <w:abstractNum w:abstractNumId="484">
    <w:nsid w:val="3830D6B6"/>
    <w:multiLevelType w:val="hybridMultilevel"/>
    <w:lvl w:ilvl="0">
      <w:lvlJc w:val="left"/>
      <w:lvlText w:val="(%1)"/>
      <w:numFmt w:val="lowerRoman"/>
      <w:start w:val="9"/>
    </w:lvl>
    <w:lvl w:ilvl="1">
      <w:lvlJc w:val="left"/>
      <w:lvlText w:val="%2"/>
      <w:numFmt w:val="lowerLetter"/>
      <w:start w:val="1"/>
    </w:lvl>
  </w:abstractNum>
  <w:abstractNum w:abstractNumId="485">
    <w:nsid w:val="6D48CF87"/>
    <w:multiLevelType w:val="hybridMultilevel"/>
    <w:lvl w:ilvl="0">
      <w:lvlJc w:val="left"/>
      <w:lvlText w:val="%1."/>
      <w:numFmt w:val="decimal"/>
      <w:start w:val="1"/>
    </w:lvl>
  </w:abstractNum>
  <w:abstractNum w:abstractNumId="486">
    <w:nsid w:val="576FC41B"/>
    <w:multiLevelType w:val="hybridMultilevel"/>
    <w:lvl w:ilvl="0">
      <w:lvlJc w:val="left"/>
      <w:lvlText w:val="1"/>
      <w:numFmt w:val="bullet"/>
      <w:start w:val="1"/>
    </w:lvl>
  </w:abstractNum>
  <w:abstractNum w:abstractNumId="487">
    <w:nsid w:val="64A1C464"/>
    <w:multiLevelType w:val="hybridMultilevel"/>
    <w:lvl w:ilvl="0">
      <w:lvlJc w:val="left"/>
      <w:lvlText w:val="2"/>
      <w:numFmt w:val="bullet"/>
      <w:start w:val="1"/>
    </w:lvl>
  </w:abstractNum>
  <w:abstractNum w:abstractNumId="488">
    <w:nsid w:val="31723BF5"/>
    <w:multiLevelType w:val="hybridMultilevel"/>
    <w:lvl w:ilvl="0">
      <w:lvlJc w:val="left"/>
      <w:lvlText w:val="(%1)"/>
      <w:numFmt w:val="decimal"/>
      <w:start w:val="7"/>
    </w:lvl>
  </w:abstractNum>
  <w:abstractNum w:abstractNumId="489">
    <w:nsid w:val="11F69861"/>
    <w:multiLevelType w:val="hybridMultilevel"/>
    <w:lvl w:ilvl="0">
      <w:lvlJc w:val="left"/>
      <w:lvlText w:val="3"/>
      <w:numFmt w:val="bullet"/>
      <w:start w:val="1"/>
    </w:lvl>
  </w:abstractNum>
  <w:abstractNum w:abstractNumId="490">
    <w:nsid w:val="369956AB"/>
    <w:multiLevelType w:val="hybridMultilevel"/>
    <w:lvl w:ilvl="0">
      <w:lvlJc w:val="left"/>
      <w:lvlText w:val="4"/>
      <w:numFmt w:val="bullet"/>
      <w:start w:val="1"/>
    </w:lvl>
  </w:abstractNum>
  <w:abstractNum w:abstractNumId="491">
    <w:nsid w:val="D3BE41C"/>
    <w:multiLevelType w:val="hybridMultilevel"/>
    <w:lvl w:ilvl="0">
      <w:lvlJc w:val="left"/>
      <w:lvlText w:val="5"/>
      <w:numFmt w:val="bullet"/>
      <w:start w:val="1"/>
    </w:lvl>
  </w:abstractNum>
  <w:abstractNum w:abstractNumId="492">
    <w:nsid w:val="4CDA15E7"/>
    <w:multiLevelType w:val="hybridMultilevel"/>
    <w:lvl w:ilvl="0">
      <w:lvlJc w:val="left"/>
      <w:lvlText w:val="6"/>
      <w:numFmt w:val="bullet"/>
      <w:start w:val="1"/>
    </w:lvl>
  </w:abstractNum>
  <w:abstractNum w:abstractNumId="493">
    <w:nsid w:val="7BDD6690"/>
    <w:multiLevelType w:val="hybridMultilevel"/>
    <w:lvl w:ilvl="0">
      <w:lvlJc w:val="left"/>
      <w:lvlText w:val="7"/>
      <w:numFmt w:val="bullet"/>
      <w:start w:val="1"/>
    </w:lvl>
  </w:abstractNum>
  <w:abstractNum w:abstractNumId="494">
    <w:nsid w:val="DFB5C5B"/>
    <w:multiLevelType w:val="hybridMultilevel"/>
    <w:lvl w:ilvl="0">
      <w:lvlJc w:val="left"/>
      <w:lvlText w:val="8"/>
      <w:numFmt w:val="bullet"/>
      <w:start w:val="1"/>
    </w:lvl>
  </w:abstractNum>
  <w:abstractNum w:abstractNumId="495">
    <w:nsid w:val="6F3E5490"/>
    <w:multiLevelType w:val="hybridMultilevel"/>
    <w:lvl w:ilvl="0">
      <w:lvlJc w:val="left"/>
      <w:lvlText w:val="9"/>
      <w:numFmt w:val="bullet"/>
      <w:start w:val="1"/>
    </w:lvl>
  </w:abstractNum>
  <w:abstractNum w:abstractNumId="496">
    <w:nsid w:val="1464BE1E"/>
    <w:multiLevelType w:val="hybridMultilevel"/>
    <w:lvl w:ilvl="0">
      <w:lvlJc w:val="left"/>
      <w:lvlText w:val="%1"/>
      <w:numFmt w:val="decimal"/>
      <w:start w:val="10"/>
    </w:lvl>
  </w:abstractNum>
  <w:abstractNum w:abstractNumId="497">
    <w:nsid w:val="66BBB7E5"/>
    <w:multiLevelType w:val="hybridMultilevel"/>
    <w:lvl w:ilvl="0">
      <w:lvlJc w:val="left"/>
      <w:lvlText w:val="%1"/>
      <w:numFmt w:val="decimal"/>
      <w:start w:val="11"/>
    </w:lvl>
  </w:abstractNum>
  <w:abstractNum w:abstractNumId="498">
    <w:nsid w:val="28168302"/>
    <w:multiLevelType w:val="hybridMultilevel"/>
    <w:lvl w:ilvl="0">
      <w:lvlJc w:val="left"/>
      <w:lvlText w:val="%1"/>
      <w:numFmt w:val="decimal"/>
      <w:start w:val="13"/>
    </w:lvl>
  </w:abstractNum>
  <w:abstractNum w:abstractNumId="499">
    <w:nsid w:val="32A5C7A8"/>
    <w:multiLevelType w:val="hybridMultilevel"/>
    <w:lvl w:ilvl="0">
      <w:lvlJc w:val="left"/>
      <w:lvlText w:val="%1."/>
      <w:numFmt w:val="decimal"/>
      <w:start w:val="1"/>
    </w:lvl>
  </w:abstractNum>
  <w:abstractNum w:abstractNumId="500">
    <w:nsid w:val="3A541011"/>
    <w:multiLevelType w:val="hybridMultilevel"/>
    <w:lvl w:ilvl="0">
      <w:lvlJc w:val="left"/>
      <w:lvlText w:val="%1."/>
      <w:numFmt w:val="decimal"/>
      <w:start w:val="1"/>
    </w:lvl>
  </w:abstractNum>
  <w:abstractNum w:abstractNumId="501">
    <w:nsid w:val="4423C777"/>
    <w:multiLevelType w:val="hybridMultilevel"/>
    <w:lvl w:ilvl="0">
      <w:lvlJc w:val="left"/>
      <w:lvlText w:val="%1."/>
      <w:numFmt w:val="decimal"/>
      <w:start w:val="2"/>
    </w:lvl>
  </w:abstractNum>
  <w:abstractNum w:abstractNumId="502">
    <w:nsid w:val="5F5C6E4D"/>
    <w:multiLevelType w:val="hybridMultilevel"/>
    <w:lvl w:ilvl="0">
      <w:lvlJc w:val="left"/>
      <w:lvlText w:val="%1."/>
      <w:numFmt w:val="decimal"/>
      <w:start w:val="3"/>
    </w:lvl>
  </w:abstractNum>
  <w:abstractNum w:abstractNumId="503">
    <w:nsid w:val="7C2A56CD"/>
    <w:multiLevelType w:val="hybridMultilevel"/>
    <w:lvl w:ilvl="0">
      <w:lvlJc w:val="left"/>
      <w:lvlText w:val="(%1)"/>
      <w:numFmt w:val="lowerRoman"/>
      <w:start w:val="1"/>
    </w:lvl>
  </w:abstractNum>
  <w:abstractNum w:abstractNumId="504">
    <w:nsid w:val="7AB86EE1"/>
    <w:multiLevelType w:val="hybridMultilevel"/>
    <w:lvl w:ilvl="0">
      <w:lvlJc w:val="left"/>
      <w:lvlText w:val="%1."/>
      <w:numFmt w:val="decimal"/>
      <w:start w:val="4"/>
    </w:lvl>
  </w:abstractNum>
  <w:abstractNum w:abstractNumId="505">
    <w:nsid w:val="B54E53B"/>
    <w:multiLevelType w:val="hybridMultilevel"/>
    <w:lvl w:ilvl="0">
      <w:lvlJc w:val="left"/>
      <w:lvlText w:val="%1."/>
      <w:numFmt w:val="decimal"/>
      <w:start w:val="6"/>
    </w:lvl>
  </w:abstractNum>
  <w:abstractNum w:abstractNumId="506">
    <w:nsid w:val="2A00487"/>
    <w:multiLevelType w:val="hybridMultilevel"/>
    <w:lvl w:ilvl="0">
      <w:lvlJc w:val="left"/>
      <w:lvlText w:val="%1."/>
      <w:numFmt w:val="decimal"/>
      <w:start w:val="7"/>
    </w:lvl>
  </w:abstractNum>
  <w:abstractNum w:abstractNumId="507">
    <w:nsid w:val="6CB1B60"/>
    <w:multiLevelType w:val="hybridMultilevel"/>
    <w:lvl w:ilvl="0">
      <w:lvlJc w:val="left"/>
      <w:lvlText w:val="%1."/>
      <w:numFmt w:val="decimal"/>
      <w:start w:val="8"/>
    </w:lvl>
  </w:abstractNum>
  <w:abstractNum w:abstractNumId="508">
    <w:nsid w:val="72EDD574"/>
    <w:multiLevelType w:val="hybridMultilevel"/>
    <w:lvl w:ilvl="0">
      <w:lvlJc w:val="left"/>
      <w:lvlText w:val="%1."/>
      <w:numFmt w:val="decimal"/>
      <w:start w:val="11"/>
    </w:lvl>
  </w:abstractNum>
  <w:abstractNum w:abstractNumId="509">
    <w:nsid w:val="7323808A"/>
    <w:multiLevelType w:val="hybridMultilevel"/>
    <w:lvl w:ilvl="0">
      <w:lvlJc w:val="left"/>
      <w:lvlText w:val="%1."/>
      <w:numFmt w:val="decimal"/>
      <w:start w:val="1"/>
    </w:lvl>
  </w:abstractNum>
  <w:abstractNum w:abstractNumId="510">
    <w:nsid w:val="5157276"/>
    <w:multiLevelType w:val="hybridMultilevel"/>
    <w:lvl w:ilvl="0">
      <w:lvlJc w:val="left"/>
      <w:lvlText w:val="%1."/>
      <w:numFmt w:val="decimal"/>
      <w:start w:val="3"/>
    </w:lvl>
  </w:abstractNum>
  <w:abstractNum w:abstractNumId="511">
    <w:nsid w:val="35A681DB"/>
    <w:multiLevelType w:val="hybridMultilevel"/>
    <w:lvl w:ilvl="0">
      <w:lvlJc w:val="left"/>
      <w:lvlText w:val="%1."/>
      <w:numFmt w:val="decimal"/>
      <w:start w:val="1"/>
    </w:lvl>
  </w:abstractNum>
  <w:abstractNum w:abstractNumId="512">
    <w:nsid w:val="1786C974"/>
    <w:multiLevelType w:val="hybridMultilevel"/>
    <w:lvl w:ilvl="0">
      <w:lvlJc w:val="left"/>
      <w:lvlText w:val="%1."/>
      <w:numFmt w:val="decimal"/>
      <w:start w:val="2"/>
    </w:lvl>
  </w:abstractNum>
  <w:abstractNum w:abstractNumId="513">
    <w:nsid w:val="1C2427A1"/>
    <w:multiLevelType w:val="hybridMultilevel"/>
    <w:lvl w:ilvl="0">
      <w:lvlJc w:val="left"/>
      <w:lvlText w:val="(%1)"/>
      <w:numFmt w:val="lowerLetter"/>
      <w:start w:val="1"/>
    </w:lvl>
  </w:abstractNum>
  <w:abstractNum w:abstractNumId="514">
    <w:nsid w:val="63A24D68"/>
    <w:multiLevelType w:val="hybridMultilevel"/>
    <w:lvl w:ilvl="0">
      <w:lvlJc w:val="left"/>
      <w:lvlText w:val="%1"/>
      <w:numFmt w:val="decimal"/>
      <w:start w:val="1"/>
    </w:lvl>
    <w:lvl w:ilvl="1">
      <w:lvlJc w:val="left"/>
      <w:lvlText w:val="(%2)"/>
      <w:numFmt w:val="decimal"/>
      <w:start w:val="1"/>
    </w:lvl>
  </w:abstractNum>
  <w:abstractNum w:abstractNumId="515">
    <w:nsid w:val="4FB7A02A"/>
    <w:multiLevelType w:val="hybridMultilevel"/>
    <w:lvl w:ilvl="0">
      <w:lvlJc w:val="left"/>
      <w:lvlText w:val="%1."/>
      <w:numFmt w:val="decimal"/>
      <w:start w:val="3"/>
    </w:lvl>
    <w:lvl w:ilvl="1">
      <w:lvlJc w:val="left"/>
      <w:lvlText w:val="%2"/>
      <w:numFmt w:val="decimal"/>
      <w:start w:val="1"/>
    </w:lvl>
  </w:abstractNum>
  <w:abstractNum w:abstractNumId="516">
    <w:nsid w:val="96CF728"/>
    <w:multiLevelType w:val="hybridMultilevel"/>
    <w:lvl w:ilvl="0">
      <w:lvlJc w:val="left"/>
      <w:lvlText w:val="%1."/>
      <w:numFmt w:val="decimal"/>
      <w:start w:val="4"/>
    </w:lvl>
  </w:abstractNum>
  <w:abstractNum w:abstractNumId="517">
    <w:nsid w:val="3B121183"/>
    <w:multiLevelType w:val="hybridMultilevel"/>
    <w:lvl w:ilvl="0">
      <w:lvlJc w:val="left"/>
      <w:lvlText w:val="%1."/>
      <w:numFmt w:val="decimal"/>
      <w:start w:val="6"/>
    </w:lvl>
  </w:abstractNum>
  <w:abstractNum w:abstractNumId="518">
    <w:nsid w:val="3459648F"/>
    <w:multiLevelType w:val="hybridMultilevel"/>
    <w:lvl w:ilvl="0">
      <w:lvlJc w:val="left"/>
      <w:lvlText w:val="%1."/>
      <w:numFmt w:val="decimal"/>
      <w:start w:val="7"/>
    </w:lvl>
  </w:abstractNum>
  <w:abstractNum w:abstractNumId="519">
    <w:nsid w:val="3ADF331D"/>
    <w:multiLevelType w:val="hybridMultilevel"/>
    <w:lvl w:ilvl="0">
      <w:lvlJc w:val="left"/>
      <w:lvlText w:val="%1."/>
      <w:numFmt w:val="decimal"/>
      <w:start w:val="8"/>
    </w:lvl>
  </w:abstractNum>
  <w:abstractNum w:abstractNumId="520">
    <w:nsid w:val="4D08A9E4"/>
    <w:multiLevelType w:val="hybridMultilevel"/>
    <w:lvl w:ilvl="0">
      <w:lvlJc w:val="left"/>
      <w:lvlText w:val="%1."/>
      <w:numFmt w:val="decimal"/>
      <w:start w:val="10"/>
    </w:lvl>
  </w:abstractNum>
  <w:abstractNum w:abstractNumId="521">
    <w:nsid w:val="6AF2BB3A"/>
    <w:multiLevelType w:val="hybridMultilevel"/>
    <w:lvl w:ilvl="0">
      <w:lvlJc w:val="left"/>
      <w:lvlText w:val="%1."/>
      <w:numFmt w:val="decimal"/>
      <w:start w:val="13"/>
    </w:lvl>
  </w:abstractNum>
  <w:abstractNum w:abstractNumId="522">
    <w:nsid w:val="481B1739"/>
    <w:multiLevelType w:val="hybridMultilevel"/>
    <w:lvl w:ilvl="0">
      <w:lvlJc w:val="left"/>
      <w:lvlText w:val="%1."/>
      <w:numFmt w:val="decimal"/>
      <w:start w:val="15"/>
    </w:lvl>
  </w:abstractNum>
  <w:abstractNum w:abstractNumId="523">
    <w:nsid w:val="19E2BFCC"/>
    <w:multiLevelType w:val="hybridMultilevel"/>
    <w:lvl w:ilvl="0">
      <w:lvlJc w:val="left"/>
      <w:lvlText w:val="%1."/>
      <w:numFmt w:val="decimal"/>
      <w:start w:val="18"/>
    </w:lvl>
  </w:abstractNum>
  <w:abstractNum w:abstractNumId="524">
    <w:nsid w:val="66D021CA"/>
    <w:multiLevelType w:val="hybridMultilevel"/>
    <w:lvl w:ilvl="0">
      <w:lvlJc w:val="left"/>
      <w:lvlText w:val="%1."/>
      <w:numFmt w:val="decimal"/>
      <w:start w:val="1"/>
    </w:lvl>
  </w:abstractNum>
  <w:abstractNum w:abstractNumId="525">
    <w:nsid w:val="56167394"/>
    <w:multiLevelType w:val="hybridMultilevel"/>
    <w:lvl w:ilvl="0">
      <w:lvlJc w:val="left"/>
      <w:lvlText w:val="%1."/>
      <w:numFmt w:val="decimal"/>
      <w:start w:val="1"/>
    </w:lvl>
  </w:abstractNum>
  <w:abstractNum w:abstractNumId="526">
    <w:nsid w:val="921145C"/>
    <w:multiLevelType w:val="hybridMultilevel"/>
    <w:lvl w:ilvl="0">
      <w:lvlJc w:val="left"/>
      <w:lvlText w:val="(%1)"/>
      <w:numFmt w:val="decimal"/>
      <w:start w:val="1"/>
    </w:lvl>
  </w:abstractNum>
  <w:abstractNum w:abstractNumId="527">
    <w:nsid w:val="7B34DFE8"/>
    <w:multiLevelType w:val="hybridMultilevel"/>
    <w:lvl w:ilvl="0">
      <w:lvlJc w:val="left"/>
      <w:lvlText w:val="(%1)"/>
      <w:numFmt w:val="decimal"/>
      <w:start w:val="7"/>
    </w:lvl>
  </w:abstractNum>
  <w:abstractNum w:abstractNumId="528">
    <w:nsid w:val="3CD22B79"/>
    <w:multiLevelType w:val="hybridMultilevel"/>
    <w:lvl w:ilvl="0">
      <w:lvlJc w:val="left"/>
      <w:lvlText w:val="%1)"/>
      <w:numFmt w:val="lowerLetter"/>
      <w:start w:val="1"/>
    </w:lvl>
    <w:lvl w:ilvl="1">
      <w:lvlJc w:val="left"/>
      <w:lvlText w:val="%2)"/>
      <w:numFmt w:val="lowerRoman"/>
      <w:start w:val="1"/>
    </w:lvl>
  </w:abstractNum>
  <w:abstractNum w:abstractNumId="529">
    <w:nsid w:val="3137975E"/>
    <w:multiLevelType w:val="hybridMultilevel"/>
    <w:lvl w:ilvl="0">
      <w:lvlJc w:val="left"/>
      <w:lvlText w:val="%1)"/>
      <w:numFmt w:val="lowerLetter"/>
      <w:start w:val="1"/>
    </w:lvl>
  </w:abstractNum>
  <w:abstractNum w:abstractNumId="530">
    <w:nsid w:val="2DDAA791"/>
    <w:multiLevelType w:val="hybridMultilevel"/>
    <w:lvl w:ilvl="0">
      <w:lvlJc w:val="left"/>
      <w:lvlText w:val="%1."/>
      <w:numFmt w:val="decimal"/>
      <w:start w:val="1"/>
    </w:lvl>
  </w:abstractNum>
  <w:abstractNum w:abstractNumId="531">
    <w:nsid w:val="77263B8A"/>
    <w:multiLevelType w:val="hybridMultilevel"/>
    <w:lvl w:ilvl="0">
      <w:lvlJc w:val="left"/>
      <w:lvlText w:val="%1."/>
      <w:numFmt w:val="decimal"/>
      <w:start w:val="9"/>
    </w:lvl>
  </w:abstractNum>
  <w:abstractNum w:abstractNumId="532">
    <w:nsid w:val="755B5ED6"/>
    <w:multiLevelType w:val="hybridMultilevel"/>
    <w:lvl w:ilvl="0">
      <w:lvlJc w:val="left"/>
      <w:lvlText w:val="1"/>
      <w:numFmt w:val="bullet"/>
      <w:start w:val="1"/>
    </w:lvl>
  </w:abstractNum>
  <w:abstractNum w:abstractNumId="533">
    <w:nsid w:val="D3715DE"/>
    <w:multiLevelType w:val="hybridMultilevel"/>
    <w:lvl w:ilvl="0">
      <w:lvlJc w:val="left"/>
      <w:lvlText w:val="2"/>
      <w:numFmt w:val="bullet"/>
      <w:start w:val="1"/>
    </w:lvl>
  </w:abstractNum>
  <w:abstractNum w:abstractNumId="534">
    <w:nsid w:val="73509257"/>
    <w:multiLevelType w:val="hybridMultilevel"/>
    <w:lvl w:ilvl="0">
      <w:lvlJc w:val="left"/>
      <w:lvlText w:val="3"/>
      <w:numFmt w:val="bullet"/>
      <w:start w:val="1"/>
    </w:lvl>
  </w:abstractNum>
  <w:abstractNum w:abstractNumId="535">
    <w:nsid w:val="7013CDB7"/>
    <w:multiLevelType w:val="hybridMultilevel"/>
    <w:lvl w:ilvl="0">
      <w:lvlJc w:val="left"/>
      <w:lvlText w:val="(%1)"/>
      <w:numFmt w:val="lowerLetter"/>
      <w:start w:val="1"/>
    </w:lvl>
  </w:abstractNum>
  <w:abstractNum w:abstractNumId="536">
    <w:nsid w:val="188BFB19"/>
    <w:multiLevelType w:val="hybridMultilevel"/>
    <w:lvl w:ilvl="0">
      <w:lvlJc w:val="left"/>
      <w:lvlText w:val="(%1)"/>
      <w:numFmt w:val="lowerLetter"/>
      <w:start w:val="6"/>
    </w:lvl>
  </w:abstractNum>
  <w:abstractNum w:abstractNumId="537">
    <w:nsid w:val="75F096DF"/>
    <w:multiLevelType w:val="hybridMultilevel"/>
    <w:lvl w:ilvl="0">
      <w:lvlJc w:val="left"/>
      <w:lvlText w:val="%1."/>
      <w:numFmt w:val="decimal"/>
      <w:start w:val="1"/>
    </w:lvl>
  </w:abstractNum>
  <w:abstractNum w:abstractNumId="538">
    <w:nsid w:val="76DEE918"/>
    <w:multiLevelType w:val="hybridMultilevel"/>
    <w:lvl w:ilvl="0">
      <w:lvlJc w:val="left"/>
      <w:lvlText w:val="%1."/>
      <w:numFmt w:val="decimal"/>
      <w:start w:val="3"/>
    </w:lvl>
  </w:abstractNum>
  <w:abstractNum w:abstractNumId="539">
    <w:nsid w:val="B79D08D"/>
    <w:multiLevelType w:val="hybridMultilevel"/>
    <w:lvl w:ilvl="0">
      <w:lvlJc w:val="left"/>
      <w:lvlText w:val="%1."/>
      <w:numFmt w:val="decimal"/>
      <w:start w:val="5"/>
    </w:lvl>
  </w:abstractNum>
  <w:abstractNum w:abstractNumId="540">
    <w:nsid w:val="69141769"/>
    <w:multiLevelType w:val="hybridMultilevel"/>
    <w:lvl w:ilvl="0">
      <w:lvlJc w:val="left"/>
      <w:lvlText w:val="(%1)"/>
      <w:numFmt w:val="lowerLetter"/>
      <w:start w:val="1"/>
    </w:lvl>
  </w:abstractNum>
  <w:abstractNum w:abstractNumId="541">
    <w:nsid w:val="7BF45B8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jpeg"/><Relationship Id="rId784" Type="http://schemas.openxmlformats.org/officeDocument/2006/relationships/image" Target="media/image777.png"/><Relationship Id="rId785" Type="http://schemas.openxmlformats.org/officeDocument/2006/relationships/image" Target="media/image778.jpe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jpe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jpeg"/><Relationship Id="rId829" Type="http://schemas.openxmlformats.org/officeDocument/2006/relationships/image" Target="media/image822.pn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jpeg"/><Relationship Id="rId837" Type="http://schemas.openxmlformats.org/officeDocument/2006/relationships/image" Target="media/image830.png"/><Relationship Id="rId838" Type="http://schemas.openxmlformats.org/officeDocument/2006/relationships/image" Target="media/image831.jpeg"/><Relationship Id="rId839" Type="http://schemas.openxmlformats.org/officeDocument/2006/relationships/image" Target="media/image832.pn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pn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pn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png"/><Relationship Id="rId881" Type="http://schemas.openxmlformats.org/officeDocument/2006/relationships/image" Target="media/image874.jpeg"/><Relationship Id="rId882" Type="http://schemas.openxmlformats.org/officeDocument/2006/relationships/image" Target="media/image875.pn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jpeg"/><Relationship Id="rId907" Type="http://schemas.openxmlformats.org/officeDocument/2006/relationships/image" Target="media/image900.pn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2019-12-08T06:57:49Z</dcterms:created>
  <dcterms:modified xsi:type="dcterms:W3CDTF">2019-12-08T06:57:49Z</dcterms:modified>
</cp:coreProperties>
</file>