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151765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of June 2026</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001-38313</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Amber International Holding Limited</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(Registrant’s name)</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 Wallich Street, #30-02 Guoco Tower</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Singapore 078881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Tel: +65 60220228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tabs>
          <w:tab w:leader="none" w:pos="3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206375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660400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36" w:right="1440" w:bottom="1440" w:gutter="0" w:footer="0" w:header="0"/>
        </w:sectPr>
      </w:pPr>
    </w:p>
    <w:bookmarkStart w:id="1" w:name="page2"/>
    <w:bookmarkEnd w:id="1"/>
    <w:p>
      <w:pPr>
        <w:ind w:left="3180"/>
        <w:spacing w:after="0"/>
        <w:rPr>
          <w:sz w:val="20"/>
          <w:szCs w:val="20"/>
          <w:color w:val="auto"/>
        </w:rPr>
      </w:pPr>
      <w:r>
        <w:rPr>
          <w:rFonts w:ascii="Times New Roman" w:cs="Times New Roman" w:eastAsia="Times New Roman" w:hAnsi="Times New Roman"/>
          <w:sz w:val="18"/>
          <w:szCs w:val="18"/>
          <w:b w:val="1"/>
          <w:bCs w:val="1"/>
          <w:color w:val="auto"/>
        </w:rPr>
        <w:t>INFORMATION CONTAINED IN THIS FORM 6-K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Distribution of the Company’s Class A Ordinary Shares by Principal Shareholder to Its Shareholders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Amber International Holding Limited (the “Company”) is filing this Report on Form 6-K to disclose that, on May 29, 2026, Amber Global Limited (“AGL”), a principal shareholder of the Company, informed the Company that its board of directors approved a distribution of all of the Class A ordinary shares, par value US$0.001 per share, of the Company (the “Class A Ordinary Shares”) held by AGL to AGL’s shareholders on a pro rata basis (the “Share Distribution”), and the board of directors of the Company (the “Board”), by unanimous written resolutions in accordance with the Company’s amended and restated memorandum and articles of association, authorized the Company to take all necessary actions to facilitate the Share Distribution.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the Board resolutions, AGL held 309,834,748 Class A Ordinary Shares of the Company. Pursuant to the Share Distribution, AGL will simultaneously distribute all such Class A Ordinary Shares to its existing shareholders on a pro rata basis based on such shareholders’ equity interests in AGL immediately before the distribution, as a result of which such Class A Ordinary Shares will be transferred from AGL to its shareholders immediately before the distribution who will become new direct shareholders of the Company (the “Transferees”).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 Distribution does not involve the issuance of any new shares by the Company. Accordingly, the Share Distribution will not increase the Company’s total issued and outstanding share capital, and is not dilutive to other shareholders of the Company. The total number of issued and outstanding ordinary shares of the Company, and the rights of holders of Class A Ordinary Shares and Class B ordinary shares, par value US$0.001 per share, will be unchanged as a result of the Share Distribution.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Share Distribution, the Board further resolved that the share certificate currently held by AGL shall be cancelled and new share certificates reflecting the Share Distribution shall be issued, and authorized the Company’s relevant service provider to update the register of members of the Company to reflect the transfer of the Class A Ordinary Shares in connection with the Share Distribution.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completion of the Share Distribution, the Class A Ordinary Shares to be distributed to the Transferees will not be registered under the Securities Act of 1933, as amended (the “Act”), or under the securities laws of any state. As a result, these Class A Ordinary Shares will be subject to restrictions on transferability and resale and may not be transferred or resold except as permitted under the Act and applicable state securities laws, pursuant to registration under the Act or in reliance upon an exemption from the registration requirement under the Act.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Board’s authorization, the register of members of the Company will be updated to reflect the foregoing transfers of Class A Ordinary Shares following the closing of the Share Distribution. The Share Distribution is expected to be completed on or about June 1, 2026. Each Transferee that becomes a beneficial owner of more than 5% of the Company’s outstanding Class A ordinary shares as a result of the Share Distribution will be responsible for making any beneficial ownership filings with the U.S. Securities and Exchange Commission (the “SEC”) that may be required under Sections 13(d), 13(g) and/or 16 of the Securities Exchange Act of 1934, as amended (the “Exchange Act”), with respect to such Transferee’s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82" w:lineRule="auto"/>
        <w:rPr>
          <w:sz w:val="20"/>
          <w:szCs w:val="20"/>
          <w:color w:val="auto"/>
        </w:rPr>
      </w:pPr>
      <w:r>
        <w:rPr>
          <w:rFonts w:ascii="Times New Roman" w:cs="Times New Roman" w:eastAsia="Times New Roman" w:hAnsi="Times New Roman"/>
          <w:sz w:val="18"/>
          <w:szCs w:val="18"/>
          <w:color w:val="auto"/>
        </w:rPr>
        <w:t>Following completion of the Share Distribution, AGL will no longer hold any shares of the Company; and the aggregate number of issued and outstanding ordinary shares of the Company will remain unchanged.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Report on Form 6-K contains “forward-looking statements” within the meaning of Section 27A of the Securities Act of 1933, as amended, and Section 21E of the Exchange Act, including, among others, statements regarding the expected timing and completion of the Share Distribution and the post-distribution ownership of Class A Ordinary Shares of the Company. These forward-looking statements can be identified by terminology such as “will,” “expects,” “anticipates,” “intends,” “plans,” “believes,” “estimates,” “may,” “should,” and similar expressions. Forward-looking statements involve inherent risks and uncertainties, including those relating to the Company’s ability to give effect to the Share Distribution on the contemplated timetable, the actions and decisions of AGL and its shareholders, the accuracy and completeness of information provided to the Company by AGL, changes in applicable law or regulation, and other risks detailed from time to time in the Company’s filings with the SEC, including its annual report on Form 20-F. Statements made in this Report on Form 6-K speak only as of the date hereof, and the Company undertakes no obligation to update any forward-looking statement, except as required under applicable law.</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ind w:left="140"/>
        <w:spacing w:after="0"/>
        <w:tabs>
          <w:tab w:leader="none" w:pos="532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left="1360" w:hanging="939"/>
        <w:spacing w:after="0" w:line="282" w:lineRule="auto"/>
        <w:tabs>
          <w:tab w:leader="none" w:pos="13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 Amber International’s Direct Shareholder Register to Showcase Long-Term, High-Caliber Institutional Investors Following Pro Rata Distribution by Amber Global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Josephine Ngai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Josephine Ngai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Amber International’s Direct Shareholder Register to Showcase Long-Term, High-Caliber Institutional Investors Following Pro Rata Distribution by Amber Global Limited</w:t>
      </w:r>
    </w:p>
    <w:p>
      <w:pPr>
        <w:spacing w:after="0" w:line="15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Non-dilutive transfer provides direct shareholder visibility to a distinguished institutional investor base, including sovereign wealth funds, that has backed the Company’s growth.</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SINGAPORE — June 1, 2026 </w:t>
      </w:r>
      <w:r>
        <w:rPr>
          <w:rFonts w:ascii="Times New Roman" w:cs="Times New Roman" w:eastAsia="Times New Roman" w:hAnsi="Times New Roman"/>
          <w:sz w:val="18"/>
          <w:szCs w:val="18"/>
          <w:color w:val="auto"/>
        </w:rPr>
        <w:t>— Amber International Holding Limited (Nasdaq: AMBR) (“Amber International” or the “Company”), operating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brand “Amber Premium,” today announced that </w:t>
      </w:r>
      <w:r>
        <w:rPr>
          <w:rFonts w:ascii="Times New Roman" w:cs="Times New Roman" w:eastAsia="Times New Roman" w:hAnsi="Times New Roman"/>
          <w:sz w:val="18"/>
          <w:szCs w:val="18"/>
          <w:b w:val="1"/>
          <w:bCs w:val="1"/>
          <w:color w:val="auto"/>
        </w:rPr>
        <w:t>Amber Global Limited (“AGL”)</w:t>
      </w:r>
      <w:r>
        <w:rPr>
          <w:rFonts w:ascii="Times New Roman" w:cs="Times New Roman" w:eastAsia="Times New Roman" w:hAnsi="Times New Roman"/>
          <w:sz w:val="18"/>
          <w:szCs w:val="18"/>
          <w:color w:val="auto"/>
        </w:rPr>
        <w:t>, a principal shareholder of the Company, will distribute all of its holdings of the Company’s Class A ordinary shares to its existing shareholders on a pro rata basis (the “Share Distribution”).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Share Distribution does not involve the issuance of any new shares and is not dilutive to other shareholders.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total issued and outstanding share capital, and the rights of all holders of Class A and Class B ordinary shares, will be unchanged. AGL’s pre-distribution holdings will be distributed pro rata to its existing shareholders based on their equity interests in AGL, who will become direct shareholders of the Company on the Company’s register of members.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direct shareholder base reflecting institutional caliber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 Distribution will, for the first time, place on Amber International’s direct register of shareholders the institutional investor base that has been economic stakeholders in the Company through AGL.</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completion of the Share Distribution, the Company’s direct shareholders of record will proudly reflect its institutional caliber, spanning sovereign wealth funds, long-term institutional allocators, premier venture capital and growth funds, as well as strategic corporate partners with established leadership in the global digital economy. Having such a distinguished, long-term oriented shareholder base perfectly aligns our capital structure with our strategic evolution as we build the foundational operating systems for the AI agent economy.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Share Distribution will give our public shareholders, analysts, and prospective institutional clients a more direct view of the caliber of investors that have supported Amber International since our earlier stages,” said </w:t>
      </w:r>
      <w:r>
        <w:rPr>
          <w:rFonts w:ascii="Times New Roman" w:cs="Times New Roman" w:eastAsia="Times New Roman" w:hAnsi="Times New Roman"/>
          <w:sz w:val="18"/>
          <w:szCs w:val="18"/>
          <w:b w:val="1"/>
          <w:bCs w:val="1"/>
          <w:color w:val="auto"/>
        </w:rPr>
        <w:t>Michael Wu</w:t>
      </w:r>
      <w:r>
        <w:rPr>
          <w:rFonts w:ascii="Times New Roman" w:cs="Times New Roman" w:eastAsia="Times New Roman" w:hAnsi="Times New Roman"/>
          <w:sz w:val="18"/>
          <w:szCs w:val="18"/>
          <w:color w:val="auto"/>
        </w:rPr>
        <w:t>, Chairman of the Board and Chief Executive Officer of Amber International. “The roster of firms that will appear on our direct register of shareholders reflects the institutional credibility that underpins Amber’s leadership in building the agentic operating systems for the agent economy. We are proud of the long-standing relationships these firms have maintained with us through AGL, and we look forward to continuing to deliver value to all of our shareholders, both direct and indirect.”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the Share Distribution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disclosed in the Company’s Report on Form 6-K furnished with the SEC on June 1, 2026, the Board of Directors of the Company has authorized the necessary corporate actions to facilitate the Share Distribution. The Share Distribution is expected to be completed on or about June 1, 2026. Upon completion, AGL will no longer hold any shares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Amber Premium (Nasdaq: AMBR)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Amber International Holding Limited (Nasdaq: AMBR), operating under the brand name “Amber Premium,” is a global leading digital wealth management platform. As a private banking grade expert in digital wealth management and a subsidiary of Amber Group, Amber Premium is a trusted partner to high-net-worth individuals and leading institutions, delivering institutional-grade market access, execution infrastructure, and investment solutions. The firm is set to redefine the digital wealth management landscape, serving as a proven Nasdaq-listed gateway to digital assets. Learn more at </w:t>
      </w:r>
      <w:r>
        <w:rPr>
          <w:rFonts w:ascii="Times New Roman" w:cs="Times New Roman" w:eastAsia="Times New Roman" w:hAnsi="Times New Roman"/>
          <w:sz w:val="18"/>
          <w:szCs w:val="18"/>
          <w:u w:val="single" w:color="auto"/>
          <w:color w:val="auto"/>
        </w:rPr>
        <w:t>www.ambr.io</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announcement contains forward-looking statements within the meaning of the safe harbor provisions of the Private Securities Litigation Reform Act of 1995. All statements other than statements of historical fact in this announcement are forward-looking statements. These forward-looking statements involve known and unknown risks and uncertainties and are based on current expectations and projections about future events and financial trends that the Company believes may affect its financial condition, results of operations, business strategy and financial needs. Investors can identify these forward-looking statements by words or phrases such as “may,” “will,” “expect,” “anticipate,” “aim,” “estimate,” “intend,” “plan,” “believe,” “potential,” “continue,” “is/are likely to” or other similar expressions. Forward-looking statements involve inherent risks and uncertainties, including those relating to the Company’s ability to give effect to the Share Distribution on the contemplated timetable, the actions and decisions of AGL and its shareholders, the accuracy and completeness of information provided to the Company by AGL, changes in applicable law or regulation, and other risks detailed from time to time in the Company’s filings with the SEC, including its annual report on Form 20-F. The Company undertakes no obligation to update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&amp; Investor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Asia: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Amber International Holding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 Team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+65 6022 0228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pr@ambr.io | ir@ambr.io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United States: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Elite Capital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Annabelle Zhang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 (646) 866-7928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amber@iecapitalusa.com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2026-06-01T07:02:29Z</dcterms:created>
  <dcterms:modified xsi:type="dcterms:W3CDTF">2026-06-01T07:02:29Z</dcterms:modified>
</cp:coreProperties>
</file>