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20" w:type="dxa"/>
            <w:vAlign w:val="bottom"/>
            <w:gridSpan w:val="7"/>
          </w:tcPr>
          <w:p>
            <w:pPr>
              <w:jc w:val="center"/>
              <w:ind w:right="820"/>
              <w:spacing w:after="0" w:line="184" w:lineRule="exact"/>
              <w:rPr>
                <w:sz w:val="20"/>
                <w:szCs w:val="20"/>
                <w:color w:val="auto"/>
              </w:rPr>
            </w:pPr>
            <w:r>
              <w:rPr>
                <w:rFonts w:ascii="Arial" w:cs="Arial" w:eastAsia="Arial" w:hAnsi="Arial"/>
                <w:sz w:val="20"/>
                <w:szCs w:val="20"/>
                <w:b w:val="1"/>
                <w:bCs w:val="1"/>
                <w:color w:val="auto"/>
                <w:w w:val="98"/>
              </w:rPr>
              <w:t>Washington, D.C. 20549</w:t>
            </w:r>
          </w:p>
        </w:tc>
        <w:tc>
          <w:tcPr>
            <w:tcW w:w="0" w:type="dxa"/>
            <w:vAlign w:val="bottom"/>
          </w:tcPr>
          <w:p>
            <w:pPr>
              <w:spacing w:after="0"/>
              <w:rPr>
                <w:sz w:val="1"/>
                <w:szCs w:val="1"/>
                <w:color w:val="auto"/>
              </w:rPr>
            </w:pPr>
          </w:p>
        </w:tc>
      </w:tr>
      <w:tr>
        <w:trPr>
          <w:trHeight w:val="345"/>
        </w:trPr>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20" w:type="dxa"/>
            <w:vAlign w:val="bottom"/>
            <w:gridSpan w:val="7"/>
          </w:tcPr>
          <w:p>
            <w:pPr>
              <w:jc w:val="center"/>
              <w:ind w:right="840"/>
              <w:spacing w:after="0"/>
              <w:rPr>
                <w:sz w:val="20"/>
                <w:szCs w:val="20"/>
                <w:color w:val="auto"/>
              </w:rPr>
            </w:pPr>
            <w:r>
              <w:rPr>
                <w:rFonts w:ascii="Arial" w:cs="Arial" w:eastAsia="Arial" w:hAnsi="Arial"/>
                <w:sz w:val="29"/>
                <w:szCs w:val="29"/>
                <w:b w:val="1"/>
                <w:bCs w:val="1"/>
                <w:color w:val="auto"/>
                <w:w w:val="99"/>
              </w:rPr>
              <w:t>SCHEDULE 13G/A</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20" w:type="dxa"/>
            <w:vAlign w:val="bottom"/>
            <w:gridSpan w:val="8"/>
          </w:tcPr>
          <w:p>
            <w:pPr>
              <w:jc w:val="center"/>
              <w:ind w:right="20"/>
              <w:spacing w:after="0" w:line="243" w:lineRule="exact"/>
              <w:rPr>
                <w:sz w:val="20"/>
                <w:szCs w:val="20"/>
                <w:color w:val="auto"/>
              </w:rPr>
            </w:pPr>
            <w:r>
              <w:rPr>
                <w:rFonts w:ascii="Arial" w:cs="Arial" w:eastAsia="Arial" w:hAnsi="Arial"/>
                <w:sz w:val="22"/>
                <w:szCs w:val="22"/>
                <w:b w:val="1"/>
                <w:bCs w:val="1"/>
                <w:color w:val="auto"/>
                <w:w w:val="98"/>
              </w:rPr>
              <w:t>Under the Securities Exchange Act of 1934</w:t>
            </w:r>
          </w:p>
        </w:tc>
        <w:tc>
          <w:tcPr>
            <w:tcW w:w="0" w:type="dxa"/>
            <w:vAlign w:val="bottom"/>
          </w:tcPr>
          <w:p>
            <w:pPr>
              <w:spacing w:after="0"/>
              <w:rPr>
                <w:sz w:val="1"/>
                <w:szCs w:val="1"/>
                <w:color w:val="auto"/>
              </w:rPr>
            </w:pPr>
          </w:p>
        </w:tc>
      </w:tr>
      <w:tr>
        <w:trPr>
          <w:trHeight w:val="272"/>
        </w:trPr>
        <w:tc>
          <w:tcPr>
            <w:tcW w:w="19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20" w:type="dxa"/>
            <w:vAlign w:val="bottom"/>
            <w:gridSpan w:val="7"/>
          </w:tcPr>
          <w:p>
            <w:pPr>
              <w:jc w:val="center"/>
              <w:ind w:right="840"/>
              <w:spacing w:after="0"/>
              <w:rPr>
                <w:sz w:val="20"/>
                <w:szCs w:val="20"/>
                <w:color w:val="auto"/>
              </w:rPr>
            </w:pPr>
            <w:r>
              <w:rPr>
                <w:rFonts w:ascii="Arial" w:cs="Arial" w:eastAsia="Arial" w:hAnsi="Arial"/>
                <w:sz w:val="22"/>
                <w:szCs w:val="22"/>
                <w:b w:val="1"/>
                <w:bCs w:val="1"/>
                <w:color w:val="auto"/>
                <w:w w:val="97"/>
              </w:rPr>
              <w:t>(Amendment No. 1)*</w:t>
            </w:r>
          </w:p>
        </w:tc>
        <w:tc>
          <w:tcPr>
            <w:tcW w:w="0" w:type="dxa"/>
            <w:vAlign w:val="bottom"/>
          </w:tcPr>
          <w:p>
            <w:pPr>
              <w:spacing w:after="0"/>
              <w:rPr>
                <w:sz w:val="1"/>
                <w:szCs w:val="1"/>
                <w:color w:val="auto"/>
              </w:rPr>
            </w:pPr>
          </w:p>
        </w:tc>
      </w:tr>
      <w:tr>
        <w:trPr>
          <w:trHeight w:val="193"/>
        </w:trPr>
        <w:tc>
          <w:tcPr>
            <w:tcW w:w="1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20" w:type="dxa"/>
            <w:vAlign w:val="bottom"/>
            <w:gridSpan w:val="7"/>
          </w:tcPr>
          <w:p>
            <w:pPr>
              <w:jc w:val="center"/>
              <w:ind w:right="840"/>
              <w:spacing w:after="0" w:line="193" w:lineRule="exact"/>
              <w:rPr>
                <w:sz w:val="20"/>
                <w:szCs w:val="20"/>
                <w:color w:val="auto"/>
              </w:rPr>
            </w:pPr>
            <w:r>
              <w:rPr>
                <w:rFonts w:ascii="Arial" w:cs="Arial" w:eastAsia="Arial" w:hAnsi="Arial"/>
                <w:sz w:val="20"/>
                <w:szCs w:val="20"/>
                <w:color w:val="auto"/>
                <w:w w:val="98"/>
              </w:rPr>
              <w:t>iClick Interactive Asia Group Limited</w:t>
            </w: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gridSpan w:val="4"/>
          </w:tcPr>
          <w:p>
            <w:pPr>
              <w:jc w:val="center"/>
              <w:ind w:right="630"/>
              <w:spacing w:after="0" w:line="206" w:lineRule="exact"/>
              <w:rPr>
                <w:sz w:val="20"/>
                <w:szCs w:val="20"/>
                <w:color w:val="auto"/>
              </w:rPr>
            </w:pPr>
            <w:r>
              <w:rPr>
                <w:rFonts w:ascii="Arial" w:cs="Arial" w:eastAsia="Arial" w:hAnsi="Arial"/>
                <w:sz w:val="18"/>
                <w:szCs w:val="18"/>
                <w:b w:val="1"/>
                <w:bCs w:val="1"/>
                <w:color w:val="auto"/>
              </w:rPr>
              <w:t>(Name of Issuer)</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20" w:type="dxa"/>
            <w:vAlign w:val="bottom"/>
            <w:gridSpan w:val="8"/>
          </w:tcPr>
          <w:p>
            <w:pPr>
              <w:jc w:val="center"/>
              <w:ind w:right="20"/>
              <w:spacing w:after="0" w:line="193" w:lineRule="exact"/>
              <w:rPr>
                <w:sz w:val="20"/>
                <w:szCs w:val="20"/>
                <w:color w:val="auto"/>
              </w:rPr>
            </w:pPr>
            <w:r>
              <w:rPr>
                <w:rFonts w:ascii="Arial" w:cs="Arial" w:eastAsia="Arial" w:hAnsi="Arial"/>
                <w:sz w:val="20"/>
                <w:szCs w:val="20"/>
                <w:color w:val="auto"/>
                <w:w w:val="99"/>
              </w:rPr>
              <w:t xml:space="preserve">Class A ordinary shares, par value of </w:t>
            </w:r>
            <w:r>
              <w:rPr>
                <w:rFonts w:ascii="Arial" w:cs="Arial" w:eastAsia="Arial" w:hAnsi="Arial"/>
                <w:sz w:val="20"/>
                <w:szCs w:val="20"/>
                <w:u w:val="single" w:color="auto"/>
                <w:color w:val="auto"/>
                <w:w w:val="99"/>
              </w:rPr>
              <w:t>$</w:t>
            </w:r>
            <w:r>
              <w:rPr>
                <w:rFonts w:ascii="Arial" w:cs="Arial" w:eastAsia="Arial" w:hAnsi="Arial"/>
                <w:sz w:val="20"/>
                <w:szCs w:val="20"/>
                <w:color w:val="auto"/>
                <w:w w:val="99"/>
              </w:rPr>
              <w:t>0.001 per share</w:t>
            </w: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00" w:type="dxa"/>
            <w:vAlign w:val="bottom"/>
            <w:tcBorders>
              <w:top w:val="single" w:sz="8" w:color="auto"/>
            </w:tcBorders>
            <w:gridSpan w:val="6"/>
          </w:tcPr>
          <w:p>
            <w:pPr>
              <w:jc w:val="center"/>
              <w:ind w:right="800"/>
              <w:spacing w:after="0" w:line="206" w:lineRule="exact"/>
              <w:rPr>
                <w:sz w:val="20"/>
                <w:szCs w:val="20"/>
                <w:color w:val="auto"/>
              </w:rPr>
            </w:pPr>
            <w:r>
              <w:rPr>
                <w:rFonts w:ascii="Arial" w:cs="Arial" w:eastAsia="Arial" w:hAnsi="Arial"/>
                <w:sz w:val="18"/>
                <w:szCs w:val="18"/>
                <w:b w:val="1"/>
                <w:bCs w:val="1"/>
                <w:color w:val="auto"/>
                <w:w w:val="99"/>
              </w:rPr>
              <w:t>(Title of Class of Securities)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20"/>
                <w:szCs w:val="20"/>
                <w:color w:val="auto"/>
                <w:w w:val="99"/>
              </w:rPr>
              <w:t>G47048 106</w:t>
            </w:r>
          </w:p>
        </w:tc>
        <w:tc>
          <w:tcPr>
            <w:tcW w:w="18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gridSpan w:val="2"/>
          </w:tcPr>
          <w:p>
            <w:pPr>
              <w:ind w:left="180"/>
              <w:spacing w:after="0" w:line="206" w:lineRule="exact"/>
              <w:rPr>
                <w:sz w:val="20"/>
                <w:szCs w:val="20"/>
                <w:color w:val="auto"/>
              </w:rPr>
            </w:pPr>
            <w:r>
              <w:rPr>
                <w:rFonts w:ascii="Arial" w:cs="Arial" w:eastAsia="Arial" w:hAnsi="Arial"/>
                <w:sz w:val="18"/>
                <w:szCs w:val="18"/>
                <w:b w:val="1"/>
                <w:bCs w:val="1"/>
                <w:color w:val="auto"/>
                <w:w w:val="87"/>
              </w:rPr>
              <w:t>(CUSIP Number)</w:t>
            </w:r>
          </w:p>
        </w:tc>
        <w:tc>
          <w:tcPr>
            <w:tcW w:w="320" w:type="dxa"/>
            <w:vAlign w:val="bottom"/>
          </w:tcPr>
          <w:p>
            <w:pPr>
              <w:spacing w:after="0"/>
              <w:rPr>
                <w:sz w:val="17"/>
                <w:szCs w:val="17"/>
                <w:color w:val="auto"/>
              </w:rPr>
            </w:pPr>
          </w:p>
        </w:tc>
        <w:tc>
          <w:tcPr>
            <w:tcW w:w="15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300" w:type="dxa"/>
            <w:vAlign w:val="bottom"/>
            <w:gridSpan w:val="6"/>
          </w:tcPr>
          <w:p>
            <w:pPr>
              <w:jc w:val="center"/>
              <w:ind w:right="1560"/>
              <w:spacing w:after="0" w:line="193" w:lineRule="exact"/>
              <w:rPr>
                <w:sz w:val="20"/>
                <w:szCs w:val="20"/>
                <w:color w:val="auto"/>
              </w:rPr>
            </w:pPr>
            <w:r>
              <w:rPr>
                <w:rFonts w:ascii="Arial" w:cs="Arial" w:eastAsia="Arial" w:hAnsi="Arial"/>
                <w:sz w:val="20"/>
                <w:szCs w:val="20"/>
                <w:color w:val="auto"/>
                <w:w w:val="99"/>
              </w:rPr>
              <w:t>December 31, 2019</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1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of this Statement)</w:t>
            </w:r>
          </w:p>
        </w:tc>
        <w:tc>
          <w:tcPr>
            <w:tcW w:w="0" w:type="dxa"/>
            <w:vAlign w:val="bottom"/>
          </w:tcPr>
          <w:p>
            <w:pPr>
              <w:spacing w:after="0" w:line="20" w:lineRule="exact"/>
              <w:rPr>
                <w:sz w:val="1"/>
                <w:szCs w:val="1"/>
                <w:color w:val="auto"/>
              </w:rPr>
            </w:pPr>
          </w:p>
        </w:tc>
      </w:tr>
      <w:tr>
        <w:trPr>
          <w:trHeight w:val="206"/>
        </w:trPr>
        <w:tc>
          <w:tcPr>
            <w:tcW w:w="1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60" w:type="dxa"/>
            <w:vAlign w:val="bottom"/>
            <w:gridSpan w:val="5"/>
          </w:tcPr>
          <w:p>
            <w:pPr>
              <w:ind w:left="40"/>
              <w:spacing w:after="0" w:line="206" w:lineRule="exact"/>
              <w:rPr>
                <w:sz w:val="20"/>
                <w:szCs w:val="20"/>
                <w:color w:val="auto"/>
              </w:rPr>
            </w:pPr>
            <w:r>
              <w:rPr>
                <w:rFonts w:ascii="Arial" w:cs="Arial" w:eastAsia="Arial" w:hAnsi="Arial"/>
                <w:sz w:val="18"/>
                <w:szCs w:val="18"/>
                <w:b w:val="1"/>
                <w:bCs w:val="1"/>
                <w:color w:val="auto"/>
              </w:rPr>
              <w:t>(Date of Event Which Requires Filing</w:t>
            </w:r>
          </w:p>
        </w:tc>
        <w:tc>
          <w:tcPr>
            <w:tcW w:w="15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gridSpan w:val="10"/>
          </w:tcPr>
          <w:p>
            <w:pPr>
              <w:spacing w:after="0" w:line="216" w:lineRule="exact"/>
              <w:rPr>
                <w:sz w:val="20"/>
                <w:szCs w:val="20"/>
                <w:color w:val="auto"/>
              </w:rPr>
            </w:pPr>
            <w:r>
              <w:rPr>
                <w:rFonts w:ascii="Arial" w:cs="Arial" w:eastAsia="Arial" w:hAnsi="Arial"/>
                <w:sz w:val="20"/>
                <w:szCs w:val="20"/>
                <w:color w:val="auto"/>
              </w:rPr>
              <w:t>Check the appropriate box to designate the rule pursuant to which this Schedule is filed:</w:t>
            </w:r>
          </w:p>
        </w:tc>
        <w:tc>
          <w:tcPr>
            <w:tcW w:w="0" w:type="dxa"/>
            <w:vAlign w:val="bottom"/>
          </w:tcPr>
          <w:p>
            <w:pPr>
              <w:spacing w:after="0"/>
              <w:rPr>
                <w:sz w:val="1"/>
                <w:szCs w:val="1"/>
                <w:color w:val="auto"/>
              </w:rPr>
            </w:pPr>
          </w:p>
        </w:tc>
      </w:tr>
      <w:tr>
        <w:trPr>
          <w:trHeight w:val="224"/>
        </w:trPr>
        <w:tc>
          <w:tcPr>
            <w:tcW w:w="1920" w:type="dxa"/>
            <w:vAlign w:val="bottom"/>
          </w:tcPr>
          <w:p>
            <w:pPr>
              <w:spacing w:after="0" w:line="224" w:lineRule="exact"/>
              <w:rPr>
                <w:sz w:val="20"/>
                <w:szCs w:val="20"/>
                <w:color w:val="auto"/>
              </w:rPr>
            </w:pPr>
            <w:r>
              <w:rPr>
                <w:rFonts w:ascii="Arial" w:cs="Arial" w:eastAsia="Arial" w:hAnsi="Arial"/>
                <w:sz w:val="20"/>
                <w:szCs w:val="20"/>
                <w:color w:val="auto"/>
              </w:rPr>
              <w:t>[  ] Rule 13d–1(b)</w:t>
            </w:r>
          </w:p>
        </w:tc>
        <w:tc>
          <w:tcPr>
            <w:tcW w:w="2200" w:type="dxa"/>
            <w:vAlign w:val="bottom"/>
            <w:gridSpan w:val="2"/>
          </w:tcPr>
          <w:p>
            <w:pPr>
              <w:ind w:left="320"/>
              <w:spacing w:after="0" w:line="224" w:lineRule="exact"/>
              <w:rPr>
                <w:sz w:val="20"/>
                <w:szCs w:val="20"/>
                <w:color w:val="auto"/>
              </w:rPr>
            </w:pPr>
            <w:r>
              <w:rPr>
                <w:rFonts w:ascii="Arial" w:cs="Arial" w:eastAsia="Arial" w:hAnsi="Arial"/>
                <w:sz w:val="20"/>
                <w:szCs w:val="20"/>
                <w:color w:val="auto"/>
              </w:rPr>
              <w:t>[  ] Rule 13d–1(c)</w:t>
            </w:r>
          </w:p>
        </w:tc>
        <w:tc>
          <w:tcPr>
            <w:tcW w:w="4020" w:type="dxa"/>
            <w:vAlign w:val="bottom"/>
            <w:gridSpan w:val="7"/>
          </w:tcPr>
          <w:p>
            <w:pPr>
              <w:ind w:left="340"/>
              <w:spacing w:after="0" w:line="224" w:lineRule="exact"/>
              <w:rPr>
                <w:sz w:val="20"/>
                <w:szCs w:val="20"/>
                <w:color w:val="auto"/>
              </w:rPr>
            </w:pPr>
            <w:r>
              <w:rPr>
                <w:rFonts w:ascii="Arial" w:cs="Arial" w:eastAsia="Arial" w:hAnsi="Arial"/>
                <w:sz w:val="20"/>
                <w:szCs w:val="20"/>
                <w:color w:val="auto"/>
              </w:rPr>
              <w:t>[x] Rule 13d–1(d)</w:t>
            </w:r>
          </w:p>
        </w:tc>
        <w:tc>
          <w:tcPr>
            <w:tcW w:w="0" w:type="dxa"/>
            <w:vAlign w:val="bottom"/>
          </w:tcPr>
          <w:p>
            <w:pPr>
              <w:spacing w:after="0"/>
              <w:rPr>
                <w:sz w:val="1"/>
                <w:szCs w:val="1"/>
                <w:color w:val="auto"/>
              </w:rPr>
            </w:pPr>
          </w:p>
        </w:tc>
      </w:tr>
    </w:tbl>
    <w:p>
      <w:pPr>
        <w:jc w:val="both"/>
        <w:ind w:right="180"/>
        <w:spacing w:after="0" w:line="24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 w:lineRule="exact"/>
        <w:rPr>
          <w:sz w:val="24"/>
          <w:szCs w:val="24"/>
          <w:color w:val="auto"/>
        </w:rPr>
      </w:pPr>
    </w:p>
    <w:p>
      <w:pPr>
        <w:ind w:right="140"/>
        <w:spacing w:after="0" w:line="226"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183"/>
        </w:trPr>
        <w:tc>
          <w:tcPr>
            <w:tcW w:w="340" w:type="dxa"/>
            <w:vAlign w:val="bottom"/>
            <w:tcBorders>
              <w:top w:val="single" w:sz="8" w:color="auto"/>
              <w:left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700" w:type="dxa"/>
            <w:vAlign w:val="bottom"/>
            <w:tcBorders>
              <w:top w:val="single" w:sz="8" w:color="auto"/>
              <w:right w:val="single" w:sz="8" w:color="auto"/>
            </w:tcBorders>
            <w:gridSpan w:val="6"/>
          </w:tcPr>
          <w:p>
            <w:pPr>
              <w:ind w:left="3940"/>
              <w:spacing w:after="0" w:line="183" w:lineRule="exact"/>
              <w:rPr>
                <w:sz w:val="20"/>
                <w:szCs w:val="20"/>
                <w:color w:val="auto"/>
              </w:rPr>
            </w:pPr>
            <w:r>
              <w:rPr>
                <w:rFonts w:ascii="Arial" w:cs="Arial" w:eastAsia="Arial" w:hAnsi="Arial"/>
                <w:sz w:val="20"/>
                <w:szCs w:val="20"/>
                <w:color w:val="auto"/>
              </w:rPr>
              <w:t>CUSIP No. G47048 106</w:t>
            </w:r>
          </w:p>
        </w:tc>
        <w:tc>
          <w:tcPr>
            <w:tcW w:w="20" w:type="dxa"/>
            <w:vAlign w:val="bottom"/>
          </w:tcPr>
          <w:p>
            <w:pPr>
              <w:spacing w:after="0"/>
              <w:rPr>
                <w:sz w:val="15"/>
                <w:szCs w:val="15"/>
                <w:color w:val="auto"/>
              </w:rPr>
            </w:pPr>
          </w:p>
        </w:tc>
      </w:tr>
      <w:tr>
        <w:trPr>
          <w:trHeight w:val="20"/>
        </w:trPr>
        <w:tc>
          <w:tcPr>
            <w:tcW w:w="34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40" w:type="dxa"/>
            <w:vAlign w:val="bottom"/>
            <w:tcBorders>
              <w:left w:val="single" w:sz="8" w:color="auto"/>
              <w:bottom w:val="single" w:sz="8" w:color="auto"/>
            </w:tcBorders>
          </w:tcPr>
          <w:p>
            <w:pPr>
              <w:ind w:left="20"/>
              <w:spacing w:after="0" w:line="210" w:lineRule="exact"/>
              <w:rPr>
                <w:sz w:val="20"/>
                <w:szCs w:val="20"/>
                <w:color w:val="auto"/>
              </w:rPr>
            </w:pPr>
            <w:r>
              <w:rPr>
                <w:rFonts w:ascii="Arial" w:cs="Arial" w:eastAsia="Arial" w:hAnsi="Arial"/>
                <w:sz w:val="20"/>
                <w:szCs w:val="20"/>
                <w:color w:val="auto"/>
              </w:rPr>
              <w:t>(1)</w:t>
            </w:r>
          </w:p>
        </w:tc>
        <w:tc>
          <w:tcPr>
            <w:tcW w:w="10500" w:type="dxa"/>
            <w:vAlign w:val="bottom"/>
            <w:tcBorders>
              <w:bottom w:val="single" w:sz="8" w:color="auto"/>
              <w:right w:val="single" w:sz="8" w:color="auto"/>
            </w:tcBorders>
            <w:gridSpan w:val="6"/>
          </w:tcPr>
          <w:p>
            <w:pPr>
              <w:ind w:left="80"/>
              <w:spacing w:after="0" w:line="210" w:lineRule="exact"/>
              <w:rPr>
                <w:sz w:val="20"/>
                <w:szCs w:val="20"/>
                <w:color w:val="auto"/>
              </w:rPr>
            </w:pPr>
            <w:r>
              <w:rPr>
                <w:rFonts w:ascii="Arial" w:cs="Arial" w:eastAsia="Arial" w:hAnsi="Arial"/>
                <w:sz w:val="20"/>
                <w:szCs w:val="20"/>
                <w:color w:val="auto"/>
              </w:rPr>
              <w:t>Names of reporting persons  Sumitomo Corporation Equity Asia Limited</w:t>
            </w:r>
          </w:p>
        </w:tc>
        <w:tc>
          <w:tcPr>
            <w:tcW w:w="5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3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(2)</w:t>
            </w:r>
          </w:p>
        </w:tc>
        <w:tc>
          <w:tcPr>
            <w:tcW w:w="4900" w:type="dxa"/>
            <w:vAlign w:val="bottom"/>
            <w:tcBorders>
              <w:bottom w:val="single" w:sz="8" w:color="auto"/>
            </w:tcBorders>
            <w:gridSpan w:val="2"/>
          </w:tcPr>
          <w:p>
            <w:pPr>
              <w:ind w:left="80"/>
              <w:spacing w:after="0"/>
              <w:rPr>
                <w:sz w:val="20"/>
                <w:szCs w:val="20"/>
                <w:color w:val="auto"/>
              </w:rPr>
            </w:pPr>
            <w:r>
              <w:rPr>
                <w:rFonts w:ascii="Arial" w:cs="Arial" w:eastAsia="Arial" w:hAnsi="Arial"/>
                <w:sz w:val="20"/>
                <w:szCs w:val="20"/>
                <w:color w:val="auto"/>
              </w:rPr>
              <w:t>Check the appropriate box if a member of a group</w:t>
            </w:r>
          </w:p>
        </w:tc>
        <w:tc>
          <w:tcPr>
            <w:tcW w:w="820" w:type="dxa"/>
            <w:vAlign w:val="bottom"/>
            <w:tcBorders>
              <w:bottom w:val="single" w:sz="8" w:color="auto"/>
            </w:tcBorders>
            <w:gridSpan w:val="2"/>
          </w:tcPr>
          <w:p>
            <w:pP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w:t>
            </w:r>
          </w:p>
        </w:tc>
        <w:tc>
          <w:tcPr>
            <w:tcW w:w="4780" w:type="dxa"/>
            <w:vAlign w:val="bottom"/>
            <w:tcBorders>
              <w:bottom w:val="single" w:sz="8" w:color="auto"/>
              <w:right w:val="single" w:sz="8" w:color="auto"/>
            </w:tcBorders>
            <w:gridSpan w:val="2"/>
          </w:tcPr>
          <w:p>
            <w:pPr>
              <w:ind w:left="8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 (see instructions)</w:t>
            </w:r>
          </w:p>
        </w:tc>
        <w:tc>
          <w:tcPr>
            <w:tcW w:w="5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(3)</w:t>
            </w:r>
          </w:p>
        </w:tc>
        <w:tc>
          <w:tcPr>
            <w:tcW w:w="4900" w:type="dxa"/>
            <w:vAlign w:val="bottom"/>
            <w:tcBorders>
              <w:bottom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SEC use only</w:t>
            </w:r>
          </w:p>
        </w:tc>
        <w:tc>
          <w:tcPr>
            <w:tcW w:w="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40" w:type="dxa"/>
            <w:vAlign w:val="bottom"/>
            <w:tcBorders>
              <w:left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(4)</w:t>
            </w:r>
          </w:p>
        </w:tc>
        <w:tc>
          <w:tcPr>
            <w:tcW w:w="4900" w:type="dxa"/>
            <w:vAlign w:val="bottom"/>
            <w:tcBorders>
              <w:bottom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w w:val="99"/>
              </w:rPr>
              <w:t>Citizenship or place of organization Hong Kong, China</w:t>
            </w:r>
          </w:p>
        </w:tc>
        <w:tc>
          <w:tcPr>
            <w:tcW w:w="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060" w:type="dxa"/>
            <w:vAlign w:val="bottom"/>
            <w:tcBorders>
              <w:left w:val="single" w:sz="8" w:color="auto"/>
              <w:bottom w:val="single" w:sz="8" w:color="auto"/>
            </w:tcBorders>
            <w:gridSpan w:val="5"/>
          </w:tcPr>
          <w:p>
            <w:pPr>
              <w:ind w:left="20"/>
              <w:spacing w:after="0" w:line="223" w:lineRule="exact"/>
              <w:rPr>
                <w:sz w:val="20"/>
                <w:szCs w:val="20"/>
                <w:color w:val="auto"/>
              </w:rPr>
            </w:pPr>
            <w:r>
              <w:rPr>
                <w:rFonts w:ascii="Arial" w:cs="Arial" w:eastAsia="Arial" w:hAnsi="Arial"/>
                <w:sz w:val="20"/>
                <w:szCs w:val="20"/>
                <w:color w:val="auto"/>
              </w:rPr>
              <w:t>Number of shares beneficially owned by each reporting person with:</w:t>
            </w:r>
          </w:p>
        </w:tc>
        <w:tc>
          <w:tcPr>
            <w:tcW w:w="720" w:type="dxa"/>
            <w:vAlign w:val="bottom"/>
            <w:tcBorders>
              <w:bottom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34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w w:val="97"/>
              </w:rPr>
              <w:t>(5)</w:t>
            </w:r>
          </w:p>
        </w:tc>
        <w:tc>
          <w:tcPr>
            <w:tcW w:w="45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Sole voting power 1,774,887.5</w:t>
            </w: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34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w w:val="97"/>
              </w:rPr>
              <w:t>(6)</w:t>
            </w:r>
          </w:p>
        </w:tc>
        <w:tc>
          <w:tcPr>
            <w:tcW w:w="45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Shared voting power 0</w:t>
            </w: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34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w w:val="97"/>
              </w:rPr>
              <w:t>(7)</w:t>
            </w:r>
          </w:p>
        </w:tc>
        <w:tc>
          <w:tcPr>
            <w:tcW w:w="45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Sole dispositive power 1,774,887.5</w:t>
            </w: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743"/>
        </w:trPr>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1" w:right="219" w:bottom="1440" w:gutter="0" w:footer="0" w:header="0"/>
        </w:sectPr>
      </w:pPr>
    </w:p>
    <w:bookmarkStart w:id="1" w:name="page2"/>
    <w:bookmarkEnd w:id="1"/>
    <w:p>
      <w:pPr>
        <w:ind w:left="760" w:hanging="306"/>
        <w:spacing w:after="0"/>
        <w:tabs>
          <w:tab w:leader="none" w:pos="760" w:val="left"/>
        </w:tabs>
        <w:numPr>
          <w:ilvl w:val="1"/>
          <w:numId w:val="1"/>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48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48995"/>
                    </a:xfrm>
                    <a:prstGeom prst="rect">
                      <a:avLst/>
                    </a:prstGeom>
                    <a:noFill/>
                  </pic:spPr>
                </pic:pic>
              </a:graphicData>
            </a:graphic>
          </wp:anchor>
        </w:drawing>
        <w:t>Shared dispositive power 0</w:t>
      </w:r>
    </w:p>
    <w:p>
      <w:pPr>
        <w:spacing w:after="0" w:line="13" w:lineRule="exact"/>
        <w:rPr>
          <w:rFonts w:ascii="Arial" w:cs="Arial" w:eastAsia="Arial" w:hAnsi="Arial"/>
          <w:sz w:val="20"/>
          <w:szCs w:val="20"/>
          <w:color w:val="auto"/>
        </w:rPr>
      </w:pPr>
    </w:p>
    <w:p>
      <w:pPr>
        <w:ind w:left="420" w:hanging="398"/>
        <w:spacing w:after="0"/>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1,774,887.5</w:t>
      </w:r>
    </w:p>
    <w:p>
      <w:pPr>
        <w:spacing w:after="0" w:line="13" w:lineRule="exact"/>
        <w:rPr>
          <w:rFonts w:ascii="Arial" w:cs="Arial" w:eastAsia="Arial" w:hAnsi="Arial"/>
          <w:sz w:val="20"/>
          <w:szCs w:val="20"/>
          <w:color w:val="auto"/>
        </w:rPr>
      </w:pPr>
    </w:p>
    <w:p>
      <w:pPr>
        <w:ind w:left="420" w:hanging="398"/>
        <w:spacing w:after="0"/>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w:t>
      </w:r>
    </w:p>
    <w:p>
      <w:pPr>
        <w:spacing w:after="0" w:line="13" w:lineRule="exact"/>
        <w:rPr>
          <w:rFonts w:ascii="Arial" w:cs="Arial" w:eastAsia="Arial" w:hAnsi="Arial"/>
          <w:sz w:val="20"/>
          <w:szCs w:val="20"/>
          <w:color w:val="auto"/>
        </w:rPr>
      </w:pPr>
    </w:p>
    <w:p>
      <w:pPr>
        <w:ind w:left="420" w:hanging="398"/>
        <w:spacing w:after="0"/>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Percent of class represented by amount in Row (9) 6.21%</w:t>
      </w:r>
    </w:p>
    <w:p>
      <w:pPr>
        <w:spacing w:after="0" w:line="13" w:lineRule="exact"/>
        <w:rPr>
          <w:rFonts w:ascii="Arial" w:cs="Arial" w:eastAsia="Arial" w:hAnsi="Arial"/>
          <w:sz w:val="20"/>
          <w:szCs w:val="20"/>
          <w:color w:val="auto"/>
        </w:rPr>
      </w:pPr>
    </w:p>
    <w:p>
      <w:pPr>
        <w:ind w:left="420" w:hanging="398"/>
        <w:spacing w:after="0"/>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Type of reporting person (see instructions) CO</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19"/>
                <w:szCs w:val="19"/>
                <w:color w:val="auto"/>
              </w:rPr>
            </w:pPr>
          </w:p>
        </w:tc>
        <w:tc>
          <w:tcPr>
            <w:tcW w:w="6260" w:type="dxa"/>
            <w:vAlign w:val="bottom"/>
            <w:gridSpan w:val="2"/>
          </w:tcPr>
          <w:p>
            <w:pPr>
              <w:ind w:left="2600"/>
              <w:spacing w:after="0"/>
              <w:rPr>
                <w:sz w:val="20"/>
                <w:szCs w:val="20"/>
                <w:color w:val="auto"/>
              </w:rPr>
            </w:pPr>
            <w:r>
              <w:rPr>
                <w:rFonts w:ascii="Arial" w:cs="Arial" w:eastAsia="Arial" w:hAnsi="Arial"/>
                <w:sz w:val="20"/>
                <w:szCs w:val="20"/>
                <w:b w:val="1"/>
                <w:bCs w:val="1"/>
                <w:color w:val="auto"/>
              </w:rPr>
              <w:t>SCHEDULE 13G/A</w:t>
            </w:r>
          </w:p>
        </w:tc>
        <w:tc>
          <w:tcPr>
            <w:tcW w:w="2960" w:type="dxa"/>
            <w:vAlign w:val="bottom"/>
            <w:gridSpan w:val="4"/>
          </w:tcPr>
          <w:p>
            <w:pPr>
              <w:ind w:left="1940"/>
              <w:spacing w:after="0"/>
              <w:rPr>
                <w:sz w:val="20"/>
                <w:szCs w:val="20"/>
                <w:color w:val="auto"/>
              </w:rPr>
            </w:pPr>
            <w:r>
              <w:rPr>
                <w:rFonts w:ascii="Arial" w:cs="Arial" w:eastAsia="Arial" w:hAnsi="Arial"/>
                <w:sz w:val="20"/>
                <w:szCs w:val="20"/>
                <w:color w:val="auto"/>
                <w:w w:val="97"/>
              </w:rPr>
              <w:t>Page 2 of 3</w:t>
            </w:r>
          </w:p>
        </w:tc>
      </w:tr>
      <w:tr>
        <w:trPr>
          <w:trHeight w:val="196"/>
        </w:trPr>
        <w:tc>
          <w:tcPr>
            <w:tcW w:w="8460" w:type="dxa"/>
            <w:vAlign w:val="bottom"/>
            <w:gridSpan w:val="3"/>
          </w:tcPr>
          <w:p>
            <w:pPr>
              <w:spacing w:after="0" w:line="196" w:lineRule="exact"/>
              <w:rPr>
                <w:sz w:val="20"/>
                <w:szCs w:val="20"/>
                <w:color w:val="auto"/>
              </w:rPr>
            </w:pPr>
            <w:r>
              <w:rPr>
                <w:rFonts w:ascii="Arial" w:cs="Arial" w:eastAsia="Arial" w:hAnsi="Arial"/>
                <w:sz w:val="18"/>
                <w:szCs w:val="18"/>
                <w:b w:val="1"/>
                <w:bCs w:val="1"/>
                <w:i w:val="1"/>
                <w:iCs w:val="1"/>
                <w:color w:val="auto"/>
              </w:rPr>
              <w:t xml:space="preserve">Item 1(a) Name of issuer: </w:t>
            </w:r>
            <w:r>
              <w:rPr>
                <w:rFonts w:ascii="Arial" w:cs="Arial" w:eastAsia="Arial" w:hAnsi="Arial"/>
                <w:sz w:val="19"/>
                <w:szCs w:val="19"/>
                <w:color w:val="auto"/>
              </w:rPr>
              <w:t>iClick Interactive Asia Group Limited</w:t>
            </w:r>
          </w:p>
        </w:tc>
        <w:tc>
          <w:tcPr>
            <w:tcW w:w="2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0"/>
        </w:trPr>
        <w:tc>
          <w:tcPr>
            <w:tcW w:w="2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 xml:space="preserve">Item 1(b) Address of issuer's principal executive offices: </w:t>
      </w:r>
      <w:r>
        <w:rPr>
          <w:rFonts w:ascii="Arial" w:cs="Arial" w:eastAsia="Arial" w:hAnsi="Arial"/>
          <w:sz w:val="19"/>
          <w:szCs w:val="19"/>
          <w:u w:val="single" w:color="auto"/>
          <w:color w:val="auto"/>
        </w:rPr>
        <w:t>15/F,</w:t>
      </w:r>
      <w:r>
        <w:rPr>
          <w:rFonts w:ascii="Arial" w:cs="Arial" w:eastAsia="Arial" w:hAnsi="Arial"/>
          <w:sz w:val="18"/>
          <w:szCs w:val="18"/>
          <w:b w:val="1"/>
          <w:bCs w:val="1"/>
          <w:i w:val="1"/>
          <w:iCs w:val="1"/>
          <w:color w:val="auto"/>
        </w:rPr>
        <w:t xml:space="preserve"> </w:t>
      </w:r>
      <w:r>
        <w:rPr>
          <w:rFonts w:ascii="Arial" w:cs="Arial" w:eastAsia="Arial" w:hAnsi="Arial"/>
          <w:sz w:val="19"/>
          <w:szCs w:val="19"/>
          <w:u w:val="single" w:color="auto"/>
          <w:color w:val="auto"/>
        </w:rPr>
        <w:t>Prosperity Millennia Plaza, 663 King’s Road, Quarry Bay, Hong Kong,</w:t>
      </w:r>
      <w:r>
        <w:rPr>
          <w:rFonts w:ascii="Arial" w:cs="Arial" w:eastAsia="Arial" w:hAnsi="Arial"/>
          <w:sz w:val="18"/>
          <w:szCs w:val="18"/>
          <w:b w:val="1"/>
          <w:bCs w:val="1"/>
          <w:i w:val="1"/>
          <w:iCs w:val="1"/>
          <w:color w:val="auto"/>
        </w:rPr>
        <w:t xml:space="preserve"> </w:t>
      </w:r>
      <w:r>
        <w:rPr>
          <w:rFonts w:ascii="Arial" w:cs="Arial" w:eastAsia="Arial" w:hAnsi="Arial"/>
          <w:sz w:val="19"/>
          <w:szCs w:val="19"/>
          <w:u w:val="single" w:color="auto"/>
          <w:color w:val="auto"/>
        </w:rPr>
        <w:t>China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2(a) Name of person filing:</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Sumitomo Corporation Equity Asia Limited</w:t>
      </w:r>
    </w:p>
    <w:p>
      <w:pPr>
        <w:spacing w:after="0" w:line="234" w:lineRule="auto"/>
        <w:rPr>
          <w:sz w:val="20"/>
          <w:szCs w:val="20"/>
          <w:color w:val="auto"/>
        </w:rPr>
      </w:pPr>
      <w:r>
        <w:rPr>
          <w:rFonts w:ascii="Arial" w:cs="Arial" w:eastAsia="Arial" w:hAnsi="Arial"/>
          <w:sz w:val="18"/>
          <w:szCs w:val="18"/>
          <w:b w:val="1"/>
          <w:bCs w:val="1"/>
          <w:i w:val="1"/>
          <w:iCs w:val="1"/>
          <w:color w:val="auto"/>
        </w:rPr>
        <w:t>2(b) Address or principal business office or, if none, residence:</w:t>
      </w:r>
    </w:p>
    <w:p>
      <w:pPr>
        <w:spacing w:after="0" w:line="235" w:lineRule="auto"/>
        <w:rPr>
          <w:sz w:val="20"/>
          <w:szCs w:val="20"/>
          <w:color w:val="auto"/>
        </w:rPr>
      </w:pPr>
      <w:r>
        <w:rPr>
          <w:rFonts w:ascii="Arial" w:cs="Arial" w:eastAsia="Arial" w:hAnsi="Arial"/>
          <w:sz w:val="18"/>
          <w:szCs w:val="18"/>
          <w:b w:val="1"/>
          <w:bCs w:val="1"/>
          <w:i w:val="1"/>
          <w:iCs w:val="1"/>
          <w:u w:val="single" w:color="auto"/>
          <w:color w:val="auto"/>
        </w:rPr>
        <w:t>Unit C3, 23/F, United Centre, 95 Queensway, Hong Kong, China</w:t>
      </w:r>
    </w:p>
    <w:p>
      <w:pPr>
        <w:spacing w:after="0" w:line="235" w:lineRule="auto"/>
        <w:rPr>
          <w:sz w:val="20"/>
          <w:szCs w:val="20"/>
          <w:color w:val="auto"/>
        </w:rPr>
      </w:pPr>
      <w:r>
        <w:rPr>
          <w:rFonts w:ascii="Arial" w:cs="Arial" w:eastAsia="Arial" w:hAnsi="Arial"/>
          <w:sz w:val="18"/>
          <w:szCs w:val="18"/>
          <w:b w:val="1"/>
          <w:bCs w:val="1"/>
          <w:i w:val="1"/>
          <w:iCs w:val="1"/>
          <w:color w:val="auto"/>
        </w:rPr>
        <w:t>2(c) Citizenship:</w:t>
      </w:r>
    </w:p>
    <w:p>
      <w:pPr>
        <w:spacing w:after="0" w:line="235" w:lineRule="auto"/>
        <w:rPr>
          <w:sz w:val="20"/>
          <w:szCs w:val="20"/>
          <w:color w:val="auto"/>
        </w:rPr>
      </w:pPr>
      <w:r>
        <w:rPr>
          <w:rFonts w:ascii="Arial" w:cs="Arial" w:eastAsia="Arial" w:hAnsi="Arial"/>
          <w:sz w:val="18"/>
          <w:szCs w:val="18"/>
          <w:b w:val="1"/>
          <w:bCs w:val="1"/>
          <w:i w:val="1"/>
          <w:iCs w:val="1"/>
          <w:u w:val="single" w:color="auto"/>
          <w:color w:val="auto"/>
        </w:rPr>
        <w:t>Hong Kong, China</w:t>
      </w:r>
    </w:p>
    <w:p>
      <w:pPr>
        <w:spacing w:after="0" w:line="235" w:lineRule="auto"/>
        <w:rPr>
          <w:sz w:val="20"/>
          <w:szCs w:val="20"/>
          <w:color w:val="auto"/>
        </w:rPr>
      </w:pPr>
      <w:r>
        <w:rPr>
          <w:rFonts w:ascii="Arial" w:cs="Arial" w:eastAsia="Arial" w:hAnsi="Arial"/>
          <w:sz w:val="18"/>
          <w:szCs w:val="18"/>
          <w:b w:val="1"/>
          <w:bCs w:val="1"/>
          <w:i w:val="1"/>
          <w:iCs w:val="1"/>
          <w:color w:val="auto"/>
        </w:rPr>
        <w:t>2(d) Title of class of securities:</w:t>
      </w:r>
    </w:p>
    <w:p>
      <w:pPr>
        <w:jc w:val="both"/>
        <w:ind w:right="20"/>
        <w:spacing w:after="0" w:line="234" w:lineRule="auto"/>
        <w:rPr>
          <w:sz w:val="20"/>
          <w:szCs w:val="20"/>
          <w:color w:val="auto"/>
        </w:rPr>
      </w:pPr>
      <w:r>
        <w:rPr>
          <w:rFonts w:ascii="Arial" w:cs="Arial" w:eastAsia="Arial" w:hAnsi="Arial"/>
          <w:sz w:val="18"/>
          <w:szCs w:val="18"/>
          <w:b w:val="1"/>
          <w:bCs w:val="1"/>
          <w:i w:val="1"/>
          <w:iCs w:val="1"/>
          <w:u w:val="single" w:color="auto"/>
          <w:color w:val="auto"/>
        </w:rPr>
        <w:t>Class A ordinary shares, par value of $0.001 per share (the “Class A Ordinary Shares”). The Issuer’s ordinary shares consist of Class A Ordinary Shares and Class B ordinary shares, par value of $0.001 per share (“Class B Ordinary Shares”). The rights of the holders of Class A Ordinary Shares and Class B Ordinary Shares are identical, except with respect to conversion rights and voting rights.</w:t>
      </w:r>
    </w:p>
    <w:p>
      <w:pPr>
        <w:spacing w:after="0" w:line="2" w:lineRule="exact"/>
        <w:rPr>
          <w:sz w:val="20"/>
          <w:szCs w:val="20"/>
          <w:color w:val="auto"/>
        </w:rPr>
      </w:pPr>
    </w:p>
    <w:p>
      <w:pPr>
        <w:ind w:right="400"/>
        <w:spacing w:after="0" w:line="234" w:lineRule="auto"/>
        <w:rPr>
          <w:sz w:val="20"/>
          <w:szCs w:val="20"/>
          <w:color w:val="auto"/>
        </w:rPr>
      </w:pPr>
      <w:r>
        <w:rPr>
          <w:rFonts w:ascii="Arial" w:cs="Arial" w:eastAsia="Arial" w:hAnsi="Arial"/>
          <w:sz w:val="18"/>
          <w:szCs w:val="18"/>
          <w:b w:val="1"/>
          <w:bCs w:val="1"/>
          <w:i w:val="1"/>
          <w:iCs w:val="1"/>
          <w:u w:val="single" w:color="auto"/>
          <w:color w:val="auto"/>
        </w:rPr>
        <w:t>Each Class B Ordinary Share is convertible at the option of the holder at any time into one Class A Ordinary Share. Each Class B Ordinary Share is entitled to twenty (20) votes per share, whereas each Class A Ordinary Share is entitled to one vote per share.</w:t>
      </w:r>
    </w:p>
    <w:p>
      <w:pPr>
        <w:spacing w:after="0" w:line="233" w:lineRule="auto"/>
        <w:rPr>
          <w:sz w:val="20"/>
          <w:szCs w:val="20"/>
          <w:color w:val="auto"/>
        </w:rPr>
      </w:pPr>
      <w:r>
        <w:rPr>
          <w:rFonts w:ascii="Arial" w:cs="Arial" w:eastAsia="Arial" w:hAnsi="Arial"/>
          <w:sz w:val="18"/>
          <w:szCs w:val="18"/>
          <w:b w:val="1"/>
          <w:bCs w:val="1"/>
          <w:i w:val="1"/>
          <w:iCs w:val="1"/>
          <w:color w:val="auto"/>
        </w:rPr>
        <w:t>2(e) CUSIP No.:</w:t>
      </w:r>
    </w:p>
    <w:p>
      <w:pPr>
        <w:spacing w:after="0"/>
        <w:rPr>
          <w:sz w:val="20"/>
          <w:szCs w:val="20"/>
          <w:color w:val="auto"/>
        </w:rPr>
      </w:pPr>
      <w:r>
        <w:rPr>
          <w:rFonts w:ascii="Arial" w:cs="Arial" w:eastAsia="Arial" w:hAnsi="Arial"/>
          <w:sz w:val="20"/>
          <w:szCs w:val="20"/>
          <w:u w:val="single" w:color="auto"/>
          <w:color w:val="auto"/>
        </w:rPr>
        <w:t>G47048 106</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3.</w:t>
      </w:r>
      <w:r>
        <w:rPr>
          <w:sz w:val="20"/>
          <w:szCs w:val="20"/>
          <w:color w:val="auto"/>
        </w:rPr>
        <w:tab/>
      </w:r>
      <w:r>
        <w:rPr>
          <w:rFonts w:ascii="Arial" w:cs="Arial" w:eastAsia="Arial" w:hAnsi="Arial"/>
          <w:sz w:val="17"/>
          <w:szCs w:val="17"/>
          <w:b w:val="1"/>
          <w:bCs w:val="1"/>
          <w:i w:val="1"/>
          <w:iCs w:val="1"/>
          <w:color w:val="auto"/>
        </w:rPr>
        <w:t>If this statement is filed pursuant to §§240.13d–1(b) or 240.13d–2(b) or (c), check whether the person filing is a:</w:t>
      </w:r>
    </w:p>
    <w:p>
      <w:pPr>
        <w:spacing w:after="0" w:line="13"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 (15 U.S.C. 78o);</w:t>
      </w:r>
    </w:p>
    <w:p>
      <w:pPr>
        <w:ind w:left="280" w:hanging="272"/>
        <w:spacing w:after="0" w:line="234"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ind w:left="260" w:hanging="252"/>
        <w:spacing w:after="0" w:line="234"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 (15 U.S.C. 78c);</w:t>
      </w: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2" w:name="page3"/>
    <w:bookmarkEnd w:id="2"/>
    <w:p>
      <w:pPr>
        <w:ind w:left="272" w:hanging="272"/>
        <w:spacing w:after="0"/>
        <w:tabs>
          <w:tab w:leader="none" w:pos="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 ]   An investment adviser in accordance with §240.13d–1(b)(1)(ii)(E);</w:t>
      </w:r>
    </w:p>
    <w:p>
      <w:pPr>
        <w:ind w:left="272" w:hanging="272"/>
        <w:spacing w:after="0" w:line="234" w:lineRule="auto"/>
        <w:tabs>
          <w:tab w:leader="none" w:pos="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§240.13d–1(b)(1)(ii)(F);</w:t>
      </w:r>
    </w:p>
    <w:p>
      <w:pPr>
        <w:ind w:left="272" w:hanging="272"/>
        <w:spacing w:after="0" w:line="234" w:lineRule="auto"/>
        <w:tabs>
          <w:tab w:leader="none" w:pos="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§240.13d–1(b)(1)(ii)(G);</w:t>
      </w:r>
    </w:p>
    <w:p>
      <w:pPr>
        <w:ind w:left="272" w:hanging="272"/>
        <w:spacing w:after="0" w:line="234" w:lineRule="auto"/>
        <w:tabs>
          <w:tab w:leader="none" w:pos="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 ]   A savings associations as defined in Section 3(b) of the Federal Deposit Insurance Act (12 U.S.C. 1813);</w:t>
      </w:r>
    </w:p>
    <w:p>
      <w:pPr>
        <w:ind w:left="772" w:hanging="772"/>
        <w:spacing w:after="0" w:line="234" w:lineRule="auto"/>
        <w:tabs>
          <w:tab w:leader="none" w:pos="262" w:val="left"/>
        </w:tabs>
        <w:numPr>
          <w:ilvl w:val="0"/>
          <w:numId w:val="4"/>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 of 1940 (15 U.S.C. 80a–3);</w:t>
      </w:r>
    </w:p>
    <w:p>
      <w:pPr>
        <w:spacing w:after="0" w:line="1" w:lineRule="exact"/>
        <w:rPr>
          <w:rFonts w:ascii="Arial" w:cs="Arial" w:eastAsia="Arial" w:hAnsi="Arial"/>
          <w:sz w:val="18"/>
          <w:szCs w:val="18"/>
          <w:color w:val="auto"/>
        </w:rPr>
      </w:pPr>
    </w:p>
    <w:p>
      <w:pPr>
        <w:ind w:left="252" w:hanging="252"/>
        <w:spacing w:after="0" w:line="234" w:lineRule="auto"/>
        <w:tabs>
          <w:tab w:leader="none" w:pos="252" w:val="left"/>
        </w:tabs>
        <w:numPr>
          <w:ilvl w:val="0"/>
          <w:numId w:val="4"/>
        </w:numPr>
        <w:rPr>
          <w:rFonts w:ascii="Arial" w:cs="Arial" w:eastAsia="Arial" w:hAnsi="Arial"/>
          <w:sz w:val="18"/>
          <w:szCs w:val="18"/>
          <w:color w:val="auto"/>
        </w:rPr>
      </w:pPr>
      <w:r>
        <w:rPr>
          <w:rFonts w:ascii="Arial" w:cs="Arial" w:eastAsia="Arial" w:hAnsi="Arial"/>
          <w:sz w:val="18"/>
          <w:szCs w:val="18"/>
          <w:color w:val="auto"/>
        </w:rPr>
        <w:t>[ ]   A non-U.S. institution in accordance with §240.13d–1(b)(1)(ii)(J);</w:t>
      </w:r>
    </w:p>
    <w:p>
      <w:pPr>
        <w:ind w:left="772" w:right="20" w:hanging="772"/>
        <w:spacing w:after="0" w:line="246" w:lineRule="auto"/>
        <w:tabs>
          <w:tab w:leader="none" w:pos="262" w:val="left"/>
        </w:tabs>
        <w:numPr>
          <w:ilvl w:val="0"/>
          <w:numId w:val="4"/>
        </w:numPr>
        <w:rPr>
          <w:rFonts w:ascii="Arial" w:cs="Arial" w:eastAsia="Arial" w:hAnsi="Arial"/>
          <w:sz w:val="18"/>
          <w:szCs w:val="18"/>
          <w:color w:val="auto"/>
        </w:rPr>
      </w:pPr>
      <w:r>
        <w:rPr>
          <w:rFonts w:ascii="Arial" w:cs="Arial" w:eastAsia="Arial" w:hAnsi="Arial"/>
          <w:sz w:val="18"/>
          <w:szCs w:val="18"/>
          <w:color w:val="auto"/>
        </w:rPr>
        <w:t>[ ] Group, in accordance with §240.13d–1(b)(1)(ii)(K). If filing as a non-U.S. institution in accordance with §240.13d–1(b)(1)(ii)(J), please specify the type of institution: 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575945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418"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8"/>
        </w:trPr>
        <w:tc>
          <w:tcPr>
            <w:tcW w:w="780" w:type="dxa"/>
            <w:vAlign w:val="bottom"/>
          </w:tcPr>
          <w:p>
            <w:pPr>
              <w:spacing w:after="0"/>
              <w:rPr>
                <w:sz w:val="18"/>
                <w:szCs w:val="18"/>
                <w:color w:val="auto"/>
              </w:rPr>
            </w:pPr>
          </w:p>
        </w:tc>
        <w:tc>
          <w:tcPr>
            <w:tcW w:w="7720" w:type="dxa"/>
            <w:vAlign w:val="bottom"/>
          </w:tcPr>
          <w:p>
            <w:pPr>
              <w:ind w:left="4220"/>
              <w:spacing w:after="0"/>
              <w:rPr>
                <w:sz w:val="20"/>
                <w:szCs w:val="20"/>
                <w:color w:val="auto"/>
              </w:rPr>
            </w:pPr>
            <w:r>
              <w:rPr>
                <w:rFonts w:ascii="Arial" w:cs="Arial" w:eastAsia="Arial" w:hAnsi="Arial"/>
                <w:sz w:val="18"/>
                <w:szCs w:val="18"/>
                <w:b w:val="1"/>
                <w:bCs w:val="1"/>
                <w:color w:val="auto"/>
              </w:rPr>
              <w:t>SCHEDULE 13G/A</w:t>
            </w:r>
          </w:p>
        </w:tc>
        <w:tc>
          <w:tcPr>
            <w:tcW w:w="2920" w:type="dxa"/>
            <w:vAlign w:val="bottom"/>
            <w:gridSpan w:val="4"/>
          </w:tcPr>
          <w:p>
            <w:pPr>
              <w:ind w:left="1960"/>
              <w:spacing w:after="0"/>
              <w:rPr>
                <w:sz w:val="20"/>
                <w:szCs w:val="20"/>
                <w:color w:val="auto"/>
              </w:rPr>
            </w:pPr>
            <w:r>
              <w:rPr>
                <w:rFonts w:ascii="Arial" w:cs="Arial" w:eastAsia="Arial" w:hAnsi="Arial"/>
                <w:sz w:val="18"/>
                <w:szCs w:val="18"/>
                <w:b w:val="1"/>
                <w:bCs w:val="1"/>
                <w:color w:val="auto"/>
                <w:w w:val="97"/>
              </w:rPr>
              <w:t xml:space="preserve">Page </w:t>
            </w:r>
            <w:r>
              <w:rPr>
                <w:rFonts w:ascii="Arial" w:cs="Arial" w:eastAsia="Arial" w:hAnsi="Arial"/>
                <w:sz w:val="19"/>
                <w:szCs w:val="19"/>
                <w:color w:val="auto"/>
                <w:w w:val="97"/>
              </w:rPr>
              <w:t>3</w:t>
            </w:r>
            <w:r>
              <w:rPr>
                <w:rFonts w:ascii="Arial" w:cs="Arial" w:eastAsia="Arial" w:hAnsi="Arial"/>
                <w:sz w:val="18"/>
                <w:szCs w:val="18"/>
                <w:b w:val="1"/>
                <w:bCs w:val="1"/>
                <w:color w:val="auto"/>
                <w:w w:val="97"/>
              </w:rPr>
              <w:t xml:space="preserve"> of </w:t>
            </w:r>
            <w:r>
              <w:rPr>
                <w:rFonts w:ascii="Arial" w:cs="Arial" w:eastAsia="Arial" w:hAnsi="Arial"/>
                <w:sz w:val="19"/>
                <w:szCs w:val="19"/>
                <w:color w:val="auto"/>
                <w:w w:val="97"/>
              </w:rPr>
              <w:t>3</w:t>
            </w:r>
          </w:p>
        </w:tc>
      </w:tr>
      <w:tr>
        <w:trPr>
          <w:trHeight w:val="425"/>
        </w:trPr>
        <w:tc>
          <w:tcPr>
            <w:tcW w:w="78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72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Ownership</w:t>
            </w:r>
          </w:p>
        </w:tc>
        <w:tc>
          <w:tcPr>
            <w:tcW w:w="2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bl>
    <w:p>
      <w:pPr>
        <w:spacing w:after="0" w:line="234"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ind w:left="280" w:hanging="272"/>
        <w:spacing w:after="0" w:line="235"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u w:val="single" w:color="auto"/>
          <w:color w:val="auto"/>
        </w:rPr>
        <w:t>1,774,887.5</w:t>
      </w:r>
    </w:p>
    <w:p>
      <w:pPr>
        <w:ind w:left="280" w:hanging="272"/>
        <w:spacing w:after="0" w:line="234"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u w:val="single" w:color="auto"/>
          <w:color w:val="auto"/>
        </w:rPr>
        <w:t>6.21%</w:t>
      </w:r>
    </w:p>
    <w:p>
      <w:pPr>
        <w:ind w:left="260" w:hanging="252"/>
        <w:spacing w:after="0" w:line="234"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ind w:left="600" w:hanging="202"/>
        <w:spacing w:after="0"/>
        <w:tabs>
          <w:tab w:leader="none" w:pos="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u w:val="single" w:color="auto"/>
          <w:color w:val="auto"/>
        </w:rPr>
        <w:t>1,774,887.5</w:t>
      </w:r>
    </w:p>
    <w:p>
      <w:pPr>
        <w:spacing w:after="0" w:line="9" w:lineRule="exact"/>
        <w:rPr>
          <w:rFonts w:ascii="Arial" w:cs="Arial" w:eastAsia="Arial" w:hAnsi="Arial"/>
          <w:sz w:val="18"/>
          <w:szCs w:val="18"/>
          <w:color w:val="auto"/>
        </w:rPr>
      </w:pPr>
    </w:p>
    <w:p>
      <w:pPr>
        <w:ind w:left="640" w:hanging="242"/>
        <w:spacing w:after="0" w:line="222" w:lineRule="auto"/>
        <w:tabs>
          <w:tab w:leader="none" w:pos="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9"/>
          <w:szCs w:val="19"/>
          <w:u w:val="single" w:color="auto"/>
          <w:color w:val="auto"/>
        </w:rPr>
        <w:t>0</w:t>
      </w:r>
    </w:p>
    <w:p>
      <w:pPr>
        <w:ind w:left="680" w:hanging="282"/>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u w:val="single" w:color="auto"/>
          <w:color w:val="auto"/>
        </w:rPr>
        <w:t>1,774,887.5</w:t>
      </w:r>
    </w:p>
    <w:p>
      <w:pPr>
        <w:spacing w:after="0" w:line="9" w:lineRule="exact"/>
        <w:rPr>
          <w:rFonts w:ascii="Arial" w:cs="Arial" w:eastAsia="Arial" w:hAnsi="Arial"/>
          <w:sz w:val="18"/>
          <w:szCs w:val="18"/>
          <w:color w:val="auto"/>
        </w:rPr>
      </w:pPr>
    </w:p>
    <w:p>
      <w:pPr>
        <w:ind w:left="700" w:hanging="302"/>
        <w:spacing w:after="0" w:line="222" w:lineRule="auto"/>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9"/>
          <w:szCs w:val="19"/>
          <w:u w:val="single" w:color="auto"/>
          <w:color w:val="auto"/>
        </w:rPr>
        <w:t>0</w:t>
      </w:r>
    </w:p>
    <w:p>
      <w:pPr>
        <w:ind w:left="980" w:right="300" w:hanging="971"/>
        <w:spacing w:after="0" w:line="234" w:lineRule="auto"/>
        <w:tabs>
          <w:tab w:leader="none" w:pos="960" w:val="left"/>
        </w:tabs>
        <w:rPr>
          <w:sz w:val="20"/>
          <w:szCs w:val="20"/>
          <w:color w:val="auto"/>
        </w:rPr>
      </w:pPr>
      <w:r>
        <w:rPr>
          <w:rFonts w:ascii="Arial" w:cs="Arial" w:eastAsia="Arial" w:hAnsi="Arial"/>
          <w:sz w:val="18"/>
          <w:szCs w:val="18"/>
          <w:b w:val="1"/>
          <w:bCs w:val="1"/>
          <w:i w:val="1"/>
          <w:iCs w:val="1"/>
          <w:color w:val="auto"/>
        </w:rPr>
        <w:t>Item 5.</w:t>
      </w:r>
      <w:r>
        <w:rPr>
          <w:sz w:val="20"/>
          <w:szCs w:val="20"/>
          <w:color w:val="auto"/>
        </w:rPr>
        <w:tab/>
      </w:r>
      <w:r>
        <w:rPr>
          <w:rFonts w:ascii="Arial" w:cs="Arial" w:eastAsia="Arial" w:hAnsi="Arial"/>
          <w:sz w:val="18"/>
          <w:szCs w:val="18"/>
          <w:b w:val="1"/>
          <w:bCs w:val="1"/>
          <w:i w:val="1"/>
          <w:iCs w:val="1"/>
          <w:color w:val="auto"/>
        </w:rPr>
        <w:t xml:space="preserve">Ownership of 5 Percent or Less of a Class. </w:t>
      </w:r>
      <w:r>
        <w:rPr>
          <w:rFonts w:ascii="Arial" w:cs="Arial" w:eastAsia="Arial" w:hAnsi="Arial"/>
          <w:sz w:val="18"/>
          <w:szCs w:val="18"/>
          <w:i w:val="1"/>
          <w:iCs w:val="1"/>
          <w:color w:val="auto"/>
        </w:rPr>
        <w:t>If this statement is being filed to report the fact that as of the date hereof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reporting person has ceased to be the beneficial owner of more than 5 percent of the class of securities, check the following [ ]. Dissolution of a group requires a response to this item.</w:t>
      </w: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6.</w:t>
      </w:r>
      <w:r>
        <w:rPr>
          <w:sz w:val="20"/>
          <w:szCs w:val="20"/>
          <w:color w:val="auto"/>
        </w:rPr>
        <w:tab/>
      </w:r>
      <w:r>
        <w:rPr>
          <w:rFonts w:ascii="Arial" w:cs="Arial" w:eastAsia="Arial" w:hAnsi="Arial"/>
          <w:sz w:val="17"/>
          <w:szCs w:val="17"/>
          <w:b w:val="1"/>
          <w:bCs w:val="1"/>
          <w:i w:val="1"/>
          <w:iCs w:val="1"/>
          <w:color w:val="auto"/>
        </w:rPr>
        <w:t>Ownership of More than 5 Percent on Behalf of Another Person.</w:t>
      </w:r>
    </w:p>
    <w:p>
      <w:pPr>
        <w:ind w:left="1440"/>
        <w:spacing w:after="0" w:line="235" w:lineRule="auto"/>
        <w:rPr>
          <w:sz w:val="20"/>
          <w:szCs w:val="20"/>
          <w:color w:val="auto"/>
        </w:rPr>
      </w:pPr>
      <w:r>
        <w:rPr>
          <w:rFonts w:ascii="Arial" w:cs="Arial" w:eastAsia="Arial" w:hAnsi="Arial"/>
          <w:sz w:val="18"/>
          <w:szCs w:val="18"/>
          <w:color w:val="auto"/>
        </w:rPr>
        <w:t>Not Applicable</w:t>
      </w:r>
    </w:p>
    <w:p>
      <w:pPr>
        <w:ind w:left="980" w:right="140" w:hanging="971"/>
        <w:spacing w:after="0" w:line="234" w:lineRule="auto"/>
        <w:tabs>
          <w:tab w:leader="none" w:pos="960" w:val="left"/>
        </w:tabs>
        <w:rPr>
          <w:sz w:val="20"/>
          <w:szCs w:val="20"/>
          <w:color w:val="auto"/>
        </w:rPr>
      </w:pPr>
      <w:r>
        <w:rPr>
          <w:rFonts w:ascii="Arial" w:cs="Arial" w:eastAsia="Arial" w:hAnsi="Arial"/>
          <w:sz w:val="18"/>
          <w:szCs w:val="18"/>
          <w:b w:val="1"/>
          <w:bCs w:val="1"/>
          <w:i w:val="1"/>
          <w:iCs w:val="1"/>
          <w:color w:val="auto"/>
        </w:rPr>
        <w:t>Item 7.</w:t>
      </w:r>
      <w:r>
        <w:rPr>
          <w:sz w:val="20"/>
          <w:szCs w:val="20"/>
          <w:color w:val="auto"/>
        </w:rPr>
        <w:tab/>
      </w:r>
      <w:r>
        <w:rPr>
          <w:rFonts w:ascii="Arial" w:cs="Arial" w:eastAsia="Arial" w:hAnsi="Arial"/>
          <w:sz w:val="18"/>
          <w:szCs w:val="18"/>
          <w:b w:val="1"/>
          <w:bCs w:val="1"/>
          <w:i w:val="1"/>
          <w:iCs w:val="1"/>
          <w:color w:val="auto"/>
        </w:rPr>
        <w:t>Identification and Classification of the Subsidiary Which Acquired the Security Being Reported on by the Parent Holding Company or Control Person.</w:t>
      </w:r>
    </w:p>
    <w:p>
      <w:pPr>
        <w:ind w:left="1440"/>
        <w:spacing w:after="0" w:line="236" w:lineRule="auto"/>
        <w:rPr>
          <w:sz w:val="20"/>
          <w:szCs w:val="20"/>
          <w:color w:val="auto"/>
        </w:rPr>
      </w:pPr>
      <w:r>
        <w:rPr>
          <w:rFonts w:ascii="Arial" w:cs="Arial" w:eastAsia="Arial" w:hAnsi="Arial"/>
          <w:sz w:val="18"/>
          <w:szCs w:val="18"/>
          <w:color w:val="auto"/>
        </w:rPr>
        <w:t>Not Applicable</w:t>
      </w:r>
    </w:p>
    <w:p>
      <w:pPr>
        <w:ind w:left="100"/>
        <w:spacing w:after="0" w:line="235" w:lineRule="auto"/>
        <w:rPr>
          <w:sz w:val="20"/>
          <w:szCs w:val="20"/>
          <w:color w:val="auto"/>
        </w:rPr>
      </w:pPr>
      <w:r>
        <w:rPr>
          <w:rFonts w:ascii="Arial" w:cs="Arial" w:eastAsia="Arial" w:hAnsi="Arial"/>
          <w:sz w:val="18"/>
          <w:szCs w:val="18"/>
          <w:b w:val="1"/>
          <w:bCs w:val="1"/>
          <w:i w:val="1"/>
          <w:iCs w:val="1"/>
          <w:color w:val="auto"/>
        </w:rPr>
        <w:t>Item 8. Identification and Classification of Members of the Group.</w:t>
      </w:r>
    </w:p>
    <w:p>
      <w:pPr>
        <w:ind w:left="1440"/>
        <w:spacing w:after="0" w:line="235" w:lineRule="auto"/>
        <w:rPr>
          <w:sz w:val="20"/>
          <w:szCs w:val="20"/>
          <w:color w:val="auto"/>
        </w:rPr>
      </w:pPr>
      <w:r>
        <w:rPr>
          <w:rFonts w:ascii="Arial" w:cs="Arial" w:eastAsia="Arial" w:hAnsi="Arial"/>
          <w:sz w:val="18"/>
          <w:szCs w:val="18"/>
          <w:color w:val="auto"/>
        </w:rPr>
        <w:t>Not Applicable</w:t>
      </w:r>
    </w:p>
    <w:p>
      <w:pPr>
        <w:ind w:left="100"/>
        <w:spacing w:after="0" w:line="235" w:lineRule="auto"/>
        <w:rPr>
          <w:sz w:val="20"/>
          <w:szCs w:val="20"/>
          <w:color w:val="auto"/>
        </w:rPr>
      </w:pPr>
      <w:r>
        <w:rPr>
          <w:rFonts w:ascii="Arial" w:cs="Arial" w:eastAsia="Arial" w:hAnsi="Arial"/>
          <w:sz w:val="18"/>
          <w:szCs w:val="18"/>
          <w:b w:val="1"/>
          <w:bCs w:val="1"/>
          <w:i w:val="1"/>
          <w:iCs w:val="1"/>
          <w:color w:val="auto"/>
        </w:rPr>
        <w:t>Item 9. Notice of Dissolution of Group.</w:t>
      </w:r>
    </w:p>
    <w:p>
      <w:pPr>
        <w:ind w:left="1440"/>
        <w:spacing w:after="0" w:line="235" w:lineRule="auto"/>
        <w:rPr>
          <w:sz w:val="20"/>
          <w:szCs w:val="20"/>
          <w:color w:val="auto"/>
        </w:rPr>
      </w:pPr>
      <w:r>
        <w:rPr>
          <w:rFonts w:ascii="Arial" w:cs="Arial" w:eastAsia="Arial" w:hAnsi="Arial"/>
          <w:sz w:val="18"/>
          <w:szCs w:val="18"/>
          <w:color w:val="auto"/>
        </w:rPr>
        <w:t>Not Applicable</w:t>
      </w:r>
    </w:p>
    <w:p>
      <w:pPr>
        <w:spacing w:after="0" w:line="235" w:lineRule="auto"/>
        <w:tabs>
          <w:tab w:leader="none" w:pos="960" w:val="left"/>
        </w:tabs>
        <w:rPr>
          <w:sz w:val="20"/>
          <w:szCs w:val="20"/>
          <w:color w:val="auto"/>
        </w:rPr>
      </w:pPr>
      <w:r>
        <w:rPr>
          <w:rFonts w:ascii="Arial" w:cs="Arial" w:eastAsia="Arial" w:hAnsi="Arial"/>
          <w:sz w:val="18"/>
          <w:szCs w:val="18"/>
          <w:b w:val="1"/>
          <w:bCs w:val="1"/>
          <w:i w:val="1"/>
          <w:iCs w:val="1"/>
          <w:color w:val="auto"/>
        </w:rPr>
        <w:t>Item 10.</w:t>
        <w:tab/>
        <w:t>Certifications</w:t>
      </w:r>
    </w:p>
    <w:p>
      <w:pPr>
        <w:ind w:right="220"/>
        <w:spacing w:after="0" w:line="23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jc w:val="center"/>
        <w:spacing w:after="0" w:line="236" w:lineRule="auto"/>
        <w:rPr>
          <w:sz w:val="20"/>
          <w:szCs w:val="20"/>
          <w:color w:val="auto"/>
        </w:rPr>
      </w:pPr>
      <w:r>
        <w:rPr>
          <w:rFonts w:ascii="Arial" w:cs="Arial" w:eastAsia="Arial" w:hAnsi="Arial"/>
          <w:sz w:val="22"/>
          <w:szCs w:val="22"/>
          <w:b w:val="1"/>
          <w:bCs w:val="1"/>
          <w:color w:val="auto"/>
        </w:rPr>
        <w:t>Signatures</w:t>
      </w:r>
    </w:p>
    <w:p>
      <w:pPr>
        <w:spacing w:after="0" w:line="1"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460" w:type="dxa"/>
            <w:vAlign w:val="bottom"/>
            <w:gridSpan w:val="2"/>
          </w:tcPr>
          <w:p>
            <w:pPr>
              <w:ind w:left="160"/>
              <w:spacing w:after="0"/>
              <w:rPr>
                <w:sz w:val="20"/>
                <w:szCs w:val="20"/>
                <w:color w:val="auto"/>
              </w:rPr>
            </w:pPr>
            <w:r>
              <w:rPr>
                <w:rFonts w:ascii="Arial" w:cs="Arial" w:eastAsia="Arial" w:hAnsi="Arial"/>
                <w:sz w:val="18"/>
                <w:szCs w:val="18"/>
                <w:color w:val="auto"/>
              </w:rPr>
              <w:t>10</w:t>
            </w:r>
            <w:r>
              <w:rPr>
                <w:rFonts w:ascii="Arial" w:cs="Arial" w:eastAsia="Arial" w:hAnsi="Arial"/>
                <w:sz w:val="15"/>
                <w:szCs w:val="15"/>
                <w:color w:val="auto"/>
              </w:rPr>
              <w:t>th</w:t>
            </w:r>
            <w:r>
              <w:rPr>
                <w:rFonts w:ascii="Arial" w:cs="Arial" w:eastAsia="Arial" w:hAnsi="Arial"/>
                <w:sz w:val="18"/>
                <w:szCs w:val="18"/>
                <w:color w:val="auto"/>
              </w:rPr>
              <w:t xml:space="preserve"> February 2020</w:t>
            </w:r>
          </w:p>
        </w:tc>
        <w:tc>
          <w:tcPr>
            <w:tcW w:w="1600" w:type="dxa"/>
            <w:vAlign w:val="bottom"/>
          </w:tcPr>
          <w:p>
            <w:pPr>
              <w:ind w:left="380"/>
              <w:spacing w:after="0"/>
              <w:rPr>
                <w:sz w:val="20"/>
                <w:szCs w:val="20"/>
                <w:color w:val="auto"/>
              </w:rPr>
            </w:pPr>
            <w:r>
              <w:rPr>
                <w:rFonts w:ascii="Arial" w:cs="Arial" w:eastAsia="Arial" w:hAnsi="Arial"/>
                <w:sz w:val="18"/>
                <w:szCs w:val="18"/>
                <w:color w:val="auto"/>
              </w:rPr>
              <w:t>Signature:</w:t>
            </w:r>
          </w:p>
        </w:tc>
        <w:tc>
          <w:tcPr>
            <w:tcW w:w="4820" w:type="dxa"/>
            <w:vAlign w:val="bottom"/>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Daiju NAKAHASHI</w:t>
            </w:r>
          </w:p>
        </w:tc>
        <w:tc>
          <w:tcPr>
            <w:tcW w:w="0" w:type="dxa"/>
            <w:vAlign w:val="bottom"/>
          </w:tcPr>
          <w:p>
            <w:pPr>
              <w:spacing w:after="0"/>
              <w:rPr>
                <w:sz w:val="1"/>
                <w:szCs w:val="1"/>
                <w:color w:val="auto"/>
              </w:rPr>
            </w:pPr>
          </w:p>
        </w:tc>
      </w:tr>
      <w:tr>
        <w:trPr>
          <w:trHeight w:val="311"/>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Borders>
              <w:top w:val="single" w:sz="8" w:color="auto"/>
            </w:tcBorders>
          </w:tcPr>
          <w:p>
            <w:pPr>
              <w:spacing w:after="0"/>
              <w:rPr>
                <w:sz w:val="24"/>
                <w:szCs w:val="24"/>
                <w:color w:val="auto"/>
              </w:rPr>
            </w:pPr>
          </w:p>
        </w:tc>
        <w:tc>
          <w:tcPr>
            <w:tcW w:w="1600" w:type="dxa"/>
            <w:vAlign w:val="bottom"/>
          </w:tcPr>
          <w:p>
            <w:pPr>
              <w:ind w:left="380"/>
              <w:spacing w:after="0"/>
              <w:rPr>
                <w:sz w:val="20"/>
                <w:szCs w:val="20"/>
                <w:color w:val="auto"/>
              </w:rPr>
            </w:pPr>
            <w:r>
              <w:rPr>
                <w:rFonts w:ascii="Arial" w:cs="Arial" w:eastAsia="Arial" w:hAnsi="Arial"/>
                <w:sz w:val="18"/>
                <w:szCs w:val="18"/>
                <w:color w:val="auto"/>
              </w:rPr>
              <w:t>Name:</w:t>
            </w:r>
          </w:p>
        </w:tc>
        <w:tc>
          <w:tcPr>
            <w:tcW w:w="48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Daiju NAKAHASHI</w:t>
            </w:r>
          </w:p>
        </w:tc>
        <w:tc>
          <w:tcPr>
            <w:tcW w:w="0" w:type="dxa"/>
            <w:vAlign w:val="bottom"/>
          </w:tcPr>
          <w:p>
            <w:pPr>
              <w:spacing w:after="0"/>
              <w:rPr>
                <w:sz w:val="1"/>
                <w:szCs w:val="1"/>
                <w:color w:val="auto"/>
              </w:rPr>
            </w:pPr>
          </w:p>
        </w:tc>
      </w:tr>
      <w:tr>
        <w:trPr>
          <w:trHeight w:val="86"/>
        </w:trPr>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48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00" w:type="dxa"/>
            <w:vAlign w:val="bottom"/>
            <w:vMerge w:val="restart"/>
          </w:tcPr>
          <w:p>
            <w:pPr>
              <w:ind w:left="38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06"/>
        </w:trPr>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4820" w:type="dxa"/>
            <w:vAlign w:val="bottom"/>
            <w:vMerge w:val="restart"/>
          </w:tcPr>
          <w:p>
            <w:pPr>
              <w:spacing w:after="0"/>
              <w:rPr>
                <w:sz w:val="20"/>
                <w:szCs w:val="20"/>
                <w:color w:val="auto"/>
              </w:rPr>
            </w:pPr>
            <w:r>
              <w:rPr>
                <w:rFonts w:ascii="Arial" w:cs="Arial" w:eastAsia="Arial" w:hAnsi="Arial"/>
                <w:sz w:val="16"/>
                <w:szCs w:val="16"/>
                <w:color w:val="auto"/>
              </w:rPr>
              <w:t>Sumitomo Corporation Equity Asia Limited</w:t>
            </w:r>
          </w:p>
        </w:tc>
        <w:tc>
          <w:tcPr>
            <w:tcW w:w="0" w:type="dxa"/>
            <w:vAlign w:val="bottom"/>
          </w:tcPr>
          <w:p>
            <w:pPr>
              <w:spacing w:after="0"/>
              <w:rPr>
                <w:sz w:val="1"/>
                <w:szCs w:val="1"/>
                <w:color w:val="auto"/>
              </w:rPr>
            </w:pPr>
          </w:p>
        </w:tc>
      </w:tr>
      <w:tr>
        <w:trPr>
          <w:trHeight w:val="86"/>
        </w:trPr>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48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480"/>
      </w:cols>
      <w:pgMar w:left="240" w:top="622"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decimal"/>
      <w:start w:val="8"/>
    </w:lvl>
  </w:abstractNum>
  <w:abstractNum w:abstractNumId="1">
    <w:nsid w:val="2AE8944A"/>
    <w:multiLevelType w:val="hybridMultilevel"/>
    <w:lvl w:ilvl="0">
      <w:lvlJc w:val="left"/>
      <w:lvlText w:val="(%1)"/>
      <w:numFmt w:val="decimal"/>
      <w:start w:val="9"/>
    </w:lvl>
    <w:lvl w:ilvl="1">
      <w:lvlJc w:val="left"/>
      <w:lvlText w:val="%2"/>
      <w:numFmt w:val="decimal"/>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5"/>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2020-02-10T05:51:21Z</dcterms:created>
  <dcterms:modified xsi:type="dcterms:W3CDTF">2020-02-10T05:51:21Z</dcterms:modified>
</cp:coreProperties>
</file>