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As filed with the Securities and Exchange Commission on July 21, 2020</w:t>
      </w:r>
    </w:p>
    <w:p>
      <w:pPr>
        <w:ind w:left="962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FORM F-3</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REGISTRATION STATEMENT</w:t>
      </w: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iClick Interactive Asia Group Limited</w:t>
      </w:r>
    </w:p>
    <w:p>
      <w:pPr>
        <w:spacing w:after="0" w:line="36" w:lineRule="exact"/>
        <w:rPr>
          <w:sz w:val="24"/>
          <w:szCs w:val="24"/>
          <w:color w:val="auto"/>
        </w:rPr>
      </w:pPr>
    </w:p>
    <w:tbl>
      <w:tblPr>
        <w:tblLayout w:type="fixed"/>
        <w:tblInd w:w="208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5200" w:type="dxa"/>
            <w:vAlign w:val="bottom"/>
            <w:gridSpan w:val="3"/>
          </w:tcPr>
          <w:p>
            <w:pPr>
              <w:jc w:val="center"/>
              <w:ind w:right="1634"/>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199"/>
        </w:trPr>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20" w:type="dxa"/>
            <w:vAlign w:val="bottom"/>
            <w:gridSpan w:val="2"/>
          </w:tcPr>
          <w:p>
            <w:pPr>
              <w:jc w:val="center"/>
              <w:ind w:right="2234"/>
              <w:spacing w:after="0"/>
              <w:rPr>
                <w:sz w:val="20"/>
                <w:szCs w:val="20"/>
                <w:color w:val="auto"/>
              </w:rPr>
            </w:pPr>
            <w:r>
              <w:rPr>
                <w:rFonts w:ascii="Arial" w:cs="Arial" w:eastAsia="Arial" w:hAnsi="Arial"/>
                <w:sz w:val="14"/>
                <w:szCs w:val="14"/>
                <w:b w:val="1"/>
                <w:bCs w:val="1"/>
                <w:color w:val="auto"/>
                <w:w w:val="93"/>
              </w:rPr>
              <w:t>Not Applicable</w:t>
            </w:r>
          </w:p>
        </w:tc>
        <w:tc>
          <w:tcPr>
            <w:tcW w:w="0" w:type="dxa"/>
            <w:vAlign w:val="bottom"/>
          </w:tcPr>
          <w:p>
            <w:pPr>
              <w:spacing w:after="0"/>
              <w:rPr>
                <w:sz w:val="1"/>
                <w:szCs w:val="1"/>
                <w:color w:val="auto"/>
              </w:rPr>
            </w:pPr>
          </w:p>
        </w:tc>
      </w:tr>
      <w:tr>
        <w:trPr>
          <w:trHeight w:val="164"/>
        </w:trPr>
        <w:tc>
          <w:tcPr>
            <w:tcW w:w="1800" w:type="dxa"/>
            <w:vAlign w:val="bottom"/>
          </w:tcPr>
          <w:p>
            <w:pPr>
              <w:spacing w:after="0"/>
              <w:rPr>
                <w:sz w:val="14"/>
                <w:szCs w:val="14"/>
                <w:color w:val="auto"/>
              </w:rPr>
            </w:pPr>
          </w:p>
        </w:tc>
        <w:tc>
          <w:tcPr>
            <w:tcW w:w="5200" w:type="dxa"/>
            <w:vAlign w:val="bottom"/>
            <w:gridSpan w:val="3"/>
          </w:tcPr>
          <w:p>
            <w:pPr>
              <w:jc w:val="center"/>
              <w:ind w:right="1654"/>
              <w:spacing w:after="0"/>
              <w:rPr>
                <w:sz w:val="20"/>
                <w:szCs w:val="20"/>
                <w:color w:val="auto"/>
              </w:rPr>
            </w:pPr>
            <w:r>
              <w:rPr>
                <w:rFonts w:ascii="Arial" w:cs="Arial" w:eastAsia="Arial" w:hAnsi="Arial"/>
                <w:sz w:val="13"/>
                <w:szCs w:val="13"/>
                <w:b w:val="1"/>
                <w:bCs w:val="1"/>
                <w:color w:val="auto"/>
                <w:w w:val="87"/>
              </w:rPr>
              <w:t>(Translation of Registrant’s name into English)</w:t>
            </w:r>
          </w:p>
        </w:tc>
        <w:tc>
          <w:tcPr>
            <w:tcW w:w="0" w:type="dxa"/>
            <w:vAlign w:val="bottom"/>
          </w:tcPr>
          <w:p>
            <w:pPr>
              <w:spacing w:after="0"/>
              <w:rPr>
                <w:sz w:val="1"/>
                <w:szCs w:val="1"/>
                <w:color w:val="auto"/>
              </w:rPr>
            </w:pPr>
          </w:p>
        </w:tc>
      </w:tr>
      <w:tr>
        <w:trPr>
          <w:trHeight w:val="218"/>
        </w:trPr>
        <w:tc>
          <w:tcPr>
            <w:tcW w:w="180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3"/>
              </w:rPr>
              <w:t>Cayman Islands</w:t>
            </w:r>
          </w:p>
        </w:tc>
        <w:tc>
          <w:tcPr>
            <w:tcW w:w="58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2300" w:type="dxa"/>
            <w:vAlign w:val="bottom"/>
            <w:vMerge w:val="restart"/>
          </w:tcPr>
          <w:p>
            <w:pPr>
              <w:jc w:val="center"/>
              <w:ind w:left="994"/>
              <w:spacing w:after="0"/>
              <w:rPr>
                <w:sz w:val="20"/>
                <w:szCs w:val="20"/>
                <w:color w:val="auto"/>
              </w:rPr>
            </w:pPr>
            <w:r>
              <w:rPr>
                <w:rFonts w:ascii="Arial" w:cs="Arial" w:eastAsia="Arial" w:hAnsi="Arial"/>
                <w:sz w:val="14"/>
                <w:szCs w:val="14"/>
                <w:b w:val="1"/>
                <w:bCs w:val="1"/>
                <w:color w:val="auto"/>
                <w:w w:val="93"/>
              </w:rPr>
              <w:t>Not Applicable</w:t>
            </w:r>
          </w:p>
        </w:tc>
        <w:tc>
          <w:tcPr>
            <w:tcW w:w="0" w:type="dxa"/>
            <w:vAlign w:val="bottom"/>
          </w:tcPr>
          <w:p>
            <w:pPr>
              <w:spacing w:after="0"/>
              <w:rPr>
                <w:sz w:val="1"/>
                <w:szCs w:val="1"/>
                <w:color w:val="auto"/>
              </w:rPr>
            </w:pPr>
          </w:p>
        </w:tc>
      </w:tr>
      <w:tr>
        <w:trPr>
          <w:trHeight w:val="286"/>
        </w:trPr>
        <w:tc>
          <w:tcPr>
            <w:tcW w:w="18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00" w:type="dxa"/>
            <w:vAlign w:val="bottom"/>
          </w:tcPr>
          <w:p>
            <w:pPr>
              <w:jc w:val="center"/>
              <w:ind w:right="9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5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300" w:type="dxa"/>
            <w:vAlign w:val="bottom"/>
          </w:tcPr>
          <w:p>
            <w:pPr>
              <w:jc w:val="center"/>
              <w:ind w:left="994"/>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1800" w:type="dxa"/>
            <w:vAlign w:val="bottom"/>
          </w:tcPr>
          <w:p>
            <w:pPr>
              <w:jc w:val="center"/>
              <w:ind w:right="94"/>
              <w:spacing w:after="0"/>
              <w:rPr>
                <w:sz w:val="20"/>
                <w:szCs w:val="20"/>
                <w:color w:val="auto"/>
              </w:rPr>
            </w:pPr>
            <w:r>
              <w:rPr>
                <w:rFonts w:ascii="Arial" w:cs="Arial" w:eastAsia="Arial" w:hAnsi="Arial"/>
                <w:sz w:val="13"/>
                <w:szCs w:val="13"/>
                <w:b w:val="1"/>
                <w:bCs w:val="1"/>
                <w:color w:val="auto"/>
                <w:w w:val="88"/>
              </w:rPr>
              <w:t>incorporation or organization)</w:t>
            </w:r>
          </w:p>
        </w:tc>
        <w:tc>
          <w:tcPr>
            <w:tcW w:w="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jc w:val="center"/>
              <w:ind w:left="994"/>
              <w:spacing w:after="0"/>
              <w:rPr>
                <w:sz w:val="20"/>
                <w:szCs w:val="20"/>
                <w:color w:val="auto"/>
              </w:rPr>
            </w:pPr>
            <w:r>
              <w:rPr>
                <w:rFonts w:ascii="Arial" w:cs="Arial" w:eastAsia="Arial" w:hAnsi="Arial"/>
                <w:sz w:val="13"/>
                <w:szCs w:val="13"/>
                <w:b w:val="1"/>
                <w:bCs w:val="1"/>
                <w:color w:val="auto"/>
                <w:w w:val="89"/>
              </w:rPr>
              <w:t>Identification Number)</w:t>
            </w: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15/F</w:t>
      </w:r>
    </w:p>
    <w:p>
      <w:pPr>
        <w:jc w:val="center"/>
        <w:ind w:right="-119"/>
        <w:spacing w:after="0" w:line="226" w:lineRule="auto"/>
        <w:rPr>
          <w:sz w:val="20"/>
          <w:szCs w:val="20"/>
          <w:color w:val="auto"/>
        </w:rPr>
      </w:pPr>
      <w:r>
        <w:rPr>
          <w:rFonts w:ascii="Arial" w:cs="Arial" w:eastAsia="Arial" w:hAnsi="Arial"/>
          <w:sz w:val="14"/>
          <w:szCs w:val="14"/>
          <w:b w:val="1"/>
          <w:bCs w:val="1"/>
          <w:color w:val="auto"/>
        </w:rPr>
        <w:t>Prosperity Millennia Plaza</w:t>
      </w:r>
    </w:p>
    <w:p>
      <w:pPr>
        <w:jc w:val="center"/>
        <w:ind w:right="-119"/>
        <w:spacing w:after="0" w:line="221" w:lineRule="auto"/>
        <w:rPr>
          <w:sz w:val="20"/>
          <w:szCs w:val="20"/>
          <w:color w:val="auto"/>
        </w:rPr>
      </w:pPr>
      <w:r>
        <w:rPr>
          <w:rFonts w:ascii="Arial" w:cs="Arial" w:eastAsia="Arial" w:hAnsi="Arial"/>
          <w:sz w:val="14"/>
          <w:szCs w:val="14"/>
          <w:b w:val="1"/>
          <w:bCs w:val="1"/>
          <w:color w:val="auto"/>
        </w:rPr>
        <w:t>663 King’s Road, Quarry Bay</w:t>
      </w:r>
    </w:p>
    <w:p>
      <w:pPr>
        <w:jc w:val="center"/>
        <w:ind w:right="-119"/>
        <w:spacing w:after="0" w:line="222" w:lineRule="auto"/>
        <w:rPr>
          <w:sz w:val="20"/>
          <w:szCs w:val="20"/>
          <w:color w:val="auto"/>
        </w:rPr>
      </w:pPr>
      <w:r>
        <w:rPr>
          <w:rFonts w:ascii="Arial" w:cs="Arial" w:eastAsia="Arial" w:hAnsi="Arial"/>
          <w:sz w:val="14"/>
          <w:szCs w:val="14"/>
          <w:b w:val="1"/>
          <w:bCs w:val="1"/>
          <w:color w:val="auto"/>
        </w:rPr>
        <w:t>Hong Kong S.A.R., People’s Republic of China</w:t>
      </w:r>
    </w:p>
    <w:p>
      <w:pPr>
        <w:jc w:val="center"/>
        <w:ind w:right="-119"/>
        <w:spacing w:after="0" w:line="225" w:lineRule="auto"/>
        <w:rPr>
          <w:sz w:val="20"/>
          <w:szCs w:val="20"/>
          <w:color w:val="auto"/>
        </w:rPr>
      </w:pPr>
      <w:r>
        <w:rPr>
          <w:rFonts w:ascii="Arial" w:cs="Arial" w:eastAsia="Arial" w:hAnsi="Arial"/>
          <w:sz w:val="14"/>
          <w:szCs w:val="14"/>
          <w:b w:val="1"/>
          <w:bCs w:val="1"/>
          <w:color w:val="auto"/>
        </w:rPr>
        <w:t>+852 3700 9000</w:t>
      </w:r>
    </w:p>
    <w:p>
      <w:pPr>
        <w:jc w:val="center"/>
        <w:ind w:right="-119"/>
        <w:spacing w:after="0"/>
        <w:rPr>
          <w:sz w:val="20"/>
          <w:szCs w:val="20"/>
          <w:color w:val="auto"/>
        </w:rPr>
      </w:pPr>
      <w:r>
        <w:rPr>
          <w:rFonts w:ascii="Arial" w:cs="Arial" w:eastAsia="Arial" w:hAnsi="Arial"/>
          <w:sz w:val="13"/>
          <w:szCs w:val="13"/>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Cogency Global Inc.</w:t>
      </w:r>
    </w:p>
    <w:p>
      <w:pPr>
        <w:jc w:val="center"/>
        <w:ind w:right="-119"/>
        <w:spacing w:after="0" w:line="226" w:lineRule="auto"/>
        <w:rPr>
          <w:sz w:val="20"/>
          <w:szCs w:val="20"/>
          <w:color w:val="auto"/>
        </w:rPr>
      </w:pPr>
      <w:r>
        <w:rPr>
          <w:rFonts w:ascii="Arial" w:cs="Arial" w:eastAsia="Arial" w:hAnsi="Arial"/>
          <w:sz w:val="14"/>
          <w:szCs w:val="14"/>
          <w:b w:val="1"/>
          <w:bCs w:val="1"/>
          <w:color w:val="auto"/>
        </w:rPr>
        <w:t>122 East 42nd Street, 18th Floor</w:t>
      </w:r>
    </w:p>
    <w:p>
      <w:pPr>
        <w:jc w:val="center"/>
        <w:ind w:right="-119"/>
        <w:spacing w:after="0" w:line="221" w:lineRule="auto"/>
        <w:rPr>
          <w:sz w:val="20"/>
          <w:szCs w:val="20"/>
          <w:color w:val="auto"/>
        </w:rPr>
      </w:pPr>
      <w:r>
        <w:rPr>
          <w:rFonts w:ascii="Arial" w:cs="Arial" w:eastAsia="Arial" w:hAnsi="Arial"/>
          <w:sz w:val="14"/>
          <w:szCs w:val="14"/>
          <w:b w:val="1"/>
          <w:bCs w:val="1"/>
          <w:color w:val="auto"/>
        </w:rPr>
        <w:t>New York, NY 10168</w:t>
      </w:r>
    </w:p>
    <w:p>
      <w:pPr>
        <w:jc w:val="center"/>
        <w:ind w:right="-119"/>
        <w:spacing w:after="0" w:line="226" w:lineRule="auto"/>
        <w:rPr>
          <w:sz w:val="20"/>
          <w:szCs w:val="20"/>
          <w:color w:val="auto"/>
        </w:rPr>
      </w:pPr>
      <w:r>
        <w:rPr>
          <w:rFonts w:ascii="Arial" w:cs="Arial" w:eastAsia="Arial" w:hAnsi="Arial"/>
          <w:sz w:val="14"/>
          <w:szCs w:val="14"/>
          <w:b w:val="1"/>
          <w:bCs w:val="1"/>
          <w:color w:val="auto"/>
        </w:rPr>
        <w:t>+1-800-221-0102</w:t>
      </w:r>
    </w:p>
    <w:p>
      <w:pPr>
        <w:jc w:val="center"/>
        <w:ind w:right="-119"/>
        <w:spacing w:after="0"/>
        <w:rPr>
          <w:sz w:val="20"/>
          <w:szCs w:val="20"/>
          <w:color w:val="auto"/>
        </w:rPr>
      </w:pPr>
      <w:r>
        <w:rPr>
          <w:rFonts w:ascii="Arial" w:cs="Arial" w:eastAsia="Arial" w:hAnsi="Arial"/>
          <w:sz w:val="13"/>
          <w:szCs w:val="13"/>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Copies to:</w:t>
      </w:r>
    </w:p>
    <w:p>
      <w:pPr>
        <w:jc w:val="center"/>
        <w:ind w:right="-119"/>
        <w:spacing w:after="0" w:line="221" w:lineRule="auto"/>
        <w:rPr>
          <w:sz w:val="20"/>
          <w:szCs w:val="20"/>
          <w:color w:val="auto"/>
        </w:rPr>
      </w:pPr>
      <w:r>
        <w:rPr>
          <w:rFonts w:ascii="Arial" w:cs="Arial" w:eastAsia="Arial" w:hAnsi="Arial"/>
          <w:sz w:val="14"/>
          <w:szCs w:val="14"/>
          <w:b w:val="1"/>
          <w:bCs w:val="1"/>
          <w:color w:val="auto"/>
        </w:rPr>
        <w:t>Shuang Zhao</w:t>
      </w:r>
    </w:p>
    <w:p>
      <w:pPr>
        <w:jc w:val="center"/>
        <w:ind w:right="-119"/>
        <w:spacing w:after="0" w:line="221" w:lineRule="auto"/>
        <w:rPr>
          <w:sz w:val="20"/>
          <w:szCs w:val="20"/>
          <w:color w:val="auto"/>
        </w:rPr>
      </w:pPr>
      <w:r>
        <w:rPr>
          <w:rFonts w:ascii="Arial" w:cs="Arial" w:eastAsia="Arial" w:hAnsi="Arial"/>
          <w:sz w:val="14"/>
          <w:szCs w:val="14"/>
          <w:b w:val="1"/>
          <w:bCs w:val="1"/>
          <w:color w:val="auto"/>
        </w:rPr>
        <w:t>Cleary Gottlieb Steen &amp; Hamilton LLP</w:t>
      </w:r>
    </w:p>
    <w:p>
      <w:pPr>
        <w:jc w:val="center"/>
        <w:ind w:right="-119"/>
        <w:spacing w:after="0" w:line="222" w:lineRule="auto"/>
        <w:rPr>
          <w:sz w:val="20"/>
          <w:szCs w:val="20"/>
          <w:color w:val="auto"/>
        </w:rPr>
      </w:pPr>
      <w:r>
        <w:rPr>
          <w:rFonts w:ascii="Arial" w:cs="Arial" w:eastAsia="Arial" w:hAnsi="Arial"/>
          <w:sz w:val="14"/>
          <w:szCs w:val="14"/>
          <w:b w:val="1"/>
          <w:bCs w:val="1"/>
          <w:color w:val="auto"/>
        </w:rPr>
        <w:t>c/o 37th Floor, Hysan Place</w:t>
      </w:r>
    </w:p>
    <w:p>
      <w:pPr>
        <w:jc w:val="center"/>
        <w:ind w:right="-119"/>
        <w:spacing w:after="0" w:line="221" w:lineRule="auto"/>
        <w:rPr>
          <w:sz w:val="20"/>
          <w:szCs w:val="20"/>
          <w:color w:val="auto"/>
        </w:rPr>
      </w:pPr>
      <w:r>
        <w:rPr>
          <w:rFonts w:ascii="Arial" w:cs="Arial" w:eastAsia="Arial" w:hAnsi="Arial"/>
          <w:sz w:val="14"/>
          <w:szCs w:val="14"/>
          <w:b w:val="1"/>
          <w:bCs w:val="1"/>
          <w:color w:val="auto"/>
        </w:rPr>
        <w:t>500 Hennessy Road, Causeway Bay</w:t>
      </w:r>
    </w:p>
    <w:p>
      <w:pPr>
        <w:jc w:val="center"/>
        <w:ind w:right="-119"/>
        <w:spacing w:after="0" w:line="221" w:lineRule="auto"/>
        <w:rPr>
          <w:sz w:val="20"/>
          <w:szCs w:val="20"/>
          <w:color w:val="auto"/>
        </w:rPr>
      </w:pPr>
      <w:r>
        <w:rPr>
          <w:rFonts w:ascii="Arial" w:cs="Arial" w:eastAsia="Arial" w:hAnsi="Arial"/>
          <w:sz w:val="14"/>
          <w:szCs w:val="14"/>
          <w:b w:val="1"/>
          <w:bCs w:val="1"/>
          <w:color w:val="auto"/>
        </w:rPr>
        <w:t>Hong Kong</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+852 2521 4122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From time to time after this registration statement becomes effective.</w:t>
      </w:r>
    </w:p>
    <w:p>
      <w:pPr>
        <w:spacing w:after="0" w:line="86"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only securities being registered on this Form are to be offered pursuant to dividend or interest reinvestment plans, please check the following box: </w:t>
      </w:r>
      <w:r>
        <w:rPr>
          <w:rFonts w:ascii="MS PGothic" w:cs="MS PGothic" w:eastAsia="MS PGothic" w:hAnsi="MS PGothic"/>
          <w:sz w:val="13"/>
          <w:szCs w:val="13"/>
          <w:color w:val="auto"/>
        </w:rPr>
        <w:t>☐</w:t>
      </w:r>
    </w:p>
    <w:p>
      <w:pPr>
        <w:spacing w:after="0" w:line="107"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left="120" w:right="6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26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520"/>
        <w:spacing w:after="0" w:line="162" w:lineRule="exact"/>
        <w:rPr>
          <w:sz w:val="20"/>
          <w:szCs w:val="20"/>
          <w:color w:val="auto"/>
        </w:rPr>
      </w:pPr>
      <w:r>
        <w:rPr>
          <w:rFonts w:ascii="Arial" w:cs="Arial" w:eastAsia="Arial" w:hAnsi="Arial"/>
          <w:sz w:val="13"/>
          <w:szCs w:val="13"/>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180"/>
        <w:spacing w:after="0" w:line="162"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82" w:lineRule="exact"/>
        <w:rPr>
          <w:sz w:val="24"/>
          <w:szCs w:val="24"/>
          <w:color w:val="auto"/>
        </w:rPr>
      </w:pPr>
    </w:p>
    <w:p>
      <w:pPr>
        <w:ind w:left="9580"/>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153" w:lineRule="exact"/>
        <w:rPr>
          <w:sz w:val="24"/>
          <w:szCs w:val="24"/>
          <w:color w:val="auto"/>
        </w:rPr>
      </w:pPr>
    </w:p>
    <w:p>
      <w:pPr>
        <w:ind w:left="120" w:right="40"/>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140"/>
          </w:cols>
          <w:pgMar w:left="320" w:top="230" w:right="439" w:bottom="1440" w:gutter="0" w:footer="0" w:header="0"/>
        </w:sectPr>
      </w:pPr>
    </w:p>
    <w:bookmarkStart w:id="1" w:name="page2"/>
    <w:bookmarkEnd w:id="1"/>
    <w:p>
      <w:pPr>
        <w:jc w:val="center"/>
        <w:ind w:right="16"/>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3037205</wp:posOffset>
            </wp:positionH>
            <wp:positionV relativeFrom="page">
              <wp:posOffset>157480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t>CALCULATION OF REGISTRATION FEE</w:t>
      </w:r>
    </w:p>
    <w:p>
      <w:pPr>
        <w:spacing w:after="0" w:line="5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366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97"/>
        </w:trPr>
        <w:tc>
          <w:tcPr>
            <w:tcW w:w="366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208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740" w:type="dxa"/>
            <w:vAlign w:val="bottom"/>
          </w:tcPr>
          <w:p>
            <w:pPr>
              <w:spacing w:after="0"/>
              <w:rPr>
                <w:sz w:val="8"/>
                <w:szCs w:val="8"/>
                <w:color w:val="auto"/>
              </w:rPr>
            </w:pPr>
          </w:p>
        </w:tc>
      </w:tr>
      <w:tr>
        <w:trPr>
          <w:trHeight w:val="135"/>
        </w:trPr>
        <w:tc>
          <w:tcPr>
            <w:tcW w:w="366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maximum</w:t>
            </w:r>
          </w:p>
        </w:tc>
        <w:tc>
          <w:tcPr>
            <w:tcW w:w="2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maximum</w:t>
            </w:r>
          </w:p>
        </w:tc>
        <w:tc>
          <w:tcPr>
            <w:tcW w:w="1740" w:type="dxa"/>
            <w:vAlign w:val="bottom"/>
          </w:tcPr>
          <w:p>
            <w:pPr>
              <w:spacing w:after="0"/>
              <w:rPr>
                <w:sz w:val="11"/>
                <w:szCs w:val="11"/>
                <w:color w:val="auto"/>
              </w:rPr>
            </w:pPr>
          </w:p>
        </w:tc>
      </w:tr>
      <w:tr>
        <w:trPr>
          <w:trHeight w:val="140"/>
        </w:trPr>
        <w:tc>
          <w:tcPr>
            <w:tcW w:w="36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4"/>
              </w:rPr>
              <w:t>Title of each class of</w:t>
            </w:r>
          </w:p>
        </w:tc>
        <w:tc>
          <w:tcPr>
            <w:tcW w:w="1780" w:type="dxa"/>
            <w:vAlign w:val="bottom"/>
            <w:tcBorders>
              <w:right w:val="single" w:sz="8" w:color="auto"/>
            </w:tcBorders>
          </w:tcPr>
          <w:p>
            <w:pPr>
              <w:jc w:val="center"/>
              <w:ind w:left="17"/>
              <w:spacing w:after="0" w:line="140" w:lineRule="exact"/>
              <w:rPr>
                <w:sz w:val="20"/>
                <w:szCs w:val="20"/>
                <w:color w:val="auto"/>
              </w:rPr>
            </w:pPr>
            <w:r>
              <w:rPr>
                <w:rFonts w:ascii="Arial" w:cs="Arial" w:eastAsia="Arial" w:hAnsi="Arial"/>
                <w:sz w:val="13"/>
                <w:szCs w:val="13"/>
                <w:b w:val="1"/>
                <w:bCs w:val="1"/>
                <w:color w:val="auto"/>
                <w:w w:val="88"/>
              </w:rPr>
              <w:t>Amount to be</w:t>
            </w:r>
          </w:p>
        </w:tc>
        <w:tc>
          <w:tcPr>
            <w:tcW w:w="1760" w:type="dxa"/>
            <w:vAlign w:val="bottom"/>
            <w:tcBorders>
              <w:right w:val="single" w:sz="8" w:color="auto"/>
            </w:tcBorders>
          </w:tcPr>
          <w:p>
            <w:pPr>
              <w:jc w:val="center"/>
              <w:ind w:left="19"/>
              <w:spacing w:after="0" w:line="140" w:lineRule="exact"/>
              <w:rPr>
                <w:sz w:val="20"/>
                <w:szCs w:val="20"/>
                <w:color w:val="auto"/>
              </w:rPr>
            </w:pPr>
            <w:r>
              <w:rPr>
                <w:rFonts w:ascii="Arial" w:cs="Arial" w:eastAsia="Arial" w:hAnsi="Arial"/>
                <w:sz w:val="13"/>
                <w:szCs w:val="13"/>
                <w:b w:val="1"/>
                <w:bCs w:val="1"/>
                <w:color w:val="auto"/>
                <w:w w:val="83"/>
              </w:rPr>
              <w:t>aggregate</w:t>
            </w:r>
          </w:p>
        </w:tc>
        <w:tc>
          <w:tcPr>
            <w:tcW w:w="2080" w:type="dxa"/>
            <w:vAlign w:val="bottom"/>
            <w:tcBorders>
              <w:right w:val="single" w:sz="8" w:color="auto"/>
            </w:tcBorders>
          </w:tcPr>
          <w:p>
            <w:pPr>
              <w:jc w:val="center"/>
              <w:ind w:left="19"/>
              <w:spacing w:after="0" w:line="140" w:lineRule="exact"/>
              <w:rPr>
                <w:sz w:val="20"/>
                <w:szCs w:val="20"/>
                <w:color w:val="auto"/>
              </w:rPr>
            </w:pPr>
            <w:r>
              <w:rPr>
                <w:rFonts w:ascii="Arial" w:cs="Arial" w:eastAsia="Arial" w:hAnsi="Arial"/>
                <w:sz w:val="13"/>
                <w:szCs w:val="13"/>
                <w:b w:val="1"/>
                <w:bCs w:val="1"/>
                <w:color w:val="auto"/>
                <w:w w:val="83"/>
              </w:rPr>
              <w:t>aggregate</w:t>
            </w:r>
          </w:p>
        </w:tc>
        <w:tc>
          <w:tcPr>
            <w:tcW w:w="1740" w:type="dxa"/>
            <w:vAlign w:val="bottom"/>
          </w:tcPr>
          <w:p>
            <w:pPr>
              <w:jc w:val="center"/>
              <w:ind w:left="17"/>
              <w:spacing w:after="0" w:line="140"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78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7"/>
              </w:rPr>
              <w:t>registered</w:t>
            </w:r>
            <w:r>
              <w:rPr>
                <w:rFonts w:ascii="Arial" w:cs="Arial" w:eastAsia="Arial" w:hAnsi="Arial"/>
                <w:sz w:val="10"/>
                <w:szCs w:val="10"/>
                <w:b w:val="1"/>
                <w:bCs w:val="1"/>
                <w:color w:val="auto"/>
                <w:w w:val="87"/>
              </w:rPr>
              <w:t>(2)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price per unit</w:t>
            </w:r>
            <w:r>
              <w:rPr>
                <w:rFonts w:ascii="Arial" w:cs="Arial" w:eastAsia="Arial" w:hAnsi="Arial"/>
                <w:sz w:val="10"/>
                <w:szCs w:val="10"/>
                <w:b w:val="1"/>
                <w:bCs w:val="1"/>
                <w:color w:val="auto"/>
                <w:w w:val="90"/>
              </w:rPr>
              <w:t>(4)</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offering price</w:t>
            </w:r>
          </w:p>
        </w:tc>
        <w:tc>
          <w:tcPr>
            <w:tcW w:w="174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7"/>
              </w:rPr>
              <w:t>registration fee</w:t>
            </w:r>
          </w:p>
        </w:tc>
      </w:tr>
      <w:tr>
        <w:trPr>
          <w:trHeight w:val="128"/>
        </w:trPr>
        <w:tc>
          <w:tcPr>
            <w:tcW w:w="36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Class A ordinary shares, par value US$0.001 per share</w:t>
            </w:r>
            <w:r>
              <w:rPr>
                <w:rFonts w:ascii="Arial" w:cs="Arial" w:eastAsia="Arial" w:hAnsi="Arial"/>
                <w:sz w:val="10"/>
                <w:szCs w:val="10"/>
                <w:color w:val="auto"/>
              </w:rPr>
              <w:t>(1)</w:t>
            </w:r>
          </w:p>
        </w:tc>
        <w:tc>
          <w:tcPr>
            <w:tcW w:w="1780" w:type="dxa"/>
            <w:vAlign w:val="bottom"/>
            <w:tcBorders>
              <w:bottom w:val="single" w:sz="8" w:color="auto"/>
              <w:right w:val="single" w:sz="8" w:color="auto"/>
            </w:tcBorders>
          </w:tcPr>
          <w:p>
            <w:pPr>
              <w:jc w:val="center"/>
              <w:ind w:left="17"/>
              <w:spacing w:after="0" w:line="129" w:lineRule="exact"/>
              <w:rPr>
                <w:sz w:val="20"/>
                <w:szCs w:val="20"/>
                <w:color w:val="auto"/>
              </w:rPr>
            </w:pPr>
            <w:r>
              <w:rPr>
                <w:rFonts w:ascii="Arial" w:cs="Arial" w:eastAsia="Arial" w:hAnsi="Arial"/>
                <w:sz w:val="13"/>
                <w:szCs w:val="13"/>
                <w:color w:val="auto"/>
                <w:w w:val="88"/>
              </w:rPr>
              <w:t>1,378,331</w:t>
            </w:r>
            <w:r>
              <w:rPr>
                <w:rFonts w:ascii="Arial" w:cs="Arial" w:eastAsia="Arial" w:hAnsi="Arial"/>
                <w:sz w:val="10"/>
                <w:szCs w:val="10"/>
                <w:color w:val="auto"/>
                <w:w w:val="88"/>
              </w:rPr>
              <w:t>(3)</w:t>
            </w:r>
          </w:p>
        </w:tc>
        <w:tc>
          <w:tcPr>
            <w:tcW w:w="17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US$10.75</w:t>
            </w:r>
          </w:p>
        </w:tc>
        <w:tc>
          <w:tcPr>
            <w:tcW w:w="20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US$14,817,058.25</w:t>
            </w:r>
          </w:p>
        </w:tc>
        <w:tc>
          <w:tcPr>
            <w:tcW w:w="1740" w:type="dxa"/>
            <w:vAlign w:val="bottom"/>
            <w:tcBorders>
              <w:bottom w:val="single" w:sz="8" w:color="auto"/>
            </w:tcBorders>
          </w:tcPr>
          <w:p>
            <w:pPr>
              <w:jc w:val="center"/>
              <w:ind w:left="17"/>
              <w:spacing w:after="0" w:line="129" w:lineRule="exact"/>
              <w:rPr>
                <w:sz w:val="20"/>
                <w:szCs w:val="20"/>
                <w:color w:val="auto"/>
              </w:rPr>
            </w:pPr>
            <w:r>
              <w:rPr>
                <w:rFonts w:ascii="Arial" w:cs="Arial" w:eastAsia="Arial" w:hAnsi="Arial"/>
                <w:sz w:val="13"/>
                <w:szCs w:val="13"/>
                <w:color w:val="auto"/>
                <w:w w:val="86"/>
              </w:rPr>
              <w:t>US$1,923.25</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ind w:left="324" w:right="140" w:hanging="324"/>
        <w:spacing w:after="0" w:line="224" w:lineRule="auto"/>
        <w:tabs>
          <w:tab w:leader="none" w:pos="32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Represented by American depositary shares, or ADSs, two ADSs representing one Class A ordinary share. The ADSs issuable upon deposit of the Class A ordinary shares registered hereby have been registered under a separate registration statement on Form F-6 (File No. 333-221860).</w:t>
      </w:r>
    </w:p>
    <w:p>
      <w:pPr>
        <w:ind w:left="324" w:right="100" w:hanging="324"/>
        <w:spacing w:after="0" w:line="216" w:lineRule="auto"/>
        <w:tabs>
          <w:tab w:leader="none" w:pos="324"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416(a) under the Securities Act, this registration statement shall be deemed to cover any additional number of Class A ordinary shares that may be issued from time to time to prevent dilution as result of a distribution, split, share dividend or similar transaction.</w:t>
      </w:r>
    </w:p>
    <w:p>
      <w:pPr>
        <w:ind w:left="324" w:hanging="324"/>
        <w:spacing w:after="0" w:line="234" w:lineRule="auto"/>
        <w:tabs>
          <w:tab w:leader="none" w:pos="324"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There are being registered 1,378,331 Class A ordinary shares, in the form of ADSs which may be sold by the selling shareholders identified herein from time to time at indeterminate prices hereunder.</w:t>
      </w:r>
    </w:p>
    <w:p>
      <w:pPr>
        <w:ind w:left="324" w:right="160" w:hanging="324"/>
        <w:spacing w:after="0" w:line="228" w:lineRule="auto"/>
        <w:tabs>
          <w:tab w:leader="none" w:pos="324"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proposed maximum offering price, estimated solely for the purpose of calculating the registration fee, has been computed pursuant to Rule 457(c) under the Securities Act and is based on the average of the high and low sales prices of the registrant’s ADSs as reported on the NASDAQ Stock Market on July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96520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46"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b w:val="1"/>
          <w:bCs w:val="1"/>
          <w:color w:val="EB0029"/>
        </w:rPr>
        <w:t>The information in this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EB0029"/>
        </w:rPr>
        <w:t>Subject to Completion, dated July 21,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2,756,662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165100</wp:posOffset>
            </wp:positionV>
            <wp:extent cx="137160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3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Representing 1,378,331 Class A Ordinary Shares</w:t>
      </w:r>
    </w:p>
    <w:p>
      <w:pPr>
        <w:jc w:val="center"/>
        <w:ind w:right="-139"/>
        <w:spacing w:after="0"/>
        <w:rPr>
          <w:sz w:val="20"/>
          <w:szCs w:val="20"/>
          <w:color w:val="auto"/>
        </w:rPr>
      </w:pPr>
      <w:r>
        <w:rPr>
          <w:rFonts w:ascii="Arial" w:cs="Arial" w:eastAsia="Arial" w:hAnsi="Arial"/>
          <w:sz w:val="22"/>
          <w:szCs w:val="22"/>
          <w:b w:val="1"/>
          <w:bCs w:val="1"/>
          <w:color w:val="auto"/>
        </w:rPr>
        <w:t>Offered by the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This prospectus relates to the proposed resale or other disposition of up to 2,756,662 American depositary shares, or ADSs, representing 1,378,331 Class A ordinary shares, par value US$0.001 per share, by the selling shareholders identified in this prospectus. We are not selling any ADSs under this prospectus and will not receive any of the proceeds from the sale or other disposition of the ADSs by the selling shareholders.</w:t>
      </w:r>
    </w:p>
    <w:p>
      <w:pPr>
        <w:spacing w:after="0" w:line="14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selling shareholders and any of their pledgees, donees, transferees, assignees or other successors-in-interest may offer and sell or otherwise dispose of the ADSs described in this prospectus from time to time through public or private transactions at prevailing market prices, at prices related to prevailing market prices or at negotiated prices. The ADSs offered by this prospectus may be offered by the selling shareholders directly to purchasers or to or through underwriters, brokers or dealers, or other agents. The selling shareholders will bear all commissions and discounts, if any, attributable to the sales of the ADSs. We will bear all other costs, expenses and fees in connection with the registration of the ADSs. See “Plan of Distribution” beginning on page 40 for more information about how the selling shareholders may sell or dispose of their ADSs.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refer to our class A ordinary shares and ADSs collectively as “securities” in this prospectus.</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Our ADSs are currently listed on the NASDAQ Global Market under the symbol “ICLK.” On July 20, 2020, the last reported sale price of our ADSs on the NASDAQ Global Market was US$5.63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720"/>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RISKS. SEE THE “</w:t>
      </w:r>
      <w:hyperlink w:anchor="page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5 OF THIS PROSPECTUS AND THE DOCUMENTS INCORPORATED BY REFERENCE INTO THIS PROSPECTUS CONCERNING FACTORS YOU SHOULD CONSIDER BEFORE INVESTING IN OUR SECURITIES.</w:t>
      </w:r>
    </w:p>
    <w:p>
      <w:pPr>
        <w:spacing w:after="0" w:line="169"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tbl>
      <w:tblPr>
        <w:tblLayout w:type="fixed"/>
        <w:tblInd w:w="400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w w:val="97"/>
              </w:rPr>
              <w:t>The date of this prospectus is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1100"/>
          </w:cols>
          <w:pgMar w:left="320" w:top="459" w:right="47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2480" w:type="dxa"/>
            <w:vAlign w:val="bottom"/>
          </w:tcPr>
          <w:p>
            <w:pPr>
              <w:spacing w:after="0"/>
              <w:rPr>
                <w:sz w:val="20"/>
                <w:szCs w:val="20"/>
                <w:color w:val="auto"/>
              </w:rPr>
            </w:pPr>
          </w:p>
        </w:tc>
      </w:tr>
      <w:tr>
        <w:trPr>
          <w:trHeight w:val="513"/>
        </w:trPr>
        <w:tc>
          <w:tcPr>
            <w:tcW w:w="8600" w:type="dxa"/>
            <w:vAlign w:val="bottom"/>
          </w:tcPr>
          <w:p>
            <w:pPr>
              <w:ind w:left="494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4"/>
                <w:szCs w:val="24"/>
                <w:color w:val="auto"/>
              </w:rPr>
            </w:pPr>
          </w:p>
        </w:tc>
      </w:tr>
      <w:tr>
        <w:trPr>
          <w:trHeight w:val="445"/>
        </w:trPr>
        <w:tc>
          <w:tcPr>
            <w:tcW w:w="860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CONVENTIONS THAT APPLY TO THIS PROSPECTUS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PRESENTATION OF FINANCIAL INFORMATION</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CAUTIONARY NOTE REGARDING FORWARD-LOOKING STATEMENTS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ABOUT THIS COMPANY</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CAPITALIZATION AND INDEBTEDNESS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USE OF PROCEEDS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DESCRIPTION OF SHARE CAPITAL</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DESCRIPTION OF AMERICAN DEPOSITARY SHARES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SELLING SHAREHOLDERS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TAXATION</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PLAN OF DISTRIBUTION</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EXPENSES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LEGAL MATTERS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EXPERTS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ENFORCEMENT OF CIVIL LIABILITIES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600" w:type="dxa"/>
            <w:vAlign w:val="bottom"/>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WHERE YOU CAN FIND MORE INFORMATION</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60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INCORPORATION OF CERTAIN DOCUMENTS BY REFERENCE</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This prospectus is a part of a registration statement that we filed with the U.S. Securities and Exchange Commission, or the SEC, utilizing a “shelf” registration process. By using a shelf registration statement, the selling shareholders may, from time to time, sell up to 2,756,662 ADSs, representing 1,378,331 of our Class A ordinary shares, in one or more offerings, as described in this prospectus. The Class A ordinary shares represented by the ADSs were issued to the selling shareholders pursuant to Regulation S or Section 4(a)(2) under the Securitas Act of 1933, as amended, or the Securities Act. In connection with the share issuance, we granted the selling shareholders registration rights with respect to the issued shares. We may add, update or change in a prospectus supplement any of the information contained in this prospectus or in documents we have incorporated by reference into this prospectus. To the extent that any statement that we make in a prospectus supplement is inconsistent with statements made in this prospectus, the statements made in this prospectus will be deemed modified or superseded by those made in a prospectus supplement. Before purchasing any Class A ordinary shares, you should carefully read both this prospectus and the applicable prospectus supplement, together with the additional information described under the sections titled “Where You Can Find More Information” and “Incorporation of Certain Documents by Reference.”</w:t>
      </w:r>
    </w:p>
    <w:p>
      <w:pPr>
        <w:spacing w:after="0" w:line="164"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any prospectus supplement and any issuer free writing prospectus. Neither we nor the selling shareholders have authorized any other person to provide you with different information or to make any representation other than those contained or incorporated by reference in this prospectus. If any person provides you with different or inconsistent information, you should not rely on it. The selling shareholders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prospectus, unless otherwise indicated or unless the context otherwise requires:</w:t>
      </w:r>
    </w:p>
    <w:p>
      <w:pPr>
        <w:spacing w:after="0" w:line="131"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“ADSs” refers to our American depositary shares. Two ADSs represent one Class A ordinary share;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annual report only, Hong Kong, Macau and Taiwan;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“end marketers,” or “marketers” refers to marketers that we serve, either directly or through marketing agencies, regardless if they have direct contractual relationship with us;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(i) which are not owned by any group which owns online publishing resources, or (ii) which do not own any online publishing resources;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“marketing solutions” refers to mobile marketing solutions and other marketing solutions;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shares” refer to our Class A and Class B ordinary shares, par value US$0.001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clients” refers to entities which enter into sales contracts with us and incur spending during the relevant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report under accounting principles generally accepted in the United States, or U.S. GAAP. We have made rounding adjustments to some of the figures included in this prospectus. Accordingly, numerical figures shown as totals in some tables may not be an arithmetic aggregation of the figures that preceded them.</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This prospectus and the documents incorporated by reference herein contain statements that constitute forward-looking statements. Many of the forward-looking statements contained in this prospectus can be identified by the use of forward-looking words such as “anticipate,” “believe,” “could,” “expect,” “should,” “plan,” “intend,” “estimate” and “potential,” among others.</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important factors, including, but not limited to, those referenced under the section titled “Risk Factors” in this prospectus. Forward-looking statements include, but are not limited to, statements about:</w:t>
      </w:r>
    </w:p>
    <w:p>
      <w:pPr>
        <w:spacing w:after="0" w:line="82"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mobile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 including online marketing technology and enterprise solutions;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clients and other marketers and marketing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and realize synergies from acquisitions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duration of the COVID-19 outbreak and its potential impact on our business and financial performance.</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8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You should read this prospectus and the documents incorporated by reference in this prospectus completely and with the understanding that our actual results may differ materially from what we expect as expressed or implied by our forward-looking statements.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in greater detail in the documents incorporated by reference into this prospectus. For all forward-looking statements, we claim the protection of the safe harbor for forward-looking statements contained in the Private Securities Litigation Reform Act of 1995.</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COMPANY</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a leading independent online marketing and enterprise data solutions provider in China. 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 We offer both mobile marketing solutions and other marketing solutions based on channels desired by our clients.</w:t>
      </w:r>
    </w:p>
    <w:p>
      <w:pPr>
        <w:spacing w:after="0" w:line="19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Leveraging our data analytics and experience and expertise in online marketing, in May 2018, we launched a strategic growth initiative beyond our core online marketing operation to provide SaaS-based enterprise solutions to help enterprise improve decision-making, operational and marketing efficiency. Our data-driven enterprise solutions help organizations maximize the value of their data to gain actionable insights to improve customer relationship management, decision-making and establishment of data-management platform. Through the enterprise solutions, we are able to foster deeper relationship with clients beyond digital marketing. In addition, as our clients increasingly adopt our enterprise solutions, we are able to continue to enhance the quantity, quality, and diversity of our data assets and refine our data analytics.</w:t>
      </w:r>
    </w:p>
    <w:p>
      <w:pPr>
        <w:spacing w:after="0" w:line="178"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For our online marketing solutions, we generate revenue primarily from clients’ marketing spend through our platform as they utilize our solutions in cost-plus and specified action marketing campaigns, and to a less extent from incentives granted by the publisher under our sales agency arrangement. For our enterprise solutions, we generate revenue primarily from the upfront and on-going subscription fees client pays.</w:t>
      </w:r>
    </w:p>
    <w:p>
      <w:pPr>
        <w:spacing w:after="0" w:line="16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principal executive offices are located at 15/F, Prosperity Millennia Plaza, 663 King’s Road, Quarry Bay, Hong Kong S.A.R. Our telephone number at this address is (852) 3700 9000. Our registered office in the Cayman Islands is located at Maples Corporate Services Limited at PO Box 309, Ugland House, Grand Cayman, KY1-1104, Cayman Islands. Our website address is www.i-click.com. The information contained on, or that can be accessed through our website is not a part of, and shall not be incorporated by reference into, this prospectus. We have included our website address as an inactive textual reference only. The SEC also maintains an internet site at www.sec.gov that contains reports, proxy and information statements, and other information regarding registrants that make electronic filings with the SEC.</w:t>
      </w:r>
    </w:p>
    <w:p>
      <w:pPr>
        <w:spacing w:after="0" w:line="178"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earliest of (a) the last day of our fiscal year during which we have total annual gross revenues of at least US$1.07 billion;</w:t>
      </w:r>
    </w:p>
    <w:p>
      <w:pPr>
        <w:ind w:left="120" w:right="240" w:hanging="4"/>
        <w:spacing w:after="0" w:line="273" w:lineRule="auto"/>
        <w:tabs>
          <w:tab w:leader="none" w:pos="37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Investment in any securities offered pursuant to this prospectus involves risks. You should carefully consider the following risk factors, the risk factors incorporated by reference from our most recent Annual Report on Form 20-F and any subsequent Annual Reports on Form 20-F we file after the date of this prospectus, and all other information contained or incorporated by reference into this prospectus or the registration statement of which this prospectus forms a part, as updated by our subsequent filings under the Securities Exchange Act of 1934, as amended, or the Exchange Act, and the risk factors and other information contained in any applicable prospectus supplement before acquiring any of our securities. The occurrence of any of these risks might cause you to lose all or part of your investment in our securities.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are subject to many of the economic and political risks associated with emerging markets due to our operation in China and Hong</w:t>
      </w:r>
    </w:p>
    <w:p>
      <w:pPr>
        <w:spacing w:after="0" w:line="35"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Kong. Changes in China and Hong Kong’s economic, political or social conditions or government policies could have a material adverse effect on our business and results of operations.</w:t>
      </w:r>
    </w:p>
    <w:p>
      <w:pPr>
        <w:spacing w:after="0" w:line="7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primary operations are based in, and a substantial percentage of our revenue is generated from China, the world’s largest emerging market. In light of our operations in an emerging market. We may be subject to risks and uncertainties including fluctuations in GDP, unfavorable or unpredictable treatment in relation to tax matters, expropriation of private assets, exchange controls, restrictions affecting our ability to make cross-border transfer of funds, regulatory proceedings, inflation, currency fluctuations or the absence of, or unexpected changes in, regulations and unforeseeable operational risks. In addition, our business, prospects, financial condition and results of operations may be influenced to a significant degree by political, economic and social conditions in China generally and by continued economic growth in China as a whole.</w:t>
      </w:r>
    </w:p>
    <w:p>
      <w:pPr>
        <w:spacing w:after="0" w:line="178"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economies of emerging markets are typically more vulnerable to market downturns and economic slowdowns elsewhere in the world. 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18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Recently there have been heightened tensions in the economic and political relations between the U.S. and China. On June 30, 2020, the Standing Committee of the PRC National People’s Congress issued the Law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People’s Republic of China on Safeguarding National Security in the Hong Kong Special Administrative Region (HKSAR). The law defines the duties and government bodies of the HKSAR for safeguarding national security and four categories of offences—secession, subversion, terrorist activities, and collusion with a foreign country or external elements to endanger national security—and their corresponding penalties. On July 14, 2020, President Donald Trump signed into law the Hong Kong Autonomy Act, or HKAA, authorizing the U.S. administration to impose blocking sanctions against individuals and entities determined to “materially contribute” to the erosion of Hong Kong’s autonomy. The HKAA further authorizes secondary sanctions, including the imposition of blocking sanctions, against foreign financial institutions that knowingly conduct a significant transaction with foreign persons sanctioned under this authority. The exercise of sanctions authorities such as those provided in the HKAA is in practice discretionary and highly political, especially in a relationship as extensive and complex as that between the U.S. and China. It is difficult to predict the full impact of HKAA on Hong Kong and companies with operations and principle executive offices in Hong Kong such as our company. Furthermore, legislations like these in the U.S. and China could cause investor uncertainty for affected issuers, including us, and the market price of our ADSs could be adversely affected.</w:t>
      </w:r>
    </w:p>
    <w:p>
      <w:pPr>
        <w:spacing w:after="0" w:line="300"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Proceedings instituted by the SEC against China-based “big four” accounting firms, including our independent registered public accounting firm, could result in financial statements being determined to not be in compliance with the requirements of the Exchange Act.</w:t>
      </w:r>
    </w:p>
    <w:p>
      <w:pPr>
        <w:spacing w:after="0" w:line="1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Starting in 2011 the PRC-based “big four” accounting firms, including the PRC-based network firm of our independent registered public accounting firm, were affected by a conflict between U.S. and Chinese law. Specifically, for certain U.S.-listed companies operating and audited in mainland China, the SEC and the Public Company Accounting Oversight Board (United States), or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 In December 2012, this impasse led the SEC to commence administrative proceedings under Rule 102(e) of its Rules of Practice and also under the Sarbanes-Oxley Act of 2002 against the China-based “big four”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 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 On February 6, 2015, before a review by the Commissioner had taken place, the firms reached a settlement with the SEC. Under the settlement, the SEC accepted that future requests by the SEC for the production of documents will normally be made to the CSRC. The firms were to receive matching Section 106 requests, and were required to abide by a detailed set of procedures with respect to such requests, which in substance require them to facilitate production via the CSRC. If they failed to meet specified criteria, the SEC retained authority to impose a variety of additional remedial measures on the firms depending on the nature of the failure.</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the terms of the settlement, the underlying proceeding against the China-based “big four” accounting firms was deemed dismissed with prejudice four years after entry of the settlement. The four-year mark occurred on February 6, 2019. We cannot predict if the SEC will further challenge China-based “big four” accounting firms’ compliance with U.S. law in connection with U.S. regulatory requests for audit work papers or if the results of such a challenge would result in the SEC imposing penalties such as suspensions. If additional remedial measures are imposed on the China-based “big four” accounting firms, including our independent registered public accounting firm, we could be unable to timely file future financial statements in compliance with the requirements of the Exchange Act.</w:t>
      </w:r>
    </w:p>
    <w:p>
      <w:pPr>
        <w:spacing w:after="0" w:line="19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In the event that the China-based “big four” become subject to additional legal challenges by the SEC or PCAOB, depending upon the final outcome, listed companies in the United States with major PRC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common stock may be adversely affected.</w:t>
      </w:r>
    </w:p>
    <w:p>
      <w:pPr>
        <w:spacing w:after="0" w:line="18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protected by national law, in particular China’s, in June 2019, a bipartisan group of lawmakers introduced bills in both houses of the U.S. Congress that would require the SEC to maintain a list of issuers for which the PCAOB is not able to inspect or investigate an auditor report issued by a foreign public accounting firm. The Ensuring Quality Information and Transparency for Abroad-Based Listings on Our Exchanges (EQUITABLE) Act prescribes increased disclosure requirements for these issuers and, beginning in 2025, the delisting from U.S. national securities exchanges such as NASDAQ Global Market of issuers included on the SEC’s list for three consecutive years. On May 20, 2020, the U.S. Senate approved the Holding Foreign Companies Accountable Act, or the HFCA Act, which includes requirements similar to those in the EQUITABLE Act for the SEC to identify issuers whose audit reports are prepared by auditors that the PCAOB is unable to inspect or investigate because of restriction imposed by non-U.S. authorities. If passed, the HFCA Act would also require public companies on this SEC list to certify that they are not owned or controlled by a foreign government and make certain additional disclosures in their SEC filings. In addition, for issuers that remain on the SEC list for three consecutive years, the SEC would be required to prohibit the securities of these companies from being traded on a U.S. national securities exchange, such as the NASDAQ Global Market, or in U.S. over-the-counter markets. Both pieces of proposed legislation would require issuers on the SEC list to make certain disclosures on foreign ownership and control of the issuer. Congress has also introduced and is considering a bill similar to the HFCA Act. Enactment of these proposed legislations or other efforts to increase U.S. regulatory access to audit information could cause investor uncertainty for affected issuers, including us, and the market price of our ADSs could be adversely affected, and it may result in prohibitions on the trading of the ADSs on the NASDAQ Global Market or other U.S. exchange if the PCAOB is unable to inspect our auditors for three consecutive years. It is unclear if these proposed legislations would be enacted.</w:t>
      </w:r>
    </w:p>
    <w:p>
      <w:pPr>
        <w:spacing w:after="0" w:line="1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Nasdaq or deregistration from the SEC, or both, which would substantially reduce or effectively terminate the trading of the ADSs in the United States.</w:t>
      </w:r>
    </w:p>
    <w:p>
      <w:pPr>
        <w:spacing w:after="0" w:line="18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Furthermore, on June 4, 2020, President Trump issued a memorandum directing the President’s Working Group on Financial Markets, or PWG, which is chaired by the Secretary of the Treasury and includes the Chairman of the Board of Governors of the Federal Reserve System, the Chairman of the SEC and the Chairman of the Commodity Futures Trading Commission, to convene to discuss the risks faced by U.S. investors in Chinese companies and companies with significant operations in China that are listed on U.S. stock exchanges related to the Chinese government’s position on the inability of the PCAOB to conduct inspections of auditors in China. The memorandum also directs the PWG to submit to the President a report within 60 days with recommendations for actions (1) the U.S. executive branch may take to protect investors in U.S. financial markets from the failure of the Chinese government to allow PCAOB-registered audit firms to comply with U.S. securities laws and investor protections; (2) the SEC or PCAOB should take, including inspection or enforcement actions, with respect to PCAOB-registered audit firms that fail to provide requested audit working papers or otherwise fail to comply with U.S. securities laws; and (3) the SEC or any other U.S. federal agency or department should take as a means to protect U.S. investors in Chinese companies, or companies from other countries that do not comply with U.S. securities laws and investor protections, including initiating a notice of proposed rulemaking that would set new listing rules or governance safeguards. It is uncertain what recommendations the PWG may ultimately make; however, as with the proposed legislation described above, such recommendations could cause investor uncertainty</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affected issuers, including us, adversely affect the market price of our ADSs and result in prohibitions on the trading of our ADSs on the NASDAQ Global Market, among other things.</w:t>
      </w:r>
    </w:p>
    <w:p>
      <w:pPr>
        <w:spacing w:after="0" w:line="170"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addition, there have been media reports on deliberations within the U.S. government regarding potentially limiting or restricting China-based companies from accessing U.S. capital markets. If any such deliberations were to materialize, the resulting legislation may have adverse impact on the stock performance of China-based issuers listed in the U.S.</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320" w:top="459" w:right="5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following table sets forth our capitalization, as of December 31, 2019 derived from our financial statements incorporated by reference into this prospectus:</w:t>
      </w:r>
    </w:p>
    <w:p>
      <w:pPr>
        <w:spacing w:after="0" w:line="7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as-adjusted basis to give effect to (i) the issuance of 544,438, 3,846,154 and 124,025 Class A ordinary shares upon conversion of certain convertible notes on February 3, 2020, February 18, 2020 and June 30, 2020, respectively, (ii) issuance of 3,589,744 Class A ordinary shares as the consideration for the acquisition of Optimal Power Limited on May 1, 2020, and (iii) the issuance on June 22, 2020 of 2,107,400 Class A ordinary shares to certain new investors for an aggregate purchase price of US$22.0 million, after deducting the estimated offering expenses payable by us.</w:t>
      </w:r>
    </w:p>
    <w:p>
      <w:pPr>
        <w:spacing w:after="0" w:line="18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financial data in the following table should be read in conjunction with our financial data and related notes incorporated by reference into this prospectus.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20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As of December 31, 2019</w:t>
            </w:r>
          </w:p>
        </w:tc>
      </w:tr>
      <w:tr>
        <w:trPr>
          <w:trHeight w:val="142"/>
        </w:trPr>
        <w:tc>
          <w:tcPr>
            <w:tcW w:w="9020" w:type="dxa"/>
            <w:vAlign w:val="bottom"/>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Actual</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As-Adjusted</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1880" w:type="dxa"/>
            <w:vAlign w:val="bottom"/>
            <w:gridSpan w:val="4"/>
          </w:tcPr>
          <w:p>
            <w:pPr>
              <w:jc w:val="right"/>
              <w:ind w:right="271"/>
              <w:spacing w:after="0" w:line="142" w:lineRule="exact"/>
              <w:rPr>
                <w:sz w:val="20"/>
                <w:szCs w:val="20"/>
                <w:color w:val="auto"/>
              </w:rPr>
            </w:pPr>
            <w:r>
              <w:rPr>
                <w:rFonts w:ascii="Arial" w:cs="Arial" w:eastAsia="Arial" w:hAnsi="Arial"/>
                <w:sz w:val="14"/>
                <w:szCs w:val="14"/>
                <w:b w:val="1"/>
                <w:bCs w:val="1"/>
                <w:color w:val="auto"/>
              </w:rPr>
              <w:t>(US$ in thousands)</w:t>
            </w:r>
          </w:p>
        </w:tc>
        <w:tc>
          <w:tcPr>
            <w:tcW w:w="12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 (including current portion)</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Bank borrowings</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36,851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36,851</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 at fair value</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49,008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12,840</w:t>
            </w: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b w:val="1"/>
                <w:bCs w:val="1"/>
                <w:color w:val="auto"/>
              </w:rPr>
              <w:t>Total borrowings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49,691</w:t>
            </w: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20" w:type="dxa"/>
            <w:vAlign w:val="bottom"/>
          </w:tcPr>
          <w:p>
            <w:pPr>
              <w:ind w:left="360"/>
              <w:spacing w:after="0" w:line="201" w:lineRule="exact"/>
              <w:rPr>
                <w:sz w:val="20"/>
                <w:szCs w:val="20"/>
                <w:color w:val="auto"/>
              </w:rPr>
            </w:pPr>
            <w:r>
              <w:rPr>
                <w:rFonts w:ascii="Arial" w:cs="Arial" w:eastAsia="Arial" w:hAnsi="Arial"/>
                <w:sz w:val="18"/>
                <w:szCs w:val="18"/>
                <w:color w:val="auto"/>
                <w:w w:val="98"/>
              </w:rPr>
              <w:t>Ordinary shares – Class A (US$0.001 par value; 80,000,000 shares authorized; 23,870,027 shares issued and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020" w:type="dxa"/>
            <w:vAlign w:val="bottom"/>
          </w:tcPr>
          <w:p>
            <w:pPr>
              <w:ind w:left="540"/>
              <w:spacing w:after="0"/>
              <w:rPr>
                <w:sz w:val="20"/>
                <w:szCs w:val="20"/>
                <w:color w:val="auto"/>
              </w:rPr>
            </w:pPr>
            <w:r>
              <w:rPr>
                <w:rFonts w:ascii="Arial" w:cs="Arial" w:eastAsia="Arial" w:hAnsi="Arial"/>
                <w:sz w:val="18"/>
                <w:szCs w:val="18"/>
                <w:color w:val="auto"/>
              </w:rPr>
              <w:t>outstanding on an actual basis, and 34,081,788 shares issued and outstanding on an as-adjusted basis)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r>
      <w:tr>
        <w:trPr>
          <w:trHeight w:val="202"/>
        </w:trPr>
        <w:tc>
          <w:tcPr>
            <w:tcW w:w="9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Ordinary shares – Class B (US$0.001 par value; 20,000,000 shares authorized; 4,820,608 shares issued and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on an actual and as-adjusted basis)</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Treasury shares (1,744,873 shares on an actual and as-adjusted basis)</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(4,858)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(4,858)</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305,344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391,982</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Statutory reserves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(7,479)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(7,479)</w:t>
            </w: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(191,016)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(191,016)</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iClick Interactive Asia Group Limited shareholders’ equity</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188,749</w:t>
            </w: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12,455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20,442</w:t>
            </w:r>
          </w:p>
        </w:tc>
      </w:tr>
      <w:tr>
        <w:trPr>
          <w:trHeight w:val="27"/>
        </w:trPr>
        <w:tc>
          <w:tcPr>
            <w:tcW w:w="9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114,556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209,191</w:t>
            </w: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200,415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258,882</w:t>
            </w:r>
          </w:p>
        </w:tc>
        <w:tc>
          <w:tcPr>
            <w:tcW w:w="1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above excludes:</w:t>
      </w:r>
    </w:p>
    <w:p>
      <w:pPr>
        <w:spacing w:after="0" w:line="131" w:lineRule="exact"/>
        <w:rPr>
          <w:sz w:val="20"/>
          <w:szCs w:val="20"/>
          <w:color w:val="auto"/>
        </w:rPr>
      </w:pPr>
    </w:p>
    <w:p>
      <w:pPr>
        <w:ind w:left="1080" w:right="34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1,472,480 Class A ordinary shares held by Arda Holdings Limited underlying the options granted but not yet exercised (whether or not they are vested) and the options reserved for issuance under our 2018 Share Incentive Plan as of December 31, 2019;</w:t>
      </w:r>
    </w:p>
    <w:p>
      <w:pPr>
        <w:spacing w:after="0" w:line="51"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231,936 Class A ordinary shares held by JPMorgan Chase Bank N.A., our depositary, underlying the unvested restricted share units under our Post-IPO Share Incentive Plan as of December 31, 2019; and</w:t>
      </w:r>
    </w:p>
    <w:p>
      <w:pPr>
        <w:spacing w:after="0" w:line="75"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Impact to the equity arising from other events occurred subsequent to December 31, 2019, which include the exercise of employee share options, vesting of restricted share units, repurchase of ordinary shares and share-based compensation expenses.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will not receive any of the proceeds from the sale of ADSs representing our Class A ordinary shares in this offering. The selling shareholders will receive all of the proceeds from this offering.</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selling shareholders will pay any underwriting discounts, selling commissions and share transfer taxes or any other expenses incurred by the selling shareholders in connection with the sale of the shares. We will bear all other costs, fees and expenses incurred in effecting the registration of the shares covered by this prospectus, including, without limitation, all registration and filing fees, fees and expenses of our counsel and our independent registered public accountants.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We are a Cayman Islands exempted limited liability company and our affairs are governed by our memorandum and articles of association and the Companies Law (2020 Revision) of the Cayman Islands, which we refer to as the Companies Law below, and the common law of the Cayman Islands.</w:t>
      </w:r>
    </w:p>
    <w:p>
      <w:pPr>
        <w:spacing w:after="0" w:line="12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of the date of this prospectus, we are authorized to issue 100,000,000 shares, which consist of 80,000,000 Class A ordinary shares and 20,000,000 Class B ordinary shares, with a par value of US$0.001 each. As of the date of this prospectus, there are 40,763,062 ordinary shares issued and outstanding, par value US$0.001 per share, being the sum of (i) 35,942,454 Class A ordinary shares, of which 1,364,754 Class A ordinary shares are held by Arda Holding Limited underlying the options granted but not yet exercised (whether or not they are vested) and the options reserved for issuance under our 2018 share incentive plan, and 7,966 Class A ordinary shares are held by JPMorgan Chase Bank N.A., our depositary, underlying the unvested restricted Class A ordinary share units under our post-IPO share incentive plan, and (ii) 4,820,608 Class B ordinary shares.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December 2018, the shareholders of our company approved a special resolution to delete certain provisions of our articles of association which can be more efficiently dealt with through our website and with public filings, and to adopt the ninth amended and restated memorandum an articles of association reflecting such changes. The following are summaries of material provisions of our ninth amended and restated memorandum and articles of association, as well as the Companies Law (2020 Revision) insofar as they relate to the material terms of our ordinary shares. You should read our current memorandum and articles of association, which was filed as an exhibit to our 2018 Form 20-F filed on April 25, 2019. For information on how to obtain copies of our current memorandum and articles of association, see “Where You Can Find More Information About Us.”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120" w:right="1120" w:firstLine="440"/>
        <w:spacing w:after="0" w:line="277" w:lineRule="auto"/>
        <w:rPr>
          <w:sz w:val="20"/>
          <w:szCs w:val="20"/>
          <w:color w:val="auto"/>
        </w:rPr>
      </w:pPr>
      <w:r>
        <w:rPr>
          <w:rFonts w:ascii="Arial" w:cs="Arial" w:eastAsia="Arial" w:hAnsi="Arial"/>
          <w:sz w:val="18"/>
          <w:szCs w:val="18"/>
          <w:color w:val="auto"/>
        </w:rPr>
        <w:t>Our ordinary shares are issued in registered form and are issued when registered in our register of members. Our shareholders who are non-residents of the Cayman Islands may freely hold and vote their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Register of Members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1080" w:right="7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If the name of any person is incorrectly entered in or omitted from our register of members, or if there is any default or unnecessary delay in entering on the register the fact of any person having ceased to be a member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current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Class B ordinary shares are convertible into Class A ordinary shares. All Class B ordinary shares are subject to automatic conversion 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80" w:right="520" w:hanging="424"/>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Calls on Shares and Forfeiture of Shares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Repurchase and Surrender of Ordinary Shares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issue shares on terms that such shares are subject to redemption, at our option or at the option of the holders thereof, on such terms and in such manner as may be determined, before the issue of such shares, by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117" w:lineRule="exact"/>
        <w:rPr>
          <w:sz w:val="20"/>
          <w:szCs w:val="20"/>
          <w:color w:val="auto"/>
        </w:rPr>
      </w:pPr>
    </w:p>
    <w:p>
      <w:pPr>
        <w:jc w:val="both"/>
        <w:ind w:left="120" w:right="300" w:firstLine="440"/>
        <w:spacing w:after="0" w:line="257" w:lineRule="auto"/>
        <w:rPr>
          <w:sz w:val="20"/>
          <w:szCs w:val="20"/>
          <w:color w:val="auto"/>
        </w:rPr>
      </w:pPr>
      <w:r>
        <w:rPr>
          <w:rFonts w:ascii="Arial" w:cs="Arial" w:eastAsia="Arial" w:hAnsi="Arial"/>
          <w:sz w:val="18"/>
          <w:szCs w:val="18"/>
          <w:color w:val="auto"/>
        </w:rPr>
        <w:t xml:space="preserve">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current amended and restated memorandum and articles of association authorizes our board of directors to issue additional ordinary shares from time to time as our board of directors shall determine, to the extent of available authorized but unissued shares.</w:t>
      </w:r>
    </w:p>
    <w:p>
      <w:pPr>
        <w:spacing w:after="0" w:line="170"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color w:val="auto"/>
        </w:rPr>
        <w:t>Our current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2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Holders of our ordinary shares will have no general right under Cayman Islands law to inspect or obtain copies of our list of shareholders or our corporate records. However, we will provide our shareholders with annual audited financial statements.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Some provisions of our current amended and restated memorandum and articles of association may discourage, delay or prevent a change of control of our company or management that shareholders may consider favorable, including provisions that:</w:t>
      </w:r>
    </w:p>
    <w:p>
      <w:pPr>
        <w:spacing w:after="0" w:line="76" w:lineRule="exact"/>
        <w:rPr>
          <w:sz w:val="20"/>
          <w:szCs w:val="20"/>
          <w:color w:val="auto"/>
        </w:rPr>
      </w:pPr>
    </w:p>
    <w:p>
      <w:pPr>
        <w:ind w:left="1080" w:right="20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However, under Cayman Islands law, our directors may only exercise the rights and powers granted to them under our current amended and</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restated memorandum and articles of association for a proper purpose and for what they believe in good faith to be in the best interests of our company.</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Meetings of Shareholders and Shareholder Proposals</w:t>
      </w:r>
    </w:p>
    <w:p>
      <w:pPr>
        <w:spacing w:after="0" w:line="117"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Our shareholders’ general meetings may be held in such place within or outside the Cayman Islands as our board of directors considers appropriate.</w:t>
      </w:r>
    </w:p>
    <w:p>
      <w:pPr>
        <w:spacing w:after="0" w:line="170"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current amended and restated memorandum and articles of association provide that we shall in each year hold a general meeting as our annual general meeting.</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Exempted Company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Companies Law is derived, to a large extent, from the older Companies Acts of England but does not follow recent United Kingdom statutory enactments, and accordingly there are significant differences between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Companies Law permits mergers and consolidations between Cayman Islands companies and between Cayman Islands companies</w:t>
      </w:r>
    </w:p>
    <w:p>
      <w:pPr>
        <w:spacing w:after="0" w:line="35"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83"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w:t>
      </w:r>
    </w:p>
    <w:p>
      <w:pPr>
        <w:spacing w:after="0" w:line="23" w:lineRule="exact"/>
        <w:rPr>
          <w:sz w:val="20"/>
          <w:szCs w:val="20"/>
          <w:color w:val="auto"/>
        </w:rPr>
      </w:pPr>
    </w:p>
    <w:p>
      <w:pPr>
        <w:jc w:val="both"/>
        <w:ind w:left="120" w:right="120"/>
        <w:spacing w:after="0" w:line="255" w:lineRule="auto"/>
        <w:rPr>
          <w:sz w:val="20"/>
          <w:szCs w:val="20"/>
          <w:color w:val="auto"/>
        </w:rPr>
      </w:pPr>
      <w:r>
        <w:rPr>
          <w:rFonts w:ascii="Arial" w:cs="Arial" w:eastAsia="Arial" w:hAnsi="Arial"/>
          <w:sz w:val="18"/>
          <w:szCs w:val="18"/>
          <w:color w:val="auto"/>
        </w:rPr>
        <w:t>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90"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principle, we will normally be the proper plaintiff to sue for a wrong done to us as a company and a derivative action may 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93"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an act which is </w:t>
      </w:r>
      <w:r>
        <w:rPr>
          <w:rFonts w:ascii="Arial" w:cs="Arial" w:eastAsia="Arial" w:hAnsi="Arial"/>
          <w:sz w:val="18"/>
          <w:szCs w:val="18"/>
          <w:i w:val="1"/>
          <w:iCs w:val="1"/>
          <w:color w:val="auto"/>
        </w:rPr>
        <w:t>ultra vires</w:t>
      </w:r>
      <w:r>
        <w:rPr>
          <w:rFonts w:ascii="Arial" w:cs="Arial" w:eastAsia="Arial" w:hAnsi="Arial"/>
          <w:sz w:val="18"/>
          <w:szCs w:val="18"/>
          <w:color w:val="auto"/>
        </w:rPr>
        <w:t xml:space="preserve"> the company or illegal, which is therefore incapable of ratification by the shareholders,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7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addition, we will enter into indemnification agreements with our directors and executive officers that provide such persons with additional indemnification beyond that provided in our current amended and restated memorandum and articles of association.</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Delaware General Corporation Law, a corporation may eliminate the right of shareholders to act by written consent by amendment to its certificate of incorporation. Cayman Islands law and our current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 amended and restated articles of association do not provide for cumulative voting. As a result, our shareholders are not afforded any less protections or rights on this issue than shareholders of a Delaware corporation.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current amended and restated articles of association, directors may be removed with or without cause, by an ordinary resolution of our shareholders with or without cause or by our directors for cause.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Dissolution; Winding up</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current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current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117" w:lineRule="exact"/>
        <w:rPr>
          <w:sz w:val="20"/>
          <w:szCs w:val="20"/>
          <w:color w:val="auto"/>
        </w:rPr>
      </w:pPr>
    </w:p>
    <w:p>
      <w:pPr>
        <w:jc w:val="both"/>
        <w:ind w:left="120" w:right="440" w:firstLine="440"/>
        <w:spacing w:after="0" w:line="286" w:lineRule="auto"/>
        <w:rPr>
          <w:sz w:val="20"/>
          <w:szCs w:val="20"/>
          <w:color w:val="auto"/>
        </w:rPr>
      </w:pPr>
      <w:r>
        <w:rPr>
          <w:rFonts w:ascii="Arial" w:cs="Arial" w:eastAsia="Arial" w:hAnsi="Arial"/>
          <w:sz w:val="17"/>
          <w:szCs w:val="17"/>
          <w:color w:val="auto"/>
        </w:rPr>
        <w:t>Under the Delaware General Corporation Law, a corporation’s governing documents may be amended with the approval of a majority of the outstanding shares entitled to vote, unless the certificate of incorporation provides otherwise. Under Cayman Islands law, our current amended and restated memorandum and articles of association may only be amended with a special resolution of our shareholders.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There are no limitations imposed by our current amended and restated memorandum and articles of association on the rights of non-resident or foreign shareholders to hold or exercise voting rights on our shares. In addition, there are no provisions in our current amended and restated memorandum and articles of association governing the ownership threshold above which shareholder ownership must be disclosed.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Receipts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depositary’s office is located at 383 Madison Avenue, Floor 11, New York, New York 10179.</w:t>
      </w:r>
    </w:p>
    <w:p>
      <w:pPr>
        <w:spacing w:after="0" w:line="225"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5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w:t>
      </w:r>
    </w:p>
    <w:p>
      <w:pPr>
        <w:spacing w:after="0" w:line="1"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New York, New York, and you irrevocably waive any objection which you may have to the laying of venue of any such proceeding and irrevocably submit to the exclusive jurisdiction of such courts in any such suit, action or proceeding.</w:t>
      </w:r>
    </w:p>
    <w:p>
      <w:pPr>
        <w:spacing w:after="0" w:line="18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142" w:lineRule="exact"/>
        <w:rPr>
          <w:sz w:val="20"/>
          <w:szCs w:val="20"/>
          <w:color w:val="auto"/>
        </w:rPr>
      </w:pPr>
    </w:p>
    <w:p>
      <w:pPr>
        <w:ind w:left="1080" w:right="40" w:hanging="424"/>
        <w:spacing w:after="0" w:line="29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The depositary will distribute any U.S. dollars available to it resulting from a cash dividend or other cash distribution or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sales of any other distribution or portion thereof (to the extent applicable), on an averaged or other practicable basis, subject to</w:t>
      </w:r>
    </w:p>
    <w:p>
      <w:pPr>
        <w:ind w:left="1080" w:right="60" w:firstLine="8"/>
        <w:spacing w:after="0" w:line="268" w:lineRule="auto"/>
        <w:tabs>
          <w:tab w:leader="none" w:pos="1295" w:val="left"/>
        </w:tabs>
        <w:numPr>
          <w:ilvl w:val="1"/>
          <w:numId w:val="14"/>
        </w:numPr>
        <w:rPr>
          <w:rFonts w:ascii="Arial" w:cs="Arial" w:eastAsia="Arial" w:hAnsi="Arial"/>
          <w:sz w:val="17"/>
          <w:szCs w:val="17"/>
          <w:color w:val="auto"/>
        </w:rPr>
      </w:pPr>
      <w:r>
        <w:rPr>
          <w:rFonts w:ascii="Arial" w:cs="Arial" w:eastAsia="Arial" w:hAnsi="Arial"/>
          <w:sz w:val="17"/>
          <w:szCs w:val="17"/>
          <w:color w:val="auto"/>
        </w:rPr>
        <w:t>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88"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In the case of a distribution in shares, the depositary will issue additional ADRs to evidence the number of ADSs representing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89" w:lineRule="exact"/>
        <w:rPr>
          <w:rFonts w:ascii="Arial" w:cs="Arial" w:eastAsia="Arial" w:hAnsi="Arial"/>
          <w:sz w:val="18"/>
          <w:szCs w:val="18"/>
          <w:color w:val="auto"/>
        </w:rPr>
      </w:pPr>
    </w:p>
    <w:p>
      <w:pPr>
        <w:ind w:left="1080" w:right="24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Rights to receive additional shares</w:t>
      </w:r>
      <w:r>
        <w:rPr>
          <w:rFonts w:ascii="Arial" w:cs="Arial" w:eastAsia="Arial" w:hAnsi="Arial"/>
          <w:sz w:val="18"/>
          <w:szCs w:val="18"/>
          <w:color w:val="auto"/>
        </w:rPr>
        <w:t>. In the case of a distribution of rights to subscribe for additional shares or other rights, if we timely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92" w:lineRule="exact"/>
        <w:rPr>
          <w:rFonts w:ascii="Arial" w:cs="Arial" w:eastAsia="Arial" w:hAnsi="Arial"/>
          <w:sz w:val="18"/>
          <w:szCs w:val="18"/>
          <w:color w:val="auto"/>
        </w:rPr>
      </w:pPr>
    </w:p>
    <w:p>
      <w:pPr>
        <w:ind w:left="1540" w:hanging="439"/>
        <w:spacing w:after="0"/>
        <w:tabs>
          <w:tab w:leader="none" w:pos="1540" w:val="left"/>
        </w:tabs>
        <w:numPr>
          <w:ilvl w:val="2"/>
          <w:numId w:val="14"/>
        </w:numPr>
        <w:rPr>
          <w:rFonts w:ascii="Arial" w:cs="Arial" w:eastAsia="Arial" w:hAnsi="Arial"/>
          <w:sz w:val="16"/>
          <w:szCs w:val="16"/>
          <w:color w:val="auto"/>
        </w:rPr>
      </w:pPr>
      <w:r>
        <w:rPr>
          <w:rFonts w:ascii="Arial" w:cs="Arial" w:eastAsia="Arial" w:hAnsi="Arial"/>
          <w:sz w:val="16"/>
          <w:szCs w:val="16"/>
          <w:color w:val="auto"/>
        </w:rPr>
        <w:t>sell such rights if practicable and distribute the net proceeds in the same manner as cash to the ADR holders entitled thereto; or</w:t>
      </w:r>
    </w:p>
    <w:p>
      <w:pPr>
        <w:spacing w:after="0" w:line="153" w:lineRule="exact"/>
        <w:rPr>
          <w:rFonts w:ascii="Arial" w:cs="Arial" w:eastAsia="Arial" w:hAnsi="Arial"/>
          <w:sz w:val="16"/>
          <w:szCs w:val="16"/>
          <w:color w:val="auto"/>
        </w:rPr>
      </w:pPr>
    </w:p>
    <w:p>
      <w:pPr>
        <w:ind w:left="1540" w:right="80" w:hanging="439"/>
        <w:spacing w:after="0" w:line="263" w:lineRule="auto"/>
        <w:tabs>
          <w:tab w:leader="none" w:pos="15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In the case of a distribution of securities or property other than those described above, the depositary may either</w:t>
      </w:r>
    </w:p>
    <w:p>
      <w:pPr>
        <w:spacing w:after="0" w:line="34" w:lineRule="exact"/>
        <w:rPr>
          <w:rFonts w:ascii="Arial" w:cs="Arial" w:eastAsia="Arial" w:hAnsi="Arial"/>
          <w:sz w:val="17"/>
          <w:szCs w:val="17"/>
          <w:color w:val="auto"/>
        </w:rPr>
      </w:pPr>
    </w:p>
    <w:p>
      <w:pPr>
        <w:jc w:val="both"/>
        <w:ind w:left="1080" w:right="660" w:firstLine="8"/>
        <w:spacing w:after="0" w:line="255" w:lineRule="auto"/>
        <w:tabs>
          <w:tab w:leader="none" w:pos="12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9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84"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1080" w:right="3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compliance with any U.S. or foreign laws or governmental regulations relating to the ADRs or to the withdrawal of deposited securities.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subject to the provisions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 (i) we do not wish such proxy to be given,</w:t>
      </w:r>
    </w:p>
    <w:p>
      <w:pPr>
        <w:spacing w:after="0" w:line="2" w:lineRule="exact"/>
        <w:rPr>
          <w:sz w:val="20"/>
          <w:szCs w:val="20"/>
          <w:color w:val="auto"/>
        </w:rPr>
      </w:pPr>
    </w:p>
    <w:p>
      <w:pPr>
        <w:ind w:left="380" w:hanging="264"/>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substantial opposition exists with respect to any agenda item for which the proxy would be given or (iii) the agenda item in question, if approved,</w:t>
      </w:r>
    </w:p>
    <w:p>
      <w:pPr>
        <w:spacing w:after="0" w:line="32" w:lineRule="exact"/>
        <w:rPr>
          <w:rFonts w:ascii="Arial" w:cs="Arial" w:eastAsia="Arial" w:hAnsi="Arial"/>
          <w:sz w:val="16"/>
          <w:szCs w:val="16"/>
          <w:color w:val="auto"/>
        </w:rPr>
      </w:pPr>
    </w:p>
    <w:p>
      <w:pPr>
        <w:ind w:left="120"/>
        <w:spacing w:after="0" w:line="253" w:lineRule="auto"/>
        <w:rPr>
          <w:rFonts w:ascii="Arial" w:cs="Arial" w:eastAsia="Arial" w:hAnsi="Arial"/>
          <w:sz w:val="16"/>
          <w:szCs w:val="16"/>
          <w:color w:val="auto"/>
        </w:rPr>
      </w:pPr>
      <w:r>
        <w:rPr>
          <w:rFonts w:ascii="Arial" w:cs="Arial" w:eastAsia="Arial" w:hAnsi="Arial"/>
          <w:sz w:val="18"/>
          <w:szCs w:val="18"/>
          <w:color w:val="auto"/>
        </w:rPr>
        <w:t>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Cayman Island law, rule, regulation or permit and (c) the voting arrangement and deemed instruction as contemplated herein will be given effect under Cayman Island law.</w:t>
      </w:r>
    </w:p>
    <w:p>
      <w:pPr>
        <w:spacing w:after="0" w:line="19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Holders are strongly encouraged to forward their voting instructions to the depositary as soon as possible. For instructions to be valid, the ADR department of the depositary that is responsible for proxies and voting must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have advised the depositary that under the Cayman Islands law and our constituent documents,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6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64"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without limitation, issuance pursuant to a stock dividend or stock split declared by us or an exchange of stock regarding the ADSs or the deposited securities or a distribution of ADSs), whichever is applicable:</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1080" w:right="100" w:hanging="424"/>
        <w:spacing w:after="0" w:line="25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97"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JPMorgan and/or its agent may act as principal for such conversion of foreign currency. For further details see https://www.adr.com.</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9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us and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 to the depositary. The depositary may terminate the deposit agreement upon 30 days’ notice to us and the registered holders of ADR under the following circumstances:</w:t>
      </w:r>
    </w:p>
    <w:p>
      <w:pPr>
        <w:spacing w:after="0" w:line="2" w:lineRule="exact"/>
        <w:rPr>
          <w:sz w:val="20"/>
          <w:szCs w:val="20"/>
          <w:color w:val="auto"/>
        </w:rPr>
      </w:pPr>
    </w:p>
    <w:p>
      <w:pPr>
        <w:ind w:left="120" w:right="20" w:hanging="4"/>
        <w:spacing w:after="0" w:line="284"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29" w:lineRule="exact"/>
        <w:rPr>
          <w:sz w:val="20"/>
          <w:szCs w:val="20"/>
          <w:color w:val="auto"/>
        </w:rPr>
      </w:pPr>
    </w:p>
    <w:p>
      <w:pPr>
        <w:ind w:left="1080" w:right="2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9"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9" w:lineRule="exact"/>
        <w:rPr>
          <w:sz w:val="20"/>
          <w:szCs w:val="20"/>
          <w:color w:val="auto"/>
        </w:rPr>
      </w:pPr>
    </w:p>
    <w:p>
      <w:pPr>
        <w:ind w:left="1080" w:right="100" w:hanging="424"/>
        <w:spacing w:after="0" w:line="271"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83"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8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64" w:lineRule="exact"/>
        <w:rPr>
          <w:sz w:val="20"/>
          <w:szCs w:val="20"/>
          <w:color w:val="auto"/>
        </w:rPr>
      </w:pPr>
    </w:p>
    <w:p>
      <w:pPr>
        <w:jc w:val="both"/>
        <w:ind w:left="120" w:right="340" w:firstLine="440"/>
        <w:spacing w:after="0" w:line="301" w:lineRule="auto"/>
        <w:rPr>
          <w:sz w:val="20"/>
          <w:szCs w:val="20"/>
          <w:color w:val="auto"/>
        </w:rPr>
      </w:pPr>
      <w:r>
        <w:rPr>
          <w:rFonts w:ascii="Arial" w:cs="Arial" w:eastAsia="Arial" w:hAnsi="Arial"/>
          <w:sz w:val="16"/>
          <w:szCs w:val="16"/>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5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7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On June 16, 2020, we entered into share subscription agreements with certain new investors, whom we refer to in this prospectus as the “selling shareholders.” Pursuant to these share subscription agreements, on June 22, 2020, we issued and sold 1,378,331 of our Class A ordinary shares to the selling shareholders in a private placement, or the Private Placement. On June 22, 2020, we entered into a Registration Rights Agreement, or the Registration Rights Agreement, with the selling shareholders, pursuant to which we agreed to register the Class A ordinary shares sold to the selling shareholders in the Private Placement.</w:t>
      </w:r>
    </w:p>
    <w:p>
      <w:pPr>
        <w:spacing w:after="0" w:line="188" w:lineRule="exact"/>
        <w:rPr>
          <w:sz w:val="20"/>
          <w:szCs w:val="20"/>
          <w:color w:val="auto"/>
        </w:rPr>
      </w:pPr>
    </w:p>
    <w:p>
      <w:pPr>
        <w:jc w:val="both"/>
        <w:ind w:left="120" w:right="880"/>
        <w:spacing w:after="0" w:line="263" w:lineRule="auto"/>
        <w:rPr>
          <w:sz w:val="20"/>
          <w:szCs w:val="20"/>
          <w:color w:val="auto"/>
        </w:rPr>
      </w:pPr>
      <w:r>
        <w:rPr>
          <w:rFonts w:ascii="Arial" w:cs="Arial" w:eastAsia="Arial" w:hAnsi="Arial"/>
          <w:sz w:val="18"/>
          <w:szCs w:val="18"/>
          <w:color w:val="auto"/>
        </w:rPr>
        <w:t>We are registering the above-referenced Class A ordinary shares to permit the selling shareholders and their pledgees, donees, transferees or other successors-in-interest that receive their shares after the date of this prospectus to resell or otherwise dispose of the shares in the manner contemplated under “Plan of Distribution” below.</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following table sets forth the number of Class A ordinary shares beneficially owned by the selling shareholders, the number of Class A ordinary shares that may be offered under this prospectus and the number of Class A ordinary shares beneficially owned by the selling shareholders assuming all of the shares covered hereby are sold. The number of Class A ordinary shares in the column “Number of Shares Being Offered” represents all of the Class A ordinary shares that the selling shareholders may offer hereunder. The selling shareholders may sell some, all or none of their Class A ordinary shares. We do not know how long the selling shareholders will hold the Class A ordinary shares before selling them and the Class A ordinary shares may be offered from time to time by the selling shareholders.</w:t>
      </w:r>
    </w:p>
    <w:p>
      <w:pPr>
        <w:spacing w:after="0" w:line="192"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 information set forth below is based upon information obtained from the selling shareholders and upon information in our possession regarding the original issuance of the Class A ordinary shares. As of the date of the prospectus, there were 40,763,062 ordinary shares outstanding, par value $0.001 per share, being the sum of 35,942,454 Class A ordinary shares and 4,820,608 Class B ordinary shares. The calculations in the table below are based on 39,390,342 ordinary shares outstanding as of the date of the prospectus, comprising (i) 34,569,734 Class A ordinary shares, excluding (x) the 1,364,754 Class A ordinary shares held by Arda Holdings Limited underlying the options granted but not yet exercised (whether or not they are vested) and the options reserved for issuance under our 2018 Plan, and (y) the 7,966 Class A ordinary shares held by JPMorgan Chase Bank N.A., our depositary, underlying the unvested restricted Class A ordinary shares units under our Post-IPO Plan, and (ii) 4,820,608 Class B ordinary shares outstanding.</w:t>
      </w:r>
    </w:p>
    <w:p>
      <w:pPr>
        <w:spacing w:after="0" w:line="166"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as of the date of this prospectus, including through the exercise of any option, warrant or other right or the conversion of any other security. These shares, however, are not included in the computation of the percentage ownership of any other person.</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Shares Beneficially</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15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 Prior to the</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5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Owned After the</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Selling Shareholder</w:t>
            </w:r>
          </w:p>
        </w:tc>
        <w:tc>
          <w:tcPr>
            <w:tcW w:w="28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120" w:type="dxa"/>
            <w:vAlign w:val="bottom"/>
            <w:tcBorders>
              <w:bottom w:val="single" w:sz="8" w:color="auto"/>
            </w:tcBorders>
            <w:gridSpan w:val="2"/>
          </w:tcPr>
          <w:p>
            <w:pPr>
              <w:jc w:val="center"/>
              <w:ind w:left="222"/>
              <w:spacing w:after="0"/>
              <w:rPr>
                <w:sz w:val="20"/>
                <w:szCs w:val="20"/>
                <w:color w:val="auto"/>
              </w:rPr>
            </w:pPr>
            <w:r>
              <w:rPr>
                <w:rFonts w:ascii="Arial" w:cs="Arial" w:eastAsia="Arial" w:hAnsi="Arial"/>
                <w:sz w:val="14"/>
                <w:szCs w:val="14"/>
                <w:b w:val="1"/>
                <w:bCs w:val="1"/>
                <w:color w:val="auto"/>
                <w:w w:val="99"/>
              </w:rPr>
              <w:t>Offering</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 Being</w:t>
            </w:r>
          </w:p>
        </w:tc>
        <w:tc>
          <w:tcPr>
            <w:tcW w:w="1120" w:type="dxa"/>
            <w:vAlign w:val="bottom"/>
            <w:tcBorders>
              <w:bottom w:val="single" w:sz="8" w:color="auto"/>
            </w:tcBorders>
            <w:gridSpan w:val="3"/>
          </w:tcPr>
          <w:p>
            <w:pPr>
              <w:jc w:val="center"/>
              <w:ind w:left="236"/>
              <w:spacing w:after="0"/>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8"/>
                <w:szCs w:val="8"/>
                <w:b w:val="1"/>
                <w:bCs w:val="1"/>
                <w:color w:val="auto"/>
              </w:rPr>
              <w:t>† †</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12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w:t>
            </w:r>
          </w:p>
        </w:tc>
        <w:tc>
          <w:tcPr>
            <w:tcW w:w="280" w:type="dxa"/>
            <w:vAlign w:val="bottom"/>
          </w:tcPr>
          <w:p>
            <w:pPr>
              <w:spacing w:after="0"/>
              <w:rPr>
                <w:sz w:val="12"/>
                <w:szCs w:val="12"/>
                <w:color w:val="auto"/>
              </w:rPr>
            </w:pPr>
          </w:p>
        </w:tc>
        <w:tc>
          <w:tcPr>
            <w:tcW w:w="11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6"/>
              </w:rPr>
              <w:t>Offered</w:t>
            </w:r>
          </w:p>
        </w:tc>
        <w:tc>
          <w:tcPr>
            <w:tcW w:w="112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SeaTown Master Fund</w:t>
            </w:r>
            <w:r>
              <w:rPr>
                <w:rFonts w:ascii="Arial" w:cs="Arial" w:eastAsia="Arial" w:hAnsi="Arial"/>
                <w:sz w:val="15"/>
                <w:szCs w:val="15"/>
                <w:color w:val="auto"/>
              </w:rPr>
              <w:t>(1)</w:t>
            </w:r>
          </w:p>
        </w:tc>
        <w:tc>
          <w:tcPr>
            <w:tcW w:w="2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202,227</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0.5</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202,227</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Segantii Asia-Pacific Equity Multi-Strategy Fund</w:t>
            </w:r>
            <w:r>
              <w:rPr>
                <w:rFonts w:ascii="Arial" w:cs="Arial" w:eastAsia="Arial" w:hAnsi="Arial"/>
                <w:sz w:val="15"/>
                <w:szCs w:val="15"/>
                <w:color w:val="auto"/>
              </w:rPr>
              <w:t>(2)</w:t>
            </w:r>
          </w:p>
        </w:tc>
        <w:tc>
          <w:tcPr>
            <w:tcW w:w="3240" w:type="dxa"/>
            <w:vAlign w:val="bottom"/>
            <w:gridSpan w:val="3"/>
          </w:tcPr>
          <w:p>
            <w:pPr>
              <w:jc w:val="right"/>
              <w:ind w:right="280"/>
              <w:spacing w:after="0"/>
              <w:rPr>
                <w:sz w:val="20"/>
                <w:szCs w:val="20"/>
                <w:color w:val="auto"/>
              </w:rPr>
            </w:pPr>
            <w:r>
              <w:rPr>
                <w:rFonts w:ascii="Arial" w:cs="Arial" w:eastAsia="Arial" w:hAnsi="Arial"/>
                <w:sz w:val="18"/>
                <w:szCs w:val="18"/>
                <w:color w:val="auto"/>
              </w:rPr>
              <w:t>202,227</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0.5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202,227</w:t>
            </w: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Maso Capital Investments Limited</w:t>
            </w:r>
            <w:r>
              <w:rPr>
                <w:rFonts w:ascii="Arial" w:cs="Arial" w:eastAsia="Arial" w:hAnsi="Arial"/>
                <w:sz w:val="15"/>
                <w:szCs w:val="15"/>
                <w:color w:val="auto"/>
              </w:rPr>
              <w:t>(3)</w:t>
            </w:r>
          </w:p>
        </w:tc>
        <w:tc>
          <w:tcPr>
            <w:tcW w:w="3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37,088</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37,088</w:t>
            </w:r>
          </w:p>
        </w:tc>
        <w:tc>
          <w:tcPr>
            <w:tcW w:w="1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Blackwell Partners LLC – Series A</w:t>
            </w:r>
            <w:r>
              <w:rPr>
                <w:rFonts w:ascii="Arial" w:cs="Arial" w:eastAsia="Arial" w:hAnsi="Arial"/>
                <w:sz w:val="15"/>
                <w:szCs w:val="15"/>
                <w:color w:val="auto"/>
              </w:rPr>
              <w:t>(4)</w:t>
            </w:r>
          </w:p>
        </w:tc>
        <w:tc>
          <w:tcPr>
            <w:tcW w:w="3240" w:type="dxa"/>
            <w:vAlign w:val="bottom"/>
            <w:gridSpan w:val="3"/>
          </w:tcPr>
          <w:p>
            <w:pPr>
              <w:jc w:val="right"/>
              <w:ind w:right="280"/>
              <w:spacing w:after="0"/>
              <w:rPr>
                <w:sz w:val="20"/>
                <w:szCs w:val="20"/>
                <w:color w:val="auto"/>
              </w:rPr>
            </w:pPr>
            <w:r>
              <w:rPr>
                <w:rFonts w:ascii="Arial" w:cs="Arial" w:eastAsia="Arial" w:hAnsi="Arial"/>
                <w:sz w:val="18"/>
                <w:szCs w:val="18"/>
                <w:color w:val="auto"/>
              </w:rPr>
              <w:t>111,064</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111,064</w:t>
            </w: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 V Partners LLC</w:t>
            </w:r>
            <w:r>
              <w:rPr>
                <w:rFonts w:ascii="Arial" w:cs="Arial" w:eastAsia="Arial" w:hAnsi="Arial"/>
                <w:sz w:val="15"/>
                <w:szCs w:val="15"/>
                <w:color w:val="auto"/>
              </w:rPr>
              <w:t>(5)</w:t>
            </w:r>
          </w:p>
        </w:tc>
        <w:tc>
          <w:tcPr>
            <w:tcW w:w="3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54,075</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54,075</w:t>
            </w:r>
          </w:p>
        </w:tc>
        <w:tc>
          <w:tcPr>
            <w:tcW w:w="1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Trafalgar Trading Fund Inc</w:t>
            </w:r>
            <w:r>
              <w:rPr>
                <w:rFonts w:ascii="Arial" w:cs="Arial" w:eastAsia="Arial" w:hAnsi="Arial"/>
                <w:sz w:val="15"/>
                <w:szCs w:val="15"/>
                <w:color w:val="auto"/>
              </w:rPr>
              <w:t>(6)</w:t>
            </w:r>
          </w:p>
        </w:tc>
        <w:tc>
          <w:tcPr>
            <w:tcW w:w="3240" w:type="dxa"/>
            <w:vAlign w:val="bottom"/>
            <w:gridSpan w:val="3"/>
          </w:tcPr>
          <w:p>
            <w:pPr>
              <w:jc w:val="right"/>
              <w:ind w:right="280"/>
              <w:spacing w:after="0"/>
              <w:rPr>
                <w:sz w:val="20"/>
                <w:szCs w:val="20"/>
                <w:color w:val="auto"/>
              </w:rPr>
            </w:pPr>
            <w:r>
              <w:rPr>
                <w:rFonts w:ascii="Arial" w:cs="Arial" w:eastAsia="Arial" w:hAnsi="Arial"/>
                <w:sz w:val="18"/>
                <w:szCs w:val="18"/>
                <w:color w:val="auto"/>
              </w:rPr>
              <w:t>101,114</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101,114</w:t>
            </w: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VGI Public Company Limited</w:t>
            </w:r>
            <w:r>
              <w:rPr>
                <w:rFonts w:ascii="Arial" w:cs="Arial" w:eastAsia="Arial" w:hAnsi="Arial"/>
                <w:sz w:val="15"/>
                <w:szCs w:val="15"/>
                <w:color w:val="auto"/>
              </w:rPr>
              <w:t>(7)</w:t>
            </w:r>
          </w:p>
        </w:tc>
        <w:tc>
          <w:tcPr>
            <w:tcW w:w="3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1,368,821</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670,536</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698,285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2,076,616</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5.3</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1,378,331</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698,285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20" w:type="dxa"/>
            <w:vAlign w:val="bottom"/>
            <w:vMerge w:val="restart"/>
          </w:tcPr>
          <w:p>
            <w:pPr>
              <w:jc w:val="right"/>
              <w:ind w:right="1010"/>
              <w:spacing w:after="0"/>
              <w:rPr>
                <w:sz w:val="20"/>
                <w:szCs w:val="20"/>
                <w:color w:val="auto"/>
              </w:rPr>
            </w:pPr>
            <w:r>
              <w:rPr>
                <w:rFonts w:ascii="Arial" w:cs="Arial" w:eastAsia="Arial" w:hAnsi="Arial"/>
                <w:sz w:val="18"/>
                <w:szCs w:val="18"/>
                <w:color w:val="auto"/>
              </w:rPr>
              <w:t>32</w:t>
            </w: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200" w:hanging="424"/>
        <w:spacing w:after="0" w:line="286"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ordinary shares beneficially owned by such person or group, including shares that such person or group has the right to acquire within 60 days of the date of this prospectus, by the sum of (1) 39,390,342, which is the total number of ordinary shares outstanding as of the date of this prospectus; and (2) the number of ordinary shares that such person or group has the right to acquire within 60 days of the date of this prospectus.</w:t>
      </w:r>
    </w:p>
    <w:p>
      <w:pPr>
        <w:spacing w:after="0" w:line="1" w:lineRule="exact"/>
        <w:rPr>
          <w:sz w:val="20"/>
          <w:szCs w:val="20"/>
          <w:color w:val="auto"/>
        </w:rPr>
      </w:pPr>
    </w:p>
    <w:p>
      <w:pPr>
        <w:ind w:left="540" w:right="400" w:hanging="424"/>
        <w:spacing w:after="0" w:line="250" w:lineRule="auto"/>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Assumes that all shares being registered in this prospectus are resold to third parties and that the selling shareholders sell all Class A ordinary shares registered under this prospectus held by them.</w:t>
      </w:r>
    </w:p>
    <w:p>
      <w:pPr>
        <w:spacing w:after="0" w:line="1"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SeaTown Master Fund is beneficially owned by SeaTown Holdings Pte. Ltd., which is a company incorporated in Singapore.</w:t>
      </w:r>
    </w:p>
    <w:p>
      <w:pPr>
        <w:spacing w:after="0" w:line="9"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controlling entity of Segantii Asia-Pacific Equity Multi-Strategy Fund is Segantii Capital Management (Cayman) Limited, a company limited by shares incorporated in the Cayman Islands.</w:t>
      </w:r>
    </w:p>
    <w:p>
      <w:pPr>
        <w:ind w:left="540" w:right="38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controlling entity of Maso Capital Investments Limited is Maso Capital Partners Limited, the investment manager of Maso Capital Investments Limited. Maso Capital Partners Limited is a limited liability company incorporated in Hong Kong SAR. The controllers of Maso Capital Partners Limited are Manoj Jain and Sohit Khurana.</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controlling entity of Blackwell Partners LLC – Series A is Maso Capital Partners Limited, the investment manager of Blackwell Partners LLC</w:t>
      </w:r>
    </w:p>
    <w:p>
      <w:pPr>
        <w:spacing w:after="0" w:line="32" w:lineRule="exact"/>
        <w:rPr>
          <w:rFonts w:ascii="Arial" w:cs="Arial" w:eastAsia="Arial" w:hAnsi="Arial"/>
          <w:sz w:val="16"/>
          <w:szCs w:val="16"/>
          <w:color w:val="auto"/>
        </w:rPr>
      </w:pPr>
    </w:p>
    <w:p>
      <w:pPr>
        <w:ind w:left="540" w:right="560"/>
        <w:spacing w:after="0" w:line="250" w:lineRule="auto"/>
        <w:rPr>
          <w:rFonts w:ascii="Arial" w:cs="Arial" w:eastAsia="Arial" w:hAnsi="Arial"/>
          <w:sz w:val="16"/>
          <w:szCs w:val="16"/>
          <w:color w:val="auto"/>
        </w:rPr>
      </w:pPr>
      <w:r>
        <w:rPr>
          <w:rFonts w:ascii="Arial" w:cs="Arial" w:eastAsia="Arial" w:hAnsi="Arial"/>
          <w:sz w:val="18"/>
          <w:szCs w:val="18"/>
          <w:color w:val="auto"/>
        </w:rPr>
        <w:t>– Series A. Maso Capital Partners Limited is a limited liability company incorporated in Hong Kong SAR. The controllers of Maso Capital Partners Limited are Manoj Jain and Sohit Khurana.</w:t>
      </w:r>
    </w:p>
    <w:p>
      <w:pPr>
        <w:ind w:left="540" w:right="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controlling entity of Star V Partners LLC is Maso Capital Partners Limited, the investment manager of Star V Partners LLC. Maso Capital Partners Limited is a limited liability company incorporated in Hong Kong SAR. The controllers of Maso Capital Partners Limited are Manoj Jain and Sohit Khurana.</w:t>
      </w:r>
    </w:p>
    <w:p>
      <w:pPr>
        <w:spacing w:after="0" w:line="1" w:lineRule="exact"/>
        <w:rPr>
          <w:rFonts w:ascii="Arial" w:cs="Arial" w:eastAsia="Arial" w:hAnsi="Arial"/>
          <w:sz w:val="18"/>
          <w:szCs w:val="18"/>
          <w:color w:val="auto"/>
        </w:rPr>
      </w:pPr>
    </w:p>
    <w:p>
      <w:pPr>
        <w:ind w:left="540" w:right="5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Trafalgar Capital Management (HK) Limited is the investment manager of the Trafalgar Trading Fund Inc, the ultimate beneficial owner of Trafalgar Capital Management (HK) Limited is Christopher Aarons.</w:t>
      </w:r>
    </w:p>
    <w:p>
      <w:pPr>
        <w:ind w:left="540" w:right="240" w:hanging="424"/>
        <w:spacing w:after="0" w:line="26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BTS Group Holdings Public Limited is the controlling entity of VGI Public Company Limited. BTS Group Holdings Public Limited is a public company listed on the Stock Exchange of Thailand.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Pursuant to the Registration Rights Agreement, we agreed to prepare and file a registration statement with the SEC within thirty (30) calendar days after June 22, 2020, the closing date of the Private Placement, or the Filing Deadline, for purposes of registering the resale of the Class A ordinary shares held by the selling shareholders. We agreed to use our best efforts to cause this registration statement to be declared effective as soon as practicable after the filing hereof, but no later than 15th calendar day (or 45th calendar day if the SEC notifies us that it will “review” this registration statement) following the Filing Deadline.</w:t>
      </w:r>
    </w:p>
    <w:p>
      <w:pPr>
        <w:spacing w:after="0" w:line="188"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We has also agreed, among other things, to indemnify the selling shareholders, their officers, directors, members, employees and agents, successors and assigns, and each person who controls such selling shareholders from certain liabilities and to pay all fees and expenses (excluding legal fees of the sell shareholders, except legal fees pursuant to their indemnification rights, and any underwriting discounts and selling commissions) incurred by us in connection with the registration of the Class A shares held by the selling shareholders.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Relationships with Selling Shareholders</w:t>
      </w:r>
    </w:p>
    <w:p>
      <w:pPr>
        <w:spacing w:after="0" w:line="12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VGI Public Company Limited and us jointly incorporated a joint venture company in Thailand, named “V-Click Technology Co., Ltd.” to distribute our online media inventories to serve brand owners in Thailand who wish to promote their marketing campaigns targeting mainland China customers traveling to Thailand. The shareholding of VGI Public Company Limited and us in the joint venture company is 30% and 49%, respectively.</w:t>
      </w:r>
    </w:p>
    <w:p>
      <w:pPr>
        <w:spacing w:after="0" w:line="14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provided VGI Public Company Limited and an affiliate of VGI Public Company Limited has provided us with online marketing solutions and data sourcing services,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The following is a general summary of the material Cayman Islands, People’s Republic of China and U.S. federal income tax consequences relevant to an investment in our ADSs and Class A ordinary shares. The discussion is not intended to be, nor should it be construed as, legal or tax advice to any particular prospective purchaser. The discussion is based on laws and relevant interpretations thereof in effect as of the date of this prospectus, all of which are subject to change or different interpretations, possibly with retroactive effect. The discussion does not address U.S. state or local tax laws, or tax laws of jurisdictions other than the Cayman Islands, the People’s Republic of China and the U.S. You should consult your own tax advisors with respect to the consequences of acquisition, ownership and disposition of our ADSs and Class A ordinary shares.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Islands Taxation</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People’s Republic of China Taxation</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the PRC tax authorities determine that iClick Interactive Asia Group Limited is a PRC resident enterprise for enterprise income tax purposes, we may be required to withhold a tax at the rate of 10% (or other preferential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rates in the applicable tax treaty) from dividends we pay to our shareholders that are non-resident enterprises, including the holders of our ADSs. In addition, non- 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 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92"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According to the PRC Enterprise Income Tax Law, Law of the People’s Republic of China on the Administration of Tax Collection promulgated on April 24, 2015, and the Announcement of the State Administration of Taxation on Matters Concerning Withholding of Income Tax of Non-resident Enterprises at Source promulgated on October 17, 2017,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States Federal Income Tax Considerations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shares (measured by voting power or value),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9" w:lineRule="exact"/>
        <w:rPr>
          <w:sz w:val="20"/>
          <w:szCs w:val="20"/>
          <w:color w:val="auto"/>
        </w:rPr>
      </w:pPr>
    </w:p>
    <w:p>
      <w:pPr>
        <w:ind w:left="1080" w:right="8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were not, in the year prior to the year in which the dividend was paid, and are not, in the year in which the dividend is paid, a PFIC.</w:t>
      </w:r>
    </w:p>
    <w:p>
      <w:pPr>
        <w:spacing w:after="0" w:line="24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ADSs are listed on the NASDAQ Global Market, and will qualify as readily tradable on an established securities market in the United States so long as they are so listed. Based on our financial statements, we believe that we were not treated as a PFIC for U.S. federal income tax purposes with respect to our 2018 and 2019 taxable years. In addition, based on our financial statements and our current expectations regarding the value and nature of our assets, the sources and nature of our income, and our market capitalization, we do not anticipate becoming a PFIC for our current 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78"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event that we are deemed to be a PRC resident enterprise under the PRC Enterprise Income Tax Law (see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74"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7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Deposits and withdrawals of ordinary shares by U.S. Holders in exchange for ADSs will not result in the realization of gain or loss for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purposes.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Special U.S. tax rules apply to companies that are considered to be PFICs. We will be classified as a PFIC in a particular taxable year if either</w:t>
      </w:r>
    </w:p>
    <w:p>
      <w:pPr>
        <w:spacing w:after="0" w:line="154"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interest entities as being owned by us for U.S. federal income tax purposes because we control their management decisions and are entitled to substantially all of the economic benefits associated with these entities.</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Certain U.S. Holders who are individuals that own “specified foreign financial assets” with an aggregate value in excess of US$50,000 on the last day of the taxable year or $75,000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Dividends paid on, and proceeds from the sale or other disposition of, the ADSs or ordinary shares to a U.S. Holder generally may be subject to the information reporting requirements of the Code and may be subject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selling shareholders and any of their pledgees, donees, transferees, assignees or other successors-in-interest may, from time to time, sell, transfer or otherwise dispose of any or all of their Class A ordinary shares on any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shareholders may use one or more of the following methods when disposing of the shares or interests therein:</w:t>
      </w:r>
    </w:p>
    <w:p>
      <w:pPr>
        <w:spacing w:after="0" w:line="93"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brokers, dealers or underwriters that may act solely as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broker-dealers may agree with the selling shareholders to sell a specified number of such shares at a stipulated price per share;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combination of any such methods of disposition;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selling shareholders may also sell shares under Rule 144 or Rule 904 under the Securities Act of 1933, as amended, or Securities Act, Section 4(a)(1) under the Securities Act, or other exemption from registration under the Securities Act, if available, rather than under this prospectus.</w:t>
      </w:r>
    </w:p>
    <w:p>
      <w:pPr>
        <w:spacing w:after="0" w:line="124" w:lineRule="exact"/>
        <w:rPr>
          <w:sz w:val="20"/>
          <w:szCs w:val="20"/>
          <w:color w:val="auto"/>
        </w:rPr>
      </w:pPr>
    </w:p>
    <w:p>
      <w:pPr>
        <w:ind w:left="120" w:right="560" w:firstLine="440"/>
        <w:spacing w:after="0" w:line="259" w:lineRule="auto"/>
        <w:rPr>
          <w:sz w:val="20"/>
          <w:szCs w:val="20"/>
          <w:color w:val="auto"/>
        </w:rPr>
      </w:pPr>
      <w:r>
        <w:rPr>
          <w:rFonts w:ascii="Arial" w:cs="Arial" w:eastAsia="Arial" w:hAnsi="Arial"/>
          <w:sz w:val="18"/>
          <w:szCs w:val="18"/>
          <w:color w:val="auto"/>
        </w:rPr>
        <w:t>Broker-dealers engaged by the selling shareholders may arrange for other broker-dealers to participate in sales. Broker-dealers may receive commissions or discounts from the selling shareholders (or, if any broker-dealer acts as agent for the purchaser of shares, from the purchaser) in amounts to be negotiated. The selling shareholders do not expect these commissions and discounts to exceed what is customary in the types of transactions involved.</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selling shareholders may, from time to time, pledge or grant a security interest in some or all of the Class A ordinary shares owned by them and, if they default in the performance of their secured obligations, the pledgees or secured parties may offer and sell Class A ordinary shares from time to time under this prospectus, or under a supplement or amendment to this prospectus under Rule 424(b)(3) or other applicable provision of the Securities Act amending the list of selling shareholders to include the pledgee, transferee or other successors in interest as selling shareholders under this prospectus.</w:t>
      </w:r>
    </w:p>
    <w:p>
      <w:pPr>
        <w:spacing w:after="0" w:line="18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Upon being notified in writing by a selling shareholder that any material arrangement has been entered into with a broker-dealer for the sale of Class A ordinary shares through a block trade, special offering, exchange distribution or secondary distribution or a purchase by a broker or dealer, we will file a supplement to this prospectus, if required, pursuant to Rule 424(b) under the Securities Act, disclosing (i) the name of each such selling shareholder and of the participating broker-dealer(s), (ii) the number of shares involved, (iii) the price at which such Class A ordinary shares were sold, (iv) the commissions paid or discounts or concessions allowed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such broker-dealer(s), where applicable, (v) that such broker-dealer(s) did not conduct any investigation to verify the information set out or incorporated by reference in this prospectus, and (vi) other facts material to the transaction.</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selling shareholders also may transfer the Class A ordinary shares in other circumstances, in which case the transferees, pledgees or other successors in interest will be the selling beneficial owners for purposes of this prospectus.</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connection with the sale of the Class A ordinary shares, the selling shareholders may enter into hedging transactions after the effective date of the registration statement of which this prospectus is a part with broker-dealers or other financial institutions, which may in turn engage in short sales of the Class A ordinary shares in the course of hedging the positions they assume. The selling shareholders may also sell Class A ordinary shares short after the effective date of the registration statement of which this prospectus is a part and deliver these securities to close out their short positions, or loan or pledge the Class A ordinary shares to broker-dealers that in turn may sell these securities. The selling shareholders may also enter into option or other transactions after the effective date of the registration statement of which this prospectus is a part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selling shareholders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The maximum commission or discount to be received by any member of the Financial Industry Regulatory Authority (FINRA) or independent broker-dealer will not be greater than 8% of the initial gross proceeds from the sale of any security being sold.</w:t>
      </w:r>
    </w:p>
    <w:p>
      <w:pPr>
        <w:spacing w:after="0" w:line="176"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have advised the selling shareholders that they are required to comply with Regulation M promulgated under the Securities Exchange Act of 1934, as amended, during such time as they may be engaged in a distribution of the shares. The foregoing may affect the marketability of the Class A ordinary shares.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aggregate proceeds to the selling shareholders from the sale of the Class A ordinary shares offered by them will be the purchase price of the Class A Ordinary Shares less discounts or commissions, if any. Each of the selling shareholders reserves the right to accept and, together with their agents from time to time, to reject, in whole or in part, any proposed purchase of Class A ordinary shares to be made directly or through agents. We will not receive any of the proceeds from this offering.</w:t>
      </w:r>
    </w:p>
    <w:p>
      <w:pPr>
        <w:spacing w:after="0" w:line="187"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We are required to pay all fees and expenses incident to the registration of the shares. We have agreed to indemnify the selling shareholders against certain losses, claims, damages and liabilities, including liabilities under the Securities Act or otherwise.</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have agreed with the selling shareholders to keep the registration statement of which this prospectus constitutes a part effective until the earliest of (a) such time as all of the Class A Ordinary Shares covered by this prospectus have been previously sold or transferred, (b) the date on which the Class A Ordinary Shares covered by this prospectus may be sold or transferred without any volume or manner-of-sale restrictions pursuant to Rule 144 of the Securities Act, or (c) the 22</w:t>
      </w:r>
      <w:r>
        <w:rPr>
          <w:rFonts w:ascii="Arial" w:cs="Arial" w:eastAsia="Arial" w:hAnsi="Arial"/>
          <w:sz w:val="15"/>
          <w:szCs w:val="15"/>
          <w:color w:val="auto"/>
        </w:rPr>
        <w:t>nd</w:t>
      </w:r>
      <w:r>
        <w:rPr>
          <w:rFonts w:ascii="Arial" w:cs="Arial" w:eastAsia="Arial" w:hAnsi="Arial"/>
          <w:sz w:val="18"/>
          <w:szCs w:val="18"/>
          <w:color w:val="auto"/>
        </w:rPr>
        <w:t xml:space="preserve"> date of June 2022.</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us) that we may incur in connection with the securities being registered hereby, other than the SEC registration fee.</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Legal, accounting and professional fees and expenses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ADR conversion fees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Printing and miscellaneous expenses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424,923</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jc w:val="right"/>
              <w:ind w:right="2790"/>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320" w:top="459" w:right="8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Certain legal matters with respect to Cayman Islands law, including the validity of the class A ordinary shares, will be passed upon for us by Travers Thorp Alberga, Attorneys at Law.</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00"/>
          </w:cols>
          <w:pgMar w:left="320" w:top="459" w:right="7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consolidated financial statements incorporated in this prospectus by reference to the annual report on Form 20-F for the year ended December 31, 2019 have been so incorporated in reliance on the report of PricewaterhouseCoopers, an independent registered public accounting firm, given on the authority of said firm as experts in auditing and accounting.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0"/>
          </w:cols>
          <w:pgMar w:left="320" w:top="459" w:right="6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66"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7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have appointed Cogency Global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4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82"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 arrangements that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provide for the reciprocal recognition and enforcement of foreign judgments with the United States or the Cayman Islands. Therefore,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8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9"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are subject to the periodic reporting and other informational requirements of the Exchange Act. Under the Exchange Act, we file annual reports and other information with the SEC.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 xml:space="preserve">The SEC maintains a web site that contains reports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320" w:top="459"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72">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April 30,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Reports on Form 6-K furnished with the SEC on </w:t>
      </w:r>
      <w:hyperlink r:id="rId73">
        <w:r>
          <w:rPr>
            <w:rFonts w:ascii="Arial" w:cs="Arial" w:eastAsia="Arial" w:hAnsi="Arial"/>
            <w:sz w:val="18"/>
            <w:szCs w:val="18"/>
            <w:u w:val="single" w:color="auto"/>
            <w:color w:val="0000EE"/>
          </w:rPr>
          <w:t>May 22,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4">
        <w:r>
          <w:rPr>
            <w:rFonts w:ascii="Arial" w:cs="Arial" w:eastAsia="Arial" w:hAnsi="Arial"/>
            <w:sz w:val="18"/>
            <w:szCs w:val="18"/>
            <w:u w:val="single" w:color="auto"/>
            <w:color w:val="0000EE"/>
          </w:rPr>
          <w:t>June 18,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description of our Class A ordinary shares contained in our registration statement on </w:t>
      </w:r>
      <w:hyperlink r:id="rId7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1, 2017, including any amendments or reports filed for the purpose of updating such description.</w:t>
      </w:r>
    </w:p>
    <w:p>
      <w:pPr>
        <w:spacing w:after="0" w:line="170" w:lineRule="exact"/>
        <w:rPr>
          <w:rFonts w:ascii="Arial" w:cs="Arial" w:eastAsia="Arial" w:hAnsi="Arial"/>
          <w:sz w:val="18"/>
          <w:szCs w:val="18"/>
          <w:color w:val="auto"/>
        </w:rPr>
      </w:pPr>
    </w:p>
    <w:p>
      <w:pPr>
        <w:ind w:left="120" w:right="160"/>
        <w:spacing w:after="0" w:line="259"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this offering. In all cases, you should rely on the later information over different information included in this prospectus or any accompanying prospectus supplement.</w:t>
      </w:r>
    </w:p>
    <w:p>
      <w:pPr>
        <w:spacing w:after="0" w:line="187" w:lineRule="exact"/>
        <w:rPr>
          <w:rFonts w:ascii="Arial" w:cs="Arial" w:eastAsia="Arial" w:hAnsi="Arial"/>
          <w:sz w:val="18"/>
          <w:szCs w:val="18"/>
          <w:color w:val="auto"/>
        </w:rPr>
      </w:pPr>
    </w:p>
    <w:p>
      <w:pPr>
        <w:ind w:left="120" w:right="120"/>
        <w:spacing w:after="0" w:line="259" w:lineRule="auto"/>
        <w:rPr>
          <w:sz w:val="20"/>
          <w:szCs w:val="20"/>
          <w:color w:val="auto"/>
        </w:rPr>
      </w:pPr>
      <w:r>
        <w:rPr>
          <w:rFonts w:ascii="Arial" w:cs="Arial" w:eastAsia="Arial" w:hAnsi="Arial"/>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7"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15/F, Prosperity Millennia Plaza</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663 King’s Road, Quarry Bay</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Hong Kong S.A.R., People’s Republic of China</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+852 3700 9000</w:t>
      </w:r>
    </w:p>
    <w:p>
      <w:pPr>
        <w:spacing w:after="0" w:line="14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7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ninth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 The registrant has agreed to indemnify its directors and officers against certain liabilities and expenses incurred by such persons in connection with claims made by reason of their being such a director or officer.</w:t>
      </w:r>
    </w:p>
    <w:p>
      <w:pPr>
        <w:spacing w:after="0" w:line="166"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Under the indemnification agreements with our directors and executive officers, the form of which was filed as Exhibit 10.9 to our registration statement on Form F-1 originally filed with the SEC on October 20, 2017, as amended (File No. 333-221034), we have agreed to indemnify our directors and executive officers against certain liabilities and expenses incurred by them in connection with claims made by reason of their being a director or officer of our company.</w:t>
      </w:r>
    </w:p>
    <w:p>
      <w:pPr>
        <w:spacing w:after="0" w:line="18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underwriting agreement, a form of which was filed as Exhibit 1.1 to our registration statement on Form F-1 originally filed with the SEC on October 20, 2017, as amended (File No. 333-221034) also provides for indemnification of the registrant and its officers and directors.</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Exhibit Index beginning on page II-4 of this registration statement.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800" w:hanging="244"/>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720" w:hanging="212"/>
        <w:spacing w:after="0"/>
        <w:tabs>
          <w:tab w:leader="none" w:pos="17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100" w:right="60" w:firstLine="408"/>
        <w:spacing w:after="0" w:line="272" w:lineRule="auto"/>
        <w:tabs>
          <w:tab w:leader="none" w:pos="1766" w:val="left"/>
        </w:tabs>
        <w:numPr>
          <w:ilvl w:val="2"/>
          <w:numId w:val="3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firstLine="408"/>
        <w:spacing w:after="0" w:line="277" w:lineRule="auto"/>
        <w:tabs>
          <w:tab w:leader="none" w:pos="18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this registration statement;</w:t>
      </w:r>
    </w:p>
    <w:p>
      <w:pPr>
        <w:spacing w:after="0" w:line="187" w:lineRule="exact"/>
        <w:rPr>
          <w:sz w:val="20"/>
          <w:szCs w:val="20"/>
          <w:color w:val="auto"/>
        </w:rPr>
      </w:pPr>
    </w:p>
    <w:p>
      <w:pPr>
        <w:ind w:left="120" w:right="120" w:firstLine="987"/>
        <w:spacing w:after="0" w:line="263" w:lineRule="auto"/>
        <w:tabs>
          <w:tab w:leader="none" w:pos="1366"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120" w:right="80" w:firstLine="987"/>
        <w:spacing w:after="0" w:line="277" w:lineRule="auto"/>
        <w:tabs>
          <w:tab w:leader="none" w:pos="1366"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20" w:right="40" w:firstLine="987"/>
        <w:spacing w:after="0" w:line="271" w:lineRule="auto"/>
        <w:tabs>
          <w:tab w:leader="none" w:pos="1366" w:val="left"/>
        </w:tabs>
        <w:numPr>
          <w:ilvl w:val="1"/>
          <w:numId w:val="35"/>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this registration statement;</w:t>
      </w:r>
    </w:p>
    <w:p>
      <w:pPr>
        <w:spacing w:after="0" w:line="178" w:lineRule="exact"/>
        <w:rPr>
          <w:rFonts w:ascii="Arial" w:cs="Arial" w:eastAsia="Arial" w:hAnsi="Arial"/>
          <w:sz w:val="17"/>
          <w:szCs w:val="17"/>
          <w:color w:val="auto"/>
        </w:rPr>
      </w:pPr>
    </w:p>
    <w:p>
      <w:pPr>
        <w:ind w:left="1360" w:hanging="253"/>
        <w:spacing w:after="0"/>
        <w:tabs>
          <w:tab w:leader="none" w:pos="13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20" w:firstLine="1979"/>
        <w:spacing w:after="0" w:line="277" w:lineRule="auto"/>
        <w:tabs>
          <w:tab w:leader="none" w:pos="2398" w:val="left"/>
        </w:tabs>
        <w:numPr>
          <w:ilvl w:val="2"/>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20" w:right="80" w:firstLine="1979"/>
        <w:spacing w:after="0" w:line="269" w:lineRule="auto"/>
        <w:tabs>
          <w:tab w:leader="none" w:pos="2388" w:val="left"/>
        </w:tabs>
        <w:numPr>
          <w:ilvl w:val="2"/>
          <w:numId w:val="3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the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1" w:lineRule="exact"/>
        <w:rPr>
          <w:rFonts w:ascii="Arial" w:cs="Arial" w:eastAsia="Arial" w:hAnsi="Arial"/>
          <w:sz w:val="17"/>
          <w:szCs w:val="17"/>
          <w:color w:val="auto"/>
        </w:rPr>
      </w:pPr>
    </w:p>
    <w:p>
      <w:pPr>
        <w:ind w:left="120" w:right="20" w:firstLine="436"/>
        <w:spacing w:after="0" w:line="277"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00"/>
        <w:spacing w:after="0" w:line="342" w:lineRule="auto"/>
        <w:rPr>
          <w:sz w:val="20"/>
          <w:szCs w:val="20"/>
          <w:color w:val="auto"/>
        </w:rPr>
      </w:pPr>
      <w:r>
        <w:rPr>
          <w:rFonts w:ascii="Arial" w:cs="Arial" w:eastAsia="Arial" w:hAnsi="Arial"/>
          <w:sz w:val="16"/>
          <w:szCs w:val="16"/>
          <w:color w:val="auto"/>
        </w:rPr>
        <w:t xml:space="preserve">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24" w:lineRule="exact"/>
        <w:rPr>
          <w:sz w:val="20"/>
          <w:szCs w:val="20"/>
          <w:color w:val="auto"/>
        </w:rPr>
      </w:pPr>
    </w:p>
    <w:p>
      <w:pPr>
        <w:ind w:left="120" w:firstLine="436"/>
        <w:spacing w:after="0" w:line="271" w:lineRule="auto"/>
        <w:tabs>
          <w:tab w:leader="none" w:pos="80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180" w:type="dxa"/>
            <w:vAlign w:val="bottom"/>
            <w:gridSpan w:val="4"/>
          </w:tcPr>
          <w:p>
            <w:pPr>
              <w:ind w:left="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60" w:type="dxa"/>
            <w:vAlign w:val="bottom"/>
            <w:tcBorders>
              <w:bottom w:val="single" w:sz="8" w:color="auto"/>
            </w:tcBorders>
          </w:tcPr>
          <w:p>
            <w:pPr>
              <w:ind w:left="20"/>
              <w:spacing w:after="0" w:line="158" w:lineRule="exact"/>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line="142" w:lineRule="exact"/>
              <w:rPr>
                <w:sz w:val="20"/>
                <w:szCs w:val="20"/>
                <w:color w:val="auto"/>
              </w:rPr>
            </w:pPr>
            <w:r>
              <w:rPr>
                <w:rFonts w:ascii="Arial" w:cs="Arial" w:eastAsia="Arial" w:hAnsi="Arial"/>
                <w:sz w:val="16"/>
                <w:szCs w:val="16"/>
                <w:color w:val="auto"/>
              </w:rPr>
              <w:t>1.1</w:t>
            </w:r>
          </w:p>
        </w:tc>
        <w:tc>
          <w:tcPr>
            <w:tcW w:w="540" w:type="dxa"/>
            <w:vAlign w:val="bottom"/>
          </w:tcPr>
          <w:p>
            <w:pPr>
              <w:spacing w:after="0"/>
              <w:rPr>
                <w:sz w:val="12"/>
                <w:szCs w:val="12"/>
                <w:color w:val="auto"/>
              </w:rPr>
            </w:pPr>
          </w:p>
        </w:tc>
        <w:tc>
          <w:tcPr>
            <w:tcW w:w="5320" w:type="dxa"/>
            <w:vAlign w:val="bottom"/>
            <w:tcBorders>
              <w:bottom w:val="single" w:sz="8" w:color="0000EE"/>
            </w:tcBorders>
            <w:gridSpan w:val="3"/>
          </w:tcPr>
          <w:p>
            <w:pPr>
              <w:spacing w:after="0" w:line="136" w:lineRule="exact"/>
              <w:rPr>
                <w:rFonts w:ascii="Arial" w:cs="Arial" w:eastAsia="Arial" w:hAnsi="Arial"/>
                <w:sz w:val="15"/>
                <w:szCs w:val="15"/>
                <w:color w:val="0000EE"/>
              </w:rPr>
            </w:pPr>
            <w:hyperlink r:id="rId80">
              <w:r>
                <w:rPr>
                  <w:rFonts w:ascii="Arial" w:cs="Arial" w:eastAsia="Arial" w:hAnsi="Arial"/>
                  <w:sz w:val="15"/>
                  <w:szCs w:val="15"/>
                  <w:color w:val="0000EE"/>
                </w:rPr>
                <w:t>Ninth Amended and Restated Memorandum and Articles of Association,</w:t>
              </w:r>
            </w:hyperlink>
          </w:p>
        </w:tc>
        <w:tc>
          <w:tcPr>
            <w:tcW w:w="4440" w:type="dxa"/>
            <w:vAlign w:val="bottom"/>
            <w:tcBorders>
              <w:bottom w:val="single" w:sz="8" w:color="0000EE"/>
            </w:tcBorders>
          </w:tcPr>
          <w:p>
            <w:pPr>
              <w:spacing w:after="0" w:line="136" w:lineRule="exact"/>
              <w:rPr>
                <w:rFonts w:ascii="Arial" w:cs="Arial" w:eastAsia="Arial" w:hAnsi="Arial"/>
                <w:sz w:val="15"/>
                <w:szCs w:val="15"/>
                <w:color w:val="0000EE"/>
              </w:rPr>
            </w:pPr>
            <w:hyperlink r:id="rId80">
              <w:r>
                <w:rPr>
                  <w:rFonts w:ascii="Arial" w:cs="Arial" w:eastAsia="Arial" w:hAnsi="Arial"/>
                  <w:sz w:val="15"/>
                  <w:szCs w:val="15"/>
                  <w:color w:val="0000EE"/>
                </w:rPr>
                <w:t>as currently in effect (incorporated by reference to Exhibit 1.1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80" w:type="dxa"/>
            <w:vAlign w:val="bottom"/>
            <w:gridSpan w:val="5"/>
          </w:tcPr>
          <w:p>
            <w:pPr>
              <w:spacing w:after="0"/>
              <w:rPr>
                <w:rFonts w:ascii="Arial" w:cs="Arial" w:eastAsia="Arial" w:hAnsi="Arial"/>
                <w:sz w:val="18"/>
                <w:szCs w:val="18"/>
                <w:u w:val="single" w:color="auto"/>
                <w:color w:val="0000EE"/>
                <w:w w:val="98"/>
              </w:rPr>
            </w:pPr>
            <w:hyperlink r:id="rId80">
              <w:r>
                <w:rPr>
                  <w:rFonts w:ascii="Arial" w:cs="Arial" w:eastAsia="Arial" w:hAnsi="Arial"/>
                  <w:sz w:val="18"/>
                  <w:szCs w:val="18"/>
                  <w:u w:val="single" w:color="auto"/>
                  <w:color w:val="0000EE"/>
                  <w:w w:val="98"/>
                </w:rPr>
                <w:t>of our annual report on Form 20-F (file No. 001-38313) filed with the Securities and Exchange Commission on April 25, 2019)</w:t>
              </w:r>
            </w:hyperlink>
          </w:p>
        </w:tc>
        <w:tc>
          <w:tcPr>
            <w:tcW w:w="0" w:type="dxa"/>
            <w:vAlign w:val="bottom"/>
          </w:tcPr>
          <w:p>
            <w:pPr>
              <w:spacing w:after="0"/>
              <w:rPr>
                <w:sz w:val="1"/>
                <w:szCs w:val="1"/>
                <w:color w:val="auto"/>
              </w:rPr>
            </w:pPr>
          </w:p>
        </w:tc>
      </w:tr>
      <w:tr>
        <w:trPr>
          <w:trHeight w:val="190"/>
        </w:trPr>
        <w:tc>
          <w:tcPr>
            <w:tcW w:w="56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540" w:type="dxa"/>
            <w:vAlign w:val="bottom"/>
          </w:tcPr>
          <w:p>
            <w:pPr>
              <w:spacing w:after="0"/>
              <w:rPr>
                <w:sz w:val="16"/>
                <w:szCs w:val="16"/>
                <w:color w:val="auto"/>
              </w:rPr>
            </w:pPr>
          </w:p>
        </w:tc>
        <w:tc>
          <w:tcPr>
            <w:tcW w:w="978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Form of Deposit Agreement, incorporated herein by reference to Exhibit 99.(A) to our registration statement on Form F-6 filed with the</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SEC (File No. 333-221860) on December 1, 2017</w:t>
              </w:r>
            </w:hyperlink>
          </w:p>
        </w:tc>
        <w:tc>
          <w:tcPr>
            <w:tcW w:w="6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9"/>
                <w:szCs w:val="19"/>
                <w:color w:val="auto"/>
              </w:rPr>
            </w:pPr>
          </w:p>
        </w:tc>
        <w:tc>
          <w:tcPr>
            <w:tcW w:w="9780" w:type="dxa"/>
            <w:vAlign w:val="bottom"/>
            <w:gridSpan w:val="5"/>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Registrant’s Specimen American Depositary Receipt (included in Exhibits 4.1)</w:t>
              </w:r>
            </w:hyperlink>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9780" w:type="dxa"/>
            <w:vAlign w:val="bottom"/>
            <w:gridSpan w:val="5"/>
          </w:tcPr>
          <w:p>
            <w:pPr>
              <w:spacing w:after="0"/>
              <w:rPr>
                <w:rFonts w:ascii="Arial" w:cs="Arial" w:eastAsia="Arial" w:hAnsi="Arial"/>
                <w:sz w:val="18"/>
                <w:szCs w:val="18"/>
                <w:u w:val="single" w:color="auto"/>
                <w:color w:val="0000EE"/>
                <w:w w:val="90"/>
              </w:rPr>
            </w:pPr>
            <w:hyperlink w:anchor="page59">
              <w:r>
                <w:rPr>
                  <w:rFonts w:ascii="Arial" w:cs="Arial" w:eastAsia="Arial" w:hAnsi="Arial"/>
                  <w:sz w:val="18"/>
                  <w:szCs w:val="18"/>
                  <w:u w:val="single" w:color="auto"/>
                  <w:color w:val="0000EE"/>
                  <w:w w:val="90"/>
                </w:rPr>
                <w:t>Registration Rights Agreement, dated June 22, 2020, by and among the Registrant and Investors identified in Annex A attached thereto</w:t>
              </w:r>
            </w:hyperlink>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9780" w:type="dxa"/>
            <w:vAlign w:val="bottom"/>
            <w:gridSpan w:val="5"/>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Opinion of Travers Thorp Alberga, Attorneys at Law regarding the validity of the ordinary shares</w:t>
              </w:r>
            </w:hyperlink>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18"/>
                <w:szCs w:val="18"/>
                <w:color w:val="auto"/>
              </w:rPr>
            </w:pPr>
          </w:p>
        </w:tc>
        <w:tc>
          <w:tcPr>
            <w:tcW w:w="9780" w:type="dxa"/>
            <w:vAlign w:val="bottom"/>
            <w:gridSpan w:val="5"/>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Consent of PricewaterhouseCoopers, independent registered public accounting firm</w:t>
              </w:r>
            </w:hyperlink>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18"/>
                <w:szCs w:val="18"/>
                <w:color w:val="auto"/>
              </w:rPr>
            </w:pPr>
          </w:p>
        </w:tc>
        <w:tc>
          <w:tcPr>
            <w:tcW w:w="9780" w:type="dxa"/>
            <w:vAlign w:val="bottom"/>
            <w:gridSpan w:val="5"/>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Consent of Travers Thorp Alberga, Attorneys at Law (included in Exhibit 5.1)</w:t>
              </w:r>
            </w:hyperlink>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0"/>
                <w:szCs w:val="20"/>
                <w:color w:val="auto"/>
              </w:rPr>
            </w:pPr>
          </w:p>
        </w:tc>
        <w:tc>
          <w:tcPr>
            <w:tcW w:w="9780" w:type="dxa"/>
            <w:vAlign w:val="bottom"/>
            <w:gridSpan w:val="5"/>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Powers of Attorney (included in the signature page of this registration statement)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00"/>
          </w:cols>
          <w:pgMar w:left="320" w:top="459" w:right="5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660"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the City of Hong Kong, People’s Republic of China, on July 21, 2020.</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Jian Tang</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Mr. Jian Tang and Mr. Terence Li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as amended,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21, 2020 in the capacities indicated: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4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Signatures</w:t>
            </w:r>
          </w:p>
        </w:tc>
        <w:tc>
          <w:tcPr>
            <w:tcW w:w="220" w:type="dxa"/>
            <w:vAlign w:val="bottom"/>
          </w:tcPr>
          <w:p>
            <w:pPr>
              <w:spacing w:after="0"/>
              <w:rPr>
                <w:sz w:val="16"/>
                <w:szCs w:val="16"/>
                <w:color w:val="auto"/>
              </w:rPr>
            </w:pPr>
          </w:p>
        </w:tc>
        <w:tc>
          <w:tcPr>
            <w:tcW w:w="576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Title</w:t>
            </w:r>
          </w:p>
        </w:tc>
      </w:tr>
      <w:tr>
        <w:trPr>
          <w:trHeight w:val="412"/>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Jian Tang</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Wing Hong Sammy Hsieh</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Lub Bun Chong</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Lub Bun Chong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Chu Pong Fong</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Matthew Chu Pong Fong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Dylan Huang</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Dylan Huang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Honnus Cheung</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Honnus Cheung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Kim</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James Kim</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 and Chief Financial Officer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Terence Li</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364"/>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 OF AUTHORIZED REPRESENTATIVE OF THE REGISTRANT</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undersigned, the duly authorized representative in the United States of iClick Interactive Asia Group Limited, has signed this registration statement or amendment thereto in New York, on July 21, 2020.</w:t>
      </w:r>
    </w:p>
    <w:p>
      <w:pPr>
        <w:spacing w:after="0" w:line="200" w:lineRule="exact"/>
        <w:rPr>
          <w:sz w:val="20"/>
          <w:szCs w:val="20"/>
          <w:color w:val="auto"/>
        </w:rPr>
      </w:pPr>
    </w:p>
    <w:p>
      <w:pPr>
        <w:spacing w:after="0" w:line="22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Authorised U.S. Representative</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COGENCY GLOBAL 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00"/>
          </w:cols>
          <w:pgMar w:left="320" w:top="459" w:right="4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9" w:lineRule="exact"/>
        <w:rPr>
          <w:sz w:val="20"/>
          <w:szCs w:val="20"/>
          <w:color w:val="auto"/>
        </w:rPr>
      </w:pPr>
    </w:p>
    <w:p>
      <w:pPr>
        <w:ind w:left="4" w:right="120"/>
        <w:spacing w:after="0" w:line="257"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June 22, 2020 by and among iClick Interactive Asia Group Limited, a company incorporated in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“Purchasers” named in the Subscription Agreements dated June 16, 2020 by and among the Company and the Purchasers named therein (the “</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xml:space="preserve">”). A list of such Purchasers are set out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hereof. Capitalized terms used herein have the respective meanings ascribed thereto in the Subscription Agreements unless otherwise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-582295</wp:posOffset>
            </wp:positionV>
            <wp:extent cx="285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hereby agree as follows:</w:t>
      </w:r>
    </w:p>
    <w:p>
      <w:pPr>
        <w:spacing w:after="0" w:line="131" w:lineRule="exact"/>
        <w:rPr>
          <w:sz w:val="20"/>
          <w:szCs w:val="20"/>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25"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through one or more intermediaries Controls, is controlled by, or is under common Control with, such person.</w:t>
      </w:r>
    </w:p>
    <w:p>
      <w:pPr>
        <w:spacing w:after="0" w:line="170" w:lineRule="exact"/>
        <w:rPr>
          <w:sz w:val="20"/>
          <w:szCs w:val="20"/>
          <w:color w:val="auto"/>
        </w:rPr>
      </w:pPr>
    </w:p>
    <w:p>
      <w:pPr>
        <w:ind w:left="4" w:right="1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2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xml:space="preserve">” means the Purchasers identified in the Subscription Agreements, a list of which is set out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hereof, and any Affiliate or permitted transferee of any such Purchaser who is a subsequent holder of Registrable Securities.</w:t>
      </w:r>
    </w:p>
    <w:p>
      <w:pPr>
        <w:spacing w:after="0" w:line="170"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the prospectus included in any Registration Statement (including, without limitation, a prospectus that includes any information previously omitted from a prospectus filed as part of an effective registration statement in reliance upon Rule 430A promulgated by the SEC pursuant to the Securities Act),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w:t>
      </w:r>
    </w:p>
    <w:p>
      <w:pPr>
        <w:spacing w:after="0" w:line="192" w:lineRule="exact"/>
        <w:rPr>
          <w:sz w:val="20"/>
          <w:szCs w:val="20"/>
          <w:color w:val="auto"/>
        </w:rPr>
      </w:pPr>
    </w:p>
    <w:p>
      <w:pPr>
        <w:ind w:left="4" w:right="8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made by preparing and filing a Registration Statement or similar document in compliance with the Securities Act, and the declaration or ordering of effectiveness of such Registration Statement or document.</w:t>
      </w:r>
    </w:p>
    <w:p>
      <w:pPr>
        <w:spacing w:after="0" w:line="124" w:lineRule="exact"/>
        <w:rPr>
          <w:sz w:val="20"/>
          <w:szCs w:val="20"/>
          <w:color w:val="auto"/>
        </w:rPr>
      </w:pPr>
    </w:p>
    <w:p>
      <w:pPr>
        <w:ind w:left="4" w:right="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(i) the Purchased Shares and (ii) any other Class A Ordinary Shares issued pursuant to a stock split, as a dividend or other distribution with respect to, in exchange for or in replacement of the Purchased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Registrable Securities shall cease to be Registrable Securities (and the Company shall not be required to maintain the effectiveness of any, or file another, Registration Statement hereunder with respect thereto) upon the first to occur of (A) a Registration Statement with respect to the sale all of such Registrable Securities being declared effective by the SEC under the Securities Act, regardless of whether such Registrable Securities having been disposed of or transferred by the holder thereof in accordance with such effective Registration Statement, (B) such Registrable Securities having been previously sold or transferred in accordance with Rule 144 (or another exemption from the registration requirements of the Securities Act), (C) such securities becoming eligible for resale without volume or manner-of-sale restrictions pursuant to Rule 144, and (D) the second anniversary of the Closing Date.</w:t>
      </w:r>
    </w:p>
    <w:p>
      <w:pPr>
        <w:spacing w:after="0" w:line="16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under the Securities Act that covers the resale of any of the Registrable Securities pursuant to the provisions of this Agreement, amendments and supplements to such Registration Statement, including pre- and post-effective amendments, all exhibits and all material incorporated by reference in such Registration Statement.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Investors</w:t>
      </w:r>
      <w:r>
        <w:rPr>
          <w:rFonts w:ascii="Arial" w:cs="Arial" w:eastAsia="Arial" w:hAnsi="Arial"/>
          <w:sz w:val="18"/>
          <w:szCs w:val="18"/>
          <w:color w:val="auto"/>
        </w:rPr>
        <w:t>” means the Investors holding a majority of the Registrable Securities outstanding from time to time.</w:t>
      </w:r>
    </w:p>
    <w:p>
      <w:pPr>
        <w:spacing w:after="0" w:line="225" w:lineRule="exact"/>
        <w:rPr>
          <w:sz w:val="20"/>
          <w:szCs w:val="20"/>
          <w:color w:val="auto"/>
        </w:rPr>
      </w:pPr>
    </w:p>
    <w:p>
      <w:pPr>
        <w:ind w:left="4" w:right="1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144</w:t>
      </w:r>
      <w:r>
        <w:rPr>
          <w:rFonts w:ascii="Arial" w:cs="Arial" w:eastAsia="Arial" w:hAnsi="Arial"/>
          <w:sz w:val="17"/>
          <w:szCs w:val="17"/>
          <w:color w:val="auto"/>
        </w:rPr>
        <w:t>” means Rule 144 promulgated by the SEC pursuant to the Securities Act, as such Rule may be amended or interpreted from time to time, or any similar rule or regulation hereafter adopted by the SEC having substantially the same purpose and effect as such Rule.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59" w:name="page60"/>
    <w:bookmarkEnd w:id="59"/>
    <w:p>
      <w:pPr>
        <w:ind w:left="4"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Rule 415</w:t>
      </w:r>
      <w:r>
        <w:rPr>
          <w:rFonts w:ascii="Arial" w:cs="Arial" w:eastAsia="Arial" w:hAnsi="Arial"/>
          <w:sz w:val="17"/>
          <w:szCs w:val="17"/>
          <w:color w:val="auto"/>
        </w:rPr>
        <w:t>” means Rule 415 promulgated by the SEC pursuant to the Securities Act, as such Rule may be amended or interpreted from time to time, or any similar rule or regulation hereafter adopted by the SEC having substantially the same purpose and effect as such Rule.</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(i) any publicly-available written or oral guidance of the SEC staff, or any comments, requirements or requests of the SEC staff and (ii) the Securities Act.</w:t>
      </w:r>
    </w:p>
    <w:p>
      <w:pPr>
        <w:spacing w:after="0" w:line="319" w:lineRule="exact"/>
        <w:rPr>
          <w:sz w:val="20"/>
          <w:szCs w:val="20"/>
          <w:color w:val="auto"/>
        </w:rPr>
      </w:pPr>
    </w:p>
    <w:p>
      <w:pPr>
        <w:ind w:left="424" w:hanging="424"/>
        <w:spacing w:after="0"/>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Registration Statement.</w:t>
      </w:r>
    </w:p>
    <w:p>
      <w:pPr>
        <w:spacing w:after="0" w:line="117" w:lineRule="exact"/>
        <w:rPr>
          <w:rFonts w:ascii="Arial" w:cs="Arial" w:eastAsia="Arial" w:hAnsi="Arial"/>
          <w:sz w:val="18"/>
          <w:szCs w:val="18"/>
          <w:color w:val="auto"/>
        </w:rPr>
      </w:pPr>
    </w:p>
    <w:p>
      <w:pPr>
        <w:ind w:left="444" w:firstLine="419"/>
        <w:spacing w:after="0" w:line="284" w:lineRule="auto"/>
        <w:tabs>
          <w:tab w:leader="none" w:pos="1082" w:val="left"/>
        </w:tabs>
        <w:numPr>
          <w:ilvl w:val="3"/>
          <w:numId w:val="39"/>
        </w:numPr>
        <w:rPr>
          <w:rFonts w:ascii="Arial" w:cs="Arial" w:eastAsia="Arial" w:hAnsi="Arial"/>
          <w:sz w:val="16"/>
          <w:szCs w:val="16"/>
          <w:color w:val="auto"/>
        </w:rPr>
      </w:pPr>
      <w:r>
        <w:rPr>
          <w:rFonts w:ascii="Arial" w:cs="Arial" w:eastAsia="Arial" w:hAnsi="Arial"/>
          <w:sz w:val="16"/>
          <w:szCs w:val="16"/>
          <w:color w:val="auto"/>
        </w:rPr>
        <w:t>Within thirty (30) calendar days after the Closing Date (the “</w:t>
      </w:r>
      <w:r>
        <w:rPr>
          <w:rFonts w:ascii="Arial" w:cs="Arial" w:eastAsia="Arial" w:hAnsi="Arial"/>
          <w:sz w:val="16"/>
          <w:szCs w:val="16"/>
          <w:u w:val="single" w:color="auto"/>
          <w:color w:val="auto"/>
        </w:rPr>
        <w:t>Filing Deadline</w:t>
      </w:r>
      <w:r>
        <w:rPr>
          <w:rFonts w:ascii="Arial" w:cs="Arial" w:eastAsia="Arial" w:hAnsi="Arial"/>
          <w:sz w:val="16"/>
          <w:szCs w:val="16"/>
          <w:color w:val="auto"/>
        </w:rPr>
        <w:t xml:space="preserve">”), the Company shall prepare and file with the SEC one Registration Statement covering the resale of all of the Registrable Securities. Subject to any SEC comments, such Registration Statement shall include the plan of distribution, substantially in the form and substance, set forth in Part III of each Investor’s Selling Shareholder Notice and Questionnaire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hereof. Such Registration Statement also shall cover, to the extent allowable under the Securities Act and the rules promulgated thereunder (including Rule 416 under the Securities Act), such indeterminate number of additional Class A Ordinary Shares resulting from stock splits, stock dividends or similar transactions with respect to the Registrable Securities. Upon request, such Registration Statement (and each amendment or supplement thereto, and each request for acceleration of effectiveness thereof) shall be provided in accordance with</w:t>
      </w:r>
    </w:p>
    <w:p>
      <w:pPr>
        <w:spacing w:after="0" w:line="2"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Section 3(c) to the Investors prior to its filing or other submission.</w:t>
      </w:r>
    </w:p>
    <w:p>
      <w:pPr>
        <w:spacing w:after="0" w:line="102" w:lineRule="exact"/>
        <w:rPr>
          <w:rFonts w:ascii="Arial" w:cs="Arial" w:eastAsia="Arial" w:hAnsi="Arial"/>
          <w:sz w:val="16"/>
          <w:szCs w:val="16"/>
          <w:color w:val="auto"/>
        </w:rPr>
      </w:pPr>
    </w:p>
    <w:p>
      <w:pPr>
        <w:jc w:val="both"/>
        <w:ind w:left="444" w:right="120" w:firstLine="419"/>
        <w:spacing w:after="0" w:line="291" w:lineRule="auto"/>
        <w:tabs>
          <w:tab w:leader="none" w:pos="1132" w:val="left"/>
        </w:tabs>
        <w:numPr>
          <w:ilvl w:val="3"/>
          <w:numId w:val="39"/>
        </w:numPr>
        <w:rPr>
          <w:rFonts w:ascii="Arial" w:cs="Arial" w:eastAsia="Arial" w:hAnsi="Arial"/>
          <w:sz w:val="16"/>
          <w:szCs w:val="16"/>
          <w:color w:val="auto"/>
        </w:rPr>
      </w:pPr>
      <w:r>
        <w:rPr>
          <w:rFonts w:ascii="Arial" w:cs="Arial" w:eastAsia="Arial" w:hAnsi="Arial"/>
          <w:sz w:val="16"/>
          <w:szCs w:val="16"/>
          <w:color w:val="auto"/>
        </w:rPr>
        <w:t>The Company shall register the Registrable Securities on Form F-3, provided that, if Form F-3 is not available for the registration of the resale of Registrable Securities hereunder, the Company shall (i) register the resale of the Registrable Securities on another appropriate form and</w:t>
      </w:r>
    </w:p>
    <w:p>
      <w:pPr>
        <w:ind w:left="444" w:right="220" w:hanging="4"/>
        <w:spacing w:after="0" w:line="255" w:lineRule="auto"/>
        <w:tabs>
          <w:tab w:leader="none" w:pos="709" w:val="left"/>
        </w:tabs>
        <w:numPr>
          <w:ilvl w:val="2"/>
          <w:numId w:val="39"/>
        </w:numPr>
        <w:rPr>
          <w:rFonts w:ascii="Arial" w:cs="Arial" w:eastAsia="Arial" w:hAnsi="Arial"/>
          <w:sz w:val="18"/>
          <w:szCs w:val="18"/>
          <w:color w:val="auto"/>
        </w:rPr>
      </w:pPr>
      <w:r>
        <w:rPr>
          <w:rFonts w:ascii="Arial" w:cs="Arial" w:eastAsia="Arial" w:hAnsi="Arial"/>
          <w:sz w:val="18"/>
          <w:szCs w:val="18"/>
          <w:color w:val="auto"/>
        </w:rPr>
        <w:t>undertake to register the Registrable Securities on Form F-3 as soon as such form is available, provided that the Company shall maintain the effectiveness of the Registration Statement then in effect until such time as a Registration Statement on Form F-3 covering the Registrable Securities has been declared effective by the SEC.</w:t>
      </w:r>
    </w:p>
    <w:p>
      <w:pPr>
        <w:spacing w:after="0" w:line="189" w:lineRule="exact"/>
        <w:rPr>
          <w:rFonts w:ascii="Arial" w:cs="Arial" w:eastAsia="Arial" w:hAnsi="Arial"/>
          <w:sz w:val="18"/>
          <w:szCs w:val="18"/>
          <w:color w:val="auto"/>
        </w:rPr>
      </w:pPr>
    </w:p>
    <w:p>
      <w:pPr>
        <w:ind w:left="4" w:right="20" w:firstLine="436"/>
        <w:spacing w:after="0" w:line="291" w:lineRule="auto"/>
        <w:tabs>
          <w:tab w:leader="none" w:pos="699" w:val="left"/>
        </w:tabs>
        <w:numPr>
          <w:ilvl w:val="2"/>
          <w:numId w:val="4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pay all fees and expenses incident to the performance of or compliance with this Agreement by the Company whether or not any Registrable Securities are sold pursuant to a Registration Statement. The fees and expenses referred to in the foregoing sentence shall include all fees and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 Except as provided in Section 6 hereof, the Company shall not be responsible for legal fees incurred by holders of Registrable Securities in connection with the performance of its rights and obligations under the Transaction Documents.</w:t>
      </w:r>
    </w:p>
    <w:p>
      <w:pPr>
        <w:spacing w:after="0" w:line="314" w:lineRule="exact"/>
        <w:rPr>
          <w:rFonts w:ascii="Arial" w:cs="Arial" w:eastAsia="Arial" w:hAnsi="Arial"/>
          <w:sz w:val="16"/>
          <w:szCs w:val="16"/>
          <w:color w:val="auto"/>
        </w:rPr>
      </w:pPr>
    </w:p>
    <w:p>
      <w:pPr>
        <w:ind w:left="964" w:hanging="532"/>
        <w:spacing w:after="0"/>
        <w:tabs>
          <w:tab w:leader="none" w:pos="964" w:val="left"/>
        </w:tabs>
        <w:numPr>
          <w:ilvl w:val="2"/>
          <w:numId w:val="40"/>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200" w:firstLine="419"/>
        <w:spacing w:after="0" w:line="257" w:lineRule="auto"/>
        <w:tabs>
          <w:tab w:leader="none" w:pos="1082" w:val="left"/>
        </w:tabs>
        <w:numPr>
          <w:ilvl w:val="3"/>
          <w:numId w:val="40"/>
        </w:numPr>
        <w:rPr>
          <w:rFonts w:ascii="Arial" w:cs="Arial" w:eastAsia="Arial" w:hAnsi="Arial"/>
          <w:sz w:val="18"/>
          <w:szCs w:val="18"/>
          <w:color w:val="auto"/>
        </w:rPr>
      </w:pPr>
      <w:r>
        <w:rPr>
          <w:rFonts w:ascii="Arial" w:cs="Arial" w:eastAsia="Arial" w:hAnsi="Arial"/>
          <w:sz w:val="18"/>
          <w:szCs w:val="18"/>
          <w:color w:val="auto"/>
        </w:rPr>
        <w:t>The Company shall use its best efforts to have a Registration Statement declared effective as soon as practicable after the filing thereof, but no later than 15th calendar day (or 45th calendar day if the SEC notifies the Company that it will “review” the Registration Statement) following the Filing Deadline (the “</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The Company shall notify the Investors by facsimile or e-mail as promptly as practicable, and in any event, within forty-eight (48) hours, after (x) the SEC notified the Company that it has no further comments to the Registration Statement and (y) any Registration Statement is declared effective.</w:t>
      </w:r>
    </w:p>
    <w:p>
      <w:pPr>
        <w:spacing w:after="0" w:line="79" w:lineRule="exact"/>
        <w:rPr>
          <w:rFonts w:ascii="Arial" w:cs="Arial" w:eastAsia="Arial" w:hAnsi="Arial"/>
          <w:sz w:val="18"/>
          <w:szCs w:val="18"/>
          <w:color w:val="auto"/>
        </w:rPr>
      </w:pPr>
    </w:p>
    <w:p>
      <w:pPr>
        <w:ind w:left="444" w:right="300" w:firstLine="419"/>
        <w:spacing w:after="0" w:line="293" w:lineRule="auto"/>
        <w:tabs>
          <w:tab w:leader="none" w:pos="1132" w:val="left"/>
        </w:tabs>
        <w:numPr>
          <w:ilvl w:val="3"/>
          <w:numId w:val="4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the Company may, upon written notice to any holder of Registrable Securities included in a Registration Statement, suspend the use of any Registration Statement, including any Prospectus that forms a part of a Registration Statement, if the Company (X) determines that it would be required to make disclosure of material information in the Registration Statement that the Company has a bona fide business purpose for preserving as confidential, (Y) the Company determines it must amend or supplement the Registration Statement or the related Prospectus in the case of the occurrence of any event or passage of time that makes the financial statements included in a Registration Statement ineligible for inclusion therein or so that such Registration Statement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60" w:name="page61"/>
    <w:bookmarkEnd w:id="60"/>
    <w:p>
      <w:pPr>
        <w:ind w:left="444"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(Z) the Company has experienced or is experiencing some other material non-public event, including a pending transaction involving the Company, the disclosure of which at such time, in the good faith judgment of the Company, would adversely affect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holders of Registrable Securities be suspended from selling Registrable Securities pursuant to the Registration Statement for a period that exceeds 120 calendar days (which need not be consecutive) in any 360-day period (any such suspension contemplated by this Section 2(c)(ii), an “</w:t>
      </w:r>
      <w:r>
        <w:rPr>
          <w:rFonts w:ascii="Arial" w:cs="Arial" w:eastAsia="Arial" w:hAnsi="Arial"/>
          <w:sz w:val="16"/>
          <w:szCs w:val="16"/>
          <w:u w:val="single" w:color="auto"/>
          <w:color w:val="auto"/>
        </w:rPr>
        <w:t>Allowed Delay</w:t>
      </w:r>
      <w:r>
        <w:rPr>
          <w:rFonts w:ascii="Arial" w:cs="Arial" w:eastAsia="Arial" w:hAnsi="Arial"/>
          <w:sz w:val="16"/>
          <w:szCs w:val="16"/>
          <w:color w:val="auto"/>
        </w:rPr>
        <w:t>”). Upon disclosure of such information or the termination of the condition described above, the Company shall provide prompt notice to holders whose Registrable Securities are included in the Registration Statement, and shall promptly terminate any suspension of sales it has put into effect and shall take such other reasonable actions to permit registered sales of Registrable Securities as contemplated hereby.</w:t>
      </w:r>
    </w:p>
    <w:p>
      <w:pPr>
        <w:spacing w:after="0" w:line="166" w:lineRule="exact"/>
        <w:rPr>
          <w:sz w:val="20"/>
          <w:szCs w:val="20"/>
          <w:color w:val="auto"/>
        </w:rPr>
      </w:pPr>
    </w:p>
    <w:p>
      <w:pPr>
        <w:ind w:left="4" w:firstLine="436"/>
        <w:spacing w:after="0" w:line="283" w:lineRule="auto"/>
        <w:tabs>
          <w:tab w:leader="none" w:pos="699"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Rule 415; Cutback</w:t>
      </w:r>
      <w:r>
        <w:rPr>
          <w:rFonts w:ascii="Arial" w:cs="Arial" w:eastAsia="Arial" w:hAnsi="Arial"/>
          <w:sz w:val="16"/>
          <w:szCs w:val="16"/>
          <w:color w:val="auto"/>
        </w:rPr>
        <w:t>. If at any time the SEC takes the position that the offering of some or all of the Registrable Securities in a Registration Statement is not eligible to be made on a delayed or continuous basis under the provisions of Rule 415 under the Securities Act (provided, however, the Company shall be obligated to use diligent efforts to advocate with the SEC for the registration of all of the Registrable Securities in accordance with the SEC Guidance, including without limitation, Compliance and Disclosure Interpretation 612.09)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designated by the holders of a majority of the Registrable Securities to review and oversee any registration or matters pursuant to this Section 2(d), including participation in any meetings or discussions with the SEC regarding the SEC’s position and to comment on any written submission made to the SEC with respect thereto. No such written submission with respect to this matter shall be made to the SEC to which the Investors’ counsel reasonably objects. In the event that, despite the Company’s commercially reasonable efforts and compliance with the terms of this Section 2(d), the SEC refuses to alter its position, the Company shall (i) remove from such Registration Statement such portion of the Registrable Securities (the “</w:t>
      </w:r>
      <w:r>
        <w:rPr>
          <w:rFonts w:ascii="Arial" w:cs="Arial" w:eastAsia="Arial" w:hAnsi="Arial"/>
          <w:sz w:val="16"/>
          <w:szCs w:val="16"/>
          <w:u w:val="single" w:color="auto"/>
          <w:color w:val="auto"/>
        </w:rPr>
        <w:t>Cut Back Shares</w:t>
      </w:r>
      <w:r>
        <w:rPr>
          <w:rFonts w:ascii="Arial" w:cs="Arial" w:eastAsia="Arial" w:hAnsi="Arial"/>
          <w:sz w:val="16"/>
          <w:szCs w:val="16"/>
          <w:color w:val="auto"/>
        </w:rPr>
        <w:t>”) and/or</w:t>
      </w:r>
    </w:p>
    <w:p>
      <w:pPr>
        <w:spacing w:after="0" w:line="2" w:lineRule="exact"/>
        <w:rPr>
          <w:rFonts w:ascii="Arial" w:cs="Arial" w:eastAsia="Arial" w:hAnsi="Arial"/>
          <w:sz w:val="16"/>
          <w:szCs w:val="16"/>
          <w:color w:val="auto"/>
        </w:rPr>
      </w:pPr>
    </w:p>
    <w:p>
      <w:pPr>
        <w:ind w:left="4" w:right="20" w:hanging="4"/>
        <w:spacing w:after="0" w:line="284" w:lineRule="auto"/>
        <w:tabs>
          <w:tab w:leader="none" w:pos="2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6"/>
          <w:szCs w:val="16"/>
          <w:u w:val="single" w:color="auto"/>
          <w:color w:val="auto"/>
        </w:rPr>
        <w:t>SEC Restrictions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agree to name any Investor as an “underwriter” in such Registration Statement without the prior written consent of such Investor. In the event of a cutback hereunder, the Company shall give the Investor at least five (5) Business Days prior written notice along with the calculations as to such Investor’s allotment. Any cut-back imposed on the Investors pursuant to this Section 2(d) shall be allocated among the Investors on a pro rata basis and shall be applied first to any of the Registrable Securities of such Investor as such Investor shall designate, unless the SEC Restrictions otherwise require or provide or the Investors otherwise agree. In furtherance of the foregoing, each Investor shall provide the Company with prompt written notice of its sale of substantially all of the Registrable Securities under such Registration Statement such that the Company will be able to file one or more additional Registration Statements covering the Cut Back Shares. From and after such date as the Company is able to effect the registration of such Cut Back Shares in accordance with any SEC Restrictions applicable to such Cut Back Shares (such date, the “</w:t>
      </w:r>
      <w:r>
        <w:rPr>
          <w:rFonts w:ascii="Arial" w:cs="Arial" w:eastAsia="Arial" w:hAnsi="Arial"/>
          <w:sz w:val="16"/>
          <w:szCs w:val="16"/>
          <w:u w:val="single" w:color="auto"/>
          <w:color w:val="auto"/>
        </w:rPr>
        <w:t>Restriction Termination Date</w:t>
      </w:r>
      <w:r>
        <w:rPr>
          <w:rFonts w:ascii="Arial" w:cs="Arial" w:eastAsia="Arial" w:hAnsi="Arial"/>
          <w:sz w:val="16"/>
          <w:szCs w:val="16"/>
          <w:color w:val="auto"/>
        </w:rPr>
        <w:t xml:space="preserve">”) applicable to any Cut Back Shares, all of the provisions of this Section 2 (including the Company’s obligations with respect to the filing of a Registration Statement and its obligations to use its best efforts to have such Registration Statement declared effective within the time periods set forth herein) shall again be applicable to such Cut Back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Filing Deadline for such Registration Statement including such Cut Back Shares shall be fifteen (15) calendar days after such Restriction Termination Date, and (ii) the date by which the Company is required to obtain effectiveness with respect to such Cut Back Shares shall be the 60th calendar day immediately after the Restriction Termination Date (or the 90th calendar day if the SEC reviews such Registration Statement).</w:t>
      </w:r>
    </w:p>
    <w:p>
      <w:pPr>
        <w:spacing w:after="0" w:line="175" w:lineRule="exact"/>
        <w:rPr>
          <w:rFonts w:ascii="Arial" w:cs="Arial" w:eastAsia="Arial" w:hAnsi="Arial"/>
          <w:sz w:val="16"/>
          <w:szCs w:val="16"/>
          <w:color w:val="auto"/>
        </w:rPr>
      </w:pPr>
    </w:p>
    <w:p>
      <w:pPr>
        <w:ind w:left="4" w:right="20" w:firstLine="436"/>
        <w:spacing w:after="0" w:line="296" w:lineRule="auto"/>
        <w:tabs>
          <w:tab w:leader="none" w:pos="689"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Other Limitations</w:t>
      </w:r>
      <w:r>
        <w:rPr>
          <w:rFonts w:ascii="Arial" w:cs="Arial" w:eastAsia="Arial" w:hAnsi="Arial"/>
          <w:sz w:val="16"/>
          <w:szCs w:val="16"/>
          <w:color w:val="auto"/>
        </w:rPr>
        <w:t>. Notwithstanding any other provision herein or in the Subscription Agreements, (i) the Filing Deadline and each Effectiveness Deadline for a Registration Statement shall be extended without default by the Company hereunder in the event that the Company’s failure to make such filing or obtain such effectiveness results from the failure of an Investor to timely provide the Company with information requested by the Company and necessary to complete a Registration Statement in accordance with the requirements of the Securities Act (in which case any such deadline would be extended with respect to all Registrable Securities until such time as the Investor provides such requested information).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61" w:name="page62"/>
    <w:bookmarkEnd w:id="61"/>
    <w:p>
      <w:pPr>
        <w:ind w:left="4" w:right="500" w:hanging="4"/>
        <w:spacing w:after="0" w:line="277" w:lineRule="auto"/>
        <w:tabs>
          <w:tab w:leader="none" w:pos="18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Obligations</w:t>
      </w:r>
      <w:r>
        <w:rPr>
          <w:rFonts w:ascii="Arial" w:cs="Arial" w:eastAsia="Arial" w:hAnsi="Arial"/>
          <w:sz w:val="18"/>
          <w:szCs w:val="18"/>
          <w:color w:val="auto"/>
        </w:rPr>
        <w:t>. The Company will use its best efforts to effect the registration of the Registrable Securities in accordance with the terms hereof, and pursuant thereto the Company will, as expeditiously as possible:</w:t>
      </w:r>
    </w:p>
    <w:p>
      <w:pPr>
        <w:spacing w:after="0" w:line="170" w:lineRule="exact"/>
        <w:rPr>
          <w:rFonts w:ascii="Arial" w:cs="Arial" w:eastAsia="Arial" w:hAnsi="Arial"/>
          <w:sz w:val="18"/>
          <w:szCs w:val="18"/>
          <w:color w:val="auto"/>
        </w:rPr>
      </w:pPr>
    </w:p>
    <w:p>
      <w:pPr>
        <w:ind w:left="4" w:right="80" w:firstLine="436"/>
        <w:spacing w:after="0" w:line="255" w:lineRule="auto"/>
        <w:tabs>
          <w:tab w:leader="none" w:pos="689"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use its best efforts to cause such Registration Statement to become effective and to remain continuously effective until the earliest of (i) such time as all of the Class A Ordinary Shares covered by such Registration Statement have been previously sold or transferred, (ii) the date on which the Class A Ordinary Shares covered by such Registration Statement may be sold or transferred without any volume or manner-of-sale restrictions pursuant to Rule 144 of the Securities Act, or (iii) two years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two-year period shall be extended by the number of days of the Allowed Delay actually incurred (the “</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and advise the Investors promptly in writing when the Effectiveness Period has expired;</w:t>
      </w:r>
    </w:p>
    <w:p>
      <w:pPr>
        <w:spacing w:after="0" w:line="192" w:lineRule="exact"/>
        <w:rPr>
          <w:rFonts w:ascii="Arial" w:cs="Arial" w:eastAsia="Arial" w:hAnsi="Arial"/>
          <w:sz w:val="18"/>
          <w:szCs w:val="18"/>
          <w:color w:val="auto"/>
        </w:rPr>
      </w:pPr>
    </w:p>
    <w:p>
      <w:pPr>
        <w:ind w:left="4" w:right="60" w:firstLine="436"/>
        <w:spacing w:after="0" w:line="263" w:lineRule="auto"/>
        <w:tabs>
          <w:tab w:leader="none" w:pos="699"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Securities Act and the Exchange Act with respect to the distribution of all of the Registrable Securities covered thereby;</w:t>
      </w:r>
    </w:p>
    <w:p>
      <w:pPr>
        <w:spacing w:after="0" w:line="183" w:lineRule="exact"/>
        <w:rPr>
          <w:rFonts w:ascii="Arial" w:cs="Arial" w:eastAsia="Arial" w:hAnsi="Arial"/>
          <w:sz w:val="18"/>
          <w:szCs w:val="18"/>
          <w:color w:val="auto"/>
        </w:rPr>
      </w:pPr>
    </w:p>
    <w:p>
      <w:pPr>
        <w:ind w:left="4" w:right="100" w:firstLine="436"/>
        <w:spacing w:after="0" w:line="263" w:lineRule="auto"/>
        <w:tabs>
          <w:tab w:leader="none" w:pos="689"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permit, upon request, any counsel designated by the Investors to review each Registration Statement and all amendments and supplements thereto prior to their filing with the SEC and shall use commercially reasonable efforts to reflect in such documents any comments as such counsel may reasonably propose;</w:t>
      </w:r>
    </w:p>
    <w:p>
      <w:pPr>
        <w:spacing w:after="0" w:line="183" w:lineRule="exact"/>
        <w:rPr>
          <w:rFonts w:ascii="Arial" w:cs="Arial" w:eastAsia="Arial" w:hAnsi="Arial"/>
          <w:sz w:val="18"/>
          <w:szCs w:val="18"/>
          <w:color w:val="auto"/>
        </w:rPr>
      </w:pPr>
    </w:p>
    <w:p>
      <w:pPr>
        <w:ind w:left="4" w:right="800" w:firstLine="436"/>
        <w:spacing w:after="0" w:line="277" w:lineRule="auto"/>
        <w:tabs>
          <w:tab w:leader="none" w:pos="699"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respond as promptly as reasonably possible to any comments received from the SEC with respect to a Registration Statement or any amendment thereto;</w:t>
      </w:r>
    </w:p>
    <w:p>
      <w:pPr>
        <w:spacing w:after="0" w:line="170" w:lineRule="exact"/>
        <w:rPr>
          <w:rFonts w:ascii="Arial" w:cs="Arial" w:eastAsia="Arial" w:hAnsi="Arial"/>
          <w:sz w:val="18"/>
          <w:szCs w:val="18"/>
          <w:color w:val="auto"/>
        </w:rPr>
      </w:pPr>
    </w:p>
    <w:p>
      <w:pPr>
        <w:ind w:left="4" w:firstLine="436"/>
        <w:spacing w:after="0" w:line="271" w:lineRule="auto"/>
        <w:tabs>
          <w:tab w:leader="none" w:pos="689" w:val="left"/>
        </w:tabs>
        <w:numPr>
          <w:ilvl w:val="1"/>
          <w:numId w:val="43"/>
        </w:numPr>
        <w:rPr>
          <w:rFonts w:ascii="Arial" w:cs="Arial" w:eastAsia="Arial" w:hAnsi="Arial"/>
          <w:sz w:val="17"/>
          <w:szCs w:val="17"/>
          <w:color w:val="auto"/>
        </w:rPr>
      </w:pPr>
      <w:r>
        <w:rPr>
          <w:rFonts w:ascii="Arial" w:cs="Arial" w:eastAsia="Arial" w:hAnsi="Arial"/>
          <w:sz w:val="17"/>
          <w:szCs w:val="17"/>
          <w:color w:val="auto"/>
        </w:rPr>
        <w:t>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or preliminary prospectus supplement, as applicable, and all amendments and supplements thereto and such other documents as each Investor may reasonably request in order to facilitate the disposition of the Registrable Securities owned by such Investor (it being understood and agreed that such documents, or access thereto, may be provided electronically);</w:t>
      </w:r>
    </w:p>
    <w:p>
      <w:pPr>
        <w:spacing w:after="0" w:line="178" w:lineRule="exact"/>
        <w:rPr>
          <w:rFonts w:ascii="Arial" w:cs="Arial" w:eastAsia="Arial" w:hAnsi="Arial"/>
          <w:sz w:val="17"/>
          <w:szCs w:val="17"/>
          <w:color w:val="auto"/>
        </w:rPr>
      </w:pPr>
    </w:p>
    <w:p>
      <w:pPr>
        <w:ind w:left="4" w:right="60" w:firstLine="436"/>
        <w:spacing w:after="0" w:line="263" w:lineRule="auto"/>
        <w:tabs>
          <w:tab w:leader="none" w:pos="669"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subject to the terms of this Agreement, consent to the use of such Prospectus and each amendment or supplement thereto by each of the selling holders of the Registrable Securities in connection with the offering and sale of the Registrable Securities covered by such Prospectus and any amendment or supplement thereto;</w:t>
      </w:r>
    </w:p>
    <w:p>
      <w:pPr>
        <w:spacing w:after="0" w:line="183" w:lineRule="exact"/>
        <w:rPr>
          <w:rFonts w:ascii="Arial" w:cs="Arial" w:eastAsia="Arial" w:hAnsi="Arial"/>
          <w:sz w:val="18"/>
          <w:szCs w:val="18"/>
          <w:color w:val="auto"/>
        </w:rPr>
      </w:pPr>
    </w:p>
    <w:p>
      <w:pPr>
        <w:ind w:left="4" w:right="140" w:firstLine="436"/>
        <w:spacing w:after="0" w:line="277" w:lineRule="auto"/>
        <w:tabs>
          <w:tab w:leader="none" w:pos="699" w:val="left"/>
        </w:tabs>
        <w:numPr>
          <w:ilvl w:val="1"/>
          <w:numId w:val="43"/>
        </w:numPr>
        <w:rPr>
          <w:rFonts w:ascii="Arial" w:cs="Arial" w:eastAsia="Arial" w:hAnsi="Arial"/>
          <w:sz w:val="18"/>
          <w:szCs w:val="18"/>
          <w:color w:val="auto"/>
        </w:rPr>
      </w:pPr>
      <w:r>
        <w:rPr>
          <w:rFonts w:ascii="Arial" w:cs="Arial" w:eastAsia="Arial" w:hAnsi="Arial"/>
          <w:sz w:val="18"/>
          <w:szCs w:val="18"/>
          <w:color w:val="auto"/>
        </w:rPr>
        <w:t>use commercially reasonable efforts to (i) prevent the issuance of any stop order or other suspension of effectiveness and, (ii) if such order is issued, obtain the withdrawal of any such order at the earliest possible moment;</w:t>
      </w:r>
    </w:p>
    <w:p>
      <w:pPr>
        <w:spacing w:after="0" w:line="170" w:lineRule="exact"/>
        <w:rPr>
          <w:rFonts w:ascii="Arial" w:cs="Arial" w:eastAsia="Arial" w:hAnsi="Arial"/>
          <w:sz w:val="18"/>
          <w:szCs w:val="18"/>
          <w:color w:val="auto"/>
        </w:rPr>
      </w:pPr>
    </w:p>
    <w:p>
      <w:pPr>
        <w:ind w:left="4" w:right="40" w:firstLine="436"/>
        <w:spacing w:after="0" w:line="255" w:lineRule="auto"/>
        <w:tabs>
          <w:tab w:leader="none" w:pos="699"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prior to any public offering of Registrable Securities, use commercially reasonable efforts to assist or cooperate with the Investors and their counsel in connection with their registration or qualification of such Registrable Securities for the offer and sale under the securities or blue sky laws of such jurisdictions reasonably requested by the Investors;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in connection therewith or as a condition thereto to (i) qualify to do business in any jurisdiction where it would not otherwise be required to qualify but for this Section 3(h), (ii) subject itself to general taxation in any jurisdiction where it would not otherwise be so subject but for this Section 3(h), or (iii) file a general consent to service of process in any such jurisdiction;</w:t>
      </w:r>
    </w:p>
    <w:p>
      <w:pPr>
        <w:spacing w:after="0" w:line="192" w:lineRule="exact"/>
        <w:rPr>
          <w:rFonts w:ascii="Arial" w:cs="Arial" w:eastAsia="Arial" w:hAnsi="Arial"/>
          <w:sz w:val="18"/>
          <w:szCs w:val="18"/>
          <w:color w:val="auto"/>
        </w:rPr>
      </w:pPr>
    </w:p>
    <w:p>
      <w:pPr>
        <w:ind w:left="4" w:right="180" w:firstLine="436"/>
        <w:spacing w:after="0" w:line="342" w:lineRule="auto"/>
        <w:tabs>
          <w:tab w:leader="none" w:pos="659" w:val="left"/>
        </w:tabs>
        <w:numPr>
          <w:ilvl w:val="1"/>
          <w:numId w:val="43"/>
        </w:numPr>
        <w:rPr>
          <w:rFonts w:ascii="Arial" w:cs="Arial" w:eastAsia="Arial" w:hAnsi="Arial"/>
          <w:sz w:val="16"/>
          <w:szCs w:val="16"/>
          <w:color w:val="auto"/>
        </w:rPr>
      </w:pPr>
      <w:r>
        <w:rPr>
          <w:rFonts w:ascii="Arial" w:cs="Arial" w:eastAsia="Arial" w:hAnsi="Arial"/>
          <w:sz w:val="16"/>
          <w:szCs w:val="16"/>
          <w:color w:val="auto"/>
        </w:rPr>
        <w:t>use commercially reasonable efforts to cause all Registrable Securities covered by a Registration Statement to be listed on the Nasdaq Global Market (or the primary securities exchange, interdealer quotation system or other market on which the Class A Ordinary Shares are then listed);</w:t>
      </w:r>
    </w:p>
    <w:p>
      <w:pPr>
        <w:spacing w:after="0" w:line="123" w:lineRule="exact"/>
        <w:rPr>
          <w:rFonts w:ascii="Arial" w:cs="Arial" w:eastAsia="Arial" w:hAnsi="Arial"/>
          <w:sz w:val="16"/>
          <w:szCs w:val="16"/>
          <w:color w:val="auto"/>
        </w:rPr>
      </w:pPr>
    </w:p>
    <w:p>
      <w:pPr>
        <w:ind w:left="4" w:right="80" w:firstLine="436"/>
        <w:spacing w:after="0" w:line="311" w:lineRule="auto"/>
        <w:tabs>
          <w:tab w:leader="none" w:pos="659" w:val="left"/>
        </w:tabs>
        <w:numPr>
          <w:ilvl w:val="1"/>
          <w:numId w:val="43"/>
        </w:numPr>
        <w:rPr>
          <w:rFonts w:ascii="Arial" w:cs="Arial" w:eastAsia="Arial" w:hAnsi="Arial"/>
          <w:sz w:val="16"/>
          <w:szCs w:val="16"/>
          <w:color w:val="auto"/>
        </w:rPr>
      </w:pPr>
      <w:r>
        <w:rPr>
          <w:rFonts w:ascii="Arial" w:cs="Arial" w:eastAsia="Arial" w:hAnsi="Arial"/>
          <w:sz w:val="16"/>
          <w:szCs w:val="16"/>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62" w:name="page63"/>
    <w:bookmarkEnd w:id="62"/>
    <w:p>
      <w:pPr>
        <w:jc w:val="both"/>
        <w:ind w:left="4"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84" w:lineRule="exact"/>
        <w:rPr>
          <w:sz w:val="20"/>
          <w:szCs w:val="20"/>
          <w:color w:val="auto"/>
        </w:rPr>
      </w:pPr>
    </w:p>
    <w:p>
      <w:pPr>
        <w:ind w:left="4" w:firstLine="436"/>
        <w:spacing w:after="0" w:line="255" w:lineRule="auto"/>
        <w:tabs>
          <w:tab w:leader="none" w:pos="69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Investors in writing if, at any time during the Effectiveness Period, the Company does not satisfy the conditions specified in Rule 172 under the Securities Act and, as a result thereof, the Investors are required to deliver a Prospectus in connection with any disposition of Registrable Securities and take such other actions as may be reasonably necessary to facilitate the registration of the Registrable Securities hereunder;</w:t>
      </w:r>
    </w:p>
    <w:p>
      <w:pPr>
        <w:spacing w:after="0" w:line="192" w:lineRule="exact"/>
        <w:rPr>
          <w:rFonts w:ascii="Arial" w:cs="Arial" w:eastAsia="Arial" w:hAnsi="Arial"/>
          <w:sz w:val="18"/>
          <w:szCs w:val="18"/>
          <w:color w:val="auto"/>
        </w:rPr>
      </w:pPr>
    </w:p>
    <w:p>
      <w:pPr>
        <w:ind w:left="4" w:right="60" w:firstLine="436"/>
        <w:spacing w:after="0" w:line="269" w:lineRule="auto"/>
        <w:tabs>
          <w:tab w:leader="none" w:pos="659"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 a view to making available to the Investors the benefits of Rule 144 (or its successor rule) and any other rule or regulation of the SEC that may at any time permit the Investors to sell Class A Ordinary Shares to the public without registration, the Company covenants and agrees to: (i) make and keep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20-F or current report on Form 6-K in which the Company has furnished its quarterly financial statements, and (C) such other information as may be reasonably requested in order to avail such Investor of any rule or regulation of the SEC that permits the selling of any such Registrable Securities without registration; and</w:t>
      </w:r>
    </w:p>
    <w:p>
      <w:pPr>
        <w:spacing w:after="0" w:line="185" w:lineRule="exact"/>
        <w:rPr>
          <w:rFonts w:ascii="Arial" w:cs="Arial" w:eastAsia="Arial" w:hAnsi="Arial"/>
          <w:sz w:val="17"/>
          <w:szCs w:val="17"/>
          <w:color w:val="auto"/>
        </w:rPr>
      </w:pPr>
    </w:p>
    <w:p>
      <w:pPr>
        <w:ind w:left="4" w:right="240" w:firstLine="436"/>
        <w:spacing w:after="0" w:line="259" w:lineRule="auto"/>
        <w:tabs>
          <w:tab w:leader="none" w:pos="7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requested by an Investor, cooperate with such Investor to facilitate the timely preparation and delivery of certificates representing Registrable Securities to be delivered to a transferee pursuant to an effective Registration Statement, which certificates shall be free, to the extent permitted by applicable law, of all restrictive legends, and to enable such certificates to be in such denominations and registered in such names as any such Investor may request.</w:t>
      </w:r>
    </w:p>
    <w:p>
      <w:pPr>
        <w:spacing w:after="0" w:line="187" w:lineRule="exact"/>
        <w:rPr>
          <w:sz w:val="20"/>
          <w:szCs w:val="20"/>
          <w:color w:val="auto"/>
        </w:rPr>
      </w:pPr>
    </w:p>
    <w:p>
      <w:pPr>
        <w:ind w:left="4" w:firstLine="436"/>
        <w:spacing w:after="0" w:line="283" w:lineRule="auto"/>
        <w:tabs>
          <w:tab w:leader="none" w:pos="624"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Due Diligence Review; Information.</w:t>
      </w:r>
      <w:r>
        <w:rPr>
          <w:rFonts w:ascii="Arial" w:cs="Arial" w:eastAsia="Arial" w:hAnsi="Arial"/>
          <w:sz w:val="16"/>
          <w:szCs w:val="16"/>
          <w:color w:val="auto"/>
        </w:rPr>
        <w:t xml:space="preserve"> If any Investor is required under applicable securities laws to be described in a Registration Statement as an “underwriter,” the Company shall, upon reasonable prior notice, make available, during normal business hours, for inspection and review by the Investors, advisors to and representatives of the Investors (who may or may not be affiliated with the Investors and who are reasonably acceptable to the Company)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all pertinent financial and other records, and all other corporate documents and properties of the Company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xml:space="preserve">”)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such Investor and its accountants and attorneys to conduct such due diligence solely for the purpose of establishing a due diligence defense to underwriter liability under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Inspector shall agree to hold in strict confidence and shall not make any disclosure (except to such Investor) or use of any Record or other information which the Company determines in good faith to be confidential, and of which determination the Inspectors are so notified in writing, unless (a) the disclosure of such Records is necessary to avoid or correct a misstatement or omission in any Registration Statement or is otherwise required under the Securities Act,</w:t>
      </w:r>
    </w:p>
    <w:p>
      <w:pPr>
        <w:spacing w:after="0" w:line="2" w:lineRule="exact"/>
        <w:rPr>
          <w:rFonts w:ascii="Arial" w:cs="Arial" w:eastAsia="Arial" w:hAnsi="Arial"/>
          <w:sz w:val="16"/>
          <w:szCs w:val="16"/>
          <w:color w:val="auto"/>
        </w:rPr>
      </w:pPr>
    </w:p>
    <w:p>
      <w:pPr>
        <w:ind w:left="4" w:right="40" w:hanging="4"/>
        <w:spacing w:after="0" w:line="269" w:lineRule="auto"/>
        <w:tabs>
          <w:tab w:leader="none" w:pos="25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release of such Records is ordered pursuant to a final, non- appealable subpoena or order from a court or government body of competent jurisdiction, or (c) the information in such Records has been made generally available to the public other than by disclosure in violation of this Section 4 or the Subscription Agreements. Each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any Investor) shall be deemed to limit the Investors’ ability to sell Registrable Securities in a manner which is otherwise consistent with applicable laws and regulations.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63" w:name="page64"/>
    <w:bookmarkEnd w:id="63"/>
    <w:p>
      <w:pPr>
        <w:ind w:left="4"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the Company shall not disclose material nonpublic information to the Investors, or to advisors to or representatives of the Investors, unless prior to disclosure of such information the Company identifies such information as being material nonpublic information and provides the Investors, such advisors and representatives with the opportunity to accept or refuse to accept such material nonpublic information for review and any Investor wishing to obtain such information enters into an appropriate confidentiality agreement with the Company with respect thereto.</w:t>
      </w:r>
    </w:p>
    <w:p>
      <w:pPr>
        <w:spacing w:after="0" w:line="306" w:lineRule="exact"/>
        <w:rPr>
          <w:sz w:val="20"/>
          <w:szCs w:val="20"/>
          <w:color w:val="auto"/>
        </w:rPr>
      </w:pPr>
    </w:p>
    <w:p>
      <w:pPr>
        <w:ind w:left="424" w:hanging="424"/>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Obligations of the Investors.</w:t>
      </w:r>
    </w:p>
    <w:p>
      <w:pPr>
        <w:spacing w:after="0" w:line="117" w:lineRule="exact"/>
        <w:rPr>
          <w:rFonts w:ascii="Arial" w:cs="Arial" w:eastAsia="Arial" w:hAnsi="Arial"/>
          <w:sz w:val="18"/>
          <w:szCs w:val="18"/>
          <w:color w:val="auto"/>
        </w:rPr>
      </w:pPr>
    </w:p>
    <w:p>
      <w:pPr>
        <w:ind w:left="4" w:right="80" w:firstLine="436"/>
        <w:spacing w:after="0" w:line="286" w:lineRule="auto"/>
        <w:tabs>
          <w:tab w:leader="none" w:pos="689"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Each Investor shall execute and deliver a Selling Shareholder Notice and Questionnaire substantially in the form and substance,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 within seven (7) calendar days after the Closing Date. Each Investor shall additionally furnish in writing to the Company such other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seven (7) calendar days prior to the first anticipated filing date of any Registration Statement, the Company shall notify each Investor of the additional information the Company requires from such Investor if such Investor elects to have any of the Registrable Securities included in such Registration Statement (the “</w:t>
      </w:r>
      <w:r>
        <w:rPr>
          <w:rFonts w:ascii="Arial" w:cs="Arial" w:eastAsia="Arial" w:hAnsi="Arial"/>
          <w:sz w:val="16"/>
          <w:szCs w:val="16"/>
          <w:u w:val="single" w:color="auto"/>
          <w:color w:val="auto"/>
        </w:rPr>
        <w:t>Registration Information Notice</w:t>
      </w:r>
      <w:r>
        <w:rPr>
          <w:rFonts w:ascii="Arial" w:cs="Arial" w:eastAsia="Arial" w:hAnsi="Arial"/>
          <w:sz w:val="16"/>
          <w:szCs w:val="16"/>
          <w:color w:val="auto"/>
        </w:rPr>
        <w:t>”). An Investor shall provide such information to the Company no later than three (3) calendar days following receipt of a Registration Information Notice if such Investor elects to have any of the Registrable Securities included in such Registration Statement. It is agreed and understood that it shall be a condition precedent to the obligations of the Company to complete the registration pursuant to this Agreement with respect to the Registrable Securities of a particular Investor that (i) such Investor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(ii) the Investor execute such documents in connection with such registration as the Company may reasonably request, including, without limitation, a waiver of its registration rights hereunder to the extent an Investor elects not to have any of its Registrable Securities included in a Registration Statement.</w:t>
      </w:r>
    </w:p>
    <w:p>
      <w:pPr>
        <w:spacing w:after="0" w:line="170" w:lineRule="exact"/>
        <w:rPr>
          <w:rFonts w:ascii="Arial" w:cs="Arial" w:eastAsia="Arial" w:hAnsi="Arial"/>
          <w:sz w:val="16"/>
          <w:szCs w:val="16"/>
          <w:color w:val="auto"/>
        </w:rPr>
      </w:pPr>
    </w:p>
    <w:p>
      <w:pPr>
        <w:ind w:left="4" w:right="100" w:firstLine="436"/>
        <w:spacing w:after="0" w:line="263" w:lineRule="auto"/>
        <w:tabs>
          <w:tab w:leader="none" w:pos="699"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183" w:lineRule="exact"/>
        <w:rPr>
          <w:rFonts w:ascii="Arial" w:cs="Arial" w:eastAsia="Arial" w:hAnsi="Arial"/>
          <w:sz w:val="18"/>
          <w:szCs w:val="18"/>
          <w:color w:val="auto"/>
        </w:rPr>
      </w:pPr>
    </w:p>
    <w:p>
      <w:pPr>
        <w:jc w:val="both"/>
        <w:ind w:left="4" w:right="40" w:firstLine="436"/>
        <w:spacing w:after="0" w:line="259" w:lineRule="auto"/>
        <w:tabs>
          <w:tab w:leader="none" w:pos="689"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Investor agrees that, upon receipt of any written notice from the Company of either (i) the commencement of an Allowed Delay pursuant to Section 2(c)(ii) or (ii) the happening of an event pursuant to Section 3(j)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186" w:lineRule="exact"/>
        <w:rPr>
          <w:rFonts w:ascii="Arial" w:cs="Arial" w:eastAsia="Arial" w:hAnsi="Arial"/>
          <w:sz w:val="18"/>
          <w:szCs w:val="18"/>
          <w:color w:val="auto"/>
        </w:rPr>
      </w:pPr>
    </w:p>
    <w:p>
      <w:pPr>
        <w:ind w:left="4" w:right="100" w:firstLine="436"/>
        <w:spacing w:after="0" w:line="277" w:lineRule="auto"/>
        <w:tabs>
          <w:tab w:leader="none" w:pos="699"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Investor covenants and agrees that it will comply with the prospectus delivery requirements of the Securities Act as applicable to it or an exemption therefrom in connection with sales of Registrable Securities pursuant to any Registration Statement.</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30" w:lineRule="exact"/>
        <w:rPr>
          <w:rFonts w:ascii="Arial" w:cs="Arial" w:eastAsia="Arial" w:hAnsi="Arial"/>
          <w:sz w:val="18"/>
          <w:szCs w:val="18"/>
          <w:color w:val="auto"/>
        </w:rPr>
      </w:pPr>
    </w:p>
    <w:p>
      <w:pPr>
        <w:ind w:left="964" w:hanging="532"/>
        <w:spacing w:after="0" w:line="269" w:lineRule="auto"/>
        <w:tabs>
          <w:tab w:leader="none" w:pos="964"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xml:space="preserve"> The Company will indemnify and hold harmless each Investor and its officers, directors, members, employees and agents, successors and assigns, and each other person, if any, who controls such Investor within the meaning of the Securities Act, against any losses, claims, damages or liabilities, joint or several, to which they may become subject under the Securities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an Investor of an outdated or defective Prospectus after the Company has notified such Investor in writing that such Prospectus is outdated or defective or (iii) an Investor’s failure to send or give a copy of the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64" w:name="page65"/>
    <w:bookmarkEnd w:id="64"/>
    <w:p>
      <w:pPr>
        <w:ind w:left="98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Prospectus or supplement (as then amended or supplemented), if required (and not exempted) to the Persons asserting an untrue statement or omission or alleged untrue statement or omission at or prior to the written confirmation of the sale of Registrable Securities. The Company shall notify the holders of Registrable Securities promptly in writing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w:t>
      </w:r>
    </w:p>
    <w:p>
      <w:pPr>
        <w:spacing w:after="0" w:line="176" w:lineRule="exact"/>
        <w:rPr>
          <w:sz w:val="20"/>
          <w:szCs w:val="20"/>
          <w:color w:val="auto"/>
        </w:rPr>
      </w:pPr>
    </w:p>
    <w:p>
      <w:pPr>
        <w:ind w:left="4" w:firstLine="436"/>
        <w:spacing w:after="0" w:line="288" w:lineRule="auto"/>
        <w:tabs>
          <w:tab w:leader="none" w:pos="699"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Indemnification by the Investors.</w:t>
      </w:r>
      <w:r>
        <w:rPr>
          <w:rFonts w:ascii="Arial" w:cs="Arial" w:eastAsia="Arial" w:hAnsi="Arial"/>
          <w:sz w:val="16"/>
          <w:szCs w:val="16"/>
          <w:color w:val="auto"/>
        </w:rPr>
        <w:t xml:space="preserve"> Each Investor agrees, severally but not jointly, to indemnify and hold harmless, to the fullest extent permitted by law, the Company, its directors, officers, employees, shareholders and each person who controls the Company (within the meaning of the Securities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regarding such Investor and furnished in writing by such Investor to the Company specifically for inclusion in such Registration Statement or Prospectus or amendment or supplement thereto. In no event shall the liability of an Investor be greater than the dollar amount of the proceeds (net of all expenses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w:t>
      </w:r>
    </w:p>
    <w:p>
      <w:pPr>
        <w:spacing w:after="0" w:line="168" w:lineRule="exact"/>
        <w:rPr>
          <w:rFonts w:ascii="Arial" w:cs="Arial" w:eastAsia="Arial" w:hAnsi="Arial"/>
          <w:sz w:val="16"/>
          <w:szCs w:val="16"/>
          <w:color w:val="auto"/>
        </w:rPr>
      </w:pPr>
    </w:p>
    <w:p>
      <w:pPr>
        <w:jc w:val="center"/>
        <w:ind w:left="4" w:right="60" w:firstLine="436"/>
        <w:spacing w:after="0" w:line="291" w:lineRule="auto"/>
        <w:tabs>
          <w:tab w:leader="none" w:pos="689"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If any proceeding shall be brought or asserted against any person entitled to indemnification hereunder, such indemnified party shall (i) give prompt notice to the indemnifying party of any claim with respect to which it seeks indemnification and</w:t>
      </w:r>
    </w:p>
    <w:p>
      <w:pPr>
        <w:ind w:left="4" w:hanging="4"/>
        <w:spacing w:after="0" w:line="284" w:lineRule="auto"/>
        <w:tabs>
          <w:tab w:leader="none" w:pos="269"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permit such indemnifying party to assume the defense of such claim with counsel reasonably satisfactory to the indemnified party and the payment of all fees and expenses incurred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177" w:lineRule="exact"/>
        <w:rPr>
          <w:rFonts w:ascii="Arial" w:cs="Arial" w:eastAsia="Arial" w:hAnsi="Arial"/>
          <w:sz w:val="16"/>
          <w:szCs w:val="16"/>
          <w:color w:val="auto"/>
        </w:rPr>
      </w:pPr>
    </w:p>
    <w:p>
      <w:pPr>
        <w:ind w:left="4" w:right="40" w:firstLine="436"/>
        <w:spacing w:after="0" w:line="253" w:lineRule="auto"/>
        <w:tabs>
          <w:tab w:leader="none" w:pos="699"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Securities Act shall be entitled to contribution from any person not guilty of such fraudulent misrepresentation. In no event shall the contribution obligation of a holder of Registrable Securities be greater in amount than the dollar amount of the proceeds (net of all expenses paid by such holder in connection with any claim relating to this Section 6 and the amount of any damages such holder has otherwise been required to pay by reason of such untrue statement or omission) received by it upon the sale of the Registrable Securities giving rise to such contribution obligation.</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65" w:name="page66"/>
    <w:bookmarkEnd w:id="65"/>
    <w:p>
      <w:pPr>
        <w:ind w:left="184" w:hanging="184"/>
        <w:spacing w:after="0"/>
        <w:tabs>
          <w:tab w:leader="none" w:pos="18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Miscellaneous.</w:t>
      </w:r>
    </w:p>
    <w:p>
      <w:pPr>
        <w:spacing w:after="0" w:line="130" w:lineRule="exact"/>
        <w:rPr>
          <w:rFonts w:ascii="Arial" w:cs="Arial" w:eastAsia="Arial" w:hAnsi="Arial"/>
          <w:sz w:val="18"/>
          <w:szCs w:val="18"/>
          <w:color w:val="auto"/>
        </w:rPr>
      </w:pPr>
    </w:p>
    <w:p>
      <w:pPr>
        <w:ind w:left="964" w:right="20" w:hanging="532"/>
        <w:spacing w:after="0" w:line="268" w:lineRule="auto"/>
        <w:tabs>
          <w:tab w:leader="none" w:pos="964"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This Agreement may be amended only by a writing signed by the Company and the Required Investors provided that, if any amendment, modification or waiver disproportionately and adversely impacts a holder of Registrable Securities (or group of holders of Registrable Securities), the consent of such disproportionately impacted holder of Registrable Securities (or group of holders of Registrable Securities) shall be required. The Company may take any action herein prohibited, or omit to perform any act herein required to be performed by it, only if the Company shall have obtained the written consent to such amendment, action or omission to act, of the Required Investors. If a Registration Statement does not register all of the Registrable Securities pursuant to a waiver or amendment done in compliance with the previous sentence, then the number of Registrable Securities to be registered for each holder of Registrable Securities shall be reduced pro rata among all holders of Registrable Securities and each holder of Registrable Securities shall have the right to designate which of its Registrable Securities shall be omitted from such Registration Statement. Notwithstanding the foregoing, this Agreement may not be amended and the observance of any term hereof may not be waived with respect to any Investor without the written consent of such Investor, unless such amendment or waiver applies to all Investors in the same fashion. No consideration shall be offered or paid to any Investor to amend or consent to a waiver or modification of any provision of this Agreement unless the same consideration also is offered to all of the parties to this Agreement.</w:t>
      </w:r>
    </w:p>
    <w:p>
      <w:pPr>
        <w:spacing w:after="0" w:line="186" w:lineRule="exact"/>
        <w:rPr>
          <w:rFonts w:ascii="Arial" w:cs="Arial" w:eastAsia="Arial" w:hAnsi="Arial"/>
          <w:sz w:val="17"/>
          <w:szCs w:val="17"/>
          <w:color w:val="auto"/>
        </w:rPr>
      </w:pPr>
    </w:p>
    <w:p>
      <w:pPr>
        <w:ind w:left="4" w:right="940" w:firstLine="436"/>
        <w:spacing w:after="0" w:line="277" w:lineRule="auto"/>
        <w:tabs>
          <w:tab w:leader="none" w:pos="69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provided for or permitted hereunder shall be made as set forth in Section 5.6 of the Subscription Agreements.</w:t>
      </w:r>
    </w:p>
    <w:p>
      <w:pPr>
        <w:spacing w:after="0" w:line="170" w:lineRule="exact"/>
        <w:rPr>
          <w:rFonts w:ascii="Arial" w:cs="Arial" w:eastAsia="Arial" w:hAnsi="Arial"/>
          <w:sz w:val="18"/>
          <w:szCs w:val="18"/>
          <w:color w:val="auto"/>
        </w:rPr>
      </w:pPr>
    </w:p>
    <w:p>
      <w:pPr>
        <w:ind w:left="4" w:right="20" w:firstLine="436"/>
        <w:spacing w:after="0" w:line="269" w:lineRule="auto"/>
        <w:tabs>
          <w:tab w:leader="none" w:pos="689"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Assignments and Transfers by Investors.</w:t>
      </w:r>
      <w:r>
        <w:rPr>
          <w:rFonts w:ascii="Arial" w:cs="Arial" w:eastAsia="Arial" w:hAnsi="Arial"/>
          <w:sz w:val="17"/>
          <w:szCs w:val="17"/>
          <w:color w:val="auto"/>
        </w:rPr>
        <w:t xml:space="preserve">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Securities Act or applicable state securities laws; (iv) at or before the time the Company receives the written notice contemplated by clause (ii) of this sentence the transferee or assignee agrees in writing with the Company to be bound by all of the provisions contained herein and (v) such transfer shall have been made in accordance with the applicable requirements of the Subscription Agreements.</w:t>
      </w:r>
    </w:p>
    <w:p>
      <w:pPr>
        <w:spacing w:after="0" w:line="185" w:lineRule="exact"/>
        <w:rPr>
          <w:rFonts w:ascii="Arial" w:cs="Arial" w:eastAsia="Arial" w:hAnsi="Arial"/>
          <w:sz w:val="17"/>
          <w:szCs w:val="17"/>
          <w:color w:val="auto"/>
        </w:rPr>
      </w:pPr>
    </w:p>
    <w:p>
      <w:pPr>
        <w:ind w:left="4" w:firstLine="436"/>
        <w:spacing w:after="0" w:line="254" w:lineRule="auto"/>
        <w:tabs>
          <w:tab w:leader="none" w:pos="69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xml:space="preserve">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Class A Ordinary Shares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194" w:lineRule="exact"/>
        <w:rPr>
          <w:rFonts w:ascii="Arial" w:cs="Arial" w:eastAsia="Arial" w:hAnsi="Arial"/>
          <w:sz w:val="18"/>
          <w:szCs w:val="18"/>
          <w:color w:val="auto"/>
        </w:rPr>
      </w:pPr>
    </w:p>
    <w:p>
      <w:pPr>
        <w:ind w:left="4" w:right="180" w:firstLine="436"/>
        <w:spacing w:after="0" w:line="259" w:lineRule="auto"/>
        <w:tabs>
          <w:tab w:leader="none" w:pos="68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xml:space="preserve">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6" w:lineRule="exact"/>
        <w:rPr>
          <w:rFonts w:ascii="Arial" w:cs="Arial" w:eastAsia="Arial" w:hAnsi="Arial"/>
          <w:sz w:val="18"/>
          <w:szCs w:val="18"/>
          <w:color w:val="auto"/>
        </w:rPr>
      </w:pPr>
    </w:p>
    <w:p>
      <w:pPr>
        <w:ind w:left="4" w:firstLine="436"/>
        <w:spacing w:after="0" w:line="342" w:lineRule="auto"/>
        <w:tabs>
          <w:tab w:leader="none" w:pos="669"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Counterparts; Faxes.</w:t>
      </w:r>
      <w:r>
        <w:rPr>
          <w:rFonts w:ascii="Arial" w:cs="Arial" w:eastAsia="Arial" w:hAnsi="Arial"/>
          <w:sz w:val="16"/>
          <w:szCs w:val="16"/>
          <w:color w:val="auto"/>
        </w:rPr>
        <w:t xml:space="preserve"> This Agreement may be executed in two or more counterparts, each of which shall be deemed an original, but all of which together shall constitute one and the same instrument. This Agreement may also be executed via facsimile or e-mail, which shall be deemed an original.</w:t>
      </w:r>
    </w:p>
    <w:p>
      <w:pPr>
        <w:spacing w:after="0" w:line="123" w:lineRule="exact"/>
        <w:rPr>
          <w:rFonts w:ascii="Arial" w:cs="Arial" w:eastAsia="Arial" w:hAnsi="Arial"/>
          <w:sz w:val="16"/>
          <w:szCs w:val="16"/>
          <w:color w:val="auto"/>
        </w:rPr>
      </w:pPr>
    </w:p>
    <w:p>
      <w:pPr>
        <w:ind w:left="4" w:right="40" w:firstLine="436"/>
        <w:spacing w:after="0" w:line="277" w:lineRule="auto"/>
        <w:tabs>
          <w:tab w:leader="none" w:pos="69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xml:space="preserve"> The titles and subtitles used in this Agreement are used for convenience only and are not to be considered in construing or interpreting this Agreement.</w:t>
      </w:r>
    </w:p>
    <w:p>
      <w:pPr>
        <w:spacing w:after="0" w:line="170"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66" w:name="page67"/>
    <w:bookmarkEnd w:id="66"/>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84" w:lineRule="exact"/>
        <w:rPr>
          <w:sz w:val="20"/>
          <w:szCs w:val="20"/>
          <w:color w:val="auto"/>
        </w:rPr>
      </w:pPr>
    </w:p>
    <w:p>
      <w:pPr>
        <w:ind w:right="320" w:firstLine="436"/>
        <w:spacing w:after="0" w:line="342"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3" w:lineRule="exact"/>
        <w:rPr>
          <w:rFonts w:ascii="Arial" w:cs="Arial" w:eastAsia="Arial" w:hAnsi="Arial"/>
          <w:sz w:val="16"/>
          <w:szCs w:val="16"/>
          <w:color w:val="auto"/>
        </w:rPr>
      </w:pPr>
    </w:p>
    <w:p>
      <w:pPr>
        <w:ind w:right="600" w:firstLine="436"/>
        <w:spacing w:after="0" w:line="286"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65" w:lineRule="exact"/>
        <w:rPr>
          <w:rFonts w:ascii="Arial" w:cs="Arial" w:eastAsia="Arial" w:hAnsi="Arial"/>
          <w:sz w:val="17"/>
          <w:szCs w:val="17"/>
          <w:color w:val="auto"/>
        </w:rPr>
      </w:pPr>
    </w:p>
    <w:p>
      <w:pPr>
        <w:ind w:right="40" w:firstLine="436"/>
        <w:spacing w:after="0" w:line="259"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Consent to Jurisdiction; Waiver of Jury Trial. This Agreement shall be governed and interpreted in accordance with the internal laws of the State of New York. Each of the Parties agrees and consents to personal jurisdiction and venue in any federal or state court within the Borough of Manhattan, in the city of New York, having subject matter jurisdiction, for the purposes of any action, suit or proceeding arising out of or relating to this Agreement.</w:t>
      </w:r>
    </w:p>
    <w:p>
      <w:pPr>
        <w:spacing w:after="0" w:line="186" w:lineRule="exact"/>
        <w:rPr>
          <w:rFonts w:ascii="Arial" w:cs="Arial" w:eastAsia="Arial" w:hAnsi="Arial"/>
          <w:sz w:val="18"/>
          <w:szCs w:val="18"/>
          <w:color w:val="auto"/>
        </w:rPr>
      </w:pPr>
    </w:p>
    <w:p>
      <w:pPr>
        <w:ind w:left="660" w:hanging="224"/>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other remedies provided by law.</w:t>
      </w:r>
    </w:p>
    <w:p>
      <w:pPr>
        <w:spacing w:after="0" w:line="225" w:lineRule="exact"/>
        <w:rPr>
          <w:rFonts w:ascii="Arial" w:cs="Arial" w:eastAsia="Arial" w:hAnsi="Arial"/>
          <w:sz w:val="18"/>
          <w:szCs w:val="18"/>
          <w:color w:val="auto"/>
        </w:rPr>
      </w:pPr>
    </w:p>
    <w:p>
      <w:pPr>
        <w:ind w:firstLine="436"/>
        <w:spacing w:after="0" w:line="286" w:lineRule="auto"/>
        <w:tabs>
          <w:tab w:leader="none" w:pos="74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Independent Nature of Holders’ Obligations and Rights</w:t>
      </w:r>
      <w:r>
        <w:rPr>
          <w:rFonts w:ascii="Arial" w:cs="Arial" w:eastAsia="Arial" w:hAnsi="Arial"/>
          <w:sz w:val="16"/>
          <w:szCs w:val="16"/>
          <w:color w:val="auto"/>
        </w:rPr>
        <w:t>. The obligations of each holder of Registrable Securities hereunder are several and not joint with the obligations of any other holder of Registrable Securities hereunder, and no holder of Registrable Securities shall be responsible in any way for the performance of the obligations of any other holder of Registrable Securities hereunder. Nothing contained herein or in any other agreement or document delivered in connection with the Subscription Agreements, and no action taken by any holder of Registrable Securities pursuant hereto or thereto, shall be deemed to constitute the holders of Registrable Securities as a partnership, an association, a joint venture or any other kind of group or entity, or create a presumption that the holders of Registrable Securities are in any way acting in concert or as a group or entity with respect to such obligations or the transactions contemplated by this Agreement or any other matters, and the Company acknowledges that the holders of Registrable Securities are not acting in concert or as a group, and the Company shall not assert any such claim, with respect to such obligations or transactions. Each holder of Registrable Securities shall be entitled to protect and enforce its rights, including without limitation the rights arising out of this Agreement, and it shall not be necessary for any other holder of Registrable Securities to be joined as an additional party in any proceeding for such purpose. The use of a single agreement with respect to the obligations of the Company contained was solely in the control of the Company, not the action or decision of any holder of Registrable Securities, and was done solely for the convenience of the Company and not because it was required or requested to do so by any holder of Registrable Securities. It is expressly understood and agreed that each provision contained in this Agreement is between the Company and a holder of Registrable Securities, solely, and not between the Company and the holders of Registrable Securities collectively and not between and among holders of Registrable Securities.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6"/>
          <w:szCs w:val="16"/>
          <w:color w:val="auto"/>
        </w:rPr>
        <w:t>, the parties hereto have duly executed this Agreement effective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iClick Interactive Asia Group Limited</w:t>
      </w:r>
    </w:p>
    <w:p>
      <w:pPr>
        <w:spacing w:after="0" w:line="252"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Terence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Terence Li</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9579"/>
          </w:cols>
          <w:pgMar w:left="880" w:top="270" w:right="1440"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6"/>
          <w:szCs w:val="16"/>
          <w:color w:val="auto"/>
        </w:rPr>
        <w:t>, the parties hereto have duly executed this Agreement effective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SeaTown Master Fund</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Patrick Pang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9579"/>
          </w:cols>
          <w:pgMar w:left="880" w:top="270"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the parties hereto have duly executed this Agreement effective as of the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The Segantii Asia-Pacific Equity Multi-Strategy Fund</w:t>
      </w:r>
    </w:p>
    <w:p>
      <w:pPr>
        <w:spacing w:after="0" w:line="252"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Niral Maru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Niral Maru</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0300"/>
          </w:cols>
          <w:pgMar w:left="880" w:top="270" w:right="71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6"/>
          <w:szCs w:val="16"/>
          <w:color w:val="auto"/>
        </w:rPr>
        <w:t>, the parties hereto have duly executed this Agreement effective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Maso Capital Investments Limited</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MANOJ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MANOJ JAIN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7"/>
          <w:szCs w:val="17"/>
          <w:color w:val="auto"/>
        </w:rPr>
        <w:t>Title:</w:t>
        <w:tab/>
        <w:t>AUTHORISED SIGNATORY</w:t>
      </w:r>
    </w:p>
    <w:p>
      <w:pPr>
        <w:sectPr>
          <w:pgSz w:w="11900" w:h="16838" w:orient="portrait"/>
          <w:cols w:equalWidth="0" w:num="1">
            <w:col w:w="9579"/>
          </w:cols>
          <w:pgMar w:left="880" w:top="270"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the parties hereto have duly executed this Agreement effective as of the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BLACKWELL PARTNERS LLC – SERIES A</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MANOJ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MANOJ JAIN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AUTHORISED SIGNATORY</w:t>
      </w:r>
    </w:p>
    <w:p>
      <w:pPr>
        <w:sectPr>
          <w:pgSz w:w="11900" w:h="16838" w:orient="portrait"/>
          <w:cols w:equalWidth="0" w:num="1">
            <w:col w:w="9760"/>
          </w:cols>
          <w:pgMar w:left="880" w:top="270" w:right="125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6"/>
          <w:szCs w:val="16"/>
          <w:color w:val="auto"/>
        </w:rPr>
        <w:t>, the parties hereto have duly executed this Agreement effective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STAR V PARTNERS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MANOJ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MANOJ JAIN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7"/>
          <w:szCs w:val="17"/>
          <w:color w:val="auto"/>
        </w:rPr>
        <w:t>Title:</w:t>
        <w:tab/>
        <w:t>AUTHORISED SIGNATORY</w:t>
      </w:r>
    </w:p>
    <w:p>
      <w:pPr>
        <w:sectPr>
          <w:pgSz w:w="11900" w:h="16838" w:orient="portrait"/>
          <w:cols w:equalWidth="0" w:num="1">
            <w:col w:w="9579"/>
          </w:cols>
          <w:pgMar w:left="880" w:top="270" w:right="1440"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6"/>
          <w:szCs w:val="16"/>
          <w:color w:val="auto"/>
        </w:rPr>
        <w:t>, the parties hereto have duly executed this Agreement effective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Trafalgar Trading Fund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AARONS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AARONS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9579"/>
          </w:cols>
          <w:pgMar w:left="880" w:top="270" w:right="1440"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hereto have duly executed this Agreement effective as of the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VGI Public Company Limited</w:t>
      </w:r>
    </w:p>
    <w:p>
      <w:pPr>
        <w:spacing w:after="0" w:line="229" w:lineRule="exact"/>
        <w:rPr>
          <w:sz w:val="20"/>
          <w:szCs w:val="20"/>
          <w:color w:val="auto"/>
        </w:rPr>
      </w:pPr>
    </w:p>
    <w:p>
      <w:pPr>
        <w:jc w:val="both"/>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Marut Arthakaivalvatee / Chan Kin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Name: Marut Arthakaivalvatee / Chan Kin Tak</w:t>
      </w:r>
    </w:p>
    <w:p>
      <w:pPr>
        <w:spacing w:after="0" w:line="3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Directors</w:t>
      </w:r>
    </w:p>
    <w:p>
      <w:pPr>
        <w:sectPr>
          <w:pgSz w:w="11900" w:h="16838" w:orient="portrait"/>
          <w:cols w:equalWidth="0" w:num="1">
            <w:col w:w="9820"/>
          </w:cols>
          <w:pgMar w:left="880" w:top="270" w:right="1199" w:bottom="1440" w:gutter="0" w:footer="0" w:header="0"/>
        </w:sectPr>
      </w:pPr>
    </w:p>
    <w:bookmarkStart w:id="75" w:name="page76"/>
    <w:bookmarkEnd w:id="75"/>
    <w:p>
      <w:pPr>
        <w:jc w:val="right"/>
        <w:ind w:right="3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 List of Purchasers</w:t>
      </w:r>
    </w:p>
    <w:p>
      <w:pPr>
        <w:spacing w:after="0" w:line="256"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SeaTown Master Fund</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Segantii Asia-Pacific Equity Multi-Strategy Fund</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Maso Capital Investments Limited</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Blackwell Partners LLC – Series A</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Star V Partners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Trafalgar Trading Fund Inc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VGI Public Company Limited</w:t>
      </w:r>
    </w:p>
    <w:p>
      <w:pPr>
        <w:sectPr>
          <w:pgSz w:w="11900" w:h="16838" w:orient="portrait"/>
          <w:cols w:equalWidth="0" w:num="1">
            <w:col w:w="10023"/>
          </w:cols>
          <w:pgMar w:left="436" w:top="270"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B: Selling Shareholder Notice and Questionnaire</w:t>
      </w:r>
    </w:p>
    <w:p>
      <w:pPr>
        <w:sectPr>
          <w:pgSz w:w="11900" w:h="16838" w:orient="portrait"/>
          <w:cols w:equalWidth="0" w:num="1">
            <w:col w:w="9019"/>
          </w:cols>
          <w:pgMar w:left="1440" w:top="270"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5717540</wp:posOffset>
            </wp:positionH>
            <wp:positionV relativeFrom="paragraph">
              <wp:posOffset>186055</wp:posOffset>
            </wp:positionV>
            <wp:extent cx="1277620" cy="779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1277620" cy="77978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Office: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Mobile: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+852 2801 6066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+852 9718 8740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rthorp@tta.lawyer</w:t>
      </w:r>
    </w:p>
    <w:p>
      <w:pPr>
        <w:spacing w:after="0" w:line="222" w:lineRule="exact"/>
        <w:rPr>
          <w:sz w:val="20"/>
          <w:szCs w:val="20"/>
          <w:color w:val="auto"/>
        </w:rPr>
      </w:pPr>
    </w:p>
    <w:p>
      <w:pPr>
        <w:sectPr>
          <w:pgSz w:w="11900" w:h="16838" w:orient="portrait"/>
          <w:cols w:equalWidth="0" w:num="2">
            <w:col w:w="604" w:space="280"/>
            <w:col w:w="10140"/>
          </w:cols>
          <w:pgMar w:left="436" w:top="121" w:right="439" w:bottom="1440" w:gutter="0" w:footer="0" w:header="0"/>
          <w:type w:val="continuous"/>
        </w:sectPr>
      </w:pPr>
    </w:p>
    <w:p>
      <w:pPr>
        <w:spacing w:after="0" w:line="38" w:lineRule="exact"/>
        <w:rPr>
          <w:sz w:val="20"/>
          <w:szCs w:val="20"/>
          <w:color w:val="auto"/>
        </w:rPr>
      </w:pPr>
    </w:p>
    <w:p>
      <w:pPr>
        <w:ind w:left="4"/>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Hong Kong S.A.R., People’s Republic of China</w:t>
      </w:r>
    </w:p>
    <w:p>
      <w:pPr>
        <w:spacing w:after="0" w:line="200" w:lineRule="exact"/>
        <w:rPr>
          <w:sz w:val="20"/>
          <w:szCs w:val="20"/>
          <w:color w:val="auto"/>
        </w:rPr>
      </w:pPr>
    </w:p>
    <w:p>
      <w:pPr>
        <w:sectPr>
          <w:pgSz w:w="11900" w:h="16838" w:orient="portrait"/>
          <w:cols w:equalWidth="0" w:num="2">
            <w:col w:w="244" w:space="640"/>
            <w:col w:w="10140"/>
          </w:cols>
          <w:pgMar w:left="436" w:top="121" w:right="439" w:bottom="1440" w:gutter="0" w:footer="0" w:header="0"/>
          <w:type w:val="continuous"/>
        </w:sectPr>
      </w:pP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 July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iClick Interactive Asia Group Limited – F-3</w:t>
      </w:r>
    </w:p>
    <w:p>
      <w:pPr>
        <w:spacing w:after="0" w:line="117" w:lineRule="exact"/>
        <w:rPr>
          <w:sz w:val="20"/>
          <w:szCs w:val="20"/>
          <w:color w:val="auto"/>
        </w:rPr>
      </w:pPr>
    </w:p>
    <w:p>
      <w:pPr>
        <w:ind w:left="4" w:right="200"/>
        <w:spacing w:after="0" w:line="258" w:lineRule="auto"/>
        <w:rPr>
          <w:sz w:val="20"/>
          <w:szCs w:val="20"/>
          <w:color w:val="auto"/>
        </w:rPr>
      </w:pPr>
      <w:r>
        <w:rPr>
          <w:rFonts w:ascii="Arial" w:cs="Arial" w:eastAsia="Arial" w:hAnsi="Arial"/>
          <w:sz w:val="18"/>
          <w:szCs w:val="18"/>
          <w:color w:val="auto"/>
        </w:rPr>
        <w:t>We have acted as Cayman Islands legal advisers to iClick Interactive Asia Group Limited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Company’s registration statement on Form F-3, including all amendments or supplements thereto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(the “Commission”) under the U.S. Securities Act of 1933, as amended to date, relating to the offering (the “</w:t>
      </w:r>
      <w:r>
        <w:rPr>
          <w:rFonts w:ascii="Arial" w:cs="Arial" w:eastAsia="Arial" w:hAnsi="Arial"/>
          <w:sz w:val="18"/>
          <w:szCs w:val="18"/>
          <w:b w:val="1"/>
          <w:bCs w:val="1"/>
          <w:color w:val="auto"/>
        </w:rPr>
        <w:t>Offering</w:t>
      </w:r>
      <w:r>
        <w:rPr>
          <w:rFonts w:ascii="Arial" w:cs="Arial" w:eastAsia="Arial" w:hAnsi="Arial"/>
          <w:sz w:val="18"/>
          <w:szCs w:val="18"/>
          <w:color w:val="auto"/>
        </w:rPr>
        <w:t>”) by the Company of its Class A ordinary shares of a nominal or par value of US$0.001 each (the “</w:t>
      </w:r>
      <w:r>
        <w:rPr>
          <w:rFonts w:ascii="Arial" w:cs="Arial" w:eastAsia="Arial" w:hAnsi="Arial"/>
          <w:sz w:val="18"/>
          <w:szCs w:val="18"/>
          <w:b w:val="1"/>
          <w:bCs w:val="1"/>
          <w:color w:val="auto"/>
        </w:rPr>
        <w:t>Shares</w:t>
      </w:r>
      <w:r>
        <w:rPr>
          <w:rFonts w:ascii="Arial" w:cs="Arial" w:eastAsia="Arial" w:hAnsi="Arial"/>
          <w:sz w:val="18"/>
          <w:szCs w:val="18"/>
          <w:color w:val="auto"/>
        </w:rPr>
        <w:t>”), including in the form of American Depositary Shares (the “</w:t>
      </w:r>
      <w:r>
        <w:rPr>
          <w:rFonts w:ascii="Arial" w:cs="Arial" w:eastAsia="Arial" w:hAnsi="Arial"/>
          <w:sz w:val="18"/>
          <w:szCs w:val="18"/>
          <w:b w:val="1"/>
          <w:bCs w:val="1"/>
          <w:color w:val="auto"/>
        </w:rPr>
        <w:t>ADSs</w:t>
      </w:r>
      <w:r>
        <w:rPr>
          <w:rFonts w:ascii="Arial" w:cs="Arial" w:eastAsia="Arial" w:hAnsi="Arial"/>
          <w:sz w:val="18"/>
          <w:szCs w:val="18"/>
          <w:color w:val="auto"/>
        </w:rPr>
        <w:t>”), from time to time.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are furnishing this opinion as Exhibit 5.1 and 23.2 to the Registration Statement.</w:t>
      </w:r>
    </w:p>
    <w:p>
      <w:pPr>
        <w:spacing w:after="0" w:line="370"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this opinion, we have reviewed only originals, copies or final drafts of the following documents: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certificate of incorporation dated 3 February 2010;</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Ninth Amended and Restated Memorandum and Articles of Association of the Company as adopted by special resolution passed on</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19 December 2018 (the “</w:t>
      </w:r>
      <w:r>
        <w:rPr>
          <w:rFonts w:ascii="Arial" w:cs="Arial" w:eastAsia="Arial" w:hAnsi="Arial"/>
          <w:sz w:val="18"/>
          <w:szCs w:val="18"/>
          <w:b w:val="1"/>
          <w:bCs w:val="1"/>
          <w:color w:val="auto"/>
        </w:rPr>
        <w:t>Memorandum and Articles</w:t>
      </w:r>
      <w:r>
        <w:rPr>
          <w:rFonts w:ascii="Arial" w:cs="Arial" w:eastAsia="Arial" w:hAnsi="Arial"/>
          <w:sz w:val="18"/>
          <w:szCs w:val="18"/>
          <w:color w:val="auto"/>
        </w:rPr>
        <w:t>”);</w:t>
      </w:r>
    </w:p>
    <w:p>
      <w:pPr>
        <w:spacing w:after="0" w:line="11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written resolutions of the directors of the Company dated 16 June 2020 and 10 July 2020 (together the “</w:t>
      </w:r>
      <w:r>
        <w:rPr>
          <w:rFonts w:ascii="Arial" w:cs="Arial" w:eastAsia="Arial" w:hAnsi="Arial"/>
          <w:sz w:val="16"/>
          <w:szCs w:val="16"/>
          <w:b w:val="1"/>
          <w:bCs w:val="1"/>
          <w:color w:val="auto"/>
        </w:rPr>
        <w:t>Directors’ Resolutions</w:t>
      </w:r>
      <w:r>
        <w:rPr>
          <w:rFonts w:ascii="Arial" w:cs="Arial" w:eastAsia="Arial" w:hAnsi="Arial"/>
          <w:sz w:val="16"/>
          <w:szCs w:val="16"/>
          <w:color w:val="auto"/>
        </w:rPr>
        <w:t>”);</w:t>
      </w:r>
    </w:p>
    <w:p>
      <w:pPr>
        <w:spacing w:after="0" w:line="131" w:lineRule="exact"/>
        <w:rPr>
          <w:sz w:val="20"/>
          <w:szCs w:val="20"/>
          <w:color w:val="auto"/>
        </w:rPr>
      </w:pPr>
    </w:p>
    <w:p>
      <w:pPr>
        <w:ind w:left="544" w:right="620" w:hanging="539"/>
        <w:spacing w:after="0" w:line="282" w:lineRule="auto"/>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a certificate of good standing dated 20 July 2020, issued by the Registrar of Companies in the Cayman Islands (the “</w:t>
      </w:r>
      <w:r>
        <w:rPr>
          <w:rFonts w:ascii="Arial" w:cs="Arial" w:eastAsia="Arial" w:hAnsi="Arial"/>
          <w:sz w:val="18"/>
          <w:szCs w:val="18"/>
          <w:b w:val="1"/>
          <w:bCs w:val="1"/>
          <w:color w:val="auto"/>
        </w:rPr>
        <w:t>Certificate of Good</w:t>
      </w:r>
      <w:r>
        <w:rPr>
          <w:rFonts w:ascii="Arial" w:cs="Arial" w:eastAsia="Arial" w:hAnsi="Arial"/>
          <w:sz w:val="18"/>
          <w:szCs w:val="18"/>
          <w:color w:val="auto"/>
        </w:rPr>
        <w:t xml:space="preserve"> </w:t>
      </w:r>
      <w:r>
        <w:rPr>
          <w:rFonts w:ascii="Arial" w:cs="Arial" w:eastAsia="Arial" w:hAnsi="Arial"/>
          <w:sz w:val="18"/>
          <w:szCs w:val="18"/>
          <w:b w:val="1"/>
          <w:bCs w:val="1"/>
          <w:color w:val="auto"/>
        </w:rPr>
        <w:t>Standing</w:t>
      </w:r>
      <w:r>
        <w:rPr>
          <w:rFonts w:ascii="Arial" w:cs="Arial" w:eastAsia="Arial" w:hAnsi="Arial"/>
          <w:sz w:val="18"/>
          <w:szCs w:val="18"/>
          <w:color w:val="auto"/>
        </w:rPr>
        <w:t>”); and</w:t>
      </w:r>
    </w:p>
    <w:p>
      <w:pPr>
        <w:spacing w:after="0" w:line="7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Registration Statement.</w:t>
      </w:r>
    </w:p>
    <w:p>
      <w:pPr>
        <w:spacing w:after="0" w:line="370"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opinions are given only as to, and based on, circumstances and matters of fact existing and known to us on the date of this opinion</w:t>
      </w:r>
    </w:p>
    <w:p>
      <w:pPr>
        <w:spacing w:after="0" w:line="35" w:lineRule="exact"/>
        <w:rPr>
          <w:sz w:val="20"/>
          <w:szCs w:val="20"/>
          <w:color w:val="auto"/>
        </w:rPr>
      </w:pPr>
    </w:p>
    <w:p>
      <w:pPr>
        <w:ind w:left="4" w:right="40"/>
        <w:spacing w:after="0" w:line="260" w:lineRule="auto"/>
        <w:rPr>
          <w:sz w:val="20"/>
          <w:szCs w:val="20"/>
          <w:color w:val="auto"/>
        </w:rPr>
      </w:pPr>
      <w:r>
        <w:rPr>
          <w:rFonts w:ascii="Arial" w:cs="Arial" w:eastAsia="Arial" w:hAnsi="Arial"/>
          <w:sz w:val="18"/>
          <w:szCs w:val="18"/>
          <w:color w:val="auto"/>
        </w:rPr>
        <w:t>letter. These opinions only relate to the laws of the Cayman Islands which are in force on the date of this opinion letter. In giving these opinions we have relied (without further verification) upon the following assumptions, which we have not independently verified:</w:t>
      </w:r>
    </w:p>
    <w:p>
      <w:pPr>
        <w:spacing w:after="0" w:line="118" w:lineRule="exact"/>
        <w:rPr>
          <w:sz w:val="20"/>
          <w:szCs w:val="20"/>
          <w:color w:val="auto"/>
        </w:rPr>
      </w:pPr>
    </w:p>
    <w:p>
      <w:pPr>
        <w:ind w:left="6404"/>
        <w:spacing w:after="0"/>
        <w:tabs>
          <w:tab w:leader="none" w:pos="8804" w:val="left"/>
        </w:tabs>
        <w:rPr>
          <w:sz w:val="20"/>
          <w:szCs w:val="20"/>
          <w:color w:val="auto"/>
        </w:rPr>
      </w:pPr>
      <w:r>
        <w:rPr>
          <w:rFonts w:ascii="Arial" w:cs="Arial" w:eastAsia="Arial" w:hAnsi="Arial"/>
          <w:sz w:val="18"/>
          <w:szCs w:val="18"/>
          <w:color w:val="auto"/>
        </w:rPr>
        <w:t>Tel: +852 2801 6066</w:t>
      </w:r>
      <w:r>
        <w:rPr>
          <w:sz w:val="20"/>
          <w:szCs w:val="20"/>
          <w:color w:val="auto"/>
        </w:rPr>
        <w:tab/>
      </w:r>
      <w:r>
        <w:rPr>
          <w:rFonts w:ascii="Arial" w:cs="Arial" w:eastAsia="Arial" w:hAnsi="Arial"/>
          <w:sz w:val="16"/>
          <w:szCs w:val="16"/>
          <w:color w:val="auto"/>
        </w:rPr>
        <w:t>1205A The Centrium</w:t>
      </w:r>
    </w:p>
    <w:p>
      <w:pPr>
        <w:spacing w:after="0" w:line="23" w:lineRule="exact"/>
        <w:rPr>
          <w:sz w:val="20"/>
          <w:szCs w:val="20"/>
          <w:color w:val="auto"/>
        </w:rPr>
      </w:pPr>
    </w:p>
    <w:p>
      <w:pPr>
        <w:ind w:left="6404"/>
        <w:spacing w:after="0"/>
        <w:tabs>
          <w:tab w:leader="none" w:pos="8804" w:val="left"/>
        </w:tabs>
        <w:rPr>
          <w:sz w:val="20"/>
          <w:szCs w:val="20"/>
          <w:color w:val="auto"/>
        </w:rPr>
      </w:pPr>
      <w:r>
        <w:rPr>
          <w:rFonts w:ascii="Arial" w:cs="Arial" w:eastAsia="Arial" w:hAnsi="Arial"/>
          <w:sz w:val="18"/>
          <w:szCs w:val="18"/>
          <w:color w:val="auto"/>
        </w:rPr>
        <w:t>Fax: +852 2801 6767</w:t>
      </w:r>
      <w:r>
        <w:rPr>
          <w:sz w:val="20"/>
          <w:szCs w:val="20"/>
          <w:color w:val="auto"/>
        </w:rPr>
        <w:tab/>
      </w:r>
      <w:r>
        <w:rPr>
          <w:rFonts w:ascii="Arial" w:cs="Arial" w:eastAsia="Arial" w:hAnsi="Arial"/>
          <w:sz w:val="16"/>
          <w:szCs w:val="16"/>
          <w:color w:val="auto"/>
        </w:rPr>
        <w:t>60 Wyndham Street</w:t>
      </w:r>
    </w:p>
    <w:p>
      <w:pPr>
        <w:spacing w:after="0" w:line="9" w:lineRule="exact"/>
        <w:rPr>
          <w:sz w:val="20"/>
          <w:szCs w:val="20"/>
          <w:color w:val="auto"/>
        </w:rPr>
      </w:pPr>
    </w:p>
    <w:p>
      <w:pPr>
        <w:ind w:left="6404"/>
        <w:spacing w:after="0"/>
        <w:tabs>
          <w:tab w:leader="none" w:pos="8804" w:val="left"/>
        </w:tabs>
        <w:rPr>
          <w:sz w:val="20"/>
          <w:szCs w:val="20"/>
          <w:color w:val="auto"/>
        </w:rPr>
      </w:pPr>
      <w:r>
        <w:rPr>
          <w:rFonts w:ascii="Arial" w:cs="Arial" w:eastAsia="Arial" w:hAnsi="Arial"/>
          <w:sz w:val="17"/>
          <w:szCs w:val="17"/>
          <w:b w:val="1"/>
          <w:bCs w:val="1"/>
          <w:color w:val="auto"/>
        </w:rPr>
        <w:t>www.traversorpalberga.com</w:t>
      </w:r>
      <w:r>
        <w:rPr>
          <w:sz w:val="20"/>
          <w:szCs w:val="20"/>
          <w:color w:val="auto"/>
        </w:rPr>
        <w:tab/>
      </w:r>
      <w:r>
        <w:rPr>
          <w:rFonts w:ascii="Arial" w:cs="Arial" w:eastAsia="Arial" w:hAnsi="Arial"/>
          <w:sz w:val="17"/>
          <w:szCs w:val="17"/>
          <w:color w:val="auto"/>
        </w:rPr>
        <w:t>Central HONG KONG</w:t>
      </w:r>
    </w:p>
    <w:p>
      <w:pPr>
        <w:spacing w:after="0" w:line="21" w:lineRule="exact"/>
        <w:rPr>
          <w:sz w:val="20"/>
          <w:szCs w:val="20"/>
          <w:color w:val="auto"/>
        </w:rPr>
      </w:pPr>
    </w:p>
    <w:p>
      <w:pPr>
        <w:ind w:left="6404"/>
        <w:spacing w:after="0"/>
        <w:rPr>
          <w:sz w:val="20"/>
          <w:szCs w:val="20"/>
          <w:color w:val="auto"/>
        </w:rPr>
      </w:pPr>
      <w:r>
        <w:rPr>
          <w:rFonts w:ascii="Arial" w:cs="Arial" w:eastAsia="Arial" w:hAnsi="Arial"/>
          <w:sz w:val="18"/>
          <w:szCs w:val="18"/>
          <w:color w:val="auto"/>
        </w:rPr>
        <w:t>Cayman Islands &amp; British Virgin Islands Attorneys-at-Law</w:t>
      </w:r>
    </w:p>
    <w:p>
      <w:pPr>
        <w:spacing w:after="0" w:line="9" w:lineRule="exact"/>
        <w:rPr>
          <w:sz w:val="20"/>
          <w:szCs w:val="20"/>
          <w:color w:val="auto"/>
        </w:rPr>
      </w:pPr>
    </w:p>
    <w:p>
      <w:pPr>
        <w:ind w:left="6404"/>
        <w:spacing w:after="0"/>
        <w:rPr>
          <w:sz w:val="20"/>
          <w:szCs w:val="20"/>
          <w:color w:val="auto"/>
        </w:rPr>
      </w:pPr>
      <w:r>
        <w:rPr>
          <w:rFonts w:ascii="Arial" w:cs="Arial" w:eastAsia="Arial" w:hAnsi="Arial"/>
          <w:sz w:val="18"/>
          <w:szCs w:val="18"/>
          <w:b w:val="1"/>
          <w:bCs w:val="1"/>
          <w:color w:val="auto"/>
        </w:rPr>
        <w:t xml:space="preserve">Resident Hong Kong Partners: </w:t>
      </w:r>
      <w:r>
        <w:rPr>
          <w:rFonts w:ascii="Arial" w:cs="Arial" w:eastAsia="Arial" w:hAnsi="Arial"/>
          <w:sz w:val="18"/>
          <w:szCs w:val="18"/>
          <w:color w:val="auto"/>
        </w:rPr>
        <w:t>Richard Thorp Anthony</w:t>
      </w:r>
    </w:p>
    <w:p>
      <w:pPr>
        <w:spacing w:after="0" w:line="9" w:lineRule="exact"/>
        <w:rPr>
          <w:sz w:val="20"/>
          <w:szCs w:val="20"/>
          <w:color w:val="auto"/>
        </w:rPr>
      </w:pPr>
    </w:p>
    <w:p>
      <w:pPr>
        <w:ind w:left="6404"/>
        <w:spacing w:after="0"/>
        <w:rPr>
          <w:sz w:val="20"/>
          <w:szCs w:val="20"/>
          <w:color w:val="auto"/>
        </w:rPr>
      </w:pPr>
      <w:r>
        <w:rPr>
          <w:rFonts w:ascii="Arial" w:cs="Arial" w:eastAsia="Arial" w:hAnsi="Arial"/>
          <w:sz w:val="18"/>
          <w:szCs w:val="18"/>
          <w:color w:val="auto"/>
        </w:rPr>
        <w:t>Travers, Jos Briggs, Catherine Tsang</w:t>
      </w:r>
    </w:p>
    <w:p>
      <w:pPr>
        <w:sectPr>
          <w:pgSz w:w="11900" w:h="16838" w:orient="portrait"/>
          <w:cols w:equalWidth="0" w:num="1">
            <w:col w:w="11024"/>
          </w:cols>
          <w:pgMar w:left="436" w:top="121" w:right="439" w:bottom="1440" w:gutter="0" w:footer="0" w:header="0"/>
          <w:type w:val="continuous"/>
        </w:sectPr>
      </w:pPr>
    </w:p>
    <w:bookmarkStart w:id="78" w:name="page79"/>
    <w:bookmarkEnd w:id="78"/>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2.1</w:t>
      </w:r>
      <w:r>
        <w:rPr>
          <w:sz w:val="20"/>
          <w:szCs w:val="20"/>
          <w:color w:val="auto"/>
        </w:rPr>
        <w:tab/>
      </w:r>
      <w:r>
        <w:rPr>
          <w:rFonts w:ascii="Arial" w:cs="Arial" w:eastAsia="Arial" w:hAnsi="Arial"/>
          <w:sz w:val="16"/>
          <w:szCs w:val="16"/>
          <w:color w:val="auto"/>
        </w:rPr>
        <w:t>copy documents or drafts of documents provided to us are true and complete copies of, or in the final forms of, the originals;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genuineness of all signatures and seals; and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there is nothing under any law (other than the law of the Cayman Islands) which would or might affect the opinions set out below.</w:t>
      </w:r>
    </w:p>
    <w:p>
      <w:pPr>
        <w:spacing w:after="0" w:line="370"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Based upon the foregoing and subject to the qualifications set out below and having regard to such legal considerations as we deem relevant, we are of the opinion that:</w:t>
      </w:r>
    </w:p>
    <w:p>
      <w:pPr>
        <w:spacing w:after="0" w:line="76"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Company has been duly incorporated as an exempted company with limited liability for an unlimited duration and is validly existing and in good standing under the laws of the Cayman Islands.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authorised share capital of the Company is US$100,000 divided into 100,000,000 shares of a nominal or par value of US$0.001, of which</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7"/>
          <w:szCs w:val="17"/>
          <w:color w:val="auto"/>
        </w:rPr>
        <w:t>80,000,000 shares are designated as Class A ordinary shares and 20,000,000 shares shall be designated as Class B ordinary shares.</w:t>
      </w:r>
    </w:p>
    <w:p>
      <w:pPr>
        <w:spacing w:after="0" w:line="128"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issue and allotment of the Shares pursuant to the Offering has been duly authorised and when allotted, issued and paid for as contemplated in the Registration Statement and entered in the register of members (shareholders), the Shares will be legally issued and allotted, fully paid and non-assessable.</w:t>
      </w:r>
    </w:p>
    <w:p>
      <w:pPr>
        <w:spacing w:after="0" w:line="89" w:lineRule="exact"/>
        <w:rPr>
          <w:sz w:val="20"/>
          <w:szCs w:val="20"/>
          <w:color w:val="auto"/>
        </w:rPr>
      </w:pPr>
    </w:p>
    <w:p>
      <w:pPr>
        <w:ind w:left="544" w:right="520" w:hanging="539"/>
        <w:spacing w:after="0" w:line="308" w:lineRule="auto"/>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The statements under the caption “Taxation” in the prospectus forming part of the Registration Statement, to the extent that they constitute statements of Cayman Islands law, are accurate in all material respects and that such statements constitute our opinion.</w:t>
      </w:r>
    </w:p>
    <w:p>
      <w:pPr>
        <w:spacing w:after="0" w:line="291"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121"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Under the Companies Law (2020 Revision) of the Cayman Islands, the register of members of a Cayman Islands company is by statute regarded</w:t>
      </w:r>
    </w:p>
    <w:p>
      <w:pPr>
        <w:spacing w:after="0" w:line="35" w:lineRule="exact"/>
        <w:rPr>
          <w:sz w:val="20"/>
          <w:szCs w:val="20"/>
          <w:color w:val="auto"/>
        </w:rPr>
      </w:pPr>
    </w:p>
    <w:p>
      <w:pPr>
        <w:ind w:left="4" w:right="240"/>
        <w:spacing w:after="0" w:line="255"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any matters which the Companies Law (2020 Revision)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90"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In this opinion, the phrase “non-assessable” means, with respect to Shares,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7" w:lineRule="exact"/>
        <w:rPr>
          <w:sz w:val="20"/>
          <w:szCs w:val="20"/>
          <w:color w:val="auto"/>
        </w:rPr>
      </w:pPr>
    </w:p>
    <w:p>
      <w:pPr>
        <w:ind w:left="4" w:right="820"/>
        <w:spacing w:after="0" w:line="342"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our name under the headings “Enforceability of Civil Liabilities” and “Legal Matters” and elsewhere in the prospectus included in the Registration Statement. In giving</w:t>
      </w:r>
    </w:p>
    <w:p>
      <w:pPr>
        <w:sectPr>
          <w:pgSz w:w="11900" w:h="16838" w:orient="portrait"/>
          <w:cols w:equalWidth="0" w:num="1">
            <w:col w:w="11024"/>
          </w:cols>
          <w:pgMar w:left="436" w:top="274" w:right="43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consent, we do not thereby admit that we come within the category of persons whose consent is required under Section 7 of the U.S. Securities Act of 1933, as amended, or the Rules and Regulations of the Commission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TRAVERS THORP ALBERGA</w:t>
      </w:r>
    </w:p>
    <w:p>
      <w:pPr>
        <w:sectPr>
          <w:pgSz w:w="11900" w:h="16838" w:orient="portrait"/>
          <w:cols w:equalWidth="0" w:num="1">
            <w:col w:w="10960"/>
          </w:cols>
          <w:pgMar w:left="440" w:top="274" w:right="49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hereby consent to the incorporation by reference in this Registration Statement on Form F-3 of iClick Interactive Asia Group Limited of our report dated April 30, 2020 relating to the consolidated financial statements, which appears in iClick Interactive Asia Group Limited’s Annual Report on Form 20-F for the year ended December 31, 2019. We also consent to the reference to us under the heading “Experts” in such Registration Statement.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21,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lowerLetter"/>
      <w:start w:val="2"/>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lowerLetter"/>
      <w:start w:val="1"/>
    </w:lvl>
  </w:abstractNum>
  <w:abstractNum w:abstractNumId="13">
    <w:nsid w:val="5577F8E1"/>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lowerRoman"/>
      <w:start w:val="2"/>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lowerRoman"/>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57E4CCAF"/>
    <w:multiLevelType w:val="hybridMultilevel"/>
    <w:lvl w:ilvl="0">
      <w:lvlJc w:val="left"/>
      <w:lvlText w:val="(%1)"/>
      <w:numFmt w:val="lowerRoman"/>
      <w:start w:val="3"/>
    </w:lvl>
  </w:abstractNum>
  <w:abstractNum w:abstractNumId="34">
    <w:nsid w:val="7A6D8D3C"/>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35">
    <w:nsid w:val="4B588F5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6">
    <w:nsid w:val="542289EC"/>
    <w:multiLevelType w:val="hybridMultilevel"/>
    <w:lvl w:ilvl="0">
      <w:lvlJc w:val="left"/>
      <w:lvlText w:val="(%1)"/>
      <w:numFmt w:val="lowerLetter"/>
      <w:start w:val="3"/>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9">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40">
    <w:nsid w:val="32FFF902"/>
    <w:multiLevelType w:val="hybridMultilevel"/>
    <w:lvl w:ilvl="0">
      <w:lvlJc w:val="left"/>
      <w:lvlText w:val="%1"/>
      <w:numFmt w:val="lowerLetter"/>
      <w:start w:val="1"/>
    </w:lvl>
    <w:lvl w:ilvl="1">
      <w:lvlJc w:val="left"/>
      <w:lvlText w:val="(%2)"/>
      <w:numFmt w:val="lowerLetter"/>
      <w:start w:val="4"/>
    </w:lvl>
  </w:abstractNum>
  <w:abstractNum w:abstractNumId="41">
    <w:nsid w:val="684A481A"/>
    <w:multiLevelType w:val="hybridMultilevel"/>
    <w:lvl w:ilvl="0">
      <w:lvlJc w:val="left"/>
      <w:lvlText w:val="(%1)"/>
      <w:numFmt w:val="lowerLetter"/>
      <w:start w:val="35"/>
    </w:lvl>
    <w:lvl w:ilvl="1">
      <w:lvlJc w:val="left"/>
      <w:lvlText w:val="(%2)"/>
      <w:numFmt w:val="lowerLetter"/>
      <w:start w:val="5"/>
    </w:lvl>
  </w:abstractNum>
  <w:abstractNum w:abstractNumId="42">
    <w:nsid w:val="579478FE"/>
    <w:multiLevelType w:val="hybridMultilevel"/>
    <w:lvl w:ilvl="0">
      <w:lvlJc w:val="left"/>
      <w:lvlText w:val="%1."/>
      <w:numFmt w:val="decimal"/>
      <w:start w:val="3"/>
    </w:lvl>
    <w:lvl w:ilvl="1">
      <w:lvlJc w:val="left"/>
      <w:lvlText w:val="(%2)"/>
      <w:numFmt w:val="lowerLetter"/>
      <w:start w:val="1"/>
    </w:lvl>
  </w:abstractNum>
  <w:abstractNum w:abstractNumId="43">
    <w:nsid w:val="749ABB43"/>
    <w:multiLevelType w:val="hybridMultilevel"/>
    <w:lvl w:ilvl="0">
      <w:lvlJc w:val="left"/>
      <w:lvlText w:val="(%1)"/>
      <w:numFmt w:val="lowerLetter"/>
      <w:start w:val="11"/>
    </w:lvl>
  </w:abstractNum>
  <w:abstractNum w:abstractNumId="44">
    <w:nsid w:val="3DC240FB"/>
    <w:multiLevelType w:val="hybridMultilevel"/>
    <w:lvl w:ilvl="0">
      <w:lvlJc w:val="left"/>
      <w:lvlText w:val="%1"/>
      <w:numFmt w:val="lowerLetter"/>
      <w:start w:val="1"/>
    </w:lvl>
    <w:lvl w:ilvl="1">
      <w:lvlJc w:val="left"/>
      <w:lvlText w:val="%2."/>
      <w:numFmt w:val="decimal"/>
      <w:start w:val="4"/>
    </w:lvl>
  </w:abstractNum>
  <w:abstractNum w:abstractNumId="45">
    <w:nsid w:val="1BA026FA"/>
    <w:multiLevelType w:val="hybridMultilevel"/>
    <w:lvl w:ilvl="0">
      <w:lvlJc w:val="left"/>
      <w:lvlText w:val="(%1)"/>
      <w:numFmt w:val="lowerLetter"/>
      <w:start w:val="2"/>
    </w:lvl>
    <w:lvl w:ilvl="1">
      <w:lvlJc w:val="left"/>
      <w:lvlText w:val="%2"/>
      <w:numFmt w:val="decimal"/>
      <w:start w:val="1"/>
    </w:lvl>
  </w:abstractNum>
  <w:abstractNum w:abstractNumId="46">
    <w:nsid w:val="79A1DEAA"/>
    <w:multiLevelType w:val="hybridMultilevel"/>
    <w:lvl w:ilvl="0">
      <w:lvlJc w:val="left"/>
      <w:lvlText w:val="%1."/>
      <w:numFmt w:val="decimal"/>
      <w:start w:val="5"/>
    </w:lvl>
    <w:lvl w:ilvl="1">
      <w:lvlJc w:val="left"/>
      <w:lvlText w:val="(%2)"/>
      <w:numFmt w:val="lowerLetter"/>
      <w:start w:val="1"/>
    </w:lvl>
  </w:abstractNum>
  <w:abstractNum w:abstractNumId="47">
    <w:nsid w:val="75C6C33A"/>
    <w:multiLevelType w:val="hybridMultilevel"/>
    <w:lvl w:ilvl="0">
      <w:lvlJc w:val="left"/>
      <w:lvlText w:val="%1"/>
      <w:numFmt w:val="lowerLetter"/>
      <w:start w:val="1"/>
    </w:lvl>
    <w:lvl w:ilvl="1">
      <w:lvlJc w:val="left"/>
      <w:lvlText w:val="(%2)"/>
      <w:numFmt w:val="lowerLetter"/>
      <w:start w:val="2"/>
    </w:lvl>
  </w:abstractNum>
  <w:abstractNum w:abstractNumId="48">
    <w:nsid w:val="12E685FB"/>
    <w:multiLevelType w:val="hybridMultilevel"/>
    <w:lvl w:ilvl="0">
      <w:lvlJc w:val="left"/>
      <w:lvlText w:val="(%1)"/>
      <w:numFmt w:val="lowerLetter"/>
      <w:start w:val="35"/>
    </w:lvl>
    <w:lvl w:ilvl="1">
      <w:lvlJc w:val="left"/>
      <w:lvlText w:val="(%2)"/>
      <w:numFmt w:val="lowerLetter"/>
      <w:start w:val="4"/>
    </w:lvl>
  </w:abstractNum>
  <w:abstractNum w:abstractNumId="49">
    <w:nsid w:val="70C6A529"/>
    <w:multiLevelType w:val="hybridMultilevel"/>
    <w:lvl w:ilvl="0">
      <w:lvlJc w:val="left"/>
      <w:lvlText w:val="%1."/>
      <w:numFmt w:val="decimal"/>
      <w:start w:val="7"/>
    </w:lvl>
    <w:lvl w:ilvl="1">
      <w:lvlJc w:val="left"/>
      <w:lvlText w:val="(%2)"/>
      <w:numFmt w:val="lowerLetter"/>
      <w:start w:val="1"/>
    </w:lvl>
  </w:abstractNum>
  <w:abstractNum w:abstractNumId="50">
    <w:nsid w:val="520EEDD1"/>
    <w:multiLevelType w:val="hybridMultilevel"/>
    <w:lvl w:ilvl="0">
      <w:lvlJc w:val="left"/>
      <w:lvlText w:val="(%1)"/>
      <w:numFmt w:val="lowerLetter"/>
      <w:start w:val="9"/>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bullet"/>
      <w:start w:val="1"/>
    </w:lvl>
  </w:abstractNum>
  <w:abstractNum w:abstractNumId="53">
    <w:nsid w:val="23F9C13C"/>
    <w:multiLevelType w:val="hybridMultilevel"/>
    <w:lvl w:ilvl="0">
      <w:lvlJc w:val="left"/>
      <w:lvlText w:val="2"/>
      <w:numFmt w:val="bullet"/>
      <w:start w:val="1"/>
    </w:lvl>
  </w:abstractNum>
  <w:abstractNum w:abstractNumId="54">
    <w:nsid w:val="649BB77C"/>
    <w:multiLevelType w:val="hybridMultilevel"/>
    <w:lvl w:ilvl="0">
      <w:lvlJc w:val="left"/>
      <w:lvlText w:val="3"/>
      <w:numFmt w:val="bullet"/>
      <w:start w:val="1"/>
    </w:lvl>
  </w:abstractNum>
  <w:abstractNum w:abstractNumId="55">
    <w:nsid w:val="275AC794"/>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jpe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72" Type="http://schemas.openxmlformats.org/officeDocument/2006/relationships/hyperlink" Target="http://www.sec.gov/Archives/edgar/data/1697818/000156459020020166/iclk-20f_20191231.htm" TargetMode="External"/><Relationship Id="rId73" Type="http://schemas.openxmlformats.org/officeDocument/2006/relationships/hyperlink" Target="http://www.sec.gov/Archives/edgar/data/1697818/000156459020026733/iclk-6k_20200522.htm" TargetMode="External"/><Relationship Id="rId74" Type="http://schemas.openxmlformats.org/officeDocument/2006/relationships/hyperlink" Target="http://www.sec.gov/Archives/edgar/data/1697818/000156459020029737/iclk-6k_20200618.htm" TargetMode="External"/><Relationship Id="rId75" Type="http://schemas.openxmlformats.org/officeDocument/2006/relationships/hyperlink" Target="http://www.sec.gov/Archives/edgar/data/1697818/000119312517358777/d488906d8a12b.htm" TargetMode="External"/><Relationship Id="rId80" Type="http://schemas.openxmlformats.org/officeDocument/2006/relationships/hyperlink" Target="http://www.sec.gov/Archives/edgar/data/1697818/000110465919023699/a19-3271_1ex1d1.htm" TargetMode="External"/><Relationship Id="rId81" Type="http://schemas.openxmlformats.org/officeDocument/2006/relationships/hyperlink" Target="http://www.sec.gov/Archives/edgar/data/1474274/000119312517358373/d471630dex99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2020-07-21T15:05:26Z</dcterms:created>
  <dcterms:modified xsi:type="dcterms:W3CDTF">2020-07-21T15:05:26Z</dcterms:modified>
</cp:coreProperties>
</file>