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tcPr>
          <w:p>
            <w:pPr>
              <w:ind w:left="422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40" w:type="dxa"/>
            <w:vAlign w:val="bottom"/>
          </w:tcPr>
          <w:p>
            <w:pPr>
              <w:ind w:left="574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40" w:type="dxa"/>
            <w:vAlign w:val="bottom"/>
          </w:tcPr>
          <w:p>
            <w:pPr>
              <w:ind w:left="574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40" w:type="dxa"/>
            <w:vAlign w:val="bottom"/>
          </w:tcPr>
          <w:p>
            <w:pPr>
              <w:ind w:left="574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40" w:type="dxa"/>
            <w:vAlign w:val="bottom"/>
          </w:tcPr>
          <w:p>
            <w:pPr>
              <w:spacing w:after="0"/>
              <w:rPr>
                <w:sz w:val="20"/>
                <w:szCs w:val="20"/>
                <w:color w:val="auto"/>
              </w:rPr>
            </w:pPr>
            <w:r>
              <w:rPr>
                <w:rFonts w:ascii="Arial" w:cs="Arial" w:eastAsia="Arial" w:hAnsi="Arial"/>
                <w:sz w:val="18"/>
                <w:szCs w:val="18"/>
                <w:color w:val="auto"/>
              </w:rPr>
              <w:t>Date: November 27, 2019</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40" w:type="dxa"/>
            <w:vAlign w:val="bottom"/>
          </w:tcPr>
          <w:p>
            <w:pPr>
              <w:ind w:left="5660"/>
              <w:spacing w:after="0"/>
              <w:rPr>
                <w:sz w:val="20"/>
                <w:szCs w:val="20"/>
                <w:color w:val="auto"/>
              </w:rPr>
            </w:pPr>
            <w:r>
              <w:rPr>
                <w:rFonts w:ascii="Arial" w:cs="Arial" w:eastAsia="Arial" w:hAnsi="Arial"/>
                <w:sz w:val="18"/>
                <w:szCs w:val="18"/>
                <w:color w:val="auto"/>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2019 Third-Quarter Unaudited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Another Consecutive Two Quarters of Record High Gross Billing and Revenue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Record High Gross Profit among Third Quarters —</w:t>
      </w:r>
    </w:p>
    <w:p>
      <w:pPr>
        <w:spacing w:after="0" w:line="207"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b w:val="1"/>
          <w:bCs w:val="1"/>
          <w:color w:val="auto"/>
        </w:rPr>
        <w:t xml:space="preserve">Hong Kong, November 26, 2019 </w:t>
      </w:r>
      <w:r>
        <w:rPr>
          <w:rFonts w:ascii="Arial" w:cs="Arial" w:eastAsia="Arial" w:hAnsi="Arial"/>
          <w:sz w:val="18"/>
          <w:szCs w:val="18"/>
          <w:color w:val="auto"/>
        </w:rPr>
        <w:t>— iClick Interactive Asia Group Limited (“iClick”) (NASDAQ: ICLK), an independent online marketing and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data solutions provider in China, today announced unaudited financial results for the third quarter ended September 30, 2019.</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in thousands)</w:t>
            </w:r>
          </w:p>
        </w:tc>
        <w:tc>
          <w:tcPr>
            <w:tcW w:w="40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19"/>
        </w:trPr>
        <w:tc>
          <w:tcPr>
            <w:tcW w:w="4240" w:type="dxa"/>
            <w:vAlign w:val="bottom"/>
            <w:gridSpan w:val="2"/>
            <w:vMerge w:val="continue"/>
          </w:tcPr>
          <w:p>
            <w:pPr>
              <w:spacing w:after="0"/>
              <w:rPr>
                <w:sz w:val="10"/>
                <w:szCs w:val="10"/>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solutions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51,555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42,587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Enterprise solutions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2,613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54,168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42,587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13,557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9,332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line="216" w:lineRule="exact"/>
              <w:rPr>
                <w:sz w:val="20"/>
                <w:szCs w:val="20"/>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Diluted adjusted net loss per ADS</w:t>
            </w:r>
            <w:r>
              <w:rPr>
                <w:rFonts w:ascii="Arial" w:cs="Arial" w:eastAsia="Arial" w:hAnsi="Arial"/>
                <w:sz w:val="23"/>
                <w:szCs w:val="23"/>
                <w:color w:val="auto"/>
                <w:vertAlign w:val="superscript"/>
              </w:rPr>
              <w:t>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Operating Metrics: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billing</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180,182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104,411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“We’re very happy to report another record quarter as our total top-line revenue increased 27% YoY to US$54.2 million, even in a persistently challenging macro environment and unfavourable currency movement,” said Sammy Hsieh, Chief Executive Officer and Co-Founder of iClick. “On a currency-neutral basis our revenue would have increased 32% to US$56.4 million for the third quarter compared to the same period in 2018.”</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continue to ramp up our Enterprise Solutions business. This quarter we generated US$2.6 million and had US$6.8 million in revenue for the first three quarters from this unit. As a reminder, we launched this business in January this year and are in the early stages of building it out. We are firmly committed to this area and confident of its strong pickup in the fourth quarter and beyond.”</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month I am particularly excited about the recent financing from Marine Central Limited, backed by Mr. Tak Cheung Yam, the majority shareholder of Forbes Media LLC. Forbes Media is one of the most well-known financial media companies with abundant media resources in the world and thus we believe the relationship may evolve into other substantial opportunities given the synergies between our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180" w:right="20" w:hanging="172"/>
        <w:spacing w:after="0" w:line="227" w:lineRule="auto"/>
        <w:tabs>
          <w:tab w:leader="none" w:pos="171"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264" w:lineRule="auto"/>
        <w:rPr>
          <w:sz w:val="20"/>
          <w:szCs w:val="20"/>
          <w:color w:val="auto"/>
        </w:rPr>
      </w:pPr>
      <w:r>
        <w:rPr>
          <w:rFonts w:ascii="Arial" w:cs="Arial" w:eastAsia="Arial" w:hAnsi="Arial"/>
          <w:sz w:val="18"/>
          <w:szCs w:val="18"/>
          <w:color w:val="auto"/>
        </w:rPr>
        <w:t>“In the third quarter our Marketing Solutions revenue grew to US$51.6 million, which is an increase of 21% from US$42.6 million for the third quarter of 2018. On a currency-neutral basis, the revenue increased 26% to US$53.7 million for the third quarter of 2019 compared with the same period last year. This is due to the increasing demand from marketer companies.”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reiterate our current guidance and look forward to 2020 as iClick will operate Enterprise Solutions and Marketing Solutions as two separate growing business. We are considering developing additional products and services in other higher margin areas such as block-chain technology and we are looking to identify potential business partners in this area. We will keep investors informed of these development,” concluded Mr. Hsieh.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Results:</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third quarter of 2019 grew to US$54.2 million, up 27% from US$42.6 million for the same period last year, attributable to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from existing marketing solutions and the Company’s new enterprise solutions launched in January 2019, partially offset by the depreciation of the Renminbi against the US dollar by 4% compared with the third quarter of 2018.</w:t>
      </w:r>
    </w:p>
    <w:p>
      <w:pPr>
        <w:spacing w:after="0" w:line="1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Revenue from marketing solutions </w:t>
      </w:r>
      <w:r>
        <w:rPr>
          <w:rFonts w:ascii="Arial" w:cs="Arial" w:eastAsia="Arial" w:hAnsi="Arial"/>
          <w:sz w:val="18"/>
          <w:szCs w:val="18"/>
          <w:color w:val="auto"/>
        </w:rPr>
        <w:t>grew to US$51.6 million for the third quarter of 2019, up 21% from US$42.6 million for the third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the result of growing market demand from marketers.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was US$2.6 million for the third quarter of 2019.</w:t>
      </w:r>
    </w:p>
    <w:p>
      <w:pPr>
        <w:spacing w:after="0" w:line="2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quarter ended September 30, 2019 increased 45% to US$13.6 million, compared with US$9.3 million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2018, mainly due to continual expansion of the Company’s marketing solutions with improvements in gross profit margin, and contribution from higher margin enterprise solutions.</w:t>
      </w:r>
    </w:p>
    <w:p>
      <w:pPr>
        <w:spacing w:after="0" w:line="17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were US$15.8 million for the third quarter of 2019, compared with US$23.4 million for the third quarter of 2018,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the reduction of share-based compensation expense of US$11.1 million, partially offset by the increases in expenses incurred for new business.</w:t>
      </w:r>
    </w:p>
    <w:p>
      <w:pPr>
        <w:spacing w:after="0" w:line="11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was US$2.3 million for the third quarter of 2019, compared with an operating loss of US$14.0 million for the prior-year period,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of share-based compensation expenses, strong growth on gross profit but partially offset by the expenses incurred on new business developments.</w:t>
      </w:r>
    </w:p>
    <w:p>
      <w:pPr>
        <w:spacing w:after="0" w:line="11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totalled US$0.9 million for the 2019 third quarter, compared with net loss of US$21.8 million for the 2018 third quarter, mainly attributed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lower operating loss from US$14.0 million in the third quarter of 2018 to US$2.3 million in the third quarter of 2019 as described above. In addition, we recorded the fair value gain on convertible notes of US$2.9 million in the third quarter of 2019, while we recorded fair value loss on convertible notes of US$5.4 million in the third quarter of 2018. Furthermore, there was a reduction in exchange loss of US$1.6 million for the third quarter of 2019 compared with the same quarter of 2018.</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income attributable to the Company’s shareholders per basic ADS was US$0.02, and net loss attributable to the Company’s shareholders per diluted ADS was US$0.02 for the third quarter of 2019, compared with a net loss per basic and diluted ADS of US$0.41 for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spacing w:after="0" w:line="314"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for the third quarter of 2019 was US$1.0 million, compared with US$1.2 million for the third quarter of 2018, resulting from more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expenses for new business developments, which were partially offset by the increase in gross profit. For a reconciliation of the Company’s adjusted EBITDA to net income/ loss, its most comparable GAAP measure, please refer to “Unaudited Reconciliations of GAAP and Non-GAAP Results.”</w:t>
      </w:r>
    </w:p>
    <w:p>
      <w:pPr>
        <w:spacing w:after="0" w:line="14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Adjusted net loss </w:t>
      </w:r>
      <w:r>
        <w:rPr>
          <w:rFonts w:ascii="Arial" w:cs="Arial" w:eastAsia="Arial" w:hAnsi="Arial"/>
          <w:sz w:val="18"/>
          <w:szCs w:val="18"/>
          <w:color w:val="auto"/>
        </w:rPr>
        <w:t>attributable to the Company’s shareholders, which excludes, among others, share-based compensation expenses, fair value gain/ losses on</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notes, and other gains/ losses for the 2019 third quarter was US$1.0 million, compared with US$0.8 million in the third quarter of last year. For a reconciliation of the Company’s adjusted net loss to net income/ (loss), its most comparable GAAP measure, please refer to “Unaudited Reconciliations of GAAP and Non-GAAP Results.”</w:t>
      </w:r>
    </w:p>
    <w:p>
      <w:pPr>
        <w:spacing w:after="0" w:line="180"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grew to US$180.2 million for the third quarter ended September 30, 2019, up 73% from US$104.4 million in the same period last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primarily a result of increasing marketers’ demands, partially offset by the depreciation of the Renminbi against the US dollar by 4% compared with a year ago. The gross billing would have increased 80% on a currency-neutral basis at US$187.5 million for the third quarter of 2019 compared with a year ago.</w:t>
      </w:r>
    </w:p>
    <w:p>
      <w:pPr>
        <w:spacing w:after="0" w:line="20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of September 30, 2019, the Company had cash and cash equivalents of US$21.1 million, compared with US$39.8 million as of December 31, 2018. Restricted cash and time deposit on September 30, 2019 amounted to US$24.2 million and US$1.8 million respectively, compared with US$nil at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November of 2018 we announced that our board of directors authorized us to purchase up to $10 million of our own ADS in a twelve-month period. Up to September 30, 2019, we purchased an aggregate value of approximately US$2.6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information available as of the date of this press release, iClick provided the following outlook for the fourth quarter of 2019 and the following outlook for the 2019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2019:</w:t>
      </w:r>
    </w:p>
    <w:p>
      <w:pPr>
        <w:spacing w:after="0" w:line="23"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is estimated to be between US$54 million and US$60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Full Year 2019:</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estimated to be between US$190 million and US$210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 xml:space="preserve">The Company will host an earnings conference call at 8:00 AM U.S. Eastern Time on November 26, 2019 (9:00 PM Beijing/Hong Kong time on November 26, 2019). A live and archived webcast of the conference call will be available on iClick’s investor relations website at </w:t>
      </w:r>
      <w:r>
        <w:rPr>
          <w:rFonts w:ascii="Arial" w:cs="Arial" w:eastAsia="Arial" w:hAnsi="Arial"/>
          <w:sz w:val="16"/>
          <w:szCs w:val="16"/>
          <w:u w:val="single" w:color="auto"/>
          <w:color w:val="auto"/>
        </w:rPr>
        <w:t>http://ir.i-click.com</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conference call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United States:</w:t>
            </w:r>
          </w:p>
        </w:tc>
        <w:tc>
          <w:tcPr>
            <w:tcW w:w="2640" w:type="dxa"/>
            <w:vAlign w:val="bottom"/>
          </w:tcPr>
          <w:p>
            <w:pPr>
              <w:ind w:left="1380"/>
              <w:spacing w:after="0"/>
              <w:rPr>
                <w:sz w:val="20"/>
                <w:szCs w:val="20"/>
                <w:color w:val="auto"/>
              </w:rPr>
            </w:pPr>
            <w:r>
              <w:rPr>
                <w:rFonts w:ascii="Arial" w:cs="Arial" w:eastAsia="Arial" w:hAnsi="Arial"/>
                <w:sz w:val="18"/>
                <w:szCs w:val="18"/>
                <w:color w:val="auto"/>
                <w:w w:val="89"/>
              </w:rPr>
              <w:t>+1-845-675-0437</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International:</w:t>
            </w:r>
          </w:p>
        </w:tc>
        <w:tc>
          <w:tcPr>
            <w:tcW w:w="2640" w:type="dxa"/>
            <w:vAlign w:val="bottom"/>
          </w:tcPr>
          <w:p>
            <w:pPr>
              <w:ind w:left="1380"/>
              <w:spacing w:after="0"/>
              <w:rPr>
                <w:sz w:val="20"/>
                <w:szCs w:val="20"/>
                <w:color w:val="auto"/>
              </w:rPr>
            </w:pPr>
            <w:r>
              <w:rPr>
                <w:rFonts w:ascii="Arial" w:cs="Arial" w:eastAsia="Arial" w:hAnsi="Arial"/>
                <w:sz w:val="18"/>
                <w:szCs w:val="18"/>
                <w:color w:val="auto"/>
              </w:rPr>
              <w:t>+65-6713-5090</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Hong Kong:</w:t>
            </w:r>
          </w:p>
        </w:tc>
        <w:tc>
          <w:tcPr>
            <w:tcW w:w="2640" w:type="dxa"/>
            <w:vAlign w:val="bottom"/>
          </w:tcPr>
          <w:p>
            <w:pPr>
              <w:ind w:left="1380"/>
              <w:spacing w:after="0"/>
              <w:rPr>
                <w:sz w:val="20"/>
                <w:szCs w:val="20"/>
                <w:color w:val="auto"/>
              </w:rPr>
            </w:pPr>
            <w:r>
              <w:rPr>
                <w:rFonts w:ascii="Arial" w:cs="Arial" w:eastAsia="Arial" w:hAnsi="Arial"/>
                <w:sz w:val="18"/>
                <w:szCs w:val="18"/>
                <w:color w:val="auto"/>
                <w:w w:val="93"/>
              </w:rPr>
              <w:t>+852-3018-6771</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640" w:type="dxa"/>
            <w:vAlign w:val="bottom"/>
          </w:tcPr>
          <w:p>
            <w:pPr>
              <w:ind w:left="1380"/>
              <w:spacing w:after="0"/>
              <w:rPr>
                <w:sz w:val="20"/>
                <w:szCs w:val="20"/>
                <w:color w:val="auto"/>
              </w:rPr>
            </w:pPr>
            <w:r>
              <w:rPr>
                <w:rFonts w:ascii="Arial" w:cs="Arial" w:eastAsia="Arial" w:hAnsi="Arial"/>
                <w:sz w:val="18"/>
                <w:szCs w:val="18"/>
                <w:color w:val="auto"/>
              </w:rPr>
              <w:t>400-620-8038</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Conference ID:</w:t>
            </w:r>
          </w:p>
        </w:tc>
        <w:tc>
          <w:tcPr>
            <w:tcW w:w="2640" w:type="dxa"/>
            <w:vAlign w:val="bottom"/>
          </w:tcPr>
          <w:p>
            <w:pPr>
              <w:ind w:left="1380"/>
              <w:spacing w:after="0"/>
              <w:rPr>
                <w:sz w:val="20"/>
                <w:szCs w:val="20"/>
                <w:color w:val="auto"/>
              </w:rPr>
            </w:pPr>
            <w:r>
              <w:rPr>
                <w:rFonts w:ascii="Arial" w:cs="Arial" w:eastAsia="Arial" w:hAnsi="Arial"/>
                <w:sz w:val="18"/>
                <w:szCs w:val="18"/>
                <w:color w:val="auto"/>
              </w:rPr>
              <w:t>4585057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replay of the conference call will be accessible by phone two hours after the conclusion of the live call at the following numbers until December 4,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United States:</w:t>
            </w:r>
          </w:p>
        </w:tc>
        <w:tc>
          <w:tcPr>
            <w:tcW w:w="2460" w:type="dxa"/>
            <w:vAlign w:val="bottom"/>
          </w:tcPr>
          <w:p>
            <w:pPr>
              <w:ind w:left="1200"/>
              <w:spacing w:after="0"/>
              <w:rPr>
                <w:sz w:val="20"/>
                <w:szCs w:val="20"/>
                <w:color w:val="auto"/>
              </w:rPr>
            </w:pPr>
            <w:r>
              <w:rPr>
                <w:rFonts w:ascii="Arial" w:cs="Arial" w:eastAsia="Arial" w:hAnsi="Arial"/>
                <w:sz w:val="18"/>
                <w:szCs w:val="18"/>
                <w:color w:val="auto"/>
                <w:w w:val="89"/>
              </w:rPr>
              <w:t>+1-855-452-5696</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International:</w:t>
            </w:r>
          </w:p>
        </w:tc>
        <w:tc>
          <w:tcPr>
            <w:tcW w:w="2460" w:type="dxa"/>
            <w:vAlign w:val="bottom"/>
          </w:tcPr>
          <w:p>
            <w:pPr>
              <w:ind w:left="1200"/>
              <w:spacing w:after="0"/>
              <w:rPr>
                <w:sz w:val="20"/>
                <w:szCs w:val="20"/>
                <w:color w:val="auto"/>
              </w:rPr>
            </w:pPr>
            <w:r>
              <w:rPr>
                <w:rFonts w:ascii="Arial" w:cs="Arial" w:eastAsia="Arial" w:hAnsi="Arial"/>
                <w:sz w:val="18"/>
                <w:szCs w:val="18"/>
                <w:color w:val="auto"/>
                <w:w w:val="89"/>
              </w:rPr>
              <w:t>+61-2-8199-0299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Hong Kong:</w:t>
            </w:r>
          </w:p>
        </w:tc>
        <w:tc>
          <w:tcPr>
            <w:tcW w:w="2460" w:type="dxa"/>
            <w:vAlign w:val="bottom"/>
          </w:tcPr>
          <w:p>
            <w:pPr>
              <w:ind w:left="1200"/>
              <w:spacing w:after="0"/>
              <w:rPr>
                <w:sz w:val="20"/>
                <w:szCs w:val="20"/>
                <w:color w:val="auto"/>
              </w:rPr>
            </w:pPr>
            <w:r>
              <w:rPr>
                <w:rFonts w:ascii="Arial" w:cs="Arial" w:eastAsia="Arial" w:hAnsi="Arial"/>
                <w:sz w:val="18"/>
                <w:szCs w:val="18"/>
                <w:color w:val="auto"/>
              </w:rPr>
              <w:t>800-963-117</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China:</w:t>
            </w:r>
          </w:p>
        </w:tc>
        <w:tc>
          <w:tcPr>
            <w:tcW w:w="2460" w:type="dxa"/>
            <w:vAlign w:val="bottom"/>
          </w:tcPr>
          <w:p>
            <w:pPr>
              <w:ind w:left="1200"/>
              <w:spacing w:after="0"/>
              <w:rPr>
                <w:sz w:val="20"/>
                <w:szCs w:val="20"/>
                <w:color w:val="auto"/>
              </w:rPr>
            </w:pPr>
            <w:r>
              <w:rPr>
                <w:rFonts w:ascii="Arial" w:cs="Arial" w:eastAsia="Arial" w:hAnsi="Arial"/>
                <w:sz w:val="18"/>
                <w:szCs w:val="18"/>
                <w:color w:val="auto"/>
              </w:rPr>
              <w:t>400-632-2162</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Replay Access Code:</w:t>
            </w:r>
          </w:p>
        </w:tc>
        <w:tc>
          <w:tcPr>
            <w:tcW w:w="2460" w:type="dxa"/>
            <w:vAlign w:val="bottom"/>
          </w:tcPr>
          <w:p>
            <w:pPr>
              <w:ind w:left="1200"/>
              <w:spacing w:after="0"/>
              <w:rPr>
                <w:sz w:val="20"/>
                <w:szCs w:val="20"/>
                <w:color w:val="auto"/>
              </w:rPr>
            </w:pPr>
            <w:r>
              <w:rPr>
                <w:rFonts w:ascii="Arial" w:cs="Arial" w:eastAsia="Arial" w:hAnsi="Arial"/>
                <w:sz w:val="18"/>
                <w:szCs w:val="18"/>
                <w:color w:val="auto"/>
              </w:rPr>
              <w:t>4585057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decision-making purposes.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jc w:val="both"/>
        <w:ind w:right="20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Additionally, currency-neutral revenue and gross billing are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7160" w:type="dxa"/>
            <w:vAlign w:val="bottom"/>
          </w:tcPr>
          <w:p>
            <w:pPr>
              <w:spacing w:after="0"/>
              <w:rPr>
                <w:sz w:val="20"/>
                <w:szCs w:val="20"/>
                <w:color w:val="auto"/>
              </w:rPr>
            </w:pPr>
          </w:p>
        </w:tc>
      </w:tr>
      <w:tr>
        <w:trPr>
          <w:trHeight w:val="414"/>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In China:</w:t>
            </w:r>
          </w:p>
        </w:tc>
        <w:tc>
          <w:tcPr>
            <w:tcW w:w="7160" w:type="dxa"/>
            <w:vAlign w:val="bottom"/>
          </w:tcPr>
          <w:p>
            <w:pPr>
              <w:ind w:left="140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iClick Interactive Asia Group Limited</w:t>
            </w:r>
          </w:p>
        </w:tc>
        <w:tc>
          <w:tcPr>
            <w:tcW w:w="7160" w:type="dxa"/>
            <w:vAlign w:val="bottom"/>
          </w:tcPr>
          <w:p>
            <w:pPr>
              <w:ind w:left="140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Lisa Li</w:t>
            </w:r>
          </w:p>
        </w:tc>
        <w:tc>
          <w:tcPr>
            <w:tcW w:w="7160" w:type="dxa"/>
            <w:vAlign w:val="bottom"/>
          </w:tcPr>
          <w:p>
            <w:pPr>
              <w:ind w:left="1400"/>
              <w:spacing w:after="0"/>
              <w:rPr>
                <w:sz w:val="20"/>
                <w:szCs w:val="20"/>
                <w:color w:val="auto"/>
              </w:rPr>
            </w:pPr>
            <w:r>
              <w:rPr>
                <w:rFonts w:ascii="Arial" w:cs="Arial" w:eastAsia="Arial" w:hAnsi="Arial"/>
                <w:sz w:val="18"/>
                <w:szCs w:val="18"/>
                <w:color w:val="auto"/>
              </w:rPr>
              <w:t>John Marco</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Phone: +86-21-3230-3931 #892</w:t>
            </w:r>
          </w:p>
        </w:tc>
        <w:tc>
          <w:tcPr>
            <w:tcW w:w="7160" w:type="dxa"/>
            <w:vAlign w:val="bottom"/>
          </w:tcPr>
          <w:p>
            <w:pPr>
              <w:ind w:left="1400"/>
              <w:spacing w:after="0"/>
              <w:rPr>
                <w:sz w:val="20"/>
                <w:szCs w:val="20"/>
                <w:color w:val="auto"/>
              </w:rPr>
            </w:pPr>
            <w:r>
              <w:rPr>
                <w:rFonts w:ascii="Arial" w:cs="Arial" w:eastAsia="Arial" w:hAnsi="Arial"/>
                <w:sz w:val="18"/>
                <w:szCs w:val="18"/>
                <w:color w:val="auto"/>
              </w:rPr>
              <w:t>Tel: +1-516-222-2560</w:t>
            </w: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E-mail: ir@i-click.com</w:t>
            </w:r>
          </w:p>
        </w:tc>
        <w:tc>
          <w:tcPr>
            <w:tcW w:w="7160" w:type="dxa"/>
            <w:vAlign w:val="bottom"/>
          </w:tcPr>
          <w:p>
            <w:pPr>
              <w:ind w:left="1400"/>
              <w:spacing w:after="0"/>
              <w:rPr>
                <w:sz w:val="20"/>
                <w:szCs w:val="20"/>
                <w:color w:val="auto"/>
              </w:rPr>
            </w:pPr>
            <w:r>
              <w:rPr>
                <w:rFonts w:ascii="Arial" w:cs="Arial" w:eastAsia="Arial" w:hAnsi="Arial"/>
                <w:sz w:val="18"/>
                <w:szCs w:val="18"/>
                <w:color w:val="auto"/>
              </w:rPr>
              <w:t>E-mail: johnm@coreir.com</w:t>
            </w:r>
          </w:p>
        </w:tc>
      </w:tr>
      <w:tr>
        <w:trPr>
          <w:trHeight w:val="432"/>
        </w:trPr>
        <w:tc>
          <w:tcPr>
            <w:tcW w:w="4300" w:type="dxa"/>
            <w:vAlign w:val="bottom"/>
          </w:tcPr>
          <w:p>
            <w:pPr>
              <w:spacing w:after="0"/>
              <w:rPr>
                <w:sz w:val="24"/>
                <w:szCs w:val="24"/>
                <w:color w:val="auto"/>
              </w:rPr>
            </w:pPr>
          </w:p>
        </w:tc>
        <w:tc>
          <w:tcPr>
            <w:tcW w:w="7160" w:type="dxa"/>
            <w:vAlign w:val="bottom"/>
          </w:tcPr>
          <w:p>
            <w:pPr>
              <w:ind w:left="540"/>
              <w:spacing w:after="0"/>
              <w:rPr>
                <w:sz w:val="20"/>
                <w:szCs w:val="20"/>
                <w:color w:val="auto"/>
              </w:rPr>
            </w:pPr>
            <w:r>
              <w:rPr>
                <w:rFonts w:ascii="Arial" w:cs="Arial" w:eastAsia="Arial" w:hAnsi="Arial"/>
                <w:sz w:val="18"/>
                <w:szCs w:val="18"/>
                <w:color w:val="auto"/>
              </w:rPr>
              <w:t>(financial tables follow)</w:t>
            </w:r>
          </w:p>
        </w:tc>
      </w:tr>
      <w:tr>
        <w:trPr>
          <w:trHeight w:val="348"/>
        </w:trPr>
        <w:tc>
          <w:tcPr>
            <w:tcW w:w="4300" w:type="dxa"/>
            <w:vAlign w:val="bottom"/>
            <w:tcBorders>
              <w:bottom w:val="single" w:sz="8" w:color="808080"/>
            </w:tcBorders>
          </w:tcPr>
          <w:p>
            <w:pPr>
              <w:spacing w:after="0"/>
              <w:rPr>
                <w:sz w:val="24"/>
                <w:szCs w:val="24"/>
                <w:color w:val="auto"/>
              </w:rPr>
            </w:pPr>
          </w:p>
        </w:tc>
        <w:tc>
          <w:tcPr>
            <w:tcW w:w="7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142,733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revenues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(40,611)</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(33,255)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(103,190)</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(93,146)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(1,423)</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(5,409)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(4,272)</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(31,437)</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(3,856)</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(10,781)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(10,694)</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Pr>
          <w:p>
            <w:pPr>
              <w:jc w:val="right"/>
              <w:spacing w:after="0"/>
              <w:rPr>
                <w:sz w:val="20"/>
                <w:szCs w:val="20"/>
                <w:color w:val="auto"/>
              </w:rPr>
            </w:pPr>
            <w:r>
              <w:rPr>
                <w:rFonts w:ascii="Arial" w:cs="Arial" w:eastAsia="Arial" w:hAnsi="Arial"/>
                <w:sz w:val="18"/>
                <w:szCs w:val="18"/>
                <w:color w:val="auto"/>
              </w:rPr>
              <w:t>(2,291)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Fair value gain/ (losses) on convertible notes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2,938</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(Loss) before income tax expense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(21,754)</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(24,472)</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Net income/ (loss) attributable to iClick Interactive Asia Group Limited’s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b w:val="1"/>
                <w:bCs w:val="1"/>
                <w:color w:val="auto"/>
              </w:rPr>
              <w:t>ordinary shareholders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1,413</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(21,754)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32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(24,472)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863</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(21,754)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(4,850)</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 net of US$nil tax</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(1,502)</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(22,768)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(6,352)</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noncontrolling interests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w w:val="97"/>
              </w:rPr>
              <w:t>Comprehensive loss attributable to iClick Interactive Asia Group Limited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(22,768)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(5,365)</w:t>
            </w:r>
          </w:p>
        </w:tc>
        <w:tc>
          <w:tcPr>
            <w:tcW w:w="32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4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Net income/ (loss) per ADS attributable to iClick Interactive Asia Group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b w:val="1"/>
                <w:bCs w:val="1"/>
                <w:color w:val="auto"/>
              </w:rPr>
              <w:t>Limited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57,573,081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52,722,561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57,273,115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52,348,326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67,184,218</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52,722,561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65,915,823</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52,348,326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 September 30, 2019</w:t>
            </w:r>
          </w:p>
        </w:tc>
        <w:tc>
          <w:tcPr>
            <w:tcW w:w="2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21,091</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Time deposit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1,829</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24,159</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Short-term investment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net of allowance for doubtful receivables of US$1,606 and US$1,507</w:t>
            </w: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September 30, 2019 and December 31, 2018 respectively</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136,176</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Rebates receivable</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3,333</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6,771</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209,084</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tax assets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981</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equity investee</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55,156</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line="216" w:lineRule="exact"/>
              <w:rPr>
                <w:sz w:val="20"/>
                <w:szCs w:val="20"/>
                <w:color w:val="auto"/>
              </w:rPr>
            </w:pPr>
            <w:r>
              <w:rPr>
                <w:rFonts w:ascii="Arial" w:cs="Arial" w:eastAsia="Arial" w:hAnsi="Arial"/>
                <w:sz w:val="18"/>
                <w:szCs w:val="18"/>
                <w:color w:val="auto"/>
              </w:rPr>
              <w:t>Right-of-use assets</w:t>
            </w:r>
            <w:r>
              <w:rPr>
                <w:rFonts w:ascii="Arial" w:cs="Arial" w:eastAsia="Arial" w:hAnsi="Arial"/>
                <w:sz w:val="23"/>
                <w:szCs w:val="23"/>
                <w:color w:val="auto"/>
                <w:vertAlign w:val="superscript"/>
              </w:rPr>
              <w:t>3</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1,821</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66,454</w:t>
            </w: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275,538</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207,258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7"/>
              </w:rPr>
              <w:t>(“VIE”) and its subsidiaries without recourse to the Company of US$283 and US$45 as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of September 30, 2019 and December 31, 2018, respectively)</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46,396</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Deferred revenue (including deferred revenue of the consolidated VIE and its subsidiaries</w:t>
            </w: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without recourse to the Company of US$1,622 and US$1,300 as of September 30, 2019</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2018, respectively)</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30,511</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rPr>
              <w:t>Accrued liabilities and other current liabilities (including accrued liabilities and other</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current liabilities of the consolidated VIE and its subsidiaries without recourse to the</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Company of US$1,706 and US$1,776 as of September 30, 2019 and December 31, 2018,</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16,662</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Lease liabilities</w:t>
            </w:r>
            <w:r>
              <w:rPr>
                <w:rFonts w:ascii="Arial" w:cs="Arial" w:eastAsia="Arial" w:hAnsi="Arial"/>
                <w:sz w:val="23"/>
                <w:szCs w:val="23"/>
                <w:color w:val="auto"/>
                <w:vertAlign w:val="superscript"/>
              </w:rPr>
              <w:t>3</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Bank borrowings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39,580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fair value</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26,199</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payable</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3,448</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163,961</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liabilities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505</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Lease liabilities</w:t>
            </w:r>
            <w:r>
              <w:rPr>
                <w:rFonts w:ascii="Arial" w:cs="Arial" w:eastAsia="Arial" w:hAnsi="Arial"/>
                <w:sz w:val="23"/>
                <w:szCs w:val="23"/>
                <w:color w:val="auto"/>
                <w:vertAlign w:val="superscript"/>
              </w:rPr>
              <w:t>3</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2,260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167,431</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rPr>
              <w:t>Ordinary shares — Class A (US$0.001 par value; 80,000,000 shares authorized as of</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6"/>
              </w:rPr>
              <w:t>September 30, 2019 and December 31, 2018, respectively; 23,763,883 and 23,166,092</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shares issued and outstanding as of September 30, 2019 and December 31, 2018,</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 Class B (US$0.001 par value; 20,000,000 shares authorized as of</w:t>
            </w: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September 30, 2019 and December 31, 2018, respectively; 4,820,608 shares issued and</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September 30, 2019 and December 31, 2018, respectively)</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7"/>
              </w:rPr>
              <w:t>Treasury shares (1,555,815 shares and 1,363,860 shares as of September 30, 2019 and</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December 31, 2018, respectively)</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(3,044)</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300,325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Statutory reserves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(7,369)</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Accumulated deficit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(185,276)</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(181,413)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104,746</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3,361</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108,107</w:t>
            </w:r>
          </w:p>
        </w:tc>
        <w:tc>
          <w:tcPr>
            <w:tcW w:w="2060" w:type="dxa"/>
            <w:vAlign w:val="bottom"/>
          </w:tcPr>
          <w:p>
            <w:pPr>
              <w:jc w:val="right"/>
              <w:spacing w:after="0"/>
              <w:rPr>
                <w:sz w:val="20"/>
                <w:szCs w:val="20"/>
                <w:color w:val="auto"/>
              </w:rPr>
            </w:pPr>
            <w:r>
              <w:rPr>
                <w:rFonts w:ascii="Arial" w:cs="Arial" w:eastAsia="Arial" w:hAnsi="Arial"/>
                <w:sz w:val="18"/>
                <w:szCs w:val="18"/>
                <w:color w:val="auto"/>
              </w:rPr>
              <w:t>106,640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275,538</w:t>
            </w:r>
          </w:p>
        </w:tc>
        <w:tc>
          <w:tcPr>
            <w:tcW w:w="2060" w:type="dxa"/>
            <w:vAlign w:val="bottom"/>
          </w:tcPr>
          <w:p>
            <w:pPr>
              <w:jc w:val="right"/>
              <w:spacing w:after="0"/>
              <w:rPr>
                <w:sz w:val="20"/>
                <w:szCs w:val="20"/>
                <w:color w:val="auto"/>
              </w:rPr>
            </w:pPr>
            <w:r>
              <w:rPr>
                <w:rFonts w:ascii="Arial" w:cs="Arial" w:eastAsia="Arial" w:hAnsi="Arial"/>
                <w:sz w:val="18"/>
                <w:szCs w:val="18"/>
                <w:color w:val="auto"/>
              </w:rPr>
              <w:t>207,258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hanging="172"/>
        <w:spacing w:after="0" w:line="257" w:lineRule="auto"/>
        <w:tabs>
          <w:tab w:leader="none" w:pos="166"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The Company adopted the new leasing guidance (ASU 2016-02) started from January 1, 2019, which requires that a lessee recognize the assets and liabilities that arise from operating leases. The Company recognized a right-of-use asset and a liability relating to lease payments (the Lease Liability) in the consolidated balance sheets for lease contracts having terms beyond 12 months period. The adoption of new leasing guidance resulted in recognition of US$1.8 million of right-of-use assets and US$1.9 million of lease liabilities, respectively, as of September 30, 2019. The consolidated financial information related to periods prior to January 1, 2019 were not restated, and continue to be reported under ASC Topic 840 —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EBITDA represents net income/ (loss) before (i) depreciation and amortization, (ii) interest expense, (iii) interest income, (iv) income tax (benefit)/ expense, (v) share-based compensation, (vi) fair value (gain)/ losses on convertible notes, (vii) other (gains)/ losses, net, (viii) convertible notes issuance cost,</w:t>
      </w: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loss attributable to noncontrolling interests, (x) share of losses from an equity investee, (xi) cost related to new business setup or acquisitions, and</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related to filing of Form F-3.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income/ (loss) for the periods indicated:</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8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5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(21,754)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(24,472)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Add/(less):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Add/(less):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13,283</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Fair value (gain)/ losses on convertible notes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(2,938)</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5,383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5,383</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(gains)/losses, net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r>
      <w:tr>
        <w:trPr>
          <w:trHeight w:val="216"/>
        </w:trPr>
        <w:tc>
          <w:tcPr>
            <w:tcW w:w="5280" w:type="dxa"/>
            <w:vAlign w:val="bottom"/>
          </w:tcPr>
          <w:p>
            <w:pPr>
              <w:ind w:left="180"/>
              <w:spacing w:after="0" w:line="216" w:lineRule="exact"/>
              <w:rPr>
                <w:sz w:val="20"/>
                <w:szCs w:val="20"/>
                <w:color w:val="auto"/>
              </w:rPr>
            </w:pPr>
            <w:r>
              <w:rPr>
                <w:rFonts w:ascii="Arial" w:cs="Arial" w:eastAsia="Arial" w:hAnsi="Arial"/>
                <w:sz w:val="18"/>
                <w:szCs w:val="18"/>
                <w:color w:val="auto"/>
              </w:rPr>
              <w:t>Convertible notes issuance cost</w:t>
            </w:r>
            <w:r>
              <w:rPr>
                <w:rFonts w:ascii="Arial" w:cs="Arial" w:eastAsia="Arial" w:hAnsi="Arial"/>
                <w:sz w:val="23"/>
                <w:szCs w:val="23"/>
                <w:color w:val="auto"/>
                <w:vertAlign w:val="superscript"/>
              </w:rPr>
              <w:t>4</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2,190</w:t>
            </w:r>
          </w:p>
        </w:tc>
        <w:tc>
          <w:tcPr>
            <w:tcW w:w="17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2,190</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80"/>
              <w:spacing w:after="0" w:line="216" w:lineRule="exact"/>
              <w:rPr>
                <w:sz w:val="20"/>
                <w:szCs w:val="20"/>
                <w:color w:val="auto"/>
              </w:rPr>
            </w:pPr>
            <w:r>
              <w:rPr>
                <w:rFonts w:ascii="Arial" w:cs="Arial" w:eastAsia="Arial" w:hAnsi="Arial"/>
                <w:sz w:val="18"/>
                <w:szCs w:val="18"/>
                <w:color w:val="auto"/>
              </w:rPr>
              <w:t>Cost related to filing of Form F-3</w:t>
            </w:r>
            <w:r>
              <w:rPr>
                <w:rFonts w:ascii="Arial" w:cs="Arial" w:eastAsia="Arial" w:hAnsi="Arial"/>
                <w:sz w:val="23"/>
                <w:szCs w:val="23"/>
                <w:color w:val="auto"/>
                <w:vertAlign w:val="superscript"/>
              </w:rPr>
              <w:t>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700" w:firstLine="8"/>
        <w:spacing w:after="0" w:line="227" w:lineRule="auto"/>
        <w:tabs>
          <w:tab w:leader="none" w:pos="1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Convertible notes issuance cost represents transaction cost for the issue of convertible notes, including success fee, legal and professional fee, and consulting fee.</w:t>
      </w:r>
    </w:p>
    <w:p>
      <w:pPr>
        <w:ind w:right="18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Cost related to new business setup or acquisition represents transaction cost for setting up Thailand business and other acquisitions, including audit, legal and professional fee.</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It represents cost related to F-3 filing such as audit, legal and professional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 w:name="page13"/>
    <w:bookmarkEnd w:id="12"/>
    <w:p>
      <w:pPr>
        <w:ind w:right="300"/>
        <w:spacing w:after="0" w:line="312" w:lineRule="auto"/>
        <w:rPr>
          <w:sz w:val="20"/>
          <w:szCs w:val="20"/>
          <w:color w:val="auto"/>
        </w:rPr>
      </w:pPr>
      <w:r>
        <w:rPr>
          <w:rFonts w:ascii="Arial" w:cs="Arial" w:eastAsia="Arial" w:hAnsi="Arial"/>
          <w:sz w:val="16"/>
          <w:szCs w:val="16"/>
          <w:color w:val="auto"/>
        </w:rPr>
        <w:t>Adjusted net loss represents net income/ (loss) before (i) share-based compensation, (ii) fair value (gain)/ losses on convertible notes, (iii) other (gains)/ losses, net, (iv) convertible notes issuance cost , (v) net loss attributable to noncontrolling interests, (vi) share of losses from an equity investee, (vii) cost related to new business setup or acquisitions, and (viii) cost related to filing of Form F-3. There is no material tax effects on these non-GAAP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income/ (loss) for the periods indicated:</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26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5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(21,754)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13,283</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Fair value (gain)/ losses on convertible notes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(2,938)</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5,383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(946)</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Convertible notes issuance cost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2,190</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2,190</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related to new business setup or acquisitions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Cost related to filing of Form F-3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diluted adjusted net loss per ADS for the periods indicated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5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70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iClick Interactive Asia Group</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Limited’s ordinary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(21,754)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(24,472)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Add: Non-GAAP adjustments to net income/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(2,424)</w:t>
            </w: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20,932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net loss per ADS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67,184,218</w:t>
            </w: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52,722,561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65,915,823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52,348,326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w w:val="99"/>
              </w:rPr>
              <w:t>Diluted net income/ (loss) per ADS attributable to iClick Interactive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Asia Group Limited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(0.47)</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 Non-GAAP adjustments to net income/ (loss) per ADS</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80" w:type="dxa"/>
            <w:vAlign w:val="bottom"/>
            <w:vMerge w:val="restart"/>
          </w:tcPr>
          <w:p>
            <w:pPr>
              <w:spacing w:after="0" w:line="201" w:lineRule="exact"/>
              <w:rPr>
                <w:sz w:val="20"/>
                <w:szCs w:val="20"/>
                <w:color w:val="auto"/>
              </w:rPr>
            </w:pPr>
            <w:r>
              <w:rPr>
                <w:rFonts w:ascii="Arial" w:cs="Arial" w:eastAsia="Arial" w:hAnsi="Arial"/>
                <w:sz w:val="18"/>
                <w:szCs w:val="18"/>
                <w:color w:val="auto"/>
              </w:rPr>
              <w:t>Diluted adjusted net loss per ADS attributable to iClick Interactive</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5280" w:type="dxa"/>
            <w:vAlign w:val="bottom"/>
            <w:vMerge w:val="continue"/>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(0.02)</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(0.05)</w:t>
            </w: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(0.06)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Asia Group Limited</w:t>
            </w: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Roman"/>
      <w:start w:val="9"/>
    </w:lvl>
  </w:abstractNum>
  <w:abstractNum w:abstractNumId="6">
    <w:nsid w:val="79E2A9E3"/>
    <w:multiLevelType w:val="hybridMultilevel"/>
    <w:lvl w:ilvl="0">
      <w:lvlJc w:val="left"/>
      <w:lvlText w:val="(%1)"/>
      <w:numFmt w:val="lowerRoman"/>
      <w:start w:val="12"/>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2019-11-27T16:02:46Z</dcterms:created>
  <dcterms:modified xsi:type="dcterms:W3CDTF">2019-11-27T16:02:46Z</dcterms:modified>
</cp:coreProperties>
</file>