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ableofContents">
        <w:bookmarkStart w:id="0" w:name="iclk-20221231x20f.htm"/>
        <w:bookmarkStart w:id="1" w:name="ksiclk20221231x20f"/>
        <w:bookmarkEnd w:id="0"/>
        <w:bookmarkEnd w:id="1"/>
        <w:r>
          <w:rPr>
            <w:rStyle w:val="InternetLink"/>
            <w:rFonts w:ascii="Times New Roman;Times;serif" w:hAnsi="Times New Roman;Times;serif"/>
            <w:b w:val="false"/>
            <w:i w:val="false"/>
            <w:caps w:val="false"/>
            <w:smallCaps w:val="false"/>
            <w:color w:val="000000"/>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bookmarkStart w:id="2" w:name="_bb04e5a4_4d90_4645_ac84_225eb27f748b"/>
      <w:bookmarkEnd w:id="2"/>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20-F</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Normal"/>
        <w:bidi w:val="0"/>
        <w:spacing w:before="0" w:after="0"/>
        <w:jc w:val="left"/>
        <w:rPr>
          <w:sz w:val="4"/>
          <w:szCs w:val="4"/>
        </w:rPr>
      </w:pPr>
      <w:r>
        <w:rPr>
          <w:sz w:val="4"/>
          <w:szCs w:val="4"/>
        </w:rPr>
      </w:r>
      <w:bookmarkStart w:id="3" w:name="Tc_xUdbOgetnEaCm8-cHI_zaA_1_1"/>
      <w:bookmarkStart w:id="4" w:name="_8aec39ce_e7ba_49bc_b8c4_12fa338bb84c"/>
      <w:bookmarkStart w:id="5" w:name="Tc_xUdbOgetnEaCm8-cHI_zaA_1_1"/>
      <w:bookmarkStart w:id="6" w:name="_8aec39ce_e7ba_49bc_b8c4_12fa338bb84c"/>
      <w:bookmarkEnd w:id="5"/>
      <w:bookmarkEnd w:id="6"/>
    </w:p>
    <w:tbl>
      <w:tblPr>
        <w:tblW w:w="9767" w:type="dxa"/>
        <w:jc w:val="left"/>
        <w:tblInd w:w="0" w:type="dxa"/>
        <w:tblLayout w:type="fixed"/>
        <w:tblCellMar>
          <w:top w:w="0" w:type="dxa"/>
          <w:left w:w="0" w:type="dxa"/>
          <w:bottom w:w="0" w:type="dxa"/>
          <w:right w:w="0" w:type="dxa"/>
        </w:tblCellMar>
      </w:tblPr>
      <w:tblGrid>
        <w:gridCol w:w="331"/>
        <w:gridCol w:w="943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991860" cy="175260"/>
                      <wp:effectExtent l="0" t="0" r="0" b="0"/>
                      <wp:wrapNone/>
                      <wp:docPr id="2" name="Frame2"/>
                      <a:graphic xmlns:a="http://schemas.openxmlformats.org/drawingml/2006/main">
                        <a:graphicData uri="http://schemas.microsoft.com/office/word/2010/wordprocessingShape">
                          <wps:wsp>
                            <wps:cNvSpPr txBox="1"/>
                            <wps:spPr>
                              <a:xfrm>
                                <a:off x="0" y="0"/>
                                <a:ext cx="599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4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REGISTRATION STATEMENT PURSUANT TO SECTION 12(b) OR 12(g) OF THE SECURITIES EXCHANGE ACT OF 1934</w:t>
            </w:r>
          </w:p>
        </w:tc>
      </w:tr>
    </w:tbl>
    <w:p>
      <w:pPr>
        <w:pStyle w:val="TextBody"/>
        <w:bidi w:val="0"/>
        <w:spacing w:before="60" w:after="8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Normal"/>
        <w:bidi w:val="0"/>
        <w:spacing w:before="0" w:after="0"/>
        <w:jc w:val="left"/>
        <w:rPr>
          <w:sz w:val="4"/>
          <w:szCs w:val="4"/>
        </w:rPr>
      </w:pPr>
      <w:r>
        <w:rPr>
          <w:sz w:val="4"/>
          <w:szCs w:val="4"/>
        </w:rPr>
      </w:r>
      <w:bookmarkStart w:id="7" w:name="Tc_P3p7QFubgUqjXiZeTaXdxw_1_1"/>
      <w:bookmarkStart w:id="8" w:name="_f034119e_3abd_46df_9a15_2ae5ddc2eec3"/>
      <w:bookmarkStart w:id="9" w:name="Tc_P3p7QFubgUqjXiZeTaXdxw_1_1"/>
      <w:bookmarkStart w:id="10" w:name="_f034119e_3abd_46df_9a15_2ae5ddc2eec3"/>
      <w:bookmarkEnd w:id="9"/>
      <w:bookmarkEnd w:id="10"/>
    </w:p>
    <w:tbl>
      <w:tblPr>
        <w:tblW w:w="8672" w:type="dxa"/>
        <w:jc w:val="left"/>
        <w:tblInd w:w="0" w:type="dxa"/>
        <w:tblLayout w:type="fixed"/>
        <w:tblCellMar>
          <w:top w:w="0" w:type="dxa"/>
          <w:left w:w="0" w:type="dxa"/>
          <w:bottom w:w="0" w:type="dxa"/>
          <w:right w:w="0" w:type="dxa"/>
        </w:tblCellMar>
      </w:tblPr>
      <w:tblGrid>
        <w:gridCol w:w="331"/>
        <w:gridCol w:w="834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34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bl>
    <w:p>
      <w:pPr>
        <w:pStyle w:val="TextBody"/>
        <w:bidi w:val="0"/>
        <w:spacing w:before="60" w:after="8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2022.</w:t>
      </w:r>
    </w:p>
    <w:p>
      <w:pPr>
        <w:pStyle w:val="Normal"/>
        <w:bidi w:val="0"/>
        <w:spacing w:before="0" w:after="0"/>
        <w:jc w:val="left"/>
        <w:rPr>
          <w:sz w:val="4"/>
          <w:szCs w:val="4"/>
        </w:rPr>
      </w:pPr>
      <w:r>
        <w:rPr>
          <w:sz w:val="4"/>
          <w:szCs w:val="4"/>
        </w:rPr>
      </w:r>
      <w:bookmarkStart w:id="11" w:name="Tc_VSCm3kH6XUSmXxqVECcTxQ_1_1"/>
      <w:bookmarkStart w:id="12" w:name="_2afce1e8_eb93_42b6_b302_fede376289a8"/>
      <w:bookmarkStart w:id="13" w:name="Tc_VSCm3kH6XUSmXxqVECcTxQ_1_1"/>
      <w:bookmarkStart w:id="14" w:name="_2afce1e8_eb93_42b6_b302_fede376289a8"/>
      <w:bookmarkEnd w:id="13"/>
      <w:bookmarkEnd w:id="14"/>
    </w:p>
    <w:tbl>
      <w:tblPr>
        <w:tblW w:w="9002" w:type="dxa"/>
        <w:jc w:val="left"/>
        <w:tblInd w:w="0" w:type="dxa"/>
        <w:tblLayout w:type="fixed"/>
        <w:tblCellMar>
          <w:top w:w="0" w:type="dxa"/>
          <w:left w:w="0" w:type="dxa"/>
          <w:bottom w:w="0" w:type="dxa"/>
          <w:right w:w="0" w:type="dxa"/>
        </w:tblCellMar>
      </w:tblPr>
      <w:tblGrid>
        <w:gridCol w:w="331"/>
        <w:gridCol w:w="867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67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86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bidi w:val="0"/>
        <w:spacing w:before="60" w:after="8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Normal"/>
        <w:bidi w:val="0"/>
        <w:spacing w:before="0" w:after="0"/>
        <w:jc w:val="left"/>
        <w:rPr>
          <w:sz w:val="4"/>
          <w:szCs w:val="4"/>
        </w:rPr>
      </w:pPr>
      <w:r>
        <w:rPr>
          <w:sz w:val="4"/>
          <w:szCs w:val="4"/>
        </w:rPr>
      </w:r>
      <w:bookmarkStart w:id="15" w:name="Tc_cIwKfh7K0UmuQ6f_rPu93A_1_1"/>
      <w:bookmarkStart w:id="16" w:name="_8d8afb13_f114_45cd_8b63_f44e091751ec"/>
      <w:bookmarkStart w:id="17" w:name="Tc_cIwKfh7K0UmuQ6f_rPu93A_1_1"/>
      <w:bookmarkStart w:id="18" w:name="_8d8afb13_f114_45cd_8b63_f44e091751ec"/>
      <w:bookmarkEnd w:id="17"/>
      <w:bookmarkEnd w:id="18"/>
    </w:p>
    <w:tbl>
      <w:tblPr>
        <w:tblW w:w="9422" w:type="dxa"/>
        <w:jc w:val="left"/>
        <w:tblInd w:w="0" w:type="dxa"/>
        <w:tblLayout w:type="fixed"/>
        <w:tblCellMar>
          <w:top w:w="0" w:type="dxa"/>
          <w:left w:w="0" w:type="dxa"/>
          <w:bottom w:w="0" w:type="dxa"/>
          <w:right w:w="0" w:type="dxa"/>
        </w:tblCellMar>
      </w:tblPr>
      <w:tblGrid>
        <w:gridCol w:w="331"/>
        <w:gridCol w:w="909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09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0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SHELL COMPANY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event requiring this shell company report</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Commission file number:  001-38313</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iClick Interactive Asia Group Limited</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N/A</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(Translation of Registrant’s name into English)</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Cayman Islands</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(Jurisdiction of incorporation or organization)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15/F</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Prosperity Millennia Plaza</w:t>
      </w:r>
      <w:r>
        <w:rPr>
          <w:rFonts w:ascii="Times New Roman;Times;serif" w:hAnsi="Times New Roman;Times;serif"/>
          <w:sz w:val="20"/>
        </w:rPr>
        <w:t> </w:t>
      </w:r>
      <w:r>
        <w:rPr>
          <w:rFonts w:ascii="Times New Roman;Times;serif" w:hAnsi="Times New Roman;Times;serif"/>
          <w:sz w:val="16"/>
        </w:rPr>
        <w:t>663 King’s Road, Quarry Bay</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Hong Kong S.A.R., People’s Republic of China</w:t>
      </w:r>
      <w:r>
        <w:rPr>
          <w:rFonts w:ascii="Times New Roman;Times;serif" w:hAnsi="Times New Roman;Times;serif"/>
          <w:sz w:val="20"/>
        </w:rPr>
        <w:t> </w:t>
      </w:r>
      <w:r>
        <w:rPr>
          <w:rFonts w:ascii="Times New Roman;Times;serif" w:hAnsi="Times New Roman;Times;serif"/>
          <w:sz w:val="16"/>
        </w:rPr>
        <w:t>Tel: +852 3700 9000</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David Zhang, Chief Financial Officer</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15/F</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Prosperity Millennia Plaza</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663 King’s Road, Quarry Bay</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Hong Kong S.A.R., People’s Republic of China</w:t>
      </w:r>
      <w:r>
        <w:rPr>
          <w:rFonts w:ascii="Times New Roman;Times;serif" w:hAnsi="Times New Roman;Times;serif"/>
          <w:sz w:val="20"/>
        </w:rPr>
        <w:t> </w:t>
      </w:r>
      <w:r>
        <w:rPr>
          <w:rFonts w:ascii="Times New Roman;Times;serif" w:hAnsi="Times New Roman;Times;serif"/>
          <w:sz w:val="16"/>
        </w:rPr>
        <w:t>Tel: +852</w:t>
      </w:r>
      <w:r>
        <w:rPr>
          <w:rFonts w:ascii="Times New Roman;Times;serif" w:hAnsi="Times New Roman;Times;serif"/>
          <w:sz w:val="20"/>
        </w:rPr>
        <w:t> </w:t>
      </w:r>
      <w:r>
        <w:rPr>
          <w:rFonts w:ascii="Times New Roman;Times;serif" w:hAnsi="Times New Roman;Times;serif"/>
          <w:sz w:val="16"/>
        </w:rPr>
        <w:t>3700 9000</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E-mail: david.zhang@i-click.com</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(Name, Telephone, E-mail and/or Facsimile number and Address of Company Contact Person)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Securities registered or to be registered pursuant to Section 12(b) of the Act:</w:t>
      </w:r>
    </w:p>
    <w:p>
      <w:pPr>
        <w:pStyle w:val="Normal"/>
        <w:bidi w:val="0"/>
        <w:spacing w:before="0" w:after="0"/>
        <w:jc w:val="left"/>
        <w:rPr>
          <w:sz w:val="4"/>
          <w:szCs w:val="4"/>
        </w:rPr>
      </w:pPr>
      <w:r>
        <w:rPr>
          <w:sz w:val="4"/>
          <w:szCs w:val="4"/>
        </w:rPr>
      </w:r>
      <w:bookmarkStart w:id="19" w:name="Tc_X-gLBj4fD0SjOf2A76DfRg_2_4"/>
      <w:bookmarkStart w:id="20" w:name="Tc_yvSoj4V7CEirTjwuCThsTA_2_0"/>
      <w:bookmarkStart w:id="21" w:name="Tc_qJ8_AuEwnk629Q3Zav_44w_1_4"/>
      <w:bookmarkStart w:id="22" w:name="Tc_zyDiOEsJKEWMY6NNV65uxg_1_2"/>
      <w:bookmarkStart w:id="23" w:name="Tc_kBcbHSkIoEqAzuW7lO9T9w_1_0"/>
      <w:bookmarkStart w:id="24" w:name="_efc3d610_7fcb_45a1_b949_f697ca6eca68"/>
      <w:bookmarkStart w:id="25" w:name="Tc_X-gLBj4fD0SjOf2A76DfRg_2_4"/>
      <w:bookmarkStart w:id="26" w:name="Tc_yvSoj4V7CEirTjwuCThsTA_2_0"/>
      <w:bookmarkStart w:id="27" w:name="Tc_qJ8_AuEwnk629Q3Zav_44w_1_4"/>
      <w:bookmarkStart w:id="28" w:name="Tc_zyDiOEsJKEWMY6NNV65uxg_1_2"/>
      <w:bookmarkStart w:id="29" w:name="Tc_kBcbHSkIoEqAzuW7lO9T9w_1_0"/>
      <w:bookmarkStart w:id="30" w:name="_efc3d610_7fcb_45a1_b949_f697ca6eca68"/>
      <w:bookmarkEnd w:id="25"/>
      <w:bookmarkEnd w:id="26"/>
      <w:bookmarkEnd w:id="27"/>
      <w:bookmarkEnd w:id="28"/>
      <w:bookmarkEnd w:id="29"/>
      <w:bookmarkEnd w:id="30"/>
    </w:p>
    <w:tbl>
      <w:tblPr>
        <w:tblW w:w="10205" w:type="dxa"/>
        <w:jc w:val="left"/>
        <w:tblInd w:w="0" w:type="dxa"/>
        <w:tblLayout w:type="fixed"/>
        <w:tblCellMar>
          <w:top w:w="0" w:type="dxa"/>
          <w:left w:w="0" w:type="dxa"/>
          <w:bottom w:w="0" w:type="dxa"/>
          <w:right w:w="0" w:type="dxa"/>
        </w:tblCellMar>
      </w:tblPr>
      <w:tblGrid>
        <w:gridCol w:w="5495"/>
        <w:gridCol w:w="326"/>
        <w:gridCol w:w="1011"/>
        <w:gridCol w:w="146"/>
        <w:gridCol w:w="3227"/>
      </w:tblGrid>
      <w:tr>
        <w:trPr/>
        <w:tc>
          <w:tcPr>
            <w:tcW w:w="5495"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0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27" w:type="dxa"/>
            <w:tcBorders/>
            <w:vAlign w:val="center"/>
          </w:tcPr>
          <w:p>
            <w:pPr>
              <w:pStyle w:val="TableContents"/>
              <w:bidi w:val="0"/>
              <w:spacing w:before="0" w:after="283"/>
              <w:ind w:left="0" w:right="0" w:hanging="0"/>
              <w:jc w:val="left"/>
              <w:rPr>
                <w:sz w:val="4"/>
                <w:szCs w:val="4"/>
              </w:rPr>
            </w:pPr>
            <w:r>
              <w:rPr>
                <w:sz w:val="4"/>
                <w:szCs w:val="4"/>
              </w:rPr>
            </w:r>
          </w:p>
        </w:tc>
      </w:tr>
      <w:tr>
        <w:trPr/>
        <w:tc>
          <w:tcPr>
            <w:tcW w:w="54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2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5495" w:type="dxa"/>
            <w:tcBorders/>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American Depositary Shares, one representing five Class A ordinary shares, par value US$0.001 per share*</w:t>
              <w:br/>
              <w:t>*Not for trading, but only in connection with the listing on the Nasdaq Global Market of American depositary shares.</w:t>
            </w:r>
          </w:p>
        </w:tc>
        <w:tc>
          <w:tcPr>
            <w:tcW w:w="326" w:type="dxa"/>
            <w:tcBorders/>
            <w:vAlign w:val="center"/>
          </w:tcPr>
          <w:p>
            <w:pPr>
              <w:pStyle w:val="TableContents"/>
              <w:bidi w:val="0"/>
              <w:spacing w:before="0" w:after="80"/>
              <w:ind w:left="0" w:right="0" w:hanging="0"/>
              <w:jc w:val="left"/>
              <w:rPr/>
            </w:pPr>
            <w:r>
              <w:rPr/>
              <w:t> </w:t>
            </w:r>
          </w:p>
        </w:tc>
        <w:tc>
          <w:tcPr>
            <w:tcW w:w="1011" w:type="dxa"/>
            <w:tcBorders/>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ICLK</w:t>
            </w:r>
          </w:p>
        </w:tc>
        <w:tc>
          <w:tcPr>
            <w:tcW w:w="146" w:type="dxa"/>
            <w:tcBorders/>
            <w:vAlign w:val="center"/>
          </w:tcPr>
          <w:p>
            <w:pPr>
              <w:pStyle w:val="TableContents"/>
              <w:bidi w:val="0"/>
              <w:spacing w:before="0" w:after="80"/>
              <w:ind w:left="0" w:right="0" w:hanging="0"/>
              <w:jc w:val="left"/>
              <w:rPr/>
            </w:pPr>
            <w:r>
              <w:rPr/>
              <w:t> </w:t>
            </w:r>
          </w:p>
        </w:tc>
        <w:tc>
          <w:tcPr>
            <w:tcW w:w="3227" w:type="dxa"/>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Global Market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Securities registered or to be registered pursuant to Section 12(g) of the Act:</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None</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(Title of Class)</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Securities for which there is a reporting obligation pursuant to Section 15(d) of the Act:</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None</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(Title of Class)</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the number of outstanding shares of each of the Issuer’s classes of capital or common stock as of the close of the period covered by the annual report.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As of December 31, 2022, there were 50,045,657 ordinary shares outstanding, par value $0.001 per share, being the sum of 45,011,230 Class A ordinary shares and 5,034,427 Class B ordinary shares.</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if the registrant is a well-known seasoned issuer, as defined in Rule 405 of the Securities Act.</w:t>
      </w:r>
    </w:p>
    <w:p>
      <w:pPr>
        <w:pStyle w:val="TextBody"/>
        <w:bidi w:val="0"/>
        <w:spacing w:before="0" w:after="80"/>
        <w:ind w:left="0" w:right="0" w:hanging="0"/>
        <w:jc w:val="center"/>
        <w:rPr/>
      </w:pPr>
      <w:r>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this report is an annual or transition report, indicate by check mark if the registrant is not required to file reports pursuant to Section 13 or 15(d) of the Securities Exchange Act of 1934.</w:t>
      </w:r>
    </w:p>
    <w:p>
      <w:pPr>
        <w:pStyle w:val="TextBody"/>
        <w:bidi w:val="0"/>
        <w:spacing w:before="0" w:after="80"/>
        <w:ind w:left="0" w:right="0" w:hanging="0"/>
        <w:jc w:val="center"/>
        <w:rPr/>
      </w:pPr>
      <w:r>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80"/>
        <w:ind w:left="0" w:right="0" w:hanging="0"/>
        <w:jc w:val="center"/>
        <w:rPr/>
      </w:pPr>
      <w:r>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80"/>
        <w:ind w:left="0" w:right="0" w:hanging="0"/>
        <w:jc w:val="center"/>
        <w:rPr/>
      </w:pPr>
      <w:r>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or a non-accelerated filer. See definition of “accelerated filer and large accelerated filer” in Rule 12b-2 of the Exchange Act.:</w:t>
      </w:r>
    </w:p>
    <w:tbl>
      <w:tblPr>
        <w:tblW w:w="7867" w:type="dxa"/>
        <w:jc w:val="left"/>
        <w:tblInd w:w="0" w:type="dxa"/>
        <w:tblLayout w:type="fixed"/>
        <w:tblCellMar>
          <w:top w:w="0" w:type="dxa"/>
          <w:left w:w="0" w:type="dxa"/>
          <w:bottom w:w="0" w:type="dxa"/>
          <w:right w:w="0" w:type="dxa"/>
        </w:tblCellMar>
      </w:tblPr>
      <w:tblGrid>
        <w:gridCol w:w="1906"/>
        <w:gridCol w:w="146"/>
        <w:gridCol w:w="1441"/>
        <w:gridCol w:w="146"/>
        <w:gridCol w:w="1786"/>
        <w:gridCol w:w="146"/>
        <w:gridCol w:w="2296"/>
      </w:tblGrid>
      <w:tr>
        <w:trPr/>
        <w:tc>
          <w:tcPr>
            <w:tcW w:w="1906" w:type="dxa"/>
            <w:tcBorders/>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146" w:type="dxa"/>
            <w:tcBorders/>
            <w:vAlign w:val="center"/>
          </w:tcPr>
          <w:p>
            <w:pPr>
              <w:pStyle w:val="TableContents"/>
              <w:bidi w:val="0"/>
              <w:spacing w:before="0" w:after="80"/>
              <w:ind w:left="0" w:right="0" w:hanging="0"/>
              <w:jc w:val="left"/>
              <w:rPr/>
            </w:pPr>
            <w:r>
              <w:rPr/>
              <w:t> </w:t>
            </w:r>
          </w:p>
        </w:tc>
        <w:tc>
          <w:tcPr>
            <w:tcW w:w="1441" w:type="dxa"/>
            <w:tcBorders/>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46" w:type="dxa"/>
            <w:tcBorders/>
            <w:vAlign w:val="center"/>
          </w:tcPr>
          <w:p>
            <w:pPr>
              <w:pStyle w:val="TableContents"/>
              <w:bidi w:val="0"/>
              <w:spacing w:before="0" w:after="80"/>
              <w:ind w:left="0" w:right="0" w:hanging="0"/>
              <w:jc w:val="left"/>
              <w:rPr/>
            </w:pPr>
            <w:r>
              <w:rPr/>
              <w:t> </w:t>
            </w:r>
          </w:p>
        </w:tc>
        <w:tc>
          <w:tcPr>
            <w:tcW w:w="1786" w:type="dxa"/>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w:t>
            </w:r>
          </w:p>
        </w:tc>
        <w:tc>
          <w:tcPr>
            <w:tcW w:w="146" w:type="dxa"/>
            <w:tcBorders/>
            <w:vAlign w:val="center"/>
          </w:tcPr>
          <w:p>
            <w:pPr>
              <w:pStyle w:val="TableContents"/>
              <w:bidi w:val="0"/>
              <w:spacing w:before="0" w:after="80"/>
              <w:ind w:left="0" w:right="0" w:hanging="0"/>
              <w:jc w:val="left"/>
              <w:rPr/>
            </w:pPr>
            <w:r>
              <w:rPr/>
              <w:t> </w:t>
            </w:r>
          </w:p>
        </w:tc>
        <w:tc>
          <w:tcPr>
            <w:tcW w:w="2296" w:type="dxa"/>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an emerging growth company that prepare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MS Gothic" w:hAnsi="MS Gothic"/>
          <w:sz w:val="16"/>
        </w:rPr>
        <w:t>§</w:t>
      </w:r>
      <w:r>
        <w:rPr>
          <w:rFonts w:ascii="Times New Roman;Times;serif" w:hAnsi="Times New Roman;Times;serif"/>
          <w:sz w:val="16"/>
        </w:rPr>
        <w:t>240.10D-1(b). ☐</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which basis of accounting the registrant has used to prepare the financial statements included in this filing:</w:t>
      </w:r>
    </w:p>
    <w:tbl>
      <w:tblPr>
        <w:tblW w:w="5935" w:type="dxa"/>
        <w:jc w:val="left"/>
        <w:tblInd w:w="0" w:type="dxa"/>
        <w:tblLayout w:type="fixed"/>
        <w:tblCellMar>
          <w:top w:w="0" w:type="dxa"/>
          <w:left w:w="0" w:type="dxa"/>
          <w:bottom w:w="0" w:type="dxa"/>
          <w:right w:w="0" w:type="dxa"/>
        </w:tblCellMar>
      </w:tblPr>
      <w:tblGrid>
        <w:gridCol w:w="1141"/>
        <w:gridCol w:w="146"/>
        <w:gridCol w:w="3766"/>
        <w:gridCol w:w="146"/>
        <w:gridCol w:w="736"/>
      </w:tblGrid>
      <w:tr>
        <w:trPr/>
        <w:tc>
          <w:tcPr>
            <w:tcW w:w="1141" w:type="dxa"/>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U.S. GAAP</w:t>
            </w:r>
            <w:r>
              <w:rPr>
                <w:rFonts w:ascii="Times New Roman;Times;serif" w:hAnsi="Times New Roman;Times;serif"/>
                <w:sz w:val="20"/>
              </w:rPr>
              <w:t> ☒</w:t>
            </w:r>
          </w:p>
        </w:tc>
        <w:tc>
          <w:tcPr>
            <w:tcW w:w="146" w:type="dxa"/>
            <w:tcBorders/>
            <w:vAlign w:val="center"/>
          </w:tcPr>
          <w:p>
            <w:pPr>
              <w:pStyle w:val="TableContents"/>
              <w:bidi w:val="0"/>
              <w:spacing w:before="0" w:after="80"/>
              <w:ind w:left="0" w:right="0" w:hanging="0"/>
              <w:jc w:val="left"/>
              <w:rPr/>
            </w:pPr>
            <w:r>
              <w:rPr/>
              <w:t> </w:t>
            </w:r>
          </w:p>
        </w:tc>
        <w:tc>
          <w:tcPr>
            <w:tcW w:w="3766" w:type="dxa"/>
            <w:tcBorders/>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International Financial Reporting Standards as issued</w:t>
              <w:br/>
              <w:t>by the International Accounting Standards Board ☐</w:t>
            </w:r>
          </w:p>
        </w:tc>
        <w:tc>
          <w:tcPr>
            <w:tcW w:w="146" w:type="dxa"/>
            <w:tcBorders/>
            <w:vAlign w:val="center"/>
          </w:tcPr>
          <w:p>
            <w:pPr>
              <w:pStyle w:val="TableContents"/>
              <w:bidi w:val="0"/>
              <w:spacing w:before="0" w:after="80"/>
              <w:ind w:left="0" w:right="0" w:hanging="0"/>
              <w:jc w:val="left"/>
              <w:rPr/>
            </w:pPr>
            <w:r>
              <w:rPr/>
              <w:t> </w:t>
            </w:r>
          </w:p>
        </w:tc>
        <w:tc>
          <w:tcPr>
            <w:tcW w:w="736" w:type="dxa"/>
            <w:tcBorders/>
            <w:vAlign w:val="center"/>
          </w:tcPr>
          <w:p>
            <w:pPr>
              <w:pStyle w:val="TableContents"/>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Other ☐</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“Other” has been checked in response to the previous question, indicate by check mark which financial statement item the registrant has elected to follow.</w:t>
      </w:r>
    </w:p>
    <w:p>
      <w:pPr>
        <w:pStyle w:val="TextBody"/>
        <w:bidi w:val="0"/>
        <w:spacing w:before="0" w:after="80"/>
        <w:ind w:left="0" w:right="0" w:hanging="0"/>
        <w:jc w:val="center"/>
        <w:rPr/>
      </w:pPr>
      <w:r>
        <w:rPr/>
        <w:t>☐ </w:t>
      </w:r>
      <w:r>
        <w:rPr>
          <w:rFonts w:ascii="Times New Roman;Times;serif" w:hAnsi="Times New Roman;Times;serif"/>
          <w:sz w:val="16"/>
        </w:rPr>
        <w:t>Item 17  ☐ Item 18</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this is an annual report, indicate by check mark whether the registrant is a shell company (as defined in Rule 12b-2 of the Exchange Act).</w:t>
      </w:r>
    </w:p>
    <w:p>
      <w:pPr>
        <w:pStyle w:val="TextBody"/>
        <w:bidi w:val="0"/>
        <w:spacing w:before="0" w:after="80"/>
        <w:ind w:left="0" w:right="0" w:hanging="0"/>
        <w:jc w:val="center"/>
        <w:rPr/>
      </w:pPr>
      <w:r>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(APPLICABLE ONLY TO ISSUERS INVOLVED IN BANKRUPTCY PROCEEDINGS DURING THE PAST FIVE YEARS)</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has filed all documents and reports required to be filed by Sections 12, 13 or 15(d) of the Securities Exchange Act of 1934 subsequent to the distribution of securities under a plan confirmed by a court.</w:t>
      </w:r>
    </w:p>
    <w:p>
      <w:pPr>
        <w:pStyle w:val="TextBody"/>
        <w:bidi w:val="0"/>
        <w:spacing w:before="0" w:after="80"/>
        <w:ind w:left="0" w:right="0" w:hanging="0"/>
        <w:jc w:val="center"/>
        <w:rPr/>
      </w:pPr>
      <w:r>
        <w:rPr/>
        <w:t>☐ </w:t>
      </w:r>
      <w:r>
        <w:rPr>
          <w:rFonts w:ascii="Times New Roman;Times;serif" w:hAnsi="Times New Roman;Times;serif"/>
          <w:sz w:val="16"/>
        </w:rPr>
        <w:t>Yes  ☐ 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Of the 45,011,230 Class A ordinary shares as of December 31, 2022, (i) 1,093,585.5 were held by Arda Holdings Limited underlying the options granted but not yet exercised (whether or not they are vested) and the options reserved for issuance under our 2018 Share Incentive Plan, and (ii) 180,843.5 were held by JPMorgan Chase Bank N.A., our depositary, underlying the unvested restricted share units under our Post-IPO Plan.</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The term “new or revised financial accounting standard” refers to any update issued by the Financial Accounting Standards Board to its Accounting Standards Codification after April 5, 2012.</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 w:name="TableofContents"/>
      <w:bookmarkStart w:id="32" w:name="_Hlk132904140"/>
      <w:bookmarkStart w:id="33" w:name="_22f03a3d_6bf9_4a98_b163_a8f9b0b1612f"/>
      <w:bookmarkEnd w:id="31"/>
      <w:bookmarkEnd w:id="32"/>
      <w:bookmarkEnd w:id="33"/>
      <w:r>
        <w:rPr>
          <w:rFonts w:ascii="Times New Roman;Times;serif" w:hAnsi="Times New Roman;Times;serif"/>
          <w:b/>
          <w:sz w:val="20"/>
        </w:rPr>
        <w:t xml:space="preserve">TABLE OF CONTENTS </w:t>
      </w:r>
    </w:p>
    <w:p>
      <w:pPr>
        <w:pStyle w:val="TextBody"/>
        <w:bidi w:val="0"/>
        <w:spacing w:before="0" w:after="0"/>
        <w:ind w:left="0" w:right="0" w:hanging="0"/>
        <w:jc w:val="left"/>
        <w:rPr/>
      </w:pPr>
      <w:r>
        <w:rPr/>
        <w:t>​</w:t>
      </w:r>
    </w:p>
    <w:tbl>
      <w:tblPr>
        <w:tblW w:w="9993" w:type="dxa"/>
        <w:jc w:val="left"/>
        <w:tblInd w:w="0" w:type="dxa"/>
        <w:tblLayout w:type="fixed"/>
        <w:tblCellMar>
          <w:top w:w="0" w:type="dxa"/>
          <w:left w:w="0" w:type="dxa"/>
          <w:bottom w:w="0" w:type="dxa"/>
          <w:right w:w="0" w:type="dxa"/>
        </w:tblCellMar>
      </w:tblPr>
      <w:tblGrid>
        <w:gridCol w:w="1036"/>
        <w:gridCol w:w="8491"/>
        <w:gridCol w:w="466"/>
      </w:tblGrid>
      <w:tr>
        <w:trPr/>
        <w:tc>
          <w:tcPr>
            <w:tcW w:w="1036" w:type="dxa"/>
            <w:tcBorders/>
            <w:shd w:fill="CCEEFF" w:val="clear"/>
            <w:vAlign w:val="center"/>
          </w:tcPr>
          <w:p>
            <w:pPr>
              <w:pStyle w:val="TableContents"/>
              <w:bidi w:val="0"/>
              <w:spacing w:before="0" w:after="0"/>
              <w:ind w:left="0" w:right="0" w:hanging="0"/>
              <w:jc w:val="left"/>
              <w:rPr/>
            </w:pPr>
            <w:hyperlink w:anchor="PARTI_809180">
              <w:r>
                <w:rPr>
                  <w:rStyle w:val="InternetLink"/>
                  <w:rFonts w:ascii="Times New Roman;Times;serif" w:hAnsi="Times New Roman;Times;serif"/>
                  <w:b/>
                  <w:i w:val="false"/>
                  <w:caps w:val="false"/>
                  <w:smallCaps w:val="false"/>
                  <w:sz w:val="20"/>
                </w:rPr>
                <w:t>PART I</w:t>
              </w:r>
            </w:hyperlink>
          </w:p>
        </w:tc>
        <w:tc>
          <w:tcPr>
            <w:tcW w:w="849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r>
      <w:tr>
        <w:trPr/>
        <w:tc>
          <w:tcPr>
            <w:tcW w:w="1036"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8491"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036" w:type="dxa"/>
            <w:tcBorders/>
            <w:shd w:fill="CCEEFF" w:val="clear"/>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8491" w:type="dxa"/>
            <w:tcBorders/>
            <w:shd w:fill="CCEEFF" w:val="clear"/>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036" w:type="dxa"/>
            <w:tcBorders/>
            <w:vAlign w:val="center"/>
          </w:tcPr>
          <w:p>
            <w:pPr>
              <w:pStyle w:val="TableContents"/>
              <w:bidi w:val="0"/>
              <w:spacing w:before="0" w:after="0"/>
              <w:ind w:left="0" w:right="0" w:hanging="0"/>
              <w:jc w:val="left"/>
              <w:rPr/>
            </w:pPr>
            <w:hyperlink w:anchor="ITEM3KEYINFORMATION_100196">
              <w:r>
                <w:rPr>
                  <w:rStyle w:val="InternetLink"/>
                  <w:rFonts w:ascii="Times New Roman;Times;serif" w:hAnsi="Times New Roman;Times;serif"/>
                  <w:b w:val="false"/>
                  <w:i w:val="false"/>
                  <w:caps w:val="false"/>
                  <w:smallCaps w:val="false"/>
                  <w:sz w:val="20"/>
                </w:rPr>
                <w:t>ITEM 3.</w:t>
              </w:r>
            </w:hyperlink>
          </w:p>
        </w:tc>
        <w:tc>
          <w:tcPr>
            <w:tcW w:w="8491" w:type="dxa"/>
            <w:tcBorders/>
            <w:vAlign w:val="center"/>
          </w:tcPr>
          <w:p>
            <w:pPr>
              <w:pStyle w:val="TableContents"/>
              <w:bidi w:val="0"/>
              <w:spacing w:before="0" w:after="0"/>
              <w:ind w:left="0" w:right="0" w:hanging="0"/>
              <w:jc w:val="left"/>
              <w:rPr/>
            </w:pPr>
            <w:hyperlink w:anchor="ITEM3KEYINFORMATION_100196">
              <w:r>
                <w:rPr>
                  <w:rStyle w:val="InternetLink"/>
                  <w:rFonts w:ascii="Times New Roman;Times;serif" w:hAnsi="Times New Roman;Times;serif"/>
                  <w:b w:val="false"/>
                  <w:i w:val="false"/>
                  <w:caps w:val="false"/>
                  <w:smallCaps w:val="false"/>
                  <w:sz w:val="20"/>
                </w:rPr>
                <w:t>KEY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036" w:type="dxa"/>
            <w:tcBorders/>
            <w:shd w:fill="CCEEFF" w:val="clear"/>
            <w:vAlign w:val="center"/>
          </w:tcPr>
          <w:p>
            <w:pPr>
              <w:pStyle w:val="TableContents"/>
              <w:bidi w:val="0"/>
              <w:spacing w:before="0" w:after="0"/>
              <w:ind w:left="0" w:right="0" w:hanging="0"/>
              <w:jc w:val="left"/>
              <w:rPr/>
            </w:pPr>
            <w:hyperlink w:anchor="ITEM4INFORMATIONONTHECOMPANY_891666">
              <w:r>
                <w:rPr>
                  <w:rStyle w:val="InternetLink"/>
                  <w:rFonts w:ascii="Times New Roman;Times;serif" w:hAnsi="Times New Roman;Times;serif"/>
                  <w:b w:val="false"/>
                  <w:i w:val="false"/>
                  <w:caps w:val="false"/>
                  <w:smallCaps w:val="false"/>
                  <w:sz w:val="20"/>
                </w:rPr>
                <w:t>ITEM 4.</w:t>
              </w:r>
            </w:hyperlink>
          </w:p>
        </w:tc>
        <w:tc>
          <w:tcPr>
            <w:tcW w:w="8491" w:type="dxa"/>
            <w:tcBorders/>
            <w:shd w:fill="CCEEFF" w:val="clear"/>
            <w:vAlign w:val="center"/>
          </w:tcPr>
          <w:p>
            <w:pPr>
              <w:pStyle w:val="TableContents"/>
              <w:bidi w:val="0"/>
              <w:spacing w:before="0" w:after="0"/>
              <w:ind w:left="0" w:right="0" w:hanging="0"/>
              <w:jc w:val="left"/>
              <w:rPr/>
            </w:pPr>
            <w:hyperlink w:anchor="ITEM4INFORMATIONONTHECOMPANY_891666">
              <w:r>
                <w:rPr>
                  <w:rStyle w:val="InternetLink"/>
                  <w:rFonts w:ascii="Times New Roman;Times;serif" w:hAnsi="Times New Roman;Times;serif"/>
                  <w:b w:val="false"/>
                  <w:i w:val="false"/>
                  <w:caps w:val="false"/>
                  <w:smallCaps w:val="false"/>
                  <w:sz w:val="20"/>
                </w:rPr>
                <w:t>INFORMATION ON THE COMPANY</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1036" w:type="dxa"/>
            <w:tcBorders/>
            <w:vAlign w:val="center"/>
          </w:tcPr>
          <w:p>
            <w:pPr>
              <w:pStyle w:val="TableContents"/>
              <w:bidi w:val="0"/>
              <w:spacing w:before="0" w:after="0"/>
              <w:ind w:left="0" w:right="0" w:hanging="0"/>
              <w:jc w:val="left"/>
              <w:rPr/>
            </w:pPr>
            <w:hyperlink w:anchor="ITEM4AUNRESOLVEDSTAFFCOMMENTS_525818">
              <w:r>
                <w:rPr>
                  <w:rStyle w:val="InternetLink"/>
                  <w:rFonts w:ascii="Times New Roman;Times;serif" w:hAnsi="Times New Roman;Times;serif"/>
                  <w:b w:val="false"/>
                  <w:i w:val="false"/>
                  <w:caps w:val="false"/>
                  <w:smallCaps w:val="false"/>
                  <w:sz w:val="20"/>
                </w:rPr>
                <w:t>ITEM 4A</w:t>
              </w:r>
            </w:hyperlink>
          </w:p>
        </w:tc>
        <w:tc>
          <w:tcPr>
            <w:tcW w:w="8491" w:type="dxa"/>
            <w:tcBorders/>
            <w:vAlign w:val="center"/>
          </w:tcPr>
          <w:p>
            <w:pPr>
              <w:pStyle w:val="TableContents"/>
              <w:bidi w:val="0"/>
              <w:spacing w:before="0" w:after="0"/>
              <w:ind w:left="0" w:right="0" w:hanging="0"/>
              <w:jc w:val="left"/>
              <w:rPr/>
            </w:pPr>
            <w:hyperlink w:anchor="ITEM4AUNRESOLVEDSTAFFCOMMENTS_525818">
              <w:r>
                <w:rPr>
                  <w:rStyle w:val="InternetLink"/>
                  <w:rFonts w:ascii="Times New Roman;Times;serif" w:hAnsi="Times New Roman;Times;serif"/>
                  <w:b w:val="false"/>
                  <w:i w:val="false"/>
                  <w:caps w:val="false"/>
                  <w:smallCaps w:val="false"/>
                  <w:sz w:val="20"/>
                </w:rPr>
                <w:t>UNRESOLVED STAFF COMMENTS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1036" w:type="dxa"/>
            <w:tcBorders/>
            <w:shd w:fill="CCEEFF" w:val="clear"/>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8491" w:type="dxa"/>
            <w:tcBorders/>
            <w:shd w:fill="CCEEFF" w:val="clear"/>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1036"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8491"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1036" w:type="dxa"/>
            <w:tcBorders/>
            <w:shd w:fill="CCEEFF" w:val="clear"/>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8491" w:type="dxa"/>
            <w:tcBorders/>
            <w:shd w:fill="CCEEFF" w:val="clear"/>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1036" w:type="dxa"/>
            <w:tcBorders/>
            <w:vAlign w:val="center"/>
          </w:tcPr>
          <w:p>
            <w:pPr>
              <w:pStyle w:val="TableContents"/>
              <w:bidi w:val="0"/>
              <w:spacing w:before="0" w:after="0"/>
              <w:ind w:left="0" w:right="0" w:hanging="0"/>
              <w:jc w:val="left"/>
              <w:rPr/>
            </w:pPr>
            <w:hyperlink w:anchor="ITEM8FINANCIALINFORMATION_541771">
              <w:r>
                <w:rPr>
                  <w:rStyle w:val="InternetLink"/>
                  <w:rFonts w:ascii="Times New Roman;Times;serif" w:hAnsi="Times New Roman;Times;serif"/>
                  <w:b w:val="false"/>
                  <w:i w:val="false"/>
                  <w:caps w:val="false"/>
                  <w:smallCaps w:val="false"/>
                  <w:sz w:val="20"/>
                </w:rPr>
                <w:t>ITEM 8.</w:t>
              </w:r>
            </w:hyperlink>
          </w:p>
        </w:tc>
        <w:tc>
          <w:tcPr>
            <w:tcW w:w="8491" w:type="dxa"/>
            <w:tcBorders/>
            <w:vAlign w:val="center"/>
          </w:tcPr>
          <w:p>
            <w:pPr>
              <w:pStyle w:val="TableContents"/>
              <w:bidi w:val="0"/>
              <w:spacing w:before="0" w:after="0"/>
              <w:ind w:left="0" w:right="0" w:hanging="0"/>
              <w:jc w:val="left"/>
              <w:rPr/>
            </w:pPr>
            <w:hyperlink w:anchor="ITEM8FINANCIALINFORMATION_541771">
              <w:r>
                <w:rPr>
                  <w:rStyle w:val="InternetLink"/>
                  <w:rFonts w:ascii="Times New Roman;Times;serif" w:hAnsi="Times New Roman;Times;serif"/>
                  <w:b w:val="false"/>
                  <w:i w:val="false"/>
                  <w:caps w:val="false"/>
                  <w:smallCaps w:val="false"/>
                  <w:sz w:val="20"/>
                </w:rPr>
                <w:t>FINANCIAL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1036" w:type="dxa"/>
            <w:tcBorders/>
            <w:shd w:fill="CCEEFF" w:val="clear"/>
            <w:vAlign w:val="center"/>
          </w:tcPr>
          <w:p>
            <w:pPr>
              <w:pStyle w:val="TableContents"/>
              <w:bidi w:val="0"/>
              <w:spacing w:before="0" w:after="0"/>
              <w:ind w:left="0" w:right="0" w:hanging="0"/>
              <w:jc w:val="left"/>
              <w:rPr/>
            </w:pPr>
            <w:hyperlink w:anchor="ITEM9THEOFFERANDLISTING_110413">
              <w:r>
                <w:rPr>
                  <w:rStyle w:val="InternetLink"/>
                  <w:rFonts w:ascii="Times New Roman;Times;serif" w:hAnsi="Times New Roman;Times;serif"/>
                  <w:b w:val="false"/>
                  <w:i w:val="false"/>
                  <w:caps w:val="false"/>
                  <w:smallCaps w:val="false"/>
                  <w:sz w:val="20"/>
                </w:rPr>
                <w:t>ITEM 9.</w:t>
              </w:r>
            </w:hyperlink>
          </w:p>
        </w:tc>
        <w:tc>
          <w:tcPr>
            <w:tcW w:w="8491" w:type="dxa"/>
            <w:tcBorders/>
            <w:shd w:fill="CCEEFF" w:val="clear"/>
            <w:vAlign w:val="center"/>
          </w:tcPr>
          <w:p>
            <w:pPr>
              <w:pStyle w:val="TableContents"/>
              <w:bidi w:val="0"/>
              <w:spacing w:before="0" w:after="0"/>
              <w:ind w:left="0" w:right="0" w:hanging="0"/>
              <w:jc w:val="left"/>
              <w:rPr/>
            </w:pPr>
            <w:hyperlink w:anchor="ITEM9THEOFFERANDLISTING_110413">
              <w:r>
                <w:rPr>
                  <w:rStyle w:val="InternetLink"/>
                  <w:rFonts w:ascii="Times New Roman;Times;serif" w:hAnsi="Times New Roman;Times;serif"/>
                  <w:b w:val="false"/>
                  <w:i w:val="false"/>
                  <w:caps w:val="false"/>
                  <w:smallCaps w:val="false"/>
                  <w:sz w:val="20"/>
                </w:rPr>
                <w:t>THE OFFER AND LISTING</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1036" w:type="dxa"/>
            <w:tcBorders/>
            <w:vAlign w:val="center"/>
          </w:tcPr>
          <w:p>
            <w:pPr>
              <w:pStyle w:val="TableContents"/>
              <w:bidi w:val="0"/>
              <w:spacing w:before="0" w:after="0"/>
              <w:ind w:left="0" w:right="0" w:hanging="0"/>
              <w:jc w:val="left"/>
              <w:rPr/>
            </w:pPr>
            <w:hyperlink w:anchor="ITEM10ADDITIONALINFORMATION_962013">
              <w:r>
                <w:rPr>
                  <w:rStyle w:val="InternetLink"/>
                  <w:rFonts w:ascii="Times New Roman;Times;serif" w:hAnsi="Times New Roman;Times;serif"/>
                  <w:b w:val="false"/>
                  <w:i w:val="false"/>
                  <w:caps w:val="false"/>
                  <w:smallCaps w:val="false"/>
                  <w:sz w:val="20"/>
                </w:rPr>
                <w:t>ITEM 10.</w:t>
              </w:r>
            </w:hyperlink>
          </w:p>
        </w:tc>
        <w:tc>
          <w:tcPr>
            <w:tcW w:w="8491" w:type="dxa"/>
            <w:tcBorders/>
            <w:vAlign w:val="center"/>
          </w:tcPr>
          <w:p>
            <w:pPr>
              <w:pStyle w:val="TableContents"/>
              <w:bidi w:val="0"/>
              <w:spacing w:before="0" w:after="0"/>
              <w:ind w:left="0" w:right="0" w:hanging="0"/>
              <w:jc w:val="left"/>
              <w:rPr/>
            </w:pPr>
            <w:hyperlink w:anchor="ITEM10ADDITIONALINFORMATION_962013">
              <w:r>
                <w:rPr>
                  <w:rStyle w:val="InternetLink"/>
                  <w:rFonts w:ascii="Times New Roman;Times;serif" w:hAnsi="Times New Roman;Times;serif"/>
                  <w:b w:val="false"/>
                  <w:i w:val="false"/>
                  <w:caps w:val="false"/>
                  <w:smallCaps w:val="false"/>
                  <w:sz w:val="20"/>
                </w:rPr>
                <w:t>ADDITIONAL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1036" w:type="dxa"/>
            <w:tcBorders/>
            <w:shd w:fill="CCEEFF" w:val="clear"/>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8491" w:type="dxa"/>
            <w:tcBorders/>
            <w:shd w:fill="CCEEFF" w:val="clear"/>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1036"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8491"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1036" w:type="dxa"/>
            <w:tcBorders/>
            <w:shd w:fill="CCEEFF" w:val="clear"/>
            <w:vAlign w:val="center"/>
          </w:tcPr>
          <w:p>
            <w:pPr>
              <w:pStyle w:val="TableContents"/>
              <w:bidi w:val="0"/>
              <w:spacing w:before="0" w:after="0"/>
              <w:ind w:left="0" w:right="0" w:hanging="0"/>
              <w:jc w:val="left"/>
              <w:rPr/>
            </w:pPr>
            <w:hyperlink w:anchor="PARTII_115056">
              <w:r>
                <w:rPr>
                  <w:rStyle w:val="InternetLink"/>
                  <w:rFonts w:ascii="Times New Roman;Times;serif" w:hAnsi="Times New Roman;Times;serif"/>
                  <w:b/>
                  <w:i w:val="false"/>
                  <w:caps w:val="false"/>
                  <w:smallCaps w:val="false"/>
                  <w:sz w:val="20"/>
                </w:rPr>
                <w:t>PART II</w:t>
              </w:r>
            </w:hyperlink>
          </w:p>
        </w:tc>
        <w:tc>
          <w:tcPr>
            <w:tcW w:w="849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r>
      <w:tr>
        <w:trPr/>
        <w:tc>
          <w:tcPr>
            <w:tcW w:w="1036"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8491"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1036" w:type="dxa"/>
            <w:tcBorders/>
            <w:shd w:fill="CCEEFF" w:val="clear"/>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8491" w:type="dxa"/>
            <w:tcBorders/>
            <w:shd w:fill="CCEEFF" w:val="clear"/>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1036" w:type="dxa"/>
            <w:tcBorders/>
            <w:vAlign w:val="center"/>
          </w:tcPr>
          <w:p>
            <w:pPr>
              <w:pStyle w:val="TableContents"/>
              <w:bidi w:val="0"/>
              <w:spacing w:before="0" w:after="0"/>
              <w:ind w:left="0" w:right="0" w:hanging="0"/>
              <w:jc w:val="left"/>
              <w:rPr/>
            </w:pPr>
            <w:hyperlink w:anchor="ITEM15CONTROLSANDPROCEDURES_724753">
              <w:r>
                <w:rPr>
                  <w:rStyle w:val="InternetLink"/>
                  <w:rFonts w:ascii="Times New Roman;Times;serif" w:hAnsi="Times New Roman;Times;serif"/>
                  <w:b w:val="false"/>
                  <w:i w:val="false"/>
                  <w:caps w:val="false"/>
                  <w:smallCaps w:val="false"/>
                  <w:sz w:val="20"/>
                </w:rPr>
                <w:t>ITEM 15.</w:t>
              </w:r>
            </w:hyperlink>
          </w:p>
        </w:tc>
        <w:tc>
          <w:tcPr>
            <w:tcW w:w="8491" w:type="dxa"/>
            <w:tcBorders/>
            <w:vAlign w:val="center"/>
          </w:tcPr>
          <w:p>
            <w:pPr>
              <w:pStyle w:val="TableContents"/>
              <w:bidi w:val="0"/>
              <w:spacing w:before="0" w:after="0"/>
              <w:ind w:left="0" w:right="0" w:hanging="0"/>
              <w:jc w:val="left"/>
              <w:rPr/>
            </w:pPr>
            <w:hyperlink w:anchor="ITEM15CONTROLSANDPROCEDURES_724753">
              <w:r>
                <w:rPr>
                  <w:rStyle w:val="InternetLink"/>
                  <w:rFonts w:ascii="Times New Roman;Times;serif" w:hAnsi="Times New Roman;Times;serif"/>
                  <w:b w:val="false"/>
                  <w:i w:val="false"/>
                  <w:caps w:val="false"/>
                  <w:smallCaps w:val="false"/>
                  <w:sz w:val="20"/>
                </w:rPr>
                <w:t>CONTROLS AND PROCEDURES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1036" w:type="dxa"/>
            <w:tcBorders/>
            <w:shd w:fill="CCEEFF" w:val="clear"/>
            <w:vAlign w:val="center"/>
          </w:tcPr>
          <w:p>
            <w:pPr>
              <w:pStyle w:val="TableContents"/>
              <w:bidi w:val="0"/>
              <w:spacing w:before="0" w:after="0"/>
              <w:ind w:left="0" w:right="0" w:hanging="0"/>
              <w:jc w:val="left"/>
              <w:rPr/>
            </w:pPr>
            <w:hyperlink w:anchor="ITEM16AAUDITCOMMITTEEFINANCIALEXPERT_535">
              <w:r>
                <w:rPr>
                  <w:rStyle w:val="InternetLink"/>
                  <w:rFonts w:ascii="Times New Roman;Times;serif" w:hAnsi="Times New Roman;Times;serif"/>
                  <w:b w:val="false"/>
                  <w:i w:val="false"/>
                  <w:caps w:val="false"/>
                  <w:smallCaps w:val="false"/>
                  <w:sz w:val="20"/>
                </w:rPr>
                <w:t>ITEM 16A.</w:t>
              </w:r>
            </w:hyperlink>
          </w:p>
        </w:tc>
        <w:tc>
          <w:tcPr>
            <w:tcW w:w="8491" w:type="dxa"/>
            <w:tcBorders/>
            <w:shd w:fill="CCEEFF" w:val="clear"/>
            <w:vAlign w:val="center"/>
          </w:tcPr>
          <w:p>
            <w:pPr>
              <w:pStyle w:val="TableContents"/>
              <w:bidi w:val="0"/>
              <w:spacing w:before="0" w:after="0"/>
              <w:ind w:left="0" w:right="0" w:hanging="0"/>
              <w:jc w:val="left"/>
              <w:rPr/>
            </w:pPr>
            <w:hyperlink w:anchor="ITEM16AAUDITCOMMITTEEFINANCIALEXPERT_535">
              <w:r>
                <w:rPr>
                  <w:rStyle w:val="InternetLink"/>
                  <w:rFonts w:ascii="Times New Roman;Times;serif" w:hAnsi="Times New Roman;Times;serif"/>
                  <w:b w:val="false"/>
                  <w:i w:val="false"/>
                  <w:caps w:val="false"/>
                  <w:smallCaps w:val="false"/>
                  <w:sz w:val="20"/>
                </w:rPr>
                <w:t>AUDIT COMMITTEE FINANCIAL EXPERT</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1036" w:type="dxa"/>
            <w:tcBorders/>
            <w:vAlign w:val="center"/>
          </w:tcPr>
          <w:p>
            <w:pPr>
              <w:pStyle w:val="TableContents"/>
              <w:bidi w:val="0"/>
              <w:spacing w:before="0" w:after="0"/>
              <w:ind w:left="0" w:right="0" w:hanging="0"/>
              <w:jc w:val="left"/>
              <w:rPr/>
            </w:pPr>
            <w:hyperlink w:anchor="ITEM16BCODEOFETHICS_833888">
              <w:r>
                <w:rPr>
                  <w:rStyle w:val="InternetLink"/>
                  <w:rFonts w:ascii="Times New Roman;Times;serif" w:hAnsi="Times New Roman;Times;serif"/>
                  <w:b w:val="false"/>
                  <w:i w:val="false"/>
                  <w:caps w:val="false"/>
                  <w:smallCaps w:val="false"/>
                  <w:sz w:val="20"/>
                </w:rPr>
                <w:t>ITEM 16B.</w:t>
              </w:r>
            </w:hyperlink>
          </w:p>
        </w:tc>
        <w:tc>
          <w:tcPr>
            <w:tcW w:w="8491" w:type="dxa"/>
            <w:tcBorders/>
            <w:vAlign w:val="center"/>
          </w:tcPr>
          <w:p>
            <w:pPr>
              <w:pStyle w:val="TableContents"/>
              <w:bidi w:val="0"/>
              <w:spacing w:before="0" w:after="0"/>
              <w:ind w:left="0" w:right="0" w:hanging="0"/>
              <w:jc w:val="left"/>
              <w:rPr/>
            </w:pPr>
            <w:hyperlink w:anchor="ITEM16BCODEOFETHICS_833888">
              <w:r>
                <w:rPr>
                  <w:rStyle w:val="InternetLink"/>
                  <w:rFonts w:ascii="Times New Roman;Times;serif" w:hAnsi="Times New Roman;Times;serif"/>
                  <w:b w:val="false"/>
                  <w:i w:val="false"/>
                  <w:caps w:val="false"/>
                  <w:smallCaps w:val="false"/>
                  <w:sz w:val="20"/>
                </w:rPr>
                <w:t>CODE OF ETHICS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1036" w:type="dxa"/>
            <w:tcBorders/>
            <w:shd w:fill="CCEEFF" w:val="clear"/>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8491" w:type="dxa"/>
            <w:tcBorders/>
            <w:shd w:fill="CCEEFF" w:val="clear"/>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1036"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8491"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1036" w:type="dxa"/>
            <w:tcBorders/>
            <w:shd w:fill="CCEEFF" w:val="clear"/>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8491" w:type="dxa"/>
            <w:tcBorders/>
            <w:shd w:fill="CCEEFF" w:val="clear"/>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1036" w:type="dxa"/>
            <w:tcBorders/>
            <w:vAlign w:val="center"/>
          </w:tcPr>
          <w:p>
            <w:pPr>
              <w:pStyle w:val="TableContents"/>
              <w:bidi w:val="0"/>
              <w:spacing w:before="0" w:after="0"/>
              <w:ind w:left="0" w:right="0" w:hanging="0"/>
              <w:jc w:val="left"/>
              <w:rPr/>
            </w:pPr>
            <w:hyperlink w:anchor="_ITEM_16F._CHANGE">
              <w:r>
                <w:rPr>
                  <w:rStyle w:val="InternetLink"/>
                  <w:rFonts w:ascii="Times New Roman;Times;serif" w:hAnsi="Times New Roman;Times;serif"/>
                  <w:b w:val="false"/>
                  <w:i w:val="false"/>
                  <w:caps w:val="false"/>
                  <w:smallCaps w:val="false"/>
                  <w:sz w:val="20"/>
                </w:rPr>
                <w:t>ITEM 16F.</w:t>
              </w:r>
            </w:hyperlink>
          </w:p>
        </w:tc>
        <w:tc>
          <w:tcPr>
            <w:tcW w:w="8491" w:type="dxa"/>
            <w:tcBorders/>
            <w:vAlign w:val="center"/>
          </w:tcPr>
          <w:p>
            <w:pPr>
              <w:pStyle w:val="TableContents"/>
              <w:bidi w:val="0"/>
              <w:spacing w:before="0" w:after="0"/>
              <w:ind w:left="0" w:right="0" w:hanging="0"/>
              <w:jc w:val="left"/>
              <w:rPr/>
            </w:pPr>
            <w:hyperlink w:anchor="_ITEM_16F._CHANGE">
              <w:r>
                <w:rPr>
                  <w:rStyle w:val="InternetLink"/>
                  <w:rFonts w:ascii="Times New Roman;Times;serif" w:hAnsi="Times New Roman;Times;serif"/>
                  <w:b w:val="false"/>
                  <w:i w:val="false"/>
                  <w:caps w:val="false"/>
                  <w:smallCaps w:val="false"/>
                  <w:sz w:val="20"/>
                </w:rPr>
                <w:t>CHANGE IN REGISTRANT’S CERTIFYING ACCOUNTANT</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1036" w:type="dxa"/>
            <w:tcBorders/>
            <w:shd w:fill="CCEEFF" w:val="clear"/>
            <w:vAlign w:val="center"/>
          </w:tcPr>
          <w:p>
            <w:pPr>
              <w:pStyle w:val="TableContents"/>
              <w:bidi w:val="0"/>
              <w:spacing w:before="0" w:after="0"/>
              <w:ind w:left="0" w:right="0" w:hanging="0"/>
              <w:jc w:val="left"/>
              <w:rPr/>
            </w:pPr>
            <w:hyperlink w:anchor="_ITEM_16G._CORPORATE">
              <w:r>
                <w:rPr>
                  <w:rStyle w:val="InternetLink"/>
                  <w:rFonts w:ascii="Times New Roman;Times;serif" w:hAnsi="Times New Roman;Times;serif"/>
                  <w:b w:val="false"/>
                  <w:i w:val="false"/>
                  <w:caps w:val="false"/>
                  <w:smallCaps w:val="false"/>
                  <w:sz w:val="20"/>
                </w:rPr>
                <w:t>ITEM 16G.</w:t>
              </w:r>
            </w:hyperlink>
          </w:p>
        </w:tc>
        <w:tc>
          <w:tcPr>
            <w:tcW w:w="8491" w:type="dxa"/>
            <w:tcBorders/>
            <w:shd w:fill="CCEEFF" w:val="clear"/>
            <w:vAlign w:val="center"/>
          </w:tcPr>
          <w:p>
            <w:pPr>
              <w:pStyle w:val="TableContents"/>
              <w:bidi w:val="0"/>
              <w:spacing w:before="0" w:after="0"/>
              <w:ind w:left="0" w:right="0" w:hanging="0"/>
              <w:jc w:val="left"/>
              <w:rPr/>
            </w:pPr>
            <w:hyperlink w:anchor="_ITEM_16G._CORPORATE">
              <w:r>
                <w:rPr>
                  <w:rStyle w:val="InternetLink"/>
                  <w:rFonts w:ascii="Times New Roman;Times;serif" w:hAnsi="Times New Roman;Times;serif"/>
                  <w:b w:val="false"/>
                  <w:i w:val="false"/>
                  <w:caps w:val="false"/>
                  <w:smallCaps w:val="false"/>
                  <w:sz w:val="20"/>
                </w:rPr>
                <w:t>CORPORATE GOVERNANCE</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1036" w:type="dxa"/>
            <w:tcBorders/>
            <w:vAlign w:val="center"/>
          </w:tcPr>
          <w:p>
            <w:pPr>
              <w:pStyle w:val="TableContents"/>
              <w:bidi w:val="0"/>
              <w:spacing w:before="0" w:after="0"/>
              <w:ind w:left="0" w:right="0" w:hanging="0"/>
              <w:jc w:val="left"/>
              <w:rPr/>
            </w:pPr>
            <w:hyperlink w:anchor="ITEM16HMINESAFETYDISCLOSURE_122527">
              <w:r>
                <w:rPr>
                  <w:rStyle w:val="InternetLink"/>
                  <w:rFonts w:ascii="Times New Roman;Times;serif" w:hAnsi="Times New Roman;Times;serif"/>
                  <w:b w:val="false"/>
                  <w:i w:val="false"/>
                  <w:caps w:val="false"/>
                  <w:smallCaps w:val="false"/>
                  <w:sz w:val="20"/>
                </w:rPr>
                <w:t>ITEM 16H.</w:t>
              </w:r>
            </w:hyperlink>
          </w:p>
        </w:tc>
        <w:tc>
          <w:tcPr>
            <w:tcW w:w="8491" w:type="dxa"/>
            <w:tcBorders/>
            <w:vAlign w:val="center"/>
          </w:tcPr>
          <w:p>
            <w:pPr>
              <w:pStyle w:val="TableContents"/>
              <w:bidi w:val="0"/>
              <w:spacing w:before="0" w:after="0"/>
              <w:ind w:left="0" w:right="0" w:hanging="0"/>
              <w:jc w:val="left"/>
              <w:rPr/>
            </w:pPr>
            <w:hyperlink w:anchor="ITEM16HMINESAFETYDISCLOSURE_122527">
              <w:r>
                <w:rPr>
                  <w:rStyle w:val="InternetLink"/>
                  <w:rFonts w:ascii="Times New Roman;Times;serif" w:hAnsi="Times New Roman;Times;serif"/>
                  <w:b w:val="false"/>
                  <w:i w:val="false"/>
                  <w:caps w:val="false"/>
                  <w:smallCaps w:val="false"/>
                  <w:sz w:val="20"/>
                </w:rPr>
                <w:t>MINE SAFETY DISCLOSURE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1036" w:type="dxa"/>
            <w:tcBorders/>
            <w:shd w:fill="CCEEFF" w:val="clear"/>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8491" w:type="dxa"/>
            <w:tcBorders/>
            <w:shd w:fill="CCEEFF" w:val="clear"/>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1036" w:type="dxa"/>
            <w:tcBorders/>
            <w:vAlign w:val="center"/>
          </w:tcPr>
          <w:p>
            <w:pPr>
              <w:pStyle w:val="TableContents"/>
              <w:bidi w:val="0"/>
              <w:spacing w:before="0" w:after="0"/>
              <w:ind w:left="0" w:right="0" w:hanging="0"/>
              <w:jc w:val="left"/>
              <w:rPr/>
            </w:pPr>
            <w:hyperlink w:anchor="ITEM16JINSIDERTRADINGPOLICIES_636013">
              <w:r>
                <w:rPr>
                  <w:rStyle w:val="InternetLink"/>
                  <w:rFonts w:ascii="Times New Roman;Times;serif" w:hAnsi="Times New Roman;Times;serif"/>
                  <w:b w:val="false"/>
                  <w:i w:val="false"/>
                  <w:caps w:val="false"/>
                  <w:smallCaps w:val="false"/>
                  <w:sz w:val="20"/>
                </w:rPr>
                <w:t>ITEM 16J.</w:t>
              </w:r>
            </w:hyperlink>
          </w:p>
        </w:tc>
        <w:tc>
          <w:tcPr>
            <w:tcW w:w="8491" w:type="dxa"/>
            <w:tcBorders/>
            <w:vAlign w:val="center"/>
          </w:tcPr>
          <w:p>
            <w:pPr>
              <w:pStyle w:val="TableContents"/>
              <w:bidi w:val="0"/>
              <w:spacing w:before="0" w:after="0"/>
              <w:ind w:left="0" w:right="0" w:hanging="0"/>
              <w:jc w:val="left"/>
              <w:rPr/>
            </w:pPr>
            <w:hyperlink w:anchor="ITEM16JINSIDERTRADINGPOLICIES_636013">
              <w:r>
                <w:rPr>
                  <w:rStyle w:val="InternetLink"/>
                  <w:rFonts w:ascii="Times New Roman;Times;serif" w:hAnsi="Times New Roman;Times;serif"/>
                  <w:b w:val="false"/>
                  <w:i w:val="false"/>
                  <w:caps w:val="false"/>
                  <w:smallCaps w:val="false"/>
                  <w:sz w:val="20"/>
                </w:rPr>
                <w:t>INSIDER TRADING POLICIES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1036" w:type="dxa"/>
            <w:tcBorders/>
            <w:shd w:fill="CCEEFF" w:val="clear"/>
            <w:vAlign w:val="center"/>
          </w:tcPr>
          <w:p>
            <w:pPr>
              <w:pStyle w:val="TableContents"/>
              <w:bidi w:val="0"/>
              <w:spacing w:before="0" w:after="0"/>
              <w:ind w:left="0" w:right="0" w:hanging="0"/>
              <w:jc w:val="left"/>
              <w:rPr/>
            </w:pPr>
            <w:hyperlink w:anchor="PARTIII_621044">
              <w:r>
                <w:rPr>
                  <w:rStyle w:val="InternetLink"/>
                  <w:rFonts w:ascii="Times New Roman;Times;serif" w:hAnsi="Times New Roman;Times;serif"/>
                  <w:b/>
                  <w:i w:val="false"/>
                  <w:caps w:val="false"/>
                  <w:smallCaps w:val="false"/>
                  <w:sz w:val="20"/>
                </w:rPr>
                <w:t>PART III</w:t>
              </w:r>
            </w:hyperlink>
          </w:p>
        </w:tc>
        <w:tc>
          <w:tcPr>
            <w:tcW w:w="849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r>
      <w:tr>
        <w:trPr/>
        <w:tc>
          <w:tcPr>
            <w:tcW w:w="1036" w:type="dxa"/>
            <w:tcBorders/>
            <w:vAlign w:val="center"/>
          </w:tcPr>
          <w:p>
            <w:pPr>
              <w:pStyle w:val="TableContents"/>
              <w:bidi w:val="0"/>
              <w:spacing w:before="0" w:after="0"/>
              <w:ind w:left="0" w:right="0" w:hanging="0"/>
              <w:jc w:val="left"/>
              <w:rPr/>
            </w:pPr>
            <w:hyperlink w:anchor="ITEM17FINANCIALSTATEMENTS_101347">
              <w:r>
                <w:rPr>
                  <w:rStyle w:val="InternetLink"/>
                  <w:rFonts w:ascii="Times New Roman;Times;serif" w:hAnsi="Times New Roman;Times;serif"/>
                  <w:b w:val="false"/>
                  <w:i w:val="false"/>
                  <w:caps w:val="false"/>
                  <w:smallCaps w:val="false"/>
                  <w:sz w:val="20"/>
                </w:rPr>
                <w:t>ITEM 17.</w:t>
              </w:r>
            </w:hyperlink>
          </w:p>
        </w:tc>
        <w:tc>
          <w:tcPr>
            <w:tcW w:w="8491" w:type="dxa"/>
            <w:tcBorders/>
            <w:vAlign w:val="center"/>
          </w:tcPr>
          <w:p>
            <w:pPr>
              <w:pStyle w:val="TableContents"/>
              <w:bidi w:val="0"/>
              <w:spacing w:before="0" w:after="0"/>
              <w:ind w:left="0" w:right="0" w:hanging="0"/>
              <w:jc w:val="left"/>
              <w:rPr/>
            </w:pPr>
            <w:hyperlink w:anchor="ITEM17FINANCIALSTATEMENTS_101347">
              <w:r>
                <w:rPr>
                  <w:rStyle w:val="InternetLink"/>
                  <w:rFonts w:ascii="Times New Roman;Times;serif" w:hAnsi="Times New Roman;Times;serif"/>
                  <w:b w:val="false"/>
                  <w:i w:val="false"/>
                  <w:caps w:val="false"/>
                  <w:smallCaps w:val="false"/>
                  <w:sz w:val="20"/>
                </w:rPr>
                <w:t>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1036" w:type="dxa"/>
            <w:tcBorders/>
            <w:shd w:fill="CCEEFF" w:val="clear"/>
            <w:vAlign w:val="center"/>
          </w:tcPr>
          <w:p>
            <w:pPr>
              <w:pStyle w:val="TableContents"/>
              <w:bidi w:val="0"/>
              <w:spacing w:before="0" w:after="0"/>
              <w:ind w:left="0" w:right="0" w:hanging="0"/>
              <w:jc w:val="left"/>
              <w:rPr/>
            </w:pPr>
            <w:hyperlink w:anchor="ITEM18FINANCIALSTATEMENTS_192552">
              <w:r>
                <w:rPr>
                  <w:rStyle w:val="InternetLink"/>
                  <w:rFonts w:ascii="Times New Roman;Times;serif" w:hAnsi="Times New Roman;Times;serif"/>
                  <w:b w:val="false"/>
                  <w:i w:val="false"/>
                  <w:caps w:val="false"/>
                  <w:smallCaps w:val="false"/>
                  <w:sz w:val="20"/>
                </w:rPr>
                <w:t>ITEM 18.</w:t>
              </w:r>
            </w:hyperlink>
          </w:p>
        </w:tc>
        <w:tc>
          <w:tcPr>
            <w:tcW w:w="8491" w:type="dxa"/>
            <w:tcBorders/>
            <w:shd w:fill="CCEEFF" w:val="clear"/>
            <w:vAlign w:val="center"/>
          </w:tcPr>
          <w:p>
            <w:pPr>
              <w:pStyle w:val="TableContents"/>
              <w:bidi w:val="0"/>
              <w:spacing w:before="0" w:after="0"/>
              <w:ind w:left="0" w:right="0" w:hanging="0"/>
              <w:jc w:val="left"/>
              <w:rPr/>
            </w:pPr>
            <w:hyperlink w:anchor="ITEM18FINANCIALSTATEMENTS_192552">
              <w:r>
                <w:rPr>
                  <w:rStyle w:val="InternetLink"/>
                  <w:rFonts w:ascii="Times New Roman;Times;serif" w:hAnsi="Times New Roman;Times;serif"/>
                  <w:b w:val="false"/>
                  <w:i w:val="false"/>
                  <w:caps w:val="false"/>
                  <w:smallCaps w:val="false"/>
                  <w:sz w:val="20"/>
                </w:rPr>
                <w:t>FINANCIAL STATEMENTS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1036" w:type="dxa"/>
            <w:tcBorders/>
            <w:vAlign w:val="center"/>
          </w:tcPr>
          <w:p>
            <w:pPr>
              <w:pStyle w:val="TableContents"/>
              <w:bidi w:val="0"/>
              <w:spacing w:before="0" w:after="0"/>
              <w:ind w:left="0" w:right="0" w:hanging="0"/>
              <w:jc w:val="left"/>
              <w:rPr/>
            </w:pPr>
            <w:hyperlink w:anchor="ITEM19EXHIBITS_593267">
              <w:r>
                <w:rPr>
                  <w:rStyle w:val="InternetLink"/>
                  <w:rFonts w:ascii="Times New Roman;Times;serif" w:hAnsi="Times New Roman;Times;serif"/>
                  <w:b w:val="false"/>
                  <w:i w:val="false"/>
                  <w:caps w:val="false"/>
                  <w:smallCaps w:val="false"/>
                  <w:sz w:val="20"/>
                </w:rPr>
                <w:t>ITEM 19.</w:t>
              </w:r>
            </w:hyperlink>
          </w:p>
        </w:tc>
        <w:tc>
          <w:tcPr>
            <w:tcW w:w="8491" w:type="dxa"/>
            <w:tcBorders/>
            <w:vAlign w:val="center"/>
          </w:tcPr>
          <w:p>
            <w:pPr>
              <w:pStyle w:val="TableContents"/>
              <w:bidi w:val="0"/>
              <w:spacing w:before="0" w:after="0"/>
              <w:ind w:left="0" w:right="0" w:hanging="0"/>
              <w:jc w:val="left"/>
              <w:rPr/>
            </w:pPr>
            <w:hyperlink w:anchor="ITEM19EXHIBITS_593267">
              <w:r>
                <w:rPr>
                  <w:rStyle w:val="InternetLink"/>
                  <w:rFonts w:ascii="Times New Roman;Times;serif" w:hAnsi="Times New Roman;Times;serif"/>
                  <w:b w:val="false"/>
                  <w:i w:val="false"/>
                  <w:caps w:val="false"/>
                  <w:smallCaps w:val="false"/>
                  <w:sz w:val="20"/>
                </w:rPr>
                <w:t>EXHIBITS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34" w:name="_bd547dce_9c0d_464d_8fe4_23c6a2f1c9d9"/>
      <w:bookmarkEnd w:id="34"/>
      <w:r>
        <w:rPr>
          <w:rFonts w:ascii="Times New Roman;Times;serif" w:hAnsi="Times New Roman;Times;serif"/>
          <w:b/>
          <w:sz w:val="20"/>
        </w:rPr>
        <w:t>CONVENTIONS THAT APPLY TO THIS ANNUAL REPORT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Unless otherwise indicated and except where the context otherwise requires, references in this annual report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 refers to our American depositary shares. Two ADSs represent one Class A ordinary share before November 14, 2022, and one ADS represent five Class A ordinary shares effective from November 14, 2022;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Beijing WFOE” refers to our wholly foreign owned enterprise, iClick Data Technology (Beijing) Limited, which is the primary beneficiary of the VIE;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“PRC” refers to the People’s Republic of China, including mainland China, Hong Kong and Macau and, only for the purpose of this annual report, excluding Taiwan; the only instances in which “China” or “the PRC” do not include Hong Kong or Macau are when used in the case of laws and regulations, including, among others, tax matters, adopted by the People’s Republic of China; the legal and operational risks associated with operating in China also apply to our operations in Hong Kong;</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refers to iClick Interactive Asia Group Limited;</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direct marketer clients” refers to marketers that have direct contractual relationship with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end marketers,” or “marketers” refers to marketers that we serve, either directly or through marketing agencies, regardless if they have direct contractual relationship with us;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HK$” or “Hong Kong dollars” refers to the legal currency of Hong Kong;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independent online marketing technology platforms” refers to online marketing technology platforms (i) which are not owned by any group which owns online publishing resources, or (ii) which do not own any online publishing resources;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marketing solutions” refers to mobile marketing solutions and other marketing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 apps or websites “covered” refers to the mobile apps or websites from which we are able to receive data to build user profiles;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multinational companies” refer to companies that own or control production of goods or provision of services in one or more countries other than their home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online marketing technology platforms” refers to online marketing platforms which, through a combination of marketing strategies and technologies, assist marketers in optimizing their marketing resources;</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refer to our Class A and Class B ordinary shares, par value US$0.001 per share;</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clients” refers to entities which enter into sales contracts with us and incur spending during the relevant period;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RMB” or “Renminbi” refers to the legal currency of China;</w:t>
            </w:r>
          </w:p>
        </w:tc>
      </w:tr>
    </w:tbl>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software-as-a-service” refers to SaaS; </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company” or “our” refer to iClick Interactive Asia Group Limited and its subsidiaries;</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“US$,” “dollars” or “U.S. dollars” refers to the legal currency of the United States;</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VIE” refers to Beijing OptAim Network Technology Co., Ltd.;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VIE entities” refers to Beijing OptAim Network Technology Co., Ltd. and its subsidiaries; and</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WFOE” refers to wholly foreign owned enterprise under the laws of the People’s Republic of China.</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financial statements are expressed in the U.S. dollar, which is our reporting currency. Certain of our financial data in this annual report on Form 20-F are translated into U.S. dollars solely for the reader’s convenience. Unless otherwise noted, all convenience translations from Renminbi to U.S. dollars, and from Hong Kong dollars to U.S. dollars, in this annual report on Form 20-F were made at a rate of RMB6.8972 to US$1.00, and HKD7.8015 to US$1.00, respectively, which were the exchange rates set forth in the H.10 statistical release of the Board of Governors of the Federal Reserve System on December 30, 2022. We make no representation that any Renminbi/ Hong Kong dollar or U.S. dollar amounts could have been, or could be, converted into U.S. dollars or Renminbi/ Hong Kong dollar, as the case may be, at any particular rate, at the respective rate stated above, or at all. Any discrepancies in any table between the amounts identified as total amounts and the sum of the amounts listed therein are due to rounding.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on Form 20-F contains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tbl>
      <w:tblPr>
        <w:tblW w:w="2706" w:type="dxa"/>
        <w:jc w:val="left"/>
        <w:tblInd w:w="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fluctuations in growth;</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implementing our mobile and new retail strategies, including extending our solutions beyond our core online marketing business;</w:t>
            </w:r>
          </w:p>
        </w:tc>
      </w:tr>
    </w:tbl>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implementing “SaaS+X” model;</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structuring a customer relationship management and marketing cloud platform;</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percentage of our gross billing recognized as revenue under the gross and net models;</w:t>
            </w:r>
          </w:p>
        </w:tc>
      </w:tr>
    </w:tbl>
    <w:tbl>
      <w:tblPr>
        <w:tblW w:w="9381" w:type="dxa"/>
        <w:jc w:val="left"/>
        <w:tblInd w:w="0" w:type="dxa"/>
        <w:tblLayout w:type="fixed"/>
        <w:tblCellMar>
          <w:top w:w="28" w:type="dxa"/>
          <w:left w:w="28" w:type="dxa"/>
          <w:bottom w:w="28" w:type="dxa"/>
          <w:right w:w="28" w:type="dxa"/>
        </w:tblCellMar>
      </w:tblPr>
      <w:tblGrid>
        <w:gridCol w:w="124"/>
        <w:gridCol w:w="25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growth of online marketing industry, including online marketing technology industry in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products and services, including marketing solutions and enterprise solutions;</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existing clients or attract new ones;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and realize synergies from acquisitions, investments or strategic partnerships;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invest in our platform, solutions, data analytics capabilities, technology and technology infrastructure;</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collect and use data from various sources and the effectiveness of our algorithms and data engines;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content distribution channels and negotiate favorable contractual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competition, including from independent online marketing technology platforms as well as large and well-established internet companies;</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foreign exchange rates;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the regulatory landscape in China and other jurisdictions where we operate;</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government policies and regulations relating to our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the COVID-19 outbreak, including various variants, and the control policy and measures, and their potential effects and after-effects on our business and financial performance;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U.S.-China relations, including the imposition of economic sanctions.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this annual report and the documents that we refer to in this annual report and have filed as exhibits to this annual report completely and with the understanding that our actual future results may be materially different from what we expect. Other sections of this annual report discuss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PARTI_809180"/>
      <w:bookmarkStart w:id="36" w:name="_437923"/>
      <w:bookmarkStart w:id="37" w:name="_Hlk132892230"/>
      <w:bookmarkStart w:id="38" w:name="_b929371e_aa4b_4c6b_a780_79d190ab5a2c"/>
      <w:bookmarkEnd w:id="35"/>
      <w:bookmarkEnd w:id="36"/>
      <w:bookmarkEnd w:id="37"/>
      <w:bookmarkEnd w:id="38"/>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39" w:name="ITEM1IDENTITYOFDIRECTORSSENIORMANAGEMENT"/>
      <w:bookmarkEnd w:id="39"/>
      <w:r>
        <w:rPr>
          <w:rFonts w:ascii="Times New Roman;Times;serif" w:hAnsi="Times New Roman;Times;serif"/>
          <w:b/>
          <w:i w:val="false"/>
          <w:caps w:val="false"/>
          <w:smallCaps w:val="false"/>
          <w:sz w:val="20"/>
        </w:rPr>
        <w:t>ITEM 1.</w:t>
      </w:r>
      <w:r>
        <w:rPr>
          <w:rFonts w:ascii="Times New Roman;Times;serif" w:hAnsi="Times New Roman;Times;serif"/>
          <w:b/>
          <w:sz w:val="20"/>
        </w:rPr>
        <w:t>IDENTITY OF DIRECTORS, SENIOR MANAGEMENT AND ADVISERS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0" w:name="ITEM2OFFERSTATISTICSANDEXPECTEDTIMETABLE"/>
      <w:bookmarkStart w:id="41" w:name="_545f9e6b_3a70_49ec_b213_fdeedde060c6"/>
      <w:bookmarkEnd w:id="40"/>
      <w:bookmarkEnd w:id="41"/>
      <w:r>
        <w:rPr>
          <w:rFonts w:ascii="Times New Roman;Times;serif" w:hAnsi="Times New Roman;Times;serif"/>
          <w:b/>
          <w:i w:val="false"/>
          <w:caps w:val="false"/>
          <w:smallCaps w:val="false"/>
          <w:sz w:val="20"/>
        </w:rPr>
        <w:t>ITEM 2.</w:t>
      </w:r>
      <w:r>
        <w:rPr>
          <w:rFonts w:ascii="Times New Roman;Times;serif" w:hAnsi="Times New Roman;Times;serif"/>
          <w:b/>
          <w:sz w:val="20"/>
        </w:rPr>
        <w:t>OFFER STATISTICS AND EXPECTED TIMETABLE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2" w:name="ITEM3KEYINFORMATION_100196"/>
      <w:bookmarkStart w:id="43" w:name="_a36c4669_59fd_4ec1_926d_928db2879d91"/>
      <w:bookmarkEnd w:id="42"/>
      <w:bookmarkEnd w:id="43"/>
      <w:r>
        <w:rPr>
          <w:rFonts w:ascii="Times New Roman;Times;serif" w:hAnsi="Times New Roman;Times;serif"/>
          <w:b/>
          <w:i w:val="false"/>
          <w:caps w:val="false"/>
          <w:smallCaps w:val="false"/>
          <w:sz w:val="20"/>
        </w:rPr>
        <w:t>ITEM 3.</w:t>
      </w:r>
      <w:r>
        <w:rPr>
          <w:rFonts w:ascii="Times New Roman;Times;serif" w:hAnsi="Times New Roman;Times;serif"/>
          <w:b/>
          <w:sz w:val="20"/>
        </w:rPr>
        <w:t>KEY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Implications of Being a Foreign Private Issuer and a China-based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Securities and Exchange Commission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Global Market (“NASDAQ”) listing standards. These practices may afford less protection to shareholders than they would enjoy if we complied fully with the NASDAQ listing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legal and operational risks associated with our operations in China. We are subject to risks arising from China’s legal system, including uncertainties in the interpretation and the enforcement of the PRC laws and regulations. In addition, rules and regulations in China can change quickly with little advance notice. Recently, Chinese regulators have announced regulatory actions targeting certain sectors of China’s economy, including the for-profit education sector and technology platforms that have a quantitatively significant number of users located in China. We cannot guarantee that the Chinese government will not in the future take further regulatory actions that materially adversely affect the business environment and financial markets in China as they relate to us, our ability to operate our business, our liquidity and our access to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may also intervene or influence our operations at any time, or may exert more control over offerings conducted overseas and/or foreign investment in China-based issuers, including us, at any time, substantial intervention and influence over the manner of our operations, which could result in a material change in our operations or the value of our ADSs. Any actions by the PRC government to exert more oversight and control over offerings that are conducted overseas or foreign investment in China-based issuers could significantly limit or completely hinder our ability to offer or continue to offer securities to investors and cause the value of such securities to significantly decline or be worthless.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adopting new laws and regulations related to data security, expanding the efforts in anti-monopoly enforcement, and adopting new rules to request China-based companies to fulfill relevant filing procedure and report relevant information to the CSRC for overseas offerings. While we do not believe that these regulatory changes would have any material impact on us, we cannot assure you that the regulators will agree with us or will not in the future adopt regulations that restrict our business operations or access to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6, 2021, the General Office of the Central Committee of the Communist Party of China and the General Office of the State Council jointly issued Opinions on Strictly Cracking Down Illegal Securities Activities in Accordance with the Law. These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These opinions and any related implementation rules to be enacted may subject us to additional compliance requirement. On February 17, 2023, the CSRC released a set of regulations consisting of six documents, including the Trial Administrative Measures of Overseas Securities Offering and Listing by Domestic Companies and five supporting guidelines, collectively, the Overseas Listing Filing Rules, which came into effective on March 31, 2023. According to the Overseas Listing Filing Rules, China-based companies that have already offered shares or been listed overseas prior to the implementation of such new regulations qualify as “Stock Enterprises”, and Stock Enterprises are not required to apply for the filing immediately until a subsequent overseas offering or listing occurs. However, the Overseas Listing Filing Rules, among others, require the issuer or its main operational entity in the PRC to file with the CSRC for its follow-on securities offerings in the same offshore market within three business days after the completion of such offerings, and file with the CSRC for its offerings or listing in offshore stock market other than the stock market of its initial public offering or listing within three business days after the submission of offering application outside mainland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been listed on the NASDAQ prior to the implementation of the Overseas Listing Filing Rules. Therefore, we are qualified as a “Stock Enterprise” and are not required to apply for the filing immediately until a subsequent overseas offering or listing occurs according to the Overseas Listing Filing Rules. However, we are required to file with the CSRC for its follow-on securities offerings in the same offshore market within three business days after the completion of such offerings, and file with the CSRC for our offerings or listing in offshore stock market other than the stock market of our initial public offering or listing within three business days after the submission of offering application outside mainland China. Failure to comply with the filing requirements for any offering, listing or any other capital raising activities, may result in administrative penalties, such as order to rectify, warnings, fines and other penalties, on us, our controlling shareholders, actual controllers, any person directly in charge and other directly liable persons. Given the uncertainties surrounding the CSRC filing requirements at this stage, we cannot assure you that we will be able to complete the filings and fully comply with the relevant new rules on a timely basis, or at all, if we conduct listing in other offshore stock markets or follow-on offerings, issuance of convertible corporate bonds, exchangeable bonds, or other kinds of equity security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Cybersecurity and data privacy and security issues are subject to increasing legislative and regulatory focus in mainland China. For example, the State Council of the PRC promulgated the Regulations on the Protection of the Security of Critical Information Infrastructure on July 30, 2021, which took effect on September 1, 2021. This regulation requires, among others, certain competent authorities to identify critical information infrastructures. In November 2021, the Cybersecurity Administration of China (the “CAC”) promulgated the Draft Administrative Regulations on Cyber Data Security, or the Draft Cyber Data Security Regulations, for public comment. These draft regulations set forth different scenarios under which data processors would be required to apply for cybersecurity review. However, there is no definite timetable as to when these draft regulations will be enacted. In addition, the CAC and a number of other departments under the State Council promulgated the Measures for Cybersecurity Review on December 28, 2021, which became effective on February 15, 2022. According to this regulation, critical information infrastructure operators purchasing network products or network platform operators carrying out data processing activities, which affect or may affect national security, are required to conduct cybersecurity review. Pursuant to the Measures for Cybersecurity Review, enterprises shall apply for the cybersecurity review under the following circumstances: (i) critical information infrastructure operators that intend to purchase network products and services; or (ii) a network platform operator that processes the personal information of more than one million people intends to be listed overseas.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for the definition of “critical information infrastructure operators”, on July 30, 2021, the State Council of the PRC published the Security Protection Regulations on the Critical Information Infrastructure (the “CII Regulations”), which took effect on September 1, 2021. Pursuant to Article 2 of the CII Regulations, critical information infrastructure refer to the important network facilities and information systems in important industries and fields such as public telecommunications, information services, energy, transportation, water conservancy, finance, public services, e-government and national defense science, technology and industry, as well as other important network facilities and information systems which, in case of destruction, loss of function or leak of data, may result in serious damage to national security, the national economy and the people’s livelihood and public interests. Pursuant to Article 10 of the CII Regulations, the identity of the critical information infrastructure operator shall be determined by the PRC government authorities responsible for critical information infrastructure protection, and the identified critical information infrastructure operator shall be notified by the competent PRC government authority. As of the date of this annual report, we have not received any notice or determination from competent PRC government authorities identifying us as a critical information infrastructure operator.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for the definition of “network platform operator”, on November 14, 2021, the CAC published the Regulations on the Administration of Network Data Security (Draft for Comments) (the “Draft Data Security Regulations”). According to the Draft Data Security Regulations, “internet platform operators” refer to data processors who provide users with internet platform services such as information release, social networking, transactions, payment, and audiovisual. With reference to this definition, “platform operators” have the attributes of “platforms” and “provide specific services”. According to the Guidelines for the Classification and Grade of Network Platforms (Draft for Comment) promulgated by the State Administration for Market Regulation “internet platforms” provide the connection of people, goods, services, information, entertainment, capital, and computing power through network technology. This connection enables the platform to have various functions such as trading, social interaction, entertainment, information, financing, and calculation. With reference to the Draft Data Security Regulations and the Guidelines for the Classification and Grade of Network Platforms (Draft for Comment), given that the aforementioned regulations are still at the draft stage, we cannot conclude whether we will be identified as a network platform operator.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for the definition of “affects or may affect national security”, the Measures for Cybersecurity Review provides no further explanation or interpretation for “affects or may affect national security”, and the PRC government authorities may have wide discretion in the interpretation of “affects or may affect national security”. According to National Security Law of the PRC issued on July 1, 2015 and became effective on the same date, national security refers to a status in which the regime, sovereignty, unity, territorial integrity, welfare of the people, sustainable economic and social development, and other major interests of the state are relatively not faced with any danger and not threatened internally or externally and the capability to maintain a sustained security status. Given the uncertainty on the interpretation of the Measures for Cybersecurity Review, our PRC legal counsel, Jingtian &amp; Gongcheng, cannot assure that we will not be deemed as “affect or may affect national security”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PRC legal counsel is of the opinion that we do not need to apply for cybersecurity reviews under the current regulatory regime because we have not received any notice or determination from competent PRC government authorities identifying us as a critical information infrastructure operator as of the date of this annual report. However, we cannot rule out the possibility that the competent PRC government authorities will not initiate cybersecurity reviews on us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September 1, 2021, the PRC Data Security Law became effective, which imposes data security and privacy obligations on entities and individuals conducting data-related activities, and introduces a data classification and hierarchical protection system. In addition, the Standing Committee of PRC National People’s Congress promulgated the Personal Information Protection Law (the “PIPL”) on August 20, 2021, which took effect on November 1, 2021. The PIPL further emphasizes processors’ obligations and responsibilities for personal information protection and sets out the basic rules for processing personal information and the rules for cross-border transfer of personal information.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July 7, 2022, the CAC promulgated the Measures on Security Assessment of Outbound Data Transfer, or the Measures on Security Assessment of Outbound Data Transfer, effective September 1, 2022. These measures shall apply to the security assessment of the provision of important data and personal information collected and generated by data processors in the course of their operations within the territory of the PRC by such data processors to overseas recipients, or the outbound data transfer. Where there are other provisions in laws and administrative regulations, such other provisions shall prevail. These Measures specify that an outbound data transfer by a data processor that falls under any of the following circumstances, the data processor shall apply to the CAC for the security assessment via the local provincial-level cyberspace administration authority: (i) outbound transfer of important data by a data processor; (ii) outbound transfer of personal information by a critical information infrastructure operator or a personal information processor who has processed the personal information of more than 1,000,000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or (iv) other circumstances where an application for the security assessment of an outbound data transfer is required as prescribed by the CAC. The data we process does not involve the above circumstances. However, we cannot guarantee that the regulators will agree with us or will not in the future adopt new regulations that restrict our business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13, 2022, the Ministry of Industry and Information Technology of the PRC (the “MIIT”) released the Administrative Measures for Data Security in Industry and Information Technology Sectors (Trial), or the Data Security Measures, which came into effect on January 1, 2023. The measures apply to data management in certain industries, including telecommunication sectors, where certain data we process is generated from. The Data Security Measures set out three categories of data: ordinary data, important data and core data. The processing of important data and core data is subject to certain filing and reporting obligations. Since the categories of important data and core data have not been released, it is uncertain how the measures will be interpreted and implemented. We have sorted and cataloged data we process and will take further measures as required.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been closely monitoring regulatory developments in China regarding any necessary approvals from the CSRC, the CAC, or other PRC regulatory authorities required for overseas listings or offerings. As of the date of this annual report, we have not received any inquiry, notice, warning, sanctions or regulatory objection from the CSRC or the CAC. Because these regulatory actions are relatively new and evolving, it is uncertain how soon legislative or regulatory bodies will respond and what existing or new laws or regulations or detailed implementations and interpretations will be modified or promulgated, if any, or the potential impact such modified or new laws and regulations will have on our daily business operation, our ability to accept foreign investments and listing on foreign exchanges.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Permissions Required from the PRC Authorities for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primarily through our subsidiaries and consolidated affiliated entities in China. Our operations in China are governed by PRC laws and regulations. As of the date of this annual report, our PRC subsidiaries, consolidated affiliated entities and their subsidiaries have obtained the requisite licenses and permits from the PRC government authorities that are material for the business operations of our holding company, our consolidated affiliated entities in China, including, among others, ICP license, value-added telecommunication license, network culture business license, etc.. Given the uncertainties of interpretation and implementation of relevant laws and regulations and the enforcement practice by relevant government authorities, we may be required to obtain additional licenses, permits, filings or approvals for the functions and services of our platform in the future, and may not be able to maintain or renew our current licenses, permits, filings or approvals.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under current PRC laws, regulations and regulatory rules, we, our PRC subsidiaries and our consolidated affiliated entities may be required to undergo the filing procedures with the CSRC and may be required to go through cybersecurity review by the CAC in connection with any future offering and listing in an overseas market. As of the date of this annual report, we have not been subject to any cybersecurity review made by the CAC. If we fail to obtain the relevant approval or complete other review or filing procedures for any future offshore offering or listing, we may face sanctions by the CSRC or other PRC regulatory authorities, which may include fines and penalties on our operations in China, limitations on our operating privileges in China, restrictions on or prohibition of the payments or remittance of dividends by our subsidiaries in China, restrictions on or delays to our future financing transactions offshore, or other actions that could have a material and adverse effect on our business, financial condition, results of operations, reputation and prospects, as well as the trading price of our ADSs. For more detailed information, see “—D. Risk Factors—Risks Relating to Doing Business in China—Recent regulatory developments in China may subject us to additional regulatory review and disclosure requirements, expose us to government interference, or otherwise restrict or completely hinder our ability to offer securities and raise capital outside mainland China, which could adversely affect our business operations and cause the value of our securities to significantly decline or become worthless.”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Associated with the Holding Foreign Companies Accountable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financial statements contained in this annual report have been audited by PricewaterhouseCoopers, an independent registered public accounting firm. It is a firm registered with the U.S. Public Company Accounting Oversight Board (the “PCAOB”), and is required by the laws of the U.S. to undergo regular inspections by the PCAOB to assess its compliance with the laws of the U.S. and professional standards. Pursuant to the Holding Foreign Companies Accountable Act, or the HFCA Act, if the SEC determines that we have filed audit reports issued by a registered public accounting firm that has not been subject to inspections by the PCAOB for two consecutive years, the SEC will prohibit our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or Hong Kong, including our auditor. Subsequently, we were conclusively identified by the SEC as a “Commission-Identified Issuer” under the HFCA Act on June 1, 2022 in respect of our annual report for the year ended December 31, 2021 filed on May 2, 2022. Such identification under the HFCA Act to increase U.S. regulatory access to audit information could cause investment uncertainties for affected issuers, including us, which could increase the volatility of the trading price of our ADSs. On December 15, 2022, the PCAOB announced its determination that it has been able to inspect and investigate audit firms in mainland China and Hong Kong completely for purposes of the HFCA Act, and the PCAOB vacated its December 16, 2021 determinations. However, the PCAOB stated that should PRC authorities obstruct the PCAOB’s ability to inspect or investigate completely in any way and at any point in the future, the PCAOB Board will act immediately to consider the need to issue new determinations consistent with the HFCA Act.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In addition, while we currently do not expect the HFCA Act to prevent us from maintaining the trading of our ADSs in the U.S., uncertainties exist with respect to future determinations of the PCAOB in this respect and any further legislative or regulatory actions to be taken by the U.S. or Chinese governments that could affect our listing status in the U.S. The delisting of our ADSs, or the threat of their being delisted, may materially and adversely affect the value of your investment.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Associated with Our Corporate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investors hold securities of iClick Interactive Asia Group Limited, which is not an operating company but a Cayman Islands holding company with operations primarily conducted by its subsidiaries and through contractual arrangements with its variable interest entities, or VIEs, and their respective subsidiaries based in mainland China. PRC laws and regulations restrict and impose conditions on foreign investment in internet-based businesses, including holding of value-added telecommunication license by Shanghai Myhayo Technology Co., Ltd., or Myhayo, a content distribution channel and a mobile content aggregator of articles and short videos in mainland China. For more information of Myhayo’s value-added telecommunication license, see “—D. Risk Factors—Risks Related to Our Business and Industry—If we fail to maintain or renew the value-added telecommunication license, or fail to obtain other requisite license, or approvals or filings in China, the business carried out by certain consolidated entity may be materially and adversely affected”. Accordingly, we operate these businesses in China through Beijing OptAim Network Technology Co., Ltd., or OptAim Network, which we refer to as the VIE in this annual report, and its subsidiaries, and rely on contractual arrangements among our PRC subsidiary, the VIE and its nominee shareholder to control the business operations of the VIE entities. We are the primary beneficiary of these VIE entities for accounting purposes because of these contractual arrangements. Accordingly, under U.S. GAAP, the financial statements of the VIE are consolidated as part of our financial statements. Although these VIE agreements have been widely adopted by PRC companies seeking to list overseas, such agreements have not been tested in a court of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corporate structure is subject to risks associated with our contractual arrangements with the VIE. The Company that investors will own may never have a direct equity ownership interest in the businesses that are conducted by the VIE. If the PRC government disallow the VIE structure or deems that our contractual arrangements with the VIE do not comply with PRC regulatory restrictions on foreign investment in the relevant industries, or if these regulations or the interpretation of existing regulations change or are interpreted differently in the future, we and the VIE could be subject to severe penalties or be forced to relinquish our interests in those operations. This would result in the VIE being deconsolidated. Part of our assets, including the value-added telecommunication license, are held by the VIE. In 2020, OptAim Network contributed 3.3% to our gross billing and 8.7% of our net revenues. In 2021, OptAim Network contributed 3.0% to our gross billing and 7.8% of our net revenues. In 2022, OptAim Network contributed 5.3% to our gross billing and 12.7% of our net revenues. Our holding company, our PRC subsidiaries and the VIE entities, and investors of our Company face uncertainty about potential future actions by the PRC government that could affect the enforceability of the contractual arrangements with the VIE and, consequently, significantly affect the financial performance of the VIE entities and our Company as a whole. Our ADSs may decline in value or become worthless, if we are unable to assert our contractual control rights over the assets of the VIE that conduct some or all of our operations. For a detailed description of the risks associated with our corporate structure, please refer to risks disclosed under “Item 3.D. Key Information—Risk Factors—Risks Related to Our Corporate Structure”.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Transfer between the Company, the Company’s Subsidiaries and the VIE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transfers between the Company, the Company’s subsidiaries and the VIE entities are made in accordance with the applicable PRC laws and regulations and the VIE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the cash is in mainland China or an entity incorporated in mainland China, the funds may not be available for use outside mainland China, due to interventions in or the imposition of restrictions and limitations on the ability of the Company, the Company’s subsidiaries, or the VIE entities by the PRC government to transfer cash.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imposes controls on the convertibility of Renminbi into foreign currencies and, in certain cases, the remittance of currency out of mainland China. The Company carries out its business primarily through its subsidiaries and the VIE entities in mainland China, the income of which is primarily in Renminbi and shortages in foreign currencies may restrict their ability to pay dividends or other payments to the Company, or otherwise satisfy the Company’s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SAFE as long as certain procedural requirements are met. The PRC government may, at its discretion, impose restrictions on access to foreign currencies for current account transactions. Approval from relevant government authorities is required if Renminbi is converted into foreign currency and remitted out of mainland China to pay capital expenses such as the repayment of loans denominated in foreign currencies.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relevant PRC laws and regulations permit the companies incorporated in mainland China to pay dividends only out of their retained earnings, if any, as determined in accordance with the accounting standards and regulations in mainland China. Additionally, the Company’s subsidiaries incorporated in mainland China and the VIE entities can only distribute dividends upon approval of the shareholders after they have met the PRC requirements for appropriation to the statutory reserves. As a result of these and other restrictions under the laws and regulations in mainland China, the Company’s subsidiaries incorporated in mainland China and the VIE entities are restricted to transfer a portion of their net assets to the Company either in the form of dividends, loans or advances. Even though the Company currently does not require any such dividends, loans or advances from the subsidiaries incorporated in mainland China and the VIE entities for working capital and other funding purposes, the Company may in the future require additional cash resources from its subsidiaries incorporated in mainland China and the VIE entities due to changes in business conditions, to fund future acquisitions and developments, or merely declare and pay dividends to or distributions to the Company’s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Beijing WFOE enjoys the economic interest in the operations of the VIE entities in the form of service fees under the contractual arrangements among the Beijing WFOE, the VIE, and shareholders of the VIE pursuant to the VIE agreements. Under the VIE agreements, the VIE agrees to pay service fee in an amount equal to 100% of its net income for the relevant period on a monthly basis, and Beijing WFOE has the right to adjust at its own discretion.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not made any dividend or distribution to its shareholders. The Company’s subsidiaries and the VIE entities have not made any dividend or distribution to the Company. The VIE has not paid any service fee.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“—D. Risk Factors—Risks Related to Doing Business in China—We rely on dividends and other distributions on equity paid by the Company’s subsidiaries incorporated in mainland China to fund any cash and financing requirements we may have, and any limitation on the ability of the Company’s subsidiaries incorporated in mainland China to make payments to us could have a material adverse effect on our ability to conduct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utilizing any proceeds from the Company, including any proceeds from any offering by the Company, the Company is permitted under PRC laws and regulations to provide funding to its subsidiaries incorporated in mainland China through inter-company loans or capital contributions, subject to satisfaction of applicable government registration and approval requirements. The Company cannot assure you that these government registrations or approvals can be obtained on a timely basis, if at all. See “—D. Risk Factors—Risks Related to Doing Business in China—PRC regulation of loans to and direct investment in entities incorporated in mainland China by holding companies incorporated outside mainland China and governmental control of currency conversion may delay or prevent us from using the proceeds of the fundraisings outside mainland China to make loans to or make additional capital contributions to the Company’s subsidiaries incorporated in mainland China, which could materially and adversely affect our liquidity and our ability to fund and expand our business.” In addition, the Company’s subsidiaries incorporated in mainland China may transfer cash to the VIE entities by loans.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diagram illustrates the typical fund flow among the Company, its PRC subsidiaries and the VIE entities.</w:t>
      </w:r>
    </w:p>
    <w:p>
      <w:pPr>
        <w:pStyle w:val="TextBody"/>
        <w:bidi w:val="0"/>
        <w:spacing w:before="0" w:after="240"/>
        <w:ind w:left="0" w:right="0" w:firstLine="720"/>
        <w:jc w:val="center"/>
        <w:rPr/>
      </w:pPr>
      <w:r>
        <w:rPr/>
        <w:drawing>
          <wp:inline distT="0" distB="0" distL="0" distR="0">
            <wp:extent cx="5800090" cy="56419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800090" cy="564197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sets forth the amount of the cash transfers among the Company, the Company’s subsidiaries and the VIE entities for the periods presented. </w:t>
      </w:r>
    </w:p>
    <w:tbl>
      <w:tblPr>
        <w:tblW w:w="10177" w:type="dxa"/>
        <w:jc w:val="left"/>
        <w:tblInd w:w="0" w:type="dxa"/>
        <w:tblLayout w:type="fixed"/>
        <w:tblCellMar>
          <w:top w:w="0" w:type="dxa"/>
          <w:left w:w="0" w:type="dxa"/>
          <w:bottom w:w="0" w:type="dxa"/>
          <w:right w:w="0" w:type="dxa"/>
        </w:tblCellMar>
      </w:tblPr>
      <w:tblGrid>
        <w:gridCol w:w="6496"/>
        <w:gridCol w:w="326"/>
        <w:gridCol w:w="886"/>
        <w:gridCol w:w="326"/>
        <w:gridCol w:w="886"/>
        <w:gridCol w:w="326"/>
        <w:gridCol w:w="931"/>
      </w:tblGrid>
      <w:tr>
        <w:trPr/>
        <w:tc>
          <w:tcPr>
            <w:tcW w:w="6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124960" cy="175260"/>
                      <wp:effectExtent l="0" t="0" r="0" b="0"/>
                      <wp:wrapNone/>
                      <wp:docPr id="4" name="Frame3"/>
                      <a:graphic xmlns:a="http://schemas.openxmlformats.org/drawingml/2006/main">
                        <a:graphicData uri="http://schemas.microsoft.com/office/word/2010/wordprocessingShape">
                          <wps:wsp>
                            <wps:cNvSpPr txBox="1"/>
                            <wps:spPr>
                              <a:xfrm>
                                <a:off x="0" y="0"/>
                                <a:ext cx="412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62610" cy="175260"/>
                      <wp:effectExtent l="0" t="0" r="0" b="0"/>
                      <wp:wrapNone/>
                      <wp:docPr id="6" name="Frame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7"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62610" cy="175260"/>
                      <wp:effectExtent l="0" t="0" r="0" b="0"/>
                      <wp:wrapNone/>
                      <wp:docPr id="8" name="Frame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91185" cy="175260"/>
                      <wp:effectExtent l="0" t="0" r="0" b="0"/>
                      <wp:wrapNone/>
                      <wp:docPr id="10" name="Frame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3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6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 in</w:t>
            </w:r>
          </w:p>
        </w:tc>
      </w:tr>
      <w:tr>
        <w:trPr/>
        <w:tc>
          <w:tcPr>
            <w:tcW w:w="6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thousands)</w:t>
            </w:r>
          </w:p>
        </w:tc>
      </w:tr>
      <w:tr>
        <w:trPr/>
        <w:tc>
          <w:tcPr>
            <w:tcW w:w="64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operating cash received by VIE entities from the Company’s subsidiaries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64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Capital contribution to subsidiaries by the Company</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(77,655)</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r>
      <w:tr>
        <w:trPr/>
        <w:tc>
          <w:tcPr>
            <w:tcW w:w="64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Refund of capital contribution to the Company by subsidiaries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19,656</w:t>
            </w:r>
          </w:p>
        </w:tc>
      </w:tr>
      <w:tr>
        <w:trPr/>
        <w:tc>
          <w:tcPr>
            <w:tcW w:w="64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Advances from other subsidiaries to WFOE as primary beneficiary</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(42,421)</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(36,310)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(8,098)</w:t>
            </w:r>
          </w:p>
        </w:tc>
      </w:tr>
      <w:tr>
        <w:trPr/>
        <w:tc>
          <w:tcPr>
            <w:tcW w:w="64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Advances from other subsidiaries to VIE entities</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64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Advances by VIE entities to other subsidiaries</w:t>
            </w:r>
            <w:r>
              <w:rPr>
                <w:rFonts w:ascii="Times New Roman;Times;serif" w:hAnsi="Times New Roman;Times;serif"/>
                <w:sz w:val="15"/>
              </w:rPr>
              <w:t>(5)</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r>
      <w:tr>
        <w:trPr/>
        <w:tc>
          <w:tcPr>
            <w:tcW w:w="64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Advances by WFOE as primary beneficiary to other subsidiaries</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80,141</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4,026</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6,307</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Notes (US$’000):</w:t>
      </w:r>
    </w:p>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“Net operating cash received from Group companies” of the VIE entities in the Selected Condensed Consolidated Cash Flows Data, which includes the following: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2020, 2021 and 2022, cash received by the VIE entities from other entities of the Group for online advertising service and other marketing service were US$3,506, US$1,315 and US$153,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2020, 2021 and 2022, cash paid by the VIE entities to other entities of the Group for online advertising service and SaaS services were US$1,365, US$543 and nil, respectively.</w:t>
            </w:r>
          </w:p>
        </w:tc>
      </w:tr>
    </w:tbl>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“Capital contribution to subsidiaries” of the Parent in the Selected Condensed Consolidated Cash Flows Data.</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“Refund from subsidiaries of capital contribution” of the Parent in the Selected Condensed Consolidated Cash Flows Data.</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“Payments for advances to Group companies” of Other Subsidiaries and WFOE as Primary Beneficiary in the Selected Condensed Consolidated Cash Flows Data.</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“Receipts of repayments of advances from Group companies” of Other Subsidiaries and WFOE as Primary Beneficiary.</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of assets other than cash has occurred among the Company, the Company’s subsidiaries and the VIE entities during the years ended December 31, 2020, 2021 and 2022.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Condensed Consolidating Schedules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tables present the condensed consolidating schedule of financial information for the Company, its wholly owned subsidiary that is WFOE as primary beneficiary, other subsidiaries and VIE entities as of and for the years ended the dates presented.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Selected Condensed Consolidated Balance Sheets Data (US$’000)</w:t>
      </w:r>
    </w:p>
    <w:tbl>
      <w:tblPr>
        <w:tblW w:w="10205" w:type="dxa"/>
        <w:jc w:val="left"/>
        <w:tblInd w:w="0" w:type="dxa"/>
        <w:tblLayout w:type="fixed"/>
        <w:tblCellMar>
          <w:top w:w="0" w:type="dxa"/>
          <w:left w:w="0" w:type="dxa"/>
          <w:bottom w:w="0" w:type="dxa"/>
          <w:right w:w="0" w:type="dxa"/>
        </w:tblCellMar>
      </w:tblPr>
      <w:tblGrid>
        <w:gridCol w:w="2903"/>
        <w:gridCol w:w="326"/>
        <w:gridCol w:w="676"/>
        <w:gridCol w:w="326"/>
        <w:gridCol w:w="961"/>
        <w:gridCol w:w="326"/>
        <w:gridCol w:w="931"/>
        <w:gridCol w:w="326"/>
        <w:gridCol w:w="676"/>
        <w:gridCol w:w="326"/>
        <w:gridCol w:w="1006"/>
        <w:gridCol w:w="326"/>
        <w:gridCol w:w="1096"/>
      </w:tblGrid>
      <w:tr>
        <w:trPr/>
        <w:tc>
          <w:tcPr>
            <w:tcW w:w="2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843405" cy="175260"/>
                      <wp:effectExtent l="0" t="0" r="0" b="0"/>
                      <wp:wrapNone/>
                      <wp:docPr id="11" name="Frame10"/>
                      <a:graphic xmlns:a="http://schemas.openxmlformats.org/drawingml/2006/main">
                        <a:graphicData uri="http://schemas.microsoft.com/office/word/2010/wordprocessingShape">
                          <wps:wsp>
                            <wps:cNvSpPr txBox="1"/>
                            <wps:spPr>
                              <a:xfrm>
                                <a:off x="0" y="0"/>
                                <a:ext cx="184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2"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13" name="Frame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14"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10235" cy="175260"/>
                      <wp:effectExtent l="0" t="0" r="0" b="0"/>
                      <wp:wrapNone/>
                      <wp:docPr id="15" name="Frame1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91185" cy="175260"/>
                      <wp:effectExtent l="0" t="0" r="0" b="0"/>
                      <wp:wrapNone/>
                      <wp:docPr id="17" name="Frame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18"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29260" cy="175260"/>
                      <wp:effectExtent l="0" t="0" r="0" b="0"/>
                      <wp:wrapNone/>
                      <wp:docPr id="19" name="Frame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38810" cy="175260"/>
                      <wp:effectExtent l="0" t="0" r="0" b="0"/>
                      <wp:wrapNone/>
                      <wp:docPr id="21" name="Frame2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5960" cy="175260"/>
                      <wp:effectExtent l="0" t="0" r="0" b="0"/>
                      <wp:wrapNone/>
                      <wp:docPr id="23" name="Frame2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29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 as</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29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9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Parent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Entities</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78,724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82,754</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22,543</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7,011</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due from an equity investee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290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Amounts due from Group companies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22,773</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(43,992)</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58,572</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3,359</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64,556</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media costs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16,494</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8,047</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an equity investee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290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Investments in subsidiaries and VIE entities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80,015</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(112,080)</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investments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5,970</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4,111</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7,629</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82,576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238,479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41,315</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(156,072)</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221,782</w:t>
            </w:r>
          </w:p>
        </w:tc>
      </w:tr>
      <w:tr>
        <w:trPr/>
        <w:tc>
          <w:tcPr>
            <w:tcW w:w="29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  </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38,194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41,728</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16,975</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5,575</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30,539</w:t>
            </w:r>
          </w:p>
        </w:tc>
      </w:tr>
      <w:tr>
        <w:trPr/>
        <w:tc>
          <w:tcPr>
            <w:tcW w:w="290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Amounts due to Group companies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11,815</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(43,992)</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3,247</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3,531</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borrowing</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42,693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44,283</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155,652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16,939</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(43,992)</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142,493</w:t>
            </w:r>
          </w:p>
        </w:tc>
      </w:tr>
      <w:tr>
        <w:trPr/>
        <w:tc>
          <w:tcPr>
            <w:tcW w:w="29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290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Shareholders’ equity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74,930</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80,015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24,376</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(112,080)</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74,930</w:t>
            </w:r>
          </w:p>
        </w:tc>
      </w:tr>
      <w:tr>
        <w:trPr/>
        <w:tc>
          <w:tcPr>
            <w:tcW w:w="2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4,359</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74,930</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82,827</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24,376</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9,236</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(112,080)</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79,289</w:t>
            </w:r>
          </w:p>
        </w:tc>
      </w:tr>
      <w:tr>
        <w:trPr/>
        <w:tc>
          <w:tcPr>
            <w:tcW w:w="290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r>
      <w:tr>
        <w:trPr/>
        <w:tc>
          <w:tcPr>
            <w:tcW w:w="290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82,576</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238,479</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41,315</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15,484</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(156,072)</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221,782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Selected Condensed Consolidated Balance Sheets Data (US$’000)</w:t>
      </w:r>
    </w:p>
    <w:tbl>
      <w:tblPr>
        <w:tblW w:w="10205" w:type="dxa"/>
        <w:jc w:val="left"/>
        <w:tblInd w:w="0" w:type="dxa"/>
        <w:tblLayout w:type="fixed"/>
        <w:tblCellMar>
          <w:top w:w="0" w:type="dxa"/>
          <w:left w:w="0" w:type="dxa"/>
          <w:bottom w:w="0" w:type="dxa"/>
          <w:right w:w="0" w:type="dxa"/>
        </w:tblCellMar>
      </w:tblPr>
      <w:tblGrid>
        <w:gridCol w:w="2798"/>
        <w:gridCol w:w="326"/>
        <w:gridCol w:w="781"/>
        <w:gridCol w:w="326"/>
        <w:gridCol w:w="961"/>
        <w:gridCol w:w="326"/>
        <w:gridCol w:w="931"/>
        <w:gridCol w:w="326"/>
        <w:gridCol w:w="676"/>
        <w:gridCol w:w="326"/>
        <w:gridCol w:w="1006"/>
        <w:gridCol w:w="326"/>
        <w:gridCol w:w="1096"/>
      </w:tblGrid>
      <w:tr>
        <w:trPr/>
        <w:tc>
          <w:tcPr>
            <w:tcW w:w="2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776730" cy="175260"/>
                      <wp:effectExtent l="0" t="0" r="0" b="0"/>
                      <wp:wrapNone/>
                      <wp:docPr id="24" name="Frame23"/>
                      <a:graphic xmlns:a="http://schemas.openxmlformats.org/drawingml/2006/main">
                        <a:graphicData uri="http://schemas.microsoft.com/office/word/2010/wordprocessingShape">
                          <wps:wsp>
                            <wps:cNvSpPr txBox="1"/>
                            <wps:spPr>
                              <a:xfrm>
                                <a:off x="0" y="0"/>
                                <a:ext cx="177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95935" cy="175260"/>
                      <wp:effectExtent l="0" t="0" r="0" b="0"/>
                      <wp:wrapNone/>
                      <wp:docPr id="26" name="Frame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27"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10235" cy="175260"/>
                      <wp:effectExtent l="0" t="0" r="0" b="0"/>
                      <wp:wrapNone/>
                      <wp:docPr id="28" name="Frame2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91185" cy="175260"/>
                      <wp:effectExtent l="0" t="0" r="0" b="0"/>
                      <wp:wrapNone/>
                      <wp:docPr id="30" name="Frame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29260" cy="175260"/>
                      <wp:effectExtent l="0" t="0" r="0" b="0"/>
                      <wp:wrapNone/>
                      <wp:docPr id="32" name="Frame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33"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38810" cy="175260"/>
                      <wp:effectExtent l="0" t="0" r="0" b="0"/>
                      <wp:wrapNone/>
                      <wp:docPr id="34" name="Frame3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35"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5960" cy="175260"/>
                      <wp:effectExtent l="0" t="0" r="0" b="0"/>
                      <wp:wrapNone/>
                      <wp:docPr id="36" name="Frame3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8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2021</w:t>
            </w:r>
          </w:p>
        </w:tc>
      </w:tr>
      <w:tr>
        <w:trPr/>
        <w:tc>
          <w:tcPr>
            <w:tcW w:w="27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 as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pPr>
            <w:r>
              <w:rPr/>
              <w:t>​</w:t>
            </w:r>
          </w:p>
        </w:tc>
      </w:tr>
      <w:tr>
        <w:trPr/>
        <w:tc>
          <w:tcPr>
            <w:tcW w:w="27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7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Parent</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Entities</w:t>
            </w:r>
          </w:p>
        </w:tc>
        <w:tc>
          <w:tcPr>
            <w:tcW w:w="3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41,443</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11,128</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3,657</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32,489</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36,146</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7,771</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due from an equity investee</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279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Amounts due from Group companies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23,171</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5,879</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(41,234)</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181,107</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2,568</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3,586</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187,261</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5,575</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media costs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36,709</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8,339</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24,957</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an equity investee</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r>
      <w:tr>
        <w:trPr/>
        <w:tc>
          <w:tcPr>
            <w:tcW w:w="279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Investments in subsidiaries, VIE and VIE’s subsidiaries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285,824</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5,797</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(324,206)</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investments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12,114</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53,350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53,713</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80,058</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81,674</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291,937</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519,961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44,891</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16,385</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(365,440)</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507,734</w:t>
            </w:r>
          </w:p>
        </w:tc>
      </w:tr>
      <w:tr>
        <w:trPr/>
        <w:tc>
          <w:tcPr>
            <w:tcW w:w="27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63,404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66,587</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22,802</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7,126</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20,442</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29,735</w:t>
            </w:r>
          </w:p>
        </w:tc>
      </w:tr>
      <w:tr>
        <w:trPr/>
        <w:tc>
          <w:tcPr>
            <w:tcW w:w="279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Amounts due to Group companies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10,088</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(41,234)</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3,172</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borrowing</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73,641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75,530</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4,050</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13,378</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7,585</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228,627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12,306</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8,861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(41,234)</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216,145</w:t>
            </w:r>
          </w:p>
        </w:tc>
      </w:tr>
      <w:tr>
        <w:trPr/>
        <w:tc>
          <w:tcPr>
            <w:tcW w:w="27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279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Shareholders’ equity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284,352</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285,824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32,585</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5,797</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(324,206)</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284,352</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7,237</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284,352</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291,334</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32,585</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7,524</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(324,206)</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291,589</w:t>
            </w:r>
          </w:p>
        </w:tc>
      </w:tr>
      <w:tr>
        <w:trPr/>
        <w:tc>
          <w:tcPr>
            <w:tcW w:w="279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291,937</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519,961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44,891</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16,385</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(365,440)</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507,734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Selected Condensed Consolidated Balance Sheets Data (US$’000) (Continued)</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98"/>
        <w:gridCol w:w="326"/>
        <w:gridCol w:w="781"/>
        <w:gridCol w:w="326"/>
        <w:gridCol w:w="961"/>
        <w:gridCol w:w="326"/>
        <w:gridCol w:w="931"/>
        <w:gridCol w:w="326"/>
        <w:gridCol w:w="676"/>
        <w:gridCol w:w="326"/>
        <w:gridCol w:w="1006"/>
        <w:gridCol w:w="326"/>
        <w:gridCol w:w="1096"/>
      </w:tblGrid>
      <w:tr>
        <w:trPr/>
        <w:tc>
          <w:tcPr>
            <w:tcW w:w="2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776730" cy="175260"/>
                      <wp:effectExtent l="0" t="0" r="0" b="0"/>
                      <wp:wrapNone/>
                      <wp:docPr id="37" name="Frame36"/>
                      <a:graphic xmlns:a="http://schemas.openxmlformats.org/drawingml/2006/main">
                        <a:graphicData uri="http://schemas.microsoft.com/office/word/2010/wordprocessingShape">
                          <wps:wsp>
                            <wps:cNvSpPr txBox="1"/>
                            <wps:spPr>
                              <a:xfrm>
                                <a:off x="0" y="0"/>
                                <a:ext cx="177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5935" cy="175260"/>
                      <wp:effectExtent l="0" t="0" r="0" b="0"/>
                      <wp:wrapNone/>
                      <wp:docPr id="39" name="Frame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10235" cy="175260"/>
                      <wp:effectExtent l="0" t="0" r="0" b="0"/>
                      <wp:wrapNone/>
                      <wp:docPr id="41" name="Frame4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2"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91185" cy="175260"/>
                      <wp:effectExtent l="0" t="0" r="0" b="0"/>
                      <wp:wrapNone/>
                      <wp:docPr id="43" name="Frame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29260" cy="175260"/>
                      <wp:effectExtent l="0" t="0" r="0" b="0"/>
                      <wp:wrapNone/>
                      <wp:docPr id="45" name="Frame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38810" cy="175260"/>
                      <wp:effectExtent l="0" t="0" r="0" b="0"/>
                      <wp:wrapNone/>
                      <wp:docPr id="47" name="Frame4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5960" cy="175260"/>
                      <wp:effectExtent l="0" t="0" r="0" b="0"/>
                      <wp:wrapNone/>
                      <wp:docPr id="49" name="Frame4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08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2020</w:t>
            </w:r>
          </w:p>
        </w:tc>
      </w:tr>
      <w:tr>
        <w:trPr/>
        <w:tc>
          <w:tcPr>
            <w:tcW w:w="27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WFOE as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center"/>
              <w:rPr/>
            </w:pPr>
            <w:r>
              <w:rPr/>
              <w:t>​</w:t>
            </w:r>
          </w:p>
        </w:tc>
      </w:tr>
      <w:tr>
        <w:trPr/>
        <w:tc>
          <w:tcPr>
            <w:tcW w:w="27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VIE</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7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Parent</w:t>
            </w:r>
          </w:p>
        </w:tc>
        <w:tc>
          <w:tcPr>
            <w:tcW w:w="32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Entities</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  </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40,273</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9,444</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2,113</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52,232</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5,266</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36,879</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42,145</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23,172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23,720</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due from an equity investee</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279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Amounts due from Group companies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23,295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12,571</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6,643</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(42,509)</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31,022</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110,400</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143,142</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Rebates receivable</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10,964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10,964</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media costs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25,470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7,471</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34,528</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14,138</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 an equity investee</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279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Investments in subsidiaries and VIE entities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278,874</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37,470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8,381</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(324,725)</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Prepayments for long-term investments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2,924</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2,924</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investments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7,129</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8,651</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56,095</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56,431</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74,419</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74,419</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2,809</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3,421</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287,859</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386,013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149,488</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13,989</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(367,234)</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470,115</w:t>
            </w:r>
          </w:p>
        </w:tc>
      </w:tr>
      <w:tr>
        <w:trPr/>
        <w:tc>
          <w:tcPr>
            <w:tcW w:w="279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29,669</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43,140</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27,555</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28,199</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7,627</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5,701</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14,484</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29,331</w:t>
            </w:r>
          </w:p>
        </w:tc>
      </w:tr>
      <w:tr>
        <w:trPr/>
        <w:tc>
          <w:tcPr>
            <w:tcW w:w="2798"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Amounts due to Group companies </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12,571</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28,060</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1,878</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(42,509)</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3,328</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 borrowing</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18,245</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37,338</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56,040</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3,699</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payable</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7,755</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7,755</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14,156</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4,521</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4,896</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15,757</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102,115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109,682</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5,982</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(42,509)</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191,027</w:t>
            </w:r>
          </w:p>
        </w:tc>
      </w:tr>
      <w:tr>
        <w:trPr/>
        <w:tc>
          <w:tcPr>
            <w:tcW w:w="27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2798"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Shareholders’ equity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272,102</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278,874</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39,806</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6,045</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(324,725)</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272,102</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1,962</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6,986</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272,102</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283,898</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39,806</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8,007</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(324,725)</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279,088</w:t>
            </w:r>
          </w:p>
        </w:tc>
      </w:tr>
      <w:tr>
        <w:trPr/>
        <w:tc>
          <w:tcPr>
            <w:tcW w:w="279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287,859</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386,013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149,488</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13,989</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(367,234)</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470,115</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Selected Condensed Consolidated Statements of Operations Data (US$’000)</w:t>
      </w:r>
    </w:p>
    <w:p>
      <w:pPr>
        <w:pStyle w:val="TextBody"/>
        <w:bidi w:val="0"/>
        <w:spacing w:before="0" w:after="240"/>
        <w:ind w:left="0" w:right="0" w:hanging="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2593"/>
        <w:gridCol w:w="326"/>
        <w:gridCol w:w="851"/>
        <w:gridCol w:w="326"/>
        <w:gridCol w:w="1024"/>
        <w:gridCol w:w="326"/>
        <w:gridCol w:w="931"/>
        <w:gridCol w:w="326"/>
        <w:gridCol w:w="746"/>
        <w:gridCol w:w="326"/>
        <w:gridCol w:w="1006"/>
        <w:gridCol w:w="326"/>
        <w:gridCol w:w="1098"/>
      </w:tblGrid>
      <w:tr>
        <w:trPr/>
        <w:tc>
          <w:tcPr>
            <w:tcW w:w="2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646555" cy="175260"/>
                      <wp:effectExtent l="0" t="0" r="0" b="0"/>
                      <wp:wrapNone/>
                      <wp:docPr id="50" name="Frame49"/>
                      <a:graphic xmlns:a="http://schemas.openxmlformats.org/drawingml/2006/main">
                        <a:graphicData uri="http://schemas.microsoft.com/office/word/2010/wordprocessingShape">
                          <wps:wsp>
                            <wps:cNvSpPr txBox="1"/>
                            <wps:spPr>
                              <a:xfrm>
                                <a:off x="0" y="0"/>
                                <a:ext cx="164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40385" cy="175260"/>
                      <wp:effectExtent l="0" t="0" r="0" b="0"/>
                      <wp:wrapNone/>
                      <wp:docPr id="52" name="Frame51"/>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50240" cy="175260"/>
                      <wp:effectExtent l="0" t="0" r="0" b="0"/>
                      <wp:wrapNone/>
                      <wp:docPr id="54" name="Frame53"/>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55"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91185" cy="175260"/>
                      <wp:effectExtent l="0" t="0" r="0" b="0"/>
                      <wp:wrapNone/>
                      <wp:docPr id="56" name="Frame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73710" cy="175260"/>
                      <wp:effectExtent l="0" t="0" r="0" b="0"/>
                      <wp:wrapNone/>
                      <wp:docPr id="58" name="Frame57"/>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38810" cy="175260"/>
                      <wp:effectExtent l="0" t="0" r="0" b="0"/>
                      <wp:wrapNone/>
                      <wp:docPr id="60" name="Frame5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7230" cy="175260"/>
                      <wp:effectExtent l="0" t="0" r="0" b="0"/>
                      <wp:wrapNone/>
                      <wp:docPr id="62" name="Frame61"/>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8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2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 as</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center"/>
              <w:rPr/>
            </w:pPr>
            <w:r>
              <w:rPr/>
              <w:t>​</w:t>
            </w:r>
          </w:p>
        </w:tc>
      </w:tr>
      <w:tr>
        <w:trPr/>
        <w:tc>
          <w:tcPr>
            <w:tcW w:w="2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Parent</w:t>
            </w:r>
          </w:p>
        </w:tc>
        <w:tc>
          <w:tcPr>
            <w:tcW w:w="326" w:type="dxa"/>
            <w:tcBorders/>
            <w:vAlign w:val="center"/>
          </w:tcPr>
          <w:p>
            <w:pPr>
              <w:pStyle w:val="TableContents"/>
              <w:bidi w:val="0"/>
              <w:spacing w:before="0" w:after="0"/>
              <w:ind w:left="0" w:right="0" w:hanging="0"/>
              <w:jc w:val="left"/>
              <w:rPr/>
            </w:pPr>
            <w:r>
              <w:rPr/>
              <w:t>​</w:t>
            </w:r>
          </w:p>
        </w:tc>
        <w:tc>
          <w:tcPr>
            <w:tcW w:w="1024"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Subsidiaries</w:t>
            </w:r>
            <w:r>
              <w:rPr>
                <w:rFonts w:ascii="Times New Roman;Times;serif" w:hAnsi="Times New Roman;Times;serif"/>
                <w:b/>
                <w:sz w:val="12"/>
              </w:rPr>
              <w:t>(8)</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26" w:type="dxa"/>
            <w:tcBorders/>
            <w:vAlign w:val="center"/>
          </w:tcPr>
          <w:p>
            <w:pPr>
              <w:pStyle w:val="TableContents"/>
              <w:bidi w:val="0"/>
              <w:spacing w:before="0" w:after="0"/>
              <w:ind w:left="0" w:right="0" w:hanging="0"/>
              <w:jc w:val="left"/>
              <w:rPr/>
            </w:pPr>
            <w:r>
              <w:rPr/>
              <w:t>​</w:t>
            </w:r>
          </w:p>
        </w:tc>
        <w:tc>
          <w:tcPr>
            <w:tcW w:w="74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Entities</w:t>
            </w:r>
            <w:r>
              <w:rPr>
                <w:rFonts w:ascii="Times New Roman;Times;serif" w:hAnsi="Times New Roman;Times;serif"/>
                <w:b/>
                <w:sz w:val="12"/>
              </w:rPr>
              <w:t>(8)</w:t>
            </w:r>
          </w:p>
        </w:tc>
        <w:tc>
          <w:tcPr>
            <w:tcW w:w="3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2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net revenues</w:t>
            </w:r>
          </w:p>
        </w:tc>
        <w:tc>
          <w:tcPr>
            <w:tcW w:w="326"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138,287</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9,331</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21,462</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169,080</w:t>
            </w:r>
          </w:p>
        </w:tc>
      </w:tr>
      <w:tr>
        <w:trPr/>
        <w:tc>
          <w:tcPr>
            <w:tcW w:w="259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Inter-company net revenues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(6,800)</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w:t>
            </w:r>
          </w:p>
        </w:tc>
      </w:tr>
      <w:tr>
        <w:trPr/>
        <w:tc>
          <w:tcPr>
            <w:tcW w:w="25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26"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pPr>
            <w:r>
              <w:rPr/>
              <w:t>​</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costs</w:t>
            </w:r>
          </w:p>
        </w:tc>
        <w:tc>
          <w:tcPr>
            <w:tcW w:w="326"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(3,566)</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(173,212)</w:t>
            </w:r>
          </w:p>
        </w:tc>
      </w:tr>
      <w:tr>
        <w:trPr/>
        <w:tc>
          <w:tcPr>
            <w:tcW w:w="259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Inter-company costs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(4,446)</w:t>
            </w:r>
          </w:p>
        </w:tc>
        <w:tc>
          <w:tcPr>
            <w:tcW w:w="326" w:type="dxa"/>
            <w:tcBorders/>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6,490</w:t>
            </w:r>
          </w:p>
        </w:tc>
        <w:tc>
          <w:tcPr>
            <w:tcW w:w="326" w:type="dxa"/>
            <w:tcBorders/>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profit/(loss)</w:t>
            </w:r>
          </w:p>
        </w:tc>
        <w:tc>
          <w:tcPr>
            <w:tcW w:w="326"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w:t>
            </w:r>
          </w:p>
        </w:tc>
      </w:tr>
      <w:tr>
        <w:trPr/>
        <w:tc>
          <w:tcPr>
            <w:tcW w:w="25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pPr>
            <w:r>
              <w:rPr/>
              <w:t>​</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w:t>
            </w:r>
          </w:p>
        </w:tc>
      </w:tr>
      <w:tr>
        <w:trPr/>
        <w:tc>
          <w:tcPr>
            <w:tcW w:w="259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Sales and marketing expenses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(38,347)</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(44,613)</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w:t>
            </w:r>
          </w:p>
        </w:tc>
        <w:tc>
          <w:tcPr>
            <w:tcW w:w="326"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(37,594)</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(6,467)</w:t>
            </w:r>
          </w:p>
        </w:tc>
        <w:tc>
          <w:tcPr>
            <w:tcW w:w="326"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(51,668)</w:t>
            </w:r>
          </w:p>
        </w:tc>
      </w:tr>
      <w:tr>
        <w:trPr/>
        <w:tc>
          <w:tcPr>
            <w:tcW w:w="2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(4,201)</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26" w:type="dxa"/>
            <w:tcBorders/>
            <w:shd w:fill="CCEEFF" w:val="clear"/>
            <w:vAlign w:val="center"/>
          </w:tcPr>
          <w:p>
            <w:pPr>
              <w:pStyle w:val="TableContents"/>
              <w:bidi w:val="0"/>
              <w:spacing w:before="0" w:after="0"/>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(78,521)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(80,137)</w:t>
            </w:r>
          </w:p>
        </w:tc>
      </w:tr>
      <w:tr>
        <w:trPr/>
        <w:tc>
          <w:tcPr>
            <w:tcW w:w="25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w:t>
            </w:r>
          </w:p>
        </w:tc>
        <w:tc>
          <w:tcPr>
            <w:tcW w:w="32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(164,565)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(13,230)</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(5,392)</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(190,037)</w:t>
            </w:r>
          </w:p>
        </w:tc>
      </w:tr>
      <w:tr>
        <w:trPr/>
        <w:tc>
          <w:tcPr>
            <w:tcW w:w="259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Share of (losses)/profits of subsidiaries, VIE and VIE’s subsidiaries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(185,431)</w:t>
            </w:r>
          </w:p>
        </w:tc>
        <w:tc>
          <w:tcPr>
            <w:tcW w:w="32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195,860</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w:t>
            </w:r>
          </w:p>
        </w:tc>
      </w:tr>
      <w:tr>
        <w:trPr/>
        <w:tc>
          <w:tcPr>
            <w:tcW w:w="2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costs, net</w:t>
            </w:r>
          </w:p>
        </w:tc>
        <w:tc>
          <w:tcPr>
            <w:tcW w:w="32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(losses)/gains, net</w:t>
            </w:r>
          </w:p>
        </w:tc>
        <w:tc>
          <w:tcPr>
            <w:tcW w:w="326"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(7,925)</w:t>
            </w:r>
          </w:p>
        </w:tc>
        <w:tc>
          <w:tcPr>
            <w:tcW w:w="32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3,126</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(19,165)</w:t>
            </w:r>
          </w:p>
        </w:tc>
      </w:tr>
      <w:tr>
        <w:trPr/>
        <w:tc>
          <w:tcPr>
            <w:tcW w:w="25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(Loss)/profit before share of loss from an equity investee and income tax (expense)/credit</w:t>
            </w:r>
          </w:p>
        </w:tc>
        <w:tc>
          <w:tcPr>
            <w:tcW w:w="32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(200,516)</w:t>
            </w:r>
          </w:p>
        </w:tc>
        <w:tc>
          <w:tcPr>
            <w:tcW w:w="32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(199,517)</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(8,335)</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195,860</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(213,913)</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 from an equity investee</w:t>
            </w:r>
          </w:p>
        </w:tc>
        <w:tc>
          <w:tcPr>
            <w:tcW w:w="326"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2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(expense)/credit</w:t>
            </w:r>
          </w:p>
        </w:tc>
        <w:tc>
          <w:tcPr>
            <w:tcW w:w="326" w:type="dxa"/>
            <w:tcBorders/>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vAlign w:val="center"/>
          </w:tcPr>
          <w:p>
            <w:pPr>
              <w:pStyle w:val="TableContents"/>
              <w:bidi w:val="0"/>
              <w:spacing w:before="0" w:after="0"/>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12,156</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326" w:type="dxa"/>
            <w:tcBorders/>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w:t>
            </w:r>
          </w:p>
        </w:tc>
        <w:tc>
          <w:tcPr>
            <w:tcW w:w="326"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c>
          <w:tcPr>
            <w:tcW w:w="326"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(187,361)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(9,063)</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195,860</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(202,806)</w:t>
            </w:r>
          </w:p>
        </w:tc>
      </w:tr>
      <w:tr>
        <w:trPr/>
        <w:tc>
          <w:tcPr>
            <w:tcW w:w="2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26" w:type="dxa"/>
            <w:tcBorders/>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attributable to iClick Interactive Asia Group Limited’s ordinary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8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c>
          <w:tcPr>
            <w:tcW w:w="326" w:type="dxa"/>
            <w:tcBorders/>
            <w:shd w:fill="CCEEFF" w:val="clear"/>
            <w:vAlign w:val="center"/>
          </w:tcPr>
          <w:p>
            <w:pPr>
              <w:pStyle w:val="TableContents"/>
              <w:bidi w:val="0"/>
              <w:spacing w:before="0" w:after="0"/>
              <w:ind w:left="0" w:right="0" w:hanging="0"/>
              <w:jc w:val="left"/>
              <w:rPr/>
            </w:pPr>
            <w:r>
              <w:rPr/>
              <w:t> </w:t>
            </w:r>
          </w:p>
        </w:tc>
        <w:tc>
          <w:tcPr>
            <w:tcW w:w="10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(185,431)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(9,063)</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195,860</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Selected Condensed Consolidated Statements of Operations Data (US$’000) (Continued)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04"/>
        <w:gridCol w:w="326"/>
        <w:gridCol w:w="746"/>
        <w:gridCol w:w="326"/>
        <w:gridCol w:w="961"/>
        <w:gridCol w:w="326"/>
        <w:gridCol w:w="1088"/>
        <w:gridCol w:w="326"/>
        <w:gridCol w:w="746"/>
        <w:gridCol w:w="326"/>
        <w:gridCol w:w="1006"/>
        <w:gridCol w:w="326"/>
        <w:gridCol w:w="1098"/>
      </w:tblGrid>
      <w:tr>
        <w:trPr/>
        <w:tc>
          <w:tcPr>
            <w:tcW w:w="2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53540" cy="175260"/>
                      <wp:effectExtent l="0" t="0" r="0" b="0"/>
                      <wp:wrapNone/>
                      <wp:docPr id="63" name="Frame62"/>
                      <a:graphic xmlns:a="http://schemas.openxmlformats.org/drawingml/2006/main">
                        <a:graphicData uri="http://schemas.microsoft.com/office/word/2010/wordprocessingShape">
                          <wps:wsp>
                            <wps:cNvSpPr txBox="1"/>
                            <wps:spPr>
                              <a:xfrm>
                                <a:off x="0" y="0"/>
                                <a:ext cx="165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73710" cy="175260"/>
                      <wp:effectExtent l="0" t="0" r="0" b="0"/>
                      <wp:wrapNone/>
                      <wp:docPr id="65" name="Frame64"/>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10235" cy="175260"/>
                      <wp:effectExtent l="0" t="0" r="0" b="0"/>
                      <wp:wrapNone/>
                      <wp:docPr id="67" name="Frame6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0880" cy="175260"/>
                      <wp:effectExtent l="0" t="0" r="0" b="0"/>
                      <wp:wrapNone/>
                      <wp:docPr id="69" name="Frame68"/>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0"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73710" cy="175260"/>
                      <wp:effectExtent l="0" t="0" r="0" b="0"/>
                      <wp:wrapNone/>
                      <wp:docPr id="71" name="Frame70"/>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38810" cy="175260"/>
                      <wp:effectExtent l="0" t="0" r="0" b="0"/>
                      <wp:wrapNone/>
                      <wp:docPr id="73" name="Frame7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7230" cy="175260"/>
                      <wp:effectExtent l="0" t="0" r="0" b="0"/>
                      <wp:wrapNone/>
                      <wp:docPr id="75" name="Frame74"/>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7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2021</w:t>
            </w:r>
          </w:p>
        </w:tc>
      </w:tr>
      <w:tr>
        <w:trPr/>
        <w:tc>
          <w:tcPr>
            <w:tcW w:w="26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8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 as</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center"/>
              <w:rPr/>
            </w:pPr>
            <w:r>
              <w:rPr/>
              <w:t>​</w:t>
            </w:r>
          </w:p>
        </w:tc>
      </w:tr>
      <w:tr>
        <w:trPr/>
        <w:tc>
          <w:tcPr>
            <w:tcW w:w="26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6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Parent</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w:t>
            </w:r>
          </w:p>
        </w:tc>
        <w:tc>
          <w:tcPr>
            <w:tcW w:w="1088"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Beneficiary </w:t>
            </w:r>
            <w:r>
              <w:rPr>
                <w:rFonts w:ascii="Times New Roman;Times;serif" w:hAnsi="Times New Roman;Times;serif"/>
                <w:b/>
                <w:sz w:val="12"/>
              </w:rPr>
              <w:t>(7)</w:t>
            </w:r>
          </w:p>
        </w:tc>
        <w:tc>
          <w:tcPr>
            <w:tcW w:w="326" w:type="dxa"/>
            <w:tcBorders/>
            <w:vAlign w:val="center"/>
          </w:tcPr>
          <w:p>
            <w:pPr>
              <w:pStyle w:val="TableContents"/>
              <w:bidi w:val="0"/>
              <w:spacing w:before="0" w:after="0"/>
              <w:ind w:left="0" w:right="0" w:hanging="0"/>
              <w:jc w:val="left"/>
              <w:rPr/>
            </w:pPr>
            <w:r>
              <w:rPr/>
              <w:t>​</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Entities</w:t>
            </w:r>
          </w:p>
        </w:tc>
        <w:tc>
          <w:tcPr>
            <w:tcW w:w="3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26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2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net revenues</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278,881</w:t>
            </w:r>
          </w:p>
        </w:tc>
        <w:tc>
          <w:tcPr>
            <w:tcW w:w="326" w:type="dxa"/>
            <w:tcBorders/>
            <w:vAlign w:val="center"/>
          </w:tcPr>
          <w:p>
            <w:pPr>
              <w:pStyle w:val="TableContents"/>
              <w:bidi w:val="0"/>
              <w:spacing w:before="0" w:after="0"/>
              <w:ind w:left="0" w:right="0" w:hanging="0"/>
              <w:jc w:val="left"/>
              <w:rPr/>
            </w:pPr>
            <w:r>
              <w:rPr/>
              <w:t> </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5,984</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22,837</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307,702</w:t>
            </w:r>
          </w:p>
        </w:tc>
      </w:tr>
      <w:tr>
        <w:trPr/>
        <w:tc>
          <w:tcPr>
            <w:tcW w:w="2604"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Inter-company net revenues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w:t>
            </w:r>
          </w:p>
        </w:tc>
        <w:tc>
          <w:tcPr>
            <w:tcW w:w="326"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22,183</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(25,915)</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w:t>
            </w:r>
          </w:p>
        </w:tc>
      </w:tr>
      <w:tr>
        <w:trPr/>
        <w:tc>
          <w:tcPr>
            <w:tcW w:w="260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pPr>
            <w:r>
              <w:rPr/>
              <w:t>  </w:t>
            </w:r>
          </w:p>
        </w:tc>
      </w:tr>
      <w:tr>
        <w:trPr/>
        <w:tc>
          <w:tcPr>
            <w:tcW w:w="2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costs</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(177,282)</w:t>
            </w:r>
          </w:p>
        </w:tc>
        <w:tc>
          <w:tcPr>
            <w:tcW w:w="326"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(22,885)</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(18,382)</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(218,549)</w:t>
            </w:r>
          </w:p>
        </w:tc>
      </w:tr>
      <w:tr>
        <w:trPr/>
        <w:tc>
          <w:tcPr>
            <w:tcW w:w="2604"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Inter-company costs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(23,074)</w:t>
            </w:r>
          </w:p>
        </w:tc>
        <w:tc>
          <w:tcPr>
            <w:tcW w:w="326" w:type="dxa"/>
            <w:tcBorders/>
            <w:vAlign w:val="center"/>
          </w:tcPr>
          <w:p>
            <w:pPr>
              <w:pStyle w:val="TableContents"/>
              <w:bidi w:val="0"/>
              <w:spacing w:before="0" w:after="0"/>
              <w:ind w:left="0" w:right="0" w:hanging="0"/>
              <w:jc w:val="left"/>
              <w:rPr/>
            </w:pPr>
            <w:r>
              <w:rPr/>
              <w:t> </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(2,675)</w:t>
            </w:r>
          </w:p>
        </w:tc>
        <w:tc>
          <w:tcPr>
            <w:tcW w:w="326" w:type="dxa"/>
            <w:tcBorders/>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25,798</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6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81,229</w:t>
            </w:r>
          </w:p>
        </w:tc>
        <w:tc>
          <w:tcPr>
            <w:tcW w:w="326"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89,153</w:t>
            </w:r>
          </w:p>
        </w:tc>
      </w:tr>
      <w:tr>
        <w:trPr/>
        <w:tc>
          <w:tcPr>
            <w:tcW w:w="260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pPr>
            <w:r>
              <w:rPr/>
              <w:t>  </w:t>
            </w:r>
          </w:p>
        </w:tc>
      </w:tr>
      <w:tr>
        <w:trPr/>
        <w:tc>
          <w:tcPr>
            <w:tcW w:w="2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(8,037)</w:t>
            </w:r>
          </w:p>
        </w:tc>
        <w:tc>
          <w:tcPr>
            <w:tcW w:w="326"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w:t>
            </w:r>
          </w:p>
        </w:tc>
      </w:tr>
      <w:tr>
        <w:trPr/>
        <w:tc>
          <w:tcPr>
            <w:tcW w:w="2604"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Sales and marketing expenses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(45,788)</w:t>
            </w:r>
          </w:p>
        </w:tc>
        <w:tc>
          <w:tcPr>
            <w:tcW w:w="326" w:type="dxa"/>
            <w:tcBorders/>
            <w:vAlign w:val="center"/>
          </w:tcPr>
          <w:p>
            <w:pPr>
              <w:pStyle w:val="TableContents"/>
              <w:bidi w:val="0"/>
              <w:spacing w:before="0" w:after="0"/>
              <w:ind w:left="0" w:right="0" w:hanging="0"/>
              <w:jc w:val="left"/>
              <w:rPr/>
            </w:pPr>
            <w:r>
              <w:rPr/>
              <w:t> </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(4,990)</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(52,872)</w:t>
            </w:r>
          </w:p>
        </w:tc>
      </w:tr>
      <w:tr>
        <w:trPr/>
        <w:tc>
          <w:tcPr>
            <w:tcW w:w="2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(17,574)</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(17,245)</w:t>
            </w:r>
          </w:p>
        </w:tc>
        <w:tc>
          <w:tcPr>
            <w:tcW w:w="326" w:type="dxa"/>
            <w:tcBorders/>
            <w:shd w:fill="CCEEFF" w:val="clear"/>
            <w:vAlign w:val="center"/>
          </w:tcPr>
          <w:p>
            <w:pPr>
              <w:pStyle w:val="TableContents"/>
              <w:bidi w:val="0"/>
              <w:spacing w:before="0" w:after="0"/>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(4,238)</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(39,643)</w:t>
            </w:r>
          </w:p>
        </w:tc>
      </w:tr>
      <w:tr>
        <w:trPr/>
        <w:tc>
          <w:tcPr>
            <w:tcW w:w="260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(17,574)</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(71,070)</w:t>
            </w:r>
          </w:p>
        </w:tc>
        <w:tc>
          <w:tcPr>
            <w:tcW w:w="326" w:type="dxa"/>
            <w:tcBorders/>
            <w:vAlign w:val="center"/>
          </w:tcPr>
          <w:p>
            <w:pPr>
              <w:pStyle w:val="TableContents"/>
              <w:bidi w:val="0"/>
              <w:spacing w:before="0" w:after="0"/>
              <w:ind w:left="0" w:right="0" w:hanging="0"/>
              <w:jc w:val="left"/>
              <w:rPr/>
            </w:pPr>
            <w:r>
              <w:rPr/>
              <w:t> </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(6,879)</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(6,636)</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(102,042)</w:t>
            </w:r>
          </w:p>
        </w:tc>
      </w:tr>
      <w:tr>
        <w:trPr/>
        <w:tc>
          <w:tcPr>
            <w:tcW w:w="2604"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Share of profits/(losses) of subsidiaries, VIE and VIE’s subsidiaries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w:t>
            </w:r>
          </w:p>
        </w:tc>
        <w:tc>
          <w:tcPr>
            <w:tcW w:w="326"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w:t>
            </w:r>
          </w:p>
        </w:tc>
      </w:tr>
      <w:tr>
        <w:trPr/>
        <w:tc>
          <w:tcPr>
            <w:tcW w:w="2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costs, net</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w:t>
            </w:r>
          </w:p>
        </w:tc>
        <w:tc>
          <w:tcPr>
            <w:tcW w:w="326" w:type="dxa"/>
            <w:tcBorders/>
            <w:vAlign w:val="center"/>
          </w:tcPr>
          <w:p>
            <w:pPr>
              <w:pStyle w:val="TableContents"/>
              <w:bidi w:val="0"/>
              <w:spacing w:before="0" w:after="0"/>
              <w:ind w:left="0" w:right="0" w:hanging="0"/>
              <w:jc w:val="left"/>
              <w:rPr/>
            </w:pPr>
            <w:r>
              <w:rPr/>
              <w:t> </w:t>
            </w:r>
          </w:p>
        </w:tc>
        <w:tc>
          <w:tcPr>
            <w:tcW w:w="10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w:t>
            </w:r>
          </w:p>
        </w:tc>
      </w:tr>
      <w:tr>
        <w:trPr/>
        <w:tc>
          <w:tcPr>
            <w:tcW w:w="2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(losses)/gains, net</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26" w:type="dxa"/>
            <w:tcBorders/>
            <w:shd w:fill="CCEEFF" w:val="clear"/>
            <w:vAlign w:val="center"/>
          </w:tcPr>
          <w:p>
            <w:pPr>
              <w:pStyle w:val="TableContents"/>
              <w:bidi w:val="0"/>
              <w:spacing w:before="0" w:after="0"/>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2,533</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r>
      <w:tr>
        <w:trPr/>
        <w:tc>
          <w:tcPr>
            <w:tcW w:w="260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(Loss)/profit before share of loss from an equity investee and income tax (expense)/credit</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(13,410)</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4,256</w:t>
            </w:r>
          </w:p>
        </w:tc>
        <w:tc>
          <w:tcPr>
            <w:tcW w:w="326" w:type="dxa"/>
            <w:tcBorders/>
            <w:vAlign w:val="center"/>
          </w:tcPr>
          <w:p>
            <w:pPr>
              <w:pStyle w:val="TableContents"/>
              <w:bidi w:val="0"/>
              <w:spacing w:before="0" w:after="0"/>
              <w:ind w:left="0" w:right="0" w:hanging="0"/>
              <w:jc w:val="left"/>
              <w:rPr/>
            </w:pPr>
            <w:r>
              <w:rPr/>
              <w:t> </w:t>
            </w:r>
          </w:p>
        </w:tc>
        <w:tc>
          <w:tcPr>
            <w:tcW w:w="108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(2,349)</w:t>
            </w:r>
          </w:p>
        </w:tc>
        <w:tc>
          <w:tcPr>
            <w:tcW w:w="32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(814)</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(1,634)</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(13,951)</w:t>
            </w:r>
          </w:p>
        </w:tc>
      </w:tr>
      <w:tr>
        <w:trPr/>
        <w:tc>
          <w:tcPr>
            <w:tcW w:w="2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 from an equity investee</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2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(expense)/credit</w:t>
            </w:r>
          </w:p>
        </w:tc>
        <w:tc>
          <w:tcPr>
            <w:tcW w:w="326" w:type="dxa"/>
            <w:tcBorders/>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w:t>
            </w:r>
          </w:p>
        </w:tc>
        <w:tc>
          <w:tcPr>
            <w:tcW w:w="326" w:type="dxa"/>
            <w:tcBorders/>
            <w:vAlign w:val="center"/>
          </w:tcPr>
          <w:p>
            <w:pPr>
              <w:pStyle w:val="TableContents"/>
              <w:bidi w:val="0"/>
              <w:spacing w:before="0" w:after="0"/>
              <w:ind w:left="0" w:right="0" w:hanging="0"/>
              <w:jc w:val="left"/>
              <w:rPr/>
            </w:pPr>
            <w:r>
              <w:rPr/>
              <w:t> </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r>
      <w:tr>
        <w:trPr/>
        <w:tc>
          <w:tcPr>
            <w:tcW w:w="26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(13,631)</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1,729</w:t>
            </w:r>
          </w:p>
        </w:tc>
        <w:tc>
          <w:tcPr>
            <w:tcW w:w="326" w:type="dxa"/>
            <w:tcBorders/>
            <w:shd w:fill="CCEEFF" w:val="clear"/>
            <w:vAlign w:val="center"/>
          </w:tcPr>
          <w:p>
            <w:pPr>
              <w:pStyle w:val="TableContents"/>
              <w:bidi w:val="0"/>
              <w:spacing w:before="0" w:after="0"/>
              <w:ind w:left="0" w:right="0" w:hanging="0"/>
              <w:jc w:val="left"/>
              <w:rPr/>
            </w:pPr>
            <w:r>
              <w:rPr/>
              <w:t> </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(2,162)</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(1,634)</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(16,598)</w:t>
            </w:r>
          </w:p>
        </w:tc>
      </w:tr>
      <w:tr>
        <w:trPr/>
        <w:tc>
          <w:tcPr>
            <w:tcW w:w="2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26" w:type="dxa"/>
            <w:tcBorders/>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2,677</w:t>
            </w:r>
          </w:p>
        </w:tc>
        <w:tc>
          <w:tcPr>
            <w:tcW w:w="326" w:type="dxa"/>
            <w:tcBorders/>
            <w:vAlign w:val="center"/>
          </w:tcPr>
          <w:p>
            <w:pPr>
              <w:pStyle w:val="TableContents"/>
              <w:bidi w:val="0"/>
              <w:spacing w:before="0" w:after="0"/>
              <w:ind w:left="0" w:right="0" w:hanging="0"/>
              <w:jc w:val="left"/>
              <w:rPr/>
            </w:pPr>
            <w:r>
              <w:rPr/>
              <w:t> </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r>
      <w:tr>
        <w:trPr/>
        <w:tc>
          <w:tcPr>
            <w:tcW w:w="26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attributable to iClick Interactive Asia Group Limited’s ordinary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(13,631)</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4,406</w:t>
            </w:r>
          </w:p>
        </w:tc>
        <w:tc>
          <w:tcPr>
            <w:tcW w:w="326" w:type="dxa"/>
            <w:tcBorders/>
            <w:shd w:fill="CCEEFF" w:val="clear"/>
            <w:vAlign w:val="center"/>
          </w:tcPr>
          <w:p>
            <w:pPr>
              <w:pStyle w:val="TableContents"/>
              <w:bidi w:val="0"/>
              <w:spacing w:before="0" w:after="0"/>
              <w:ind w:left="0" w:right="0" w:hanging="0"/>
              <w:jc w:val="left"/>
              <w:rPr/>
            </w:pPr>
            <w:r>
              <w:rPr/>
              <w:t> </w:t>
            </w:r>
          </w:p>
        </w:tc>
        <w:tc>
          <w:tcPr>
            <w:tcW w:w="10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(2,162)</w:t>
            </w:r>
          </w:p>
        </w:tc>
        <w:tc>
          <w:tcPr>
            <w:tcW w:w="326" w:type="dxa"/>
            <w:tcBorders/>
            <w:shd w:fill="CCEEFF" w:val="clear"/>
            <w:vAlign w:val="center"/>
          </w:tcPr>
          <w:p>
            <w:pPr>
              <w:pStyle w:val="TableContents"/>
              <w:bidi w:val="0"/>
              <w:spacing w:before="0" w:after="0"/>
              <w:ind w:left="0" w:right="0" w:hanging="0"/>
              <w:jc w:val="left"/>
              <w:rPr/>
            </w:pPr>
            <w:r>
              <w:rPr/>
              <w:t> </w:t>
            </w:r>
          </w:p>
        </w:tc>
        <w:tc>
          <w:tcPr>
            <w:tcW w:w="7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(1,634)</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(13,631)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759"/>
        <w:gridCol w:w="326"/>
        <w:gridCol w:w="747"/>
        <w:gridCol w:w="326"/>
        <w:gridCol w:w="961"/>
        <w:gridCol w:w="326"/>
        <w:gridCol w:w="931"/>
        <w:gridCol w:w="326"/>
        <w:gridCol w:w="747"/>
        <w:gridCol w:w="326"/>
        <w:gridCol w:w="1006"/>
        <w:gridCol w:w="326"/>
        <w:gridCol w:w="1098"/>
      </w:tblGrid>
      <w:tr>
        <w:trPr/>
        <w:tc>
          <w:tcPr>
            <w:tcW w:w="2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751965" cy="175260"/>
                      <wp:effectExtent l="0" t="0" r="0" b="0"/>
                      <wp:wrapNone/>
                      <wp:docPr id="76" name="Frame75"/>
                      <a:graphic xmlns:a="http://schemas.openxmlformats.org/drawingml/2006/main">
                        <a:graphicData uri="http://schemas.microsoft.com/office/word/2010/wordprocessingShape">
                          <wps:wsp>
                            <wps:cNvSpPr txBox="1"/>
                            <wps:spPr>
                              <a:xfrm>
                                <a:off x="0" y="0"/>
                                <a:ext cx="175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77"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74345" cy="175260"/>
                      <wp:effectExtent l="0" t="0" r="0" b="0"/>
                      <wp:wrapNone/>
                      <wp:docPr id="78" name="Frame77"/>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10235" cy="175260"/>
                      <wp:effectExtent l="0" t="0" r="0" b="0"/>
                      <wp:wrapNone/>
                      <wp:docPr id="80" name="Frame7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91185" cy="175260"/>
                      <wp:effectExtent l="0" t="0" r="0" b="0"/>
                      <wp:wrapNone/>
                      <wp:docPr id="82" name="Frame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74345" cy="175260"/>
                      <wp:effectExtent l="0" t="0" r="0" b="0"/>
                      <wp:wrapNone/>
                      <wp:docPr id="84" name="Frame83"/>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38810" cy="175260"/>
                      <wp:effectExtent l="0" t="0" r="0" b="0"/>
                      <wp:wrapNone/>
                      <wp:docPr id="86" name="Frame8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7230" cy="175260"/>
                      <wp:effectExtent l="0" t="0" r="0" b="0"/>
                      <wp:wrapNone/>
                      <wp:docPr id="88" name="Frame87"/>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2020</w:t>
            </w:r>
          </w:p>
        </w:tc>
      </w:tr>
      <w:tr>
        <w:trPr/>
        <w:tc>
          <w:tcPr>
            <w:tcW w:w="27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 as</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center"/>
              <w:rPr/>
            </w:pPr>
            <w:r>
              <w:rPr/>
              <w:t>​</w:t>
            </w:r>
          </w:p>
        </w:tc>
      </w:tr>
      <w:tr>
        <w:trPr/>
        <w:tc>
          <w:tcPr>
            <w:tcW w:w="27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7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Parent</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26" w:type="dxa"/>
            <w:tcBorders/>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Entities</w:t>
            </w:r>
          </w:p>
        </w:tc>
        <w:tc>
          <w:tcPr>
            <w:tcW w:w="3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275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275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net revenues</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87,227</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150,177</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254,745</w:t>
            </w:r>
          </w:p>
        </w:tc>
      </w:tr>
      <w:tr>
        <w:trPr/>
        <w:tc>
          <w:tcPr>
            <w:tcW w:w="275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Inter-company net revenues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4,371</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(12,325)</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w:t>
            </w:r>
          </w:p>
        </w:tc>
      </w:tr>
      <w:tr>
        <w:trPr/>
        <w:tc>
          <w:tcPr>
            <w:tcW w:w="275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pPr>
            <w:r>
              <w:rPr/>
              <w:t>  </w:t>
            </w:r>
          </w:p>
        </w:tc>
      </w:tr>
      <w:tr>
        <w:trPr/>
        <w:tc>
          <w:tcPr>
            <w:tcW w:w="27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costs</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(41,841)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(122,603)</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(181,482)</w:t>
            </w:r>
          </w:p>
        </w:tc>
      </w:tr>
      <w:tr>
        <w:trPr/>
        <w:tc>
          <w:tcPr>
            <w:tcW w:w="275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Inter-company costs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(7,954)</w:t>
            </w:r>
          </w:p>
        </w:tc>
        <w:tc>
          <w:tcPr>
            <w:tcW w:w="326" w:type="dxa"/>
            <w:tcBorders/>
            <w:vAlign w:val="center"/>
          </w:tcPr>
          <w:p>
            <w:pPr>
              <w:pStyle w:val="TableContents"/>
              <w:bidi w:val="0"/>
              <w:spacing w:before="0" w:after="0"/>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12,325</w:t>
            </w:r>
          </w:p>
        </w:tc>
        <w:tc>
          <w:tcPr>
            <w:tcW w:w="326" w:type="dxa"/>
            <w:tcBorders/>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75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45,204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23,991</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73,263</w:t>
            </w:r>
          </w:p>
        </w:tc>
      </w:tr>
      <w:tr>
        <w:trPr/>
        <w:tc>
          <w:tcPr>
            <w:tcW w:w="275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pPr>
            <w:r>
              <w:rPr/>
              <w:t>  </w:t>
            </w:r>
          </w:p>
        </w:tc>
      </w:tr>
      <w:tr>
        <w:trPr/>
        <w:tc>
          <w:tcPr>
            <w:tcW w:w="27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w:t>
            </w:r>
          </w:p>
        </w:tc>
      </w:tr>
      <w:tr>
        <w:trPr/>
        <w:tc>
          <w:tcPr>
            <w:tcW w:w="275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Sales and marketing expenses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(28,358)</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(5,103)</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(4,567)</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(38,028)</w:t>
            </w:r>
          </w:p>
        </w:tc>
      </w:tr>
      <w:tr>
        <w:trPr/>
        <w:tc>
          <w:tcPr>
            <w:tcW w:w="27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(13,598)</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(11,875)</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(31,648)</w:t>
            </w:r>
          </w:p>
        </w:tc>
      </w:tr>
      <w:tr>
        <w:trPr/>
        <w:tc>
          <w:tcPr>
            <w:tcW w:w="275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(13,598)</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(36,278)</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(18,893)</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(6,256)</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(75,025)</w:t>
            </w:r>
          </w:p>
        </w:tc>
      </w:tr>
      <w:tr>
        <w:trPr/>
        <w:tc>
          <w:tcPr>
            <w:tcW w:w="275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Share of profits/(losses) of subsidiaries, VIE and VIE’s subsidiaries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17,477</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(17,765)</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w:t>
            </w:r>
          </w:p>
        </w:tc>
      </w:tr>
      <w:tr>
        <w:trPr/>
        <w:tc>
          <w:tcPr>
            <w:tcW w:w="275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income/(costs), net</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r>
      <w:tr>
        <w:trPr/>
        <w:tc>
          <w:tcPr>
            <w:tcW w:w="27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(losses)/gains, net</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5,852</w:t>
            </w:r>
          </w:p>
        </w:tc>
      </w:tr>
      <w:tr>
        <w:trPr/>
        <w:tc>
          <w:tcPr>
            <w:tcW w:w="275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losses on derivative liabilities</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(11,466)</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(11,466)</w:t>
            </w:r>
          </w:p>
        </w:tc>
      </w:tr>
      <w:tr>
        <w:trPr/>
        <w:tc>
          <w:tcPr>
            <w:tcW w:w="27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losses on convertible notes</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w:t>
            </w:r>
          </w:p>
        </w:tc>
      </w:tr>
      <w:tr>
        <w:trPr/>
        <w:tc>
          <w:tcPr>
            <w:tcW w:w="275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(Loss)/profit before share of loss from an equity investee and income tax (expense)/credit</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(12,429)</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18,058</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770</w:t>
            </w:r>
          </w:p>
        </w:tc>
        <w:tc>
          <w:tcPr>
            <w:tcW w:w="326"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(1,796)</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(17,765)</w:t>
            </w:r>
          </w:p>
        </w:tc>
        <w:tc>
          <w:tcPr>
            <w:tcW w:w="32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(13,162)</w:t>
            </w:r>
          </w:p>
        </w:tc>
      </w:tr>
      <w:tr>
        <w:trPr/>
        <w:tc>
          <w:tcPr>
            <w:tcW w:w="27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 from an equity investee</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275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(expense)/credit</w:t>
            </w:r>
          </w:p>
        </w:tc>
        <w:tc>
          <w:tcPr>
            <w:tcW w:w="326" w:type="dxa"/>
            <w:tcBorders/>
            <w:vAlign w:val="center"/>
          </w:tcPr>
          <w:p>
            <w:pPr>
              <w:pStyle w:val="TableContents"/>
              <w:bidi w:val="0"/>
              <w:spacing w:before="0" w:after="0"/>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vAlign w:val="center"/>
          </w:tcPr>
          <w:p>
            <w:pPr>
              <w:pStyle w:val="TableContents"/>
              <w:bidi w:val="0"/>
              <w:spacing w:before="0" w:after="0"/>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r>
      <w:tr>
        <w:trPr/>
        <w:tc>
          <w:tcPr>
            <w:tcW w:w="275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(12,618)</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16,050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1,182</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(1,755)</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(17,765)</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(14,906)</w:t>
            </w:r>
          </w:p>
        </w:tc>
      </w:tr>
      <w:tr>
        <w:trPr/>
        <w:tc>
          <w:tcPr>
            <w:tcW w:w="275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26" w:type="dxa"/>
            <w:tcBorders/>
            <w:vAlign w:val="center"/>
          </w:tcPr>
          <w:p>
            <w:pPr>
              <w:pStyle w:val="TableContents"/>
              <w:bidi w:val="0"/>
              <w:spacing w:before="0" w:after="0"/>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w:t>
            </w:r>
          </w:p>
        </w:tc>
      </w:tr>
      <w:tr>
        <w:trPr/>
        <w:tc>
          <w:tcPr>
            <w:tcW w:w="275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attributable to iClick Interactive Asia Group Limited’s ordinary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(12,618)</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17,477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1,182</w:t>
            </w:r>
          </w:p>
        </w:tc>
        <w:tc>
          <w:tcPr>
            <w:tcW w:w="326" w:type="dxa"/>
            <w:tcBorders/>
            <w:shd w:fill="CCEEFF" w:val="clear"/>
            <w:vAlign w:val="center"/>
          </w:tcPr>
          <w:p>
            <w:pPr>
              <w:pStyle w:val="TableContents"/>
              <w:bidi w:val="0"/>
              <w:spacing w:before="0" w:after="0"/>
              <w:ind w:left="0" w:right="0" w:hanging="0"/>
              <w:jc w:val="left"/>
              <w:rPr/>
            </w:pPr>
            <w:r>
              <w:rPr/>
              <w:t> </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(17,765)</w:t>
            </w:r>
          </w:p>
        </w:tc>
        <w:tc>
          <w:tcPr>
            <w:tcW w:w="326" w:type="dxa"/>
            <w:tcBorders/>
            <w:shd w:fill="CCEEFF" w:val="clear"/>
            <w:vAlign w:val="center"/>
          </w:tcPr>
          <w:p>
            <w:pPr>
              <w:pStyle w:val="TableContents"/>
              <w:bidi w:val="0"/>
              <w:spacing w:before="0" w:after="0"/>
              <w:ind w:left="0" w:right="0" w:hanging="0"/>
              <w:jc w:val="left"/>
              <w:rPr/>
            </w:pPr>
            <w:r>
              <w:rPr/>
              <w:t> </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(12,618)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Selected Condensed Consolidated Cash Flows Data (US$’000)</w:t>
      </w:r>
    </w:p>
    <w:p>
      <w:pPr>
        <w:pStyle w:val="TextBody"/>
        <w:bidi w:val="0"/>
        <w:spacing w:before="0" w:after="24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72"/>
        <w:gridCol w:w="326"/>
        <w:gridCol w:w="767"/>
        <w:gridCol w:w="326"/>
        <w:gridCol w:w="1045"/>
        <w:gridCol w:w="326"/>
        <w:gridCol w:w="931"/>
        <w:gridCol w:w="326"/>
        <w:gridCol w:w="730"/>
        <w:gridCol w:w="326"/>
        <w:gridCol w:w="1006"/>
        <w:gridCol w:w="326"/>
        <w:gridCol w:w="1098"/>
      </w:tblGrid>
      <w:tr>
        <w:trPr/>
        <w:tc>
          <w:tcPr>
            <w:tcW w:w="2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696720" cy="175260"/>
                      <wp:effectExtent l="0" t="0" r="0" b="0"/>
                      <wp:wrapNone/>
                      <wp:docPr id="89" name="Frame88"/>
                      <a:graphic xmlns:a="http://schemas.openxmlformats.org/drawingml/2006/main">
                        <a:graphicData uri="http://schemas.microsoft.com/office/word/2010/wordprocessingShape">
                          <wps:wsp>
                            <wps:cNvSpPr txBox="1"/>
                            <wps:spPr>
                              <a:xfrm>
                                <a:off x="0" y="0"/>
                                <a:ext cx="169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0"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87045" cy="175260"/>
                      <wp:effectExtent l="0" t="0" r="0" b="0"/>
                      <wp:wrapNone/>
                      <wp:docPr id="91" name="Frame90"/>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63575" cy="175260"/>
                      <wp:effectExtent l="0" t="0" r="0" b="0"/>
                      <wp:wrapNone/>
                      <wp:docPr id="93" name="Frame92"/>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94"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91185" cy="175260"/>
                      <wp:effectExtent l="0" t="0" r="0" b="0"/>
                      <wp:wrapNone/>
                      <wp:docPr id="95" name="Frame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96"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63550" cy="175260"/>
                      <wp:effectExtent l="0" t="0" r="0" b="0"/>
                      <wp:wrapNone/>
                      <wp:docPr id="97" name="Frame96"/>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38810" cy="175260"/>
                      <wp:effectExtent l="0" t="0" r="0" b="0"/>
                      <wp:wrapNone/>
                      <wp:docPr id="99" name="Frame9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7230" cy="175260"/>
                      <wp:effectExtent l="0" t="0" r="0" b="0"/>
                      <wp:wrapNone/>
                      <wp:docPr id="101" name="Frame100"/>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0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26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WFOE as</w:t>
            </w:r>
          </w:p>
        </w:tc>
        <w:tc>
          <w:tcPr>
            <w:tcW w:w="32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8" w:type="dxa"/>
            <w:tcBorders/>
            <w:vAlign w:val="center"/>
          </w:tcPr>
          <w:p>
            <w:pPr>
              <w:pStyle w:val="TableContents"/>
              <w:bidi w:val="0"/>
              <w:spacing w:before="0" w:after="1"/>
              <w:ind w:left="0" w:right="0" w:hanging="0"/>
              <w:jc w:val="center"/>
              <w:rPr/>
            </w:pPr>
            <w:r>
              <w:rPr/>
              <w:t>​</w:t>
            </w:r>
          </w:p>
        </w:tc>
      </w:tr>
      <w:tr>
        <w:trPr/>
        <w:tc>
          <w:tcPr>
            <w:tcW w:w="26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VIE</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1"/>
              <w:ind w:left="0" w:right="0" w:hanging="0"/>
              <w:jc w:val="left"/>
              <w:rPr/>
            </w:pPr>
            <w:r>
              <w:rPr/>
              <w:t>​</w:t>
            </w:r>
          </w:p>
        </w:tc>
        <w:tc>
          <w:tcPr>
            <w:tcW w:w="109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6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Parent </w:t>
            </w:r>
            <w:r>
              <w:rPr>
                <w:rFonts w:ascii="Times New Roman;Times;serif" w:hAnsi="Times New Roman;Times;serif"/>
                <w:b/>
                <w:sz w:val="12"/>
              </w:rPr>
              <w:t>(6)</w:t>
            </w:r>
          </w:p>
        </w:tc>
        <w:tc>
          <w:tcPr>
            <w:tcW w:w="326" w:type="dxa"/>
            <w:tcBorders/>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Subsidiaries</w:t>
            </w:r>
            <w:r>
              <w:rPr>
                <w:rFonts w:ascii="Times New Roman;Times;serif" w:hAnsi="Times New Roman;Times;serif"/>
                <w:b/>
                <w:sz w:val="12"/>
              </w:rPr>
              <w:t>(8)</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26" w:type="dxa"/>
            <w:tcBorders/>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Entities</w:t>
            </w:r>
            <w:r>
              <w:rPr>
                <w:rFonts w:ascii="Times New Roman;Times;serif" w:hAnsi="Times New Roman;Times;serif"/>
                <w:b/>
                <w:sz w:val="12"/>
              </w:rPr>
              <w:t>(8)</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1"/>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2672"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Net operating cash received from/(paid to) Group companies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8" w:type="dxa"/>
            <w:tcBorders/>
            <w:shd w:fill="CCEEFF" w:val="clear"/>
            <w:vAlign w:val="center"/>
          </w:tcPr>
          <w:p>
            <w:pPr>
              <w:pStyle w:val="TableContents"/>
              <w:bidi w:val="0"/>
              <w:spacing w:before="0" w:after="1"/>
              <w:ind w:left="0" w:right="0" w:hanging="0"/>
              <w:jc w:val="right"/>
              <w:rPr/>
            </w:pPr>
            <w:r>
              <w:rPr/>
              <w:t>—</w:t>
            </w:r>
          </w:p>
        </w:tc>
      </w:tr>
      <w:tr>
        <w:trPr/>
        <w:tc>
          <w:tcPr>
            <w:tcW w:w="26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cash (paid to)/ received from third parties</w:t>
            </w:r>
          </w:p>
        </w:tc>
        <w:tc>
          <w:tcPr>
            <w:tcW w:w="326" w:type="dxa"/>
            <w:tcBorders/>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(7,754)</w:t>
            </w:r>
          </w:p>
        </w:tc>
        <w:tc>
          <w:tcPr>
            <w:tcW w:w="326" w:type="dxa"/>
            <w:tcBorders/>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82,012</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71,104</w:t>
            </w:r>
          </w:p>
        </w:tc>
      </w:tr>
      <w:tr>
        <w:trPr/>
        <w:tc>
          <w:tcPr>
            <w:tcW w:w="26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provided by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(7,754)</w:t>
            </w:r>
          </w:p>
        </w:tc>
        <w:tc>
          <w:tcPr>
            <w:tcW w:w="326" w:type="dxa"/>
            <w:tcBorders/>
            <w:shd w:fill="CCEEFF" w:val="clear"/>
            <w:vAlign w:val="center"/>
          </w:tcPr>
          <w:p>
            <w:pPr>
              <w:pStyle w:val="TableContents"/>
              <w:bidi w:val="0"/>
              <w:spacing w:before="0" w:after="1"/>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80,981</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(1,149)</w:t>
            </w:r>
          </w:p>
        </w:tc>
        <w:tc>
          <w:tcPr>
            <w:tcW w:w="326" w:type="dxa"/>
            <w:tcBorders/>
            <w:shd w:fill="CCEEFF" w:val="clear"/>
            <w:vAlign w:val="center"/>
          </w:tcPr>
          <w:p>
            <w:pPr>
              <w:pStyle w:val="TableContents"/>
              <w:bidi w:val="0"/>
              <w:spacing w:before="0" w:after="1"/>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(974)</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71,104</w:t>
            </w:r>
          </w:p>
        </w:tc>
      </w:tr>
      <w:tr>
        <w:trPr/>
        <w:tc>
          <w:tcPr>
            <w:tcW w:w="2672"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Refund from subsidiaries of capital contribution </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19,656</w:t>
            </w:r>
          </w:p>
        </w:tc>
        <w:tc>
          <w:tcPr>
            <w:tcW w:w="326"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(19,656)</w:t>
            </w:r>
          </w:p>
        </w:tc>
        <w:tc>
          <w:tcPr>
            <w:tcW w:w="326" w:type="dxa"/>
            <w:tcBorders/>
            <w:vAlign w:val="center"/>
          </w:tcPr>
          <w:p>
            <w:pPr>
              <w:pStyle w:val="TableContents"/>
              <w:bidi w:val="0"/>
              <w:spacing w:before="0" w:after="1"/>
              <w:ind w:left="0" w:right="0" w:hanging="0"/>
              <w:jc w:val="left"/>
              <w:rPr/>
            </w:pPr>
            <w:r>
              <w:rPr/>
              <w:t> </w:t>
            </w:r>
          </w:p>
        </w:tc>
        <w:tc>
          <w:tcPr>
            <w:tcW w:w="1098" w:type="dxa"/>
            <w:tcBorders/>
            <w:vAlign w:val="center"/>
          </w:tcPr>
          <w:p>
            <w:pPr>
              <w:pStyle w:val="TableContents"/>
              <w:bidi w:val="0"/>
              <w:spacing w:before="0" w:after="1"/>
              <w:ind w:left="0" w:right="0" w:hanging="0"/>
              <w:jc w:val="right"/>
              <w:rPr/>
            </w:pPr>
            <w:r>
              <w:rPr/>
              <w:t>—</w:t>
            </w:r>
          </w:p>
        </w:tc>
      </w:tr>
      <w:tr>
        <w:trPr/>
        <w:tc>
          <w:tcPr>
            <w:tcW w:w="2672"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Payments for advances to Group companies </w:t>
            </w:r>
            <w:r>
              <w:rPr>
                <w:rFonts w:ascii="Times New Roman;Times;serif" w:hAnsi="Times New Roman;Times;serif"/>
                <w:sz w:val="15"/>
              </w:rPr>
              <w:t xml:space="preserve">(3) </w:t>
            </w:r>
          </w:p>
        </w:tc>
        <w:tc>
          <w:tcPr>
            <w:tcW w:w="326"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8,222</w:t>
            </w:r>
          </w:p>
        </w:tc>
        <w:tc>
          <w:tcPr>
            <w:tcW w:w="326" w:type="dxa"/>
            <w:tcBorders/>
            <w:shd w:fill="CCEEFF" w:val="clear"/>
            <w:vAlign w:val="center"/>
          </w:tcPr>
          <w:p>
            <w:pPr>
              <w:pStyle w:val="TableContents"/>
              <w:bidi w:val="0"/>
              <w:spacing w:before="0" w:after="1"/>
              <w:ind w:left="0" w:right="0" w:hanging="0"/>
              <w:jc w:val="left"/>
              <w:rPr/>
            </w:pPr>
            <w:r>
              <w:rPr/>
              <w:t> </w:t>
            </w:r>
          </w:p>
        </w:tc>
        <w:tc>
          <w:tcPr>
            <w:tcW w:w="1098" w:type="dxa"/>
            <w:tcBorders/>
            <w:shd w:fill="CCEEFF" w:val="clear"/>
            <w:vAlign w:val="center"/>
          </w:tcPr>
          <w:p>
            <w:pPr>
              <w:pStyle w:val="TableContents"/>
              <w:bidi w:val="0"/>
              <w:spacing w:before="0" w:after="1"/>
              <w:ind w:left="0" w:right="0" w:hanging="0"/>
              <w:jc w:val="right"/>
              <w:rPr/>
            </w:pPr>
            <w:r>
              <w:rPr/>
              <w:t>—</w:t>
            </w:r>
          </w:p>
        </w:tc>
      </w:tr>
      <w:tr>
        <w:trPr/>
        <w:tc>
          <w:tcPr>
            <w:tcW w:w="2672"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Receipts of repayments of advances from Group companies </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6,307</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(6,307)</w:t>
            </w:r>
          </w:p>
        </w:tc>
        <w:tc>
          <w:tcPr>
            <w:tcW w:w="326" w:type="dxa"/>
            <w:tcBorders/>
            <w:vAlign w:val="center"/>
          </w:tcPr>
          <w:p>
            <w:pPr>
              <w:pStyle w:val="TableContents"/>
              <w:bidi w:val="0"/>
              <w:spacing w:before="0" w:after="1"/>
              <w:ind w:left="0" w:right="0" w:hanging="0"/>
              <w:jc w:val="left"/>
              <w:rPr/>
            </w:pPr>
            <w:r>
              <w:rPr/>
              <w:t> </w:t>
            </w:r>
          </w:p>
        </w:tc>
        <w:tc>
          <w:tcPr>
            <w:tcW w:w="1098" w:type="dxa"/>
            <w:tcBorders/>
            <w:vAlign w:val="center"/>
          </w:tcPr>
          <w:p>
            <w:pPr>
              <w:pStyle w:val="TableContents"/>
              <w:bidi w:val="0"/>
              <w:spacing w:before="0" w:after="1"/>
              <w:ind w:left="0" w:right="0" w:hanging="0"/>
              <w:jc w:val="right"/>
              <w:rPr/>
            </w:pPr>
            <w:r>
              <w:rPr/>
              <w:t>—</w:t>
            </w:r>
          </w:p>
        </w:tc>
      </w:tr>
      <w:tr>
        <w:trPr/>
        <w:tc>
          <w:tcPr>
            <w:tcW w:w="26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investing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(7,742)</w:t>
            </w:r>
          </w:p>
        </w:tc>
        <w:tc>
          <w:tcPr>
            <w:tcW w:w="326" w:type="dxa"/>
            <w:tcBorders/>
            <w:shd w:fill="CCEEFF" w:val="clear"/>
            <w:vAlign w:val="center"/>
          </w:tcPr>
          <w:p>
            <w:pPr>
              <w:pStyle w:val="TableContents"/>
              <w:bidi w:val="0"/>
              <w:spacing w:before="0" w:after="1"/>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shd w:fill="CCEEFF" w:val="clear"/>
            <w:vAlign w:val="center"/>
          </w:tcPr>
          <w:p>
            <w:pPr>
              <w:pStyle w:val="TableContents"/>
              <w:bidi w:val="0"/>
              <w:spacing w:before="0" w:after="1"/>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(3,977)</w:t>
            </w:r>
          </w:p>
        </w:tc>
      </w:tr>
      <w:tr>
        <w:trPr/>
        <w:tc>
          <w:tcPr>
            <w:tcW w:w="2672"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326" w:type="dxa"/>
            <w:tcBorders/>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11,914</w:t>
            </w:r>
          </w:p>
        </w:tc>
        <w:tc>
          <w:tcPr>
            <w:tcW w:w="326" w:type="dxa"/>
            <w:tcBorders/>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1,467</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383</w:t>
            </w:r>
          </w:p>
        </w:tc>
        <w:tc>
          <w:tcPr>
            <w:tcW w:w="326" w:type="dxa"/>
            <w:tcBorders/>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(17,741)</w:t>
            </w:r>
          </w:p>
        </w:tc>
        <w:tc>
          <w:tcPr>
            <w:tcW w:w="326" w:type="dxa"/>
            <w:tcBorders/>
            <w:vAlign w:val="center"/>
          </w:tcPr>
          <w:p>
            <w:pPr>
              <w:pStyle w:val="TableContents"/>
              <w:bidi w:val="0"/>
              <w:spacing w:before="0" w:after="1"/>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(3,977)</w:t>
            </w:r>
          </w:p>
        </w:tc>
      </w:tr>
      <w:tr>
        <w:trPr/>
        <w:tc>
          <w:tcPr>
            <w:tcW w:w="2672"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Refund of capital contribution to the parent company</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(19,656)</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19,656</w:t>
            </w:r>
          </w:p>
        </w:tc>
        <w:tc>
          <w:tcPr>
            <w:tcW w:w="326" w:type="dxa"/>
            <w:tcBorders/>
            <w:shd w:fill="CCEEFF" w:val="clear"/>
            <w:vAlign w:val="center"/>
          </w:tcPr>
          <w:p>
            <w:pPr>
              <w:pStyle w:val="TableContents"/>
              <w:bidi w:val="0"/>
              <w:spacing w:before="0" w:after="1"/>
              <w:ind w:left="0" w:right="0" w:hanging="0"/>
              <w:jc w:val="left"/>
              <w:rPr/>
            </w:pPr>
            <w:r>
              <w:rPr/>
              <w:t> </w:t>
            </w:r>
          </w:p>
        </w:tc>
        <w:tc>
          <w:tcPr>
            <w:tcW w:w="1098" w:type="dxa"/>
            <w:tcBorders/>
            <w:shd w:fill="CCEEFF" w:val="clear"/>
            <w:vAlign w:val="center"/>
          </w:tcPr>
          <w:p>
            <w:pPr>
              <w:pStyle w:val="TableContents"/>
              <w:bidi w:val="0"/>
              <w:spacing w:before="0" w:after="1"/>
              <w:ind w:left="0" w:right="0" w:hanging="0"/>
              <w:jc w:val="right"/>
              <w:rPr/>
            </w:pPr>
            <w:r>
              <w:rPr/>
              <w:t>—</w:t>
            </w:r>
          </w:p>
        </w:tc>
      </w:tr>
      <w:tr>
        <w:trPr/>
        <w:tc>
          <w:tcPr>
            <w:tcW w:w="2672"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Receipts of advances from Group companies </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8,098</w:t>
            </w:r>
          </w:p>
        </w:tc>
        <w:tc>
          <w:tcPr>
            <w:tcW w:w="326"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(8,222)</w:t>
            </w:r>
          </w:p>
        </w:tc>
        <w:tc>
          <w:tcPr>
            <w:tcW w:w="326" w:type="dxa"/>
            <w:tcBorders/>
            <w:vAlign w:val="center"/>
          </w:tcPr>
          <w:p>
            <w:pPr>
              <w:pStyle w:val="TableContents"/>
              <w:bidi w:val="0"/>
              <w:spacing w:before="0" w:after="1"/>
              <w:ind w:left="0" w:right="0" w:hanging="0"/>
              <w:jc w:val="left"/>
              <w:rPr/>
            </w:pPr>
            <w:r>
              <w:rPr/>
              <w:t> </w:t>
            </w:r>
          </w:p>
        </w:tc>
        <w:tc>
          <w:tcPr>
            <w:tcW w:w="1098" w:type="dxa"/>
            <w:tcBorders/>
            <w:vAlign w:val="center"/>
          </w:tcPr>
          <w:p>
            <w:pPr>
              <w:pStyle w:val="TableContents"/>
              <w:bidi w:val="0"/>
              <w:spacing w:before="0" w:after="1"/>
              <w:ind w:left="0" w:right="0" w:hanging="0"/>
              <w:jc w:val="right"/>
              <w:rPr/>
            </w:pPr>
            <w:r>
              <w:rPr/>
              <w:t>—</w:t>
            </w:r>
          </w:p>
        </w:tc>
      </w:tr>
      <w:tr>
        <w:trPr/>
        <w:tc>
          <w:tcPr>
            <w:tcW w:w="2672"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Repayments for advances from Group companies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(6,307)</w:t>
            </w:r>
          </w:p>
        </w:tc>
        <w:tc>
          <w:tcPr>
            <w:tcW w:w="326"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6,307</w:t>
            </w:r>
          </w:p>
        </w:tc>
        <w:tc>
          <w:tcPr>
            <w:tcW w:w="326" w:type="dxa"/>
            <w:tcBorders/>
            <w:shd w:fill="CCEEFF" w:val="clear"/>
            <w:vAlign w:val="center"/>
          </w:tcPr>
          <w:p>
            <w:pPr>
              <w:pStyle w:val="TableContents"/>
              <w:bidi w:val="0"/>
              <w:spacing w:before="0" w:after="1"/>
              <w:ind w:left="0" w:right="0" w:hanging="0"/>
              <w:jc w:val="left"/>
              <w:rPr/>
            </w:pPr>
            <w:r>
              <w:rPr/>
              <w:t> </w:t>
            </w:r>
          </w:p>
        </w:tc>
        <w:tc>
          <w:tcPr>
            <w:tcW w:w="1098" w:type="dxa"/>
            <w:tcBorders/>
            <w:shd w:fill="CCEEFF" w:val="clear"/>
            <w:vAlign w:val="center"/>
          </w:tcPr>
          <w:p>
            <w:pPr>
              <w:pStyle w:val="TableContents"/>
              <w:bidi w:val="0"/>
              <w:spacing w:before="0" w:after="1"/>
              <w:ind w:left="0" w:right="0" w:hanging="0"/>
              <w:jc w:val="right"/>
              <w:rPr/>
            </w:pPr>
            <w:r>
              <w:rPr/>
              <w:t>—</w:t>
            </w:r>
          </w:p>
        </w:tc>
      </w:tr>
      <w:tr>
        <w:trPr/>
        <w:tc>
          <w:tcPr>
            <w:tcW w:w="267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financing activities</w:t>
            </w:r>
          </w:p>
        </w:tc>
        <w:tc>
          <w:tcPr>
            <w:tcW w:w="326" w:type="dxa"/>
            <w:tcBorders/>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(7,506)</w:t>
            </w:r>
          </w:p>
        </w:tc>
        <w:tc>
          <w:tcPr>
            <w:tcW w:w="326" w:type="dxa"/>
            <w:tcBorders/>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(29,569)</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(37,289)</w:t>
            </w:r>
          </w:p>
        </w:tc>
      </w:tr>
      <w:tr>
        <w:trPr/>
        <w:tc>
          <w:tcPr>
            <w:tcW w:w="26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Net cash (used in) provided by financing activities </w:t>
            </w:r>
          </w:p>
        </w:tc>
        <w:tc>
          <w:tcPr>
            <w:tcW w:w="326" w:type="dxa"/>
            <w:tcBorders/>
            <w:shd w:fill="CCEEFF" w:val="clear"/>
            <w:vAlign w:val="center"/>
          </w:tcPr>
          <w:p>
            <w:pPr>
              <w:pStyle w:val="TableContents"/>
              <w:bidi w:val="0"/>
              <w:spacing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(7,506)</w:t>
            </w:r>
          </w:p>
        </w:tc>
        <w:tc>
          <w:tcPr>
            <w:tcW w:w="326" w:type="dxa"/>
            <w:tcBorders/>
            <w:shd w:fill="CCEEFF" w:val="clear"/>
            <w:vAlign w:val="center"/>
          </w:tcPr>
          <w:p>
            <w:pPr>
              <w:pStyle w:val="TableContents"/>
              <w:bidi w:val="0"/>
              <w:spacing w:before="0" w:after="1"/>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(49,225)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1,791</w:t>
            </w:r>
          </w:p>
        </w:tc>
        <w:tc>
          <w:tcPr>
            <w:tcW w:w="326" w:type="dxa"/>
            <w:tcBorders/>
            <w:shd w:fill="CCEEFF" w:val="clear"/>
            <w:vAlign w:val="center"/>
          </w:tcPr>
          <w:p>
            <w:pPr>
              <w:pStyle w:val="TableContents"/>
              <w:bidi w:val="0"/>
              <w:spacing w:before="0" w:after="1"/>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17,741</w:t>
            </w:r>
          </w:p>
        </w:tc>
        <w:tc>
          <w:tcPr>
            <w:tcW w:w="326" w:type="dxa"/>
            <w:tcBorders/>
            <w:shd w:fill="CCEEFF" w:val="clear"/>
            <w:vAlign w:val="center"/>
          </w:tcPr>
          <w:p>
            <w:pPr>
              <w:pStyle w:val="TableContents"/>
              <w:bidi w:val="0"/>
              <w:spacing w:before="0" w:after="1"/>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(37,289)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Selected Condensed Consolidated Cash Flows Data (US$’000) (Continued)</w:t>
      </w:r>
    </w:p>
    <w:p>
      <w:pPr>
        <w:pStyle w:val="TextBody"/>
        <w:bidi w:val="0"/>
        <w:spacing w:before="0" w:after="24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57"/>
        <w:gridCol w:w="326"/>
        <w:gridCol w:w="767"/>
        <w:gridCol w:w="326"/>
        <w:gridCol w:w="961"/>
        <w:gridCol w:w="326"/>
        <w:gridCol w:w="1097"/>
        <w:gridCol w:w="326"/>
        <w:gridCol w:w="662"/>
        <w:gridCol w:w="326"/>
        <w:gridCol w:w="1006"/>
        <w:gridCol w:w="326"/>
        <w:gridCol w:w="1099"/>
      </w:tblGrid>
      <w:tr>
        <w:trPr/>
        <w:tc>
          <w:tcPr>
            <w:tcW w:w="2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87195" cy="175260"/>
                      <wp:effectExtent l="0" t="0" r="0" b="0"/>
                      <wp:wrapNone/>
                      <wp:docPr id="102" name="Frame101"/>
                      <a:graphic xmlns:a="http://schemas.openxmlformats.org/drawingml/2006/main">
                        <a:graphicData uri="http://schemas.microsoft.com/office/word/2010/wordprocessingShape">
                          <wps:wsp>
                            <wps:cNvSpPr txBox="1"/>
                            <wps:spPr>
                              <a:xfrm>
                                <a:off x="0" y="0"/>
                                <a:ext cx="168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87045" cy="175260"/>
                      <wp:effectExtent l="0" t="0" r="0" b="0"/>
                      <wp:wrapNone/>
                      <wp:docPr id="104" name="Frame103"/>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05"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10235" cy="175260"/>
                      <wp:effectExtent l="0" t="0" r="0" b="0"/>
                      <wp:wrapNone/>
                      <wp:docPr id="106" name="Frame10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07"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6595" cy="175260"/>
                      <wp:effectExtent l="0" t="0" r="0" b="0"/>
                      <wp:wrapNone/>
                      <wp:docPr id="108" name="Frame107"/>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0370" cy="175260"/>
                      <wp:effectExtent l="0" t="0" r="0" b="0"/>
                      <wp:wrapNone/>
                      <wp:docPr id="110" name="Frame109"/>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38810" cy="175260"/>
                      <wp:effectExtent l="0" t="0" r="0" b="0"/>
                      <wp:wrapNone/>
                      <wp:docPr id="112" name="Frame11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7865" cy="175260"/>
                      <wp:effectExtent l="0" t="0" r="0" b="0"/>
                      <wp:wrapNone/>
                      <wp:docPr id="114" name="Frame113"/>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2021</w:t>
            </w:r>
          </w:p>
        </w:tc>
      </w:tr>
      <w:tr>
        <w:trPr/>
        <w:tc>
          <w:tcPr>
            <w:tcW w:w="2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 as</w:t>
            </w:r>
          </w:p>
        </w:tc>
        <w:tc>
          <w:tcPr>
            <w:tcW w:w="326"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center"/>
              <w:rPr/>
            </w:pPr>
            <w:r>
              <w:rPr/>
              <w:t>​</w:t>
            </w:r>
          </w:p>
        </w:tc>
      </w:tr>
      <w:tr>
        <w:trPr/>
        <w:tc>
          <w:tcPr>
            <w:tcW w:w="2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VIE</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Parent </w:t>
            </w:r>
            <w:r>
              <w:rPr>
                <w:rFonts w:ascii="Times New Roman;Times;serif" w:hAnsi="Times New Roman;Times;serif"/>
                <w:b/>
                <w:sz w:val="12"/>
              </w:rPr>
              <w:t>(6)</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Beneficiary </w:t>
            </w:r>
            <w:r>
              <w:rPr>
                <w:rFonts w:ascii="Times New Roman;Times;serif" w:hAnsi="Times New Roman;Times;serif"/>
                <w:b/>
                <w:sz w:val="12"/>
              </w:rPr>
              <w:t>(7)</w:t>
            </w:r>
          </w:p>
        </w:tc>
        <w:tc>
          <w:tcPr>
            <w:tcW w:w="326" w:type="dxa"/>
            <w:tcBorders/>
            <w:vAlign w:val="center"/>
          </w:tcPr>
          <w:p>
            <w:pPr>
              <w:pStyle w:val="TableContents"/>
              <w:bidi w:val="0"/>
              <w:spacing w:before="0" w:after="0"/>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Entities</w:t>
            </w:r>
          </w:p>
        </w:tc>
        <w:tc>
          <w:tcPr>
            <w:tcW w:w="3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2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left"/>
              <w:rPr/>
            </w:pPr>
            <w:r>
              <w:rPr/>
              <w:t>​</w:t>
            </w:r>
          </w:p>
        </w:tc>
      </w:tr>
      <w:tr>
        <w:trPr/>
        <w:tc>
          <w:tcPr>
            <w:tcW w:w="265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Net operating cash (paid to)/received from Group companies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(8,208)</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7,436</w:t>
            </w:r>
          </w:p>
        </w:tc>
        <w:tc>
          <w:tcPr>
            <w:tcW w:w="326" w:type="dxa"/>
            <w:tcBorders/>
            <w:shd w:fill="CCEEFF" w:val="clear"/>
            <w:vAlign w:val="center"/>
          </w:tcPr>
          <w:p>
            <w:pPr>
              <w:pStyle w:val="TableContents"/>
              <w:bidi w:val="0"/>
              <w:spacing w:before="0" w:after="0"/>
              <w:ind w:left="0" w:right="0" w:hanging="0"/>
              <w:jc w:val="left"/>
              <w:rPr/>
            </w:pPr>
            <w:r>
              <w:rPr/>
              <w:t> </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w:t>
            </w:r>
          </w:p>
        </w:tc>
      </w:tr>
      <w:tr>
        <w:trPr/>
        <w:tc>
          <w:tcPr>
            <w:tcW w:w="26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cash (paid to)/received from third Parties</w:t>
            </w:r>
          </w:p>
        </w:tc>
        <w:tc>
          <w:tcPr>
            <w:tcW w:w="32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13,377</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(27,380)</w:t>
            </w:r>
          </w:p>
        </w:tc>
        <w:tc>
          <w:tcPr>
            <w:tcW w:w="326" w:type="dxa"/>
            <w:tcBorders/>
            <w:vAlign w:val="center"/>
          </w:tcPr>
          <w:p>
            <w:pPr>
              <w:pStyle w:val="TableContents"/>
              <w:bidi w:val="0"/>
              <w:spacing w:before="0" w:after="0"/>
              <w:ind w:left="0" w:right="0" w:hanging="0"/>
              <w:jc w:val="left"/>
              <w:rPr/>
            </w:pPr>
            <w:r>
              <w:rPr/>
              <w:t> </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(19,673)</w:t>
            </w:r>
          </w:p>
        </w:tc>
      </w:tr>
      <w:tr>
        <w:trPr/>
        <w:tc>
          <w:tcPr>
            <w:tcW w:w="265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(3,217)</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5,169</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(19,944)</w:t>
            </w:r>
          </w:p>
        </w:tc>
        <w:tc>
          <w:tcPr>
            <w:tcW w:w="326" w:type="dxa"/>
            <w:tcBorders/>
            <w:shd w:fill="CCEEFF" w:val="clear"/>
            <w:vAlign w:val="center"/>
          </w:tcPr>
          <w:p>
            <w:pPr>
              <w:pStyle w:val="TableContents"/>
              <w:bidi w:val="0"/>
              <w:spacing w:before="0" w:after="0"/>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(19,673)</w:t>
            </w:r>
          </w:p>
        </w:tc>
      </w:tr>
      <w:tr>
        <w:trPr/>
        <w:tc>
          <w:tcPr>
            <w:tcW w:w="2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left"/>
              <w:rPr/>
            </w:pPr>
            <w:r>
              <w:rPr/>
              <w:t>​</w:t>
            </w:r>
          </w:p>
        </w:tc>
      </w:tr>
      <w:tr>
        <w:trPr/>
        <w:tc>
          <w:tcPr>
            <w:tcW w:w="265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Capital contribution to subsidiaries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w:t>
            </w:r>
          </w:p>
        </w:tc>
      </w:tr>
      <w:tr>
        <w:trPr/>
        <w:tc>
          <w:tcPr>
            <w:tcW w:w="2657"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Payments for advances to Group companies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(37,898)</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37,898</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pPr>
            <w:r>
              <w:rPr/>
              <w:t>—</w:t>
            </w:r>
          </w:p>
        </w:tc>
      </w:tr>
      <w:tr>
        <w:trPr/>
        <w:tc>
          <w:tcPr>
            <w:tcW w:w="265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Receipts of repayments of advances from Group companies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w:t>
            </w:r>
          </w:p>
        </w:tc>
      </w:tr>
      <w:tr>
        <w:trPr/>
        <w:tc>
          <w:tcPr>
            <w:tcW w:w="26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investing activities</w:t>
            </w:r>
          </w:p>
        </w:tc>
        <w:tc>
          <w:tcPr>
            <w:tcW w:w="32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(4,936)</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(5,364)</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(12,076)</w:t>
            </w:r>
          </w:p>
        </w:tc>
        <w:tc>
          <w:tcPr>
            <w:tcW w:w="326" w:type="dxa"/>
            <w:tcBorders/>
            <w:vAlign w:val="center"/>
          </w:tcPr>
          <w:p>
            <w:pPr>
              <w:pStyle w:val="TableContents"/>
              <w:bidi w:val="0"/>
              <w:spacing w:before="0" w:after="0"/>
              <w:ind w:left="0" w:right="0" w:hanging="0"/>
              <w:jc w:val="left"/>
              <w:rPr/>
            </w:pPr>
            <w:r>
              <w:rPr/>
              <w:t> </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(22,390)</w:t>
            </w:r>
          </w:p>
        </w:tc>
      </w:tr>
      <w:tr>
        <w:trPr/>
        <w:tc>
          <w:tcPr>
            <w:tcW w:w="265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(4,989)</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(38,682)</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(12,076)</w:t>
            </w:r>
          </w:p>
        </w:tc>
        <w:tc>
          <w:tcPr>
            <w:tcW w:w="326" w:type="dxa"/>
            <w:tcBorders/>
            <w:shd w:fill="CCEEFF" w:val="clear"/>
            <w:vAlign w:val="center"/>
          </w:tcPr>
          <w:p>
            <w:pPr>
              <w:pStyle w:val="TableContents"/>
              <w:bidi w:val="0"/>
              <w:spacing w:before="0" w:after="0"/>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33,371</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(22,390)</w:t>
            </w:r>
          </w:p>
        </w:tc>
      </w:tr>
      <w:tr>
        <w:trPr/>
        <w:tc>
          <w:tcPr>
            <w:tcW w:w="2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left"/>
              <w:rPr/>
            </w:pPr>
            <w:r>
              <w:rPr/>
              <w:t>​</w:t>
            </w:r>
          </w:p>
        </w:tc>
      </w:tr>
      <w:tr>
        <w:trPr/>
        <w:tc>
          <w:tcPr>
            <w:tcW w:w="265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Capital contribution from Group companies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w:t>
            </w:r>
          </w:p>
        </w:tc>
      </w:tr>
      <w:tr>
        <w:trPr/>
        <w:tc>
          <w:tcPr>
            <w:tcW w:w="2657"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Receipts of advances from Group companies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36,310</w:t>
            </w:r>
          </w:p>
        </w:tc>
        <w:tc>
          <w:tcPr>
            <w:tcW w:w="326"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(37,898)</w:t>
            </w:r>
          </w:p>
        </w:tc>
        <w:tc>
          <w:tcPr>
            <w:tcW w:w="32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pPr>
            <w:r>
              <w:rPr/>
              <w:t>—</w:t>
            </w:r>
          </w:p>
        </w:tc>
      </w:tr>
      <w:tr>
        <w:trPr/>
        <w:tc>
          <w:tcPr>
            <w:tcW w:w="265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Repayments for advances from Group companies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c>
          <w:tcPr>
            <w:tcW w:w="326" w:type="dxa"/>
            <w:tcBorders/>
            <w:shd w:fill="CCEEFF" w:val="clear"/>
            <w:vAlign w:val="center"/>
          </w:tcPr>
          <w:p>
            <w:pPr>
              <w:pStyle w:val="TableContents"/>
              <w:bidi w:val="0"/>
              <w:spacing w:before="0" w:after="0"/>
              <w:ind w:left="0" w:right="0" w:hanging="0"/>
              <w:jc w:val="left"/>
              <w:rPr/>
            </w:pPr>
            <w:r>
              <w:rPr/>
              <w:t> </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w:t>
            </w:r>
          </w:p>
        </w:tc>
      </w:tr>
      <w:tr>
        <w:trPr/>
        <w:tc>
          <w:tcPr>
            <w:tcW w:w="26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activities</w:t>
            </w:r>
          </w:p>
        </w:tc>
        <w:tc>
          <w:tcPr>
            <w:tcW w:w="32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6,984</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16,598</w:t>
            </w:r>
          </w:p>
        </w:tc>
        <w:tc>
          <w:tcPr>
            <w:tcW w:w="32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24,743</w:t>
            </w:r>
          </w:p>
        </w:tc>
      </w:tr>
      <w:tr>
        <w:trPr/>
        <w:tc>
          <w:tcPr>
            <w:tcW w:w="265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6,984</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16,651</w:t>
            </w:r>
          </w:p>
        </w:tc>
        <w:tc>
          <w:tcPr>
            <w:tcW w:w="32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32,284</w:t>
            </w:r>
          </w:p>
        </w:tc>
        <w:tc>
          <w:tcPr>
            <w:tcW w:w="326" w:type="dxa"/>
            <w:tcBorders/>
            <w:shd w:fill="CCEEFF" w:val="clear"/>
            <w:vAlign w:val="center"/>
          </w:tcPr>
          <w:p>
            <w:pPr>
              <w:pStyle w:val="TableContents"/>
              <w:bidi w:val="0"/>
              <w:spacing w:before="0" w:after="0"/>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2,195</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(33,371)</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24,743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Selected Condensed Consolidated Cash Flows Data (US$’000) (Continued)</w:t>
      </w:r>
    </w:p>
    <w:tbl>
      <w:tblPr>
        <w:tblW w:w="10205" w:type="dxa"/>
        <w:jc w:val="left"/>
        <w:tblInd w:w="0" w:type="dxa"/>
        <w:tblLayout w:type="fixed"/>
        <w:tblCellMar>
          <w:top w:w="0" w:type="dxa"/>
          <w:left w:w="0" w:type="dxa"/>
          <w:bottom w:w="0" w:type="dxa"/>
          <w:right w:w="0" w:type="dxa"/>
        </w:tblCellMar>
      </w:tblPr>
      <w:tblGrid>
        <w:gridCol w:w="1384"/>
        <w:gridCol w:w="326"/>
        <w:gridCol w:w="919"/>
        <w:gridCol w:w="326"/>
        <w:gridCol w:w="1321"/>
        <w:gridCol w:w="326"/>
        <w:gridCol w:w="1126"/>
        <w:gridCol w:w="326"/>
        <w:gridCol w:w="826"/>
        <w:gridCol w:w="326"/>
        <w:gridCol w:w="1291"/>
        <w:gridCol w:w="326"/>
        <w:gridCol w:w="1382"/>
      </w:tblGrid>
      <w:tr>
        <w:trPr/>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878840" cy="175260"/>
                      <wp:effectExtent l="0" t="0" r="0" b="0"/>
                      <wp:wrapNone/>
                      <wp:docPr id="115" name="Frame114"/>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16"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83565" cy="175260"/>
                      <wp:effectExtent l="0" t="0" r="0" b="0"/>
                      <wp:wrapNone/>
                      <wp:docPr id="117" name="Frame116"/>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18"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838835" cy="175260"/>
                      <wp:effectExtent l="0" t="0" r="0" b="0"/>
                      <wp:wrapNone/>
                      <wp:docPr id="119" name="Frame118"/>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0"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15010" cy="175260"/>
                      <wp:effectExtent l="0" t="0" r="0" b="0"/>
                      <wp:wrapNone/>
                      <wp:docPr id="121" name="Frame12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24510" cy="175260"/>
                      <wp:effectExtent l="0" t="0" r="0" b="0"/>
                      <wp:wrapNone/>
                      <wp:docPr id="123" name="Frame1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24"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819785" cy="175260"/>
                      <wp:effectExtent l="0" t="0" r="0" b="0"/>
                      <wp:wrapNone/>
                      <wp:docPr id="125" name="Frame12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26"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877570" cy="175260"/>
                      <wp:effectExtent l="0" t="0" r="0" b="0"/>
                      <wp:wrapNone/>
                      <wp:docPr id="127" name="Frame126"/>
                      <a:graphic xmlns:a="http://schemas.openxmlformats.org/drawingml/2006/main">
                        <a:graphicData uri="http://schemas.microsoft.com/office/word/2010/wordprocessingShape">
                          <wps:wsp>
                            <wps:cNvSpPr txBox="1"/>
                            <wps:spPr>
                              <a:xfrm>
                                <a:off x="0" y="0"/>
                                <a:ext cx="877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9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Bold" w:hAnsi="Times New Roman Bold"/>
                <w:b/>
                <w:sz w:val="16"/>
              </w:rPr>
            </w:pPr>
            <w:r>
              <w:rPr>
                <w:rFonts w:ascii="Times New Roman Bold" w:hAnsi="Times New Roman Bold"/>
                <w:b/>
                <w:sz w:val="16"/>
              </w:rPr>
              <w:t>For the year ended December 31, 2020</w:t>
            </w:r>
          </w:p>
        </w:tc>
      </w:tr>
      <w:tr>
        <w:trPr/>
        <w:tc>
          <w:tcPr>
            <w:tcW w:w="13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 Bold" w:hAnsi="Times New Roman Bold"/>
                <w:b/>
                <w:sz w:val="16"/>
              </w:rPr>
            </w:pPr>
            <w:r>
              <w:rPr>
                <w:rFonts w:ascii="Times New Roman Bold" w:hAnsi="Times New Roman Bold"/>
                <w:b/>
                <w:sz w:val="16"/>
              </w:rPr>
              <w:t>WFOE as</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82" w:type="dxa"/>
            <w:tcBorders/>
            <w:vAlign w:val="center"/>
          </w:tcPr>
          <w:p>
            <w:pPr>
              <w:pStyle w:val="TableContents"/>
              <w:bidi w:val="0"/>
              <w:spacing w:before="0" w:after="0"/>
              <w:ind w:left="0" w:right="0" w:hanging="0"/>
              <w:jc w:val="center"/>
              <w:rPr/>
            </w:pPr>
            <w:r>
              <w:rPr/>
              <w:t>​</w:t>
            </w:r>
          </w:p>
        </w:tc>
      </w:tr>
      <w:tr>
        <w:trPr/>
        <w:tc>
          <w:tcPr>
            <w:tcW w:w="13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 Bold" w:hAnsi="Times New Roman Bold"/>
                <w:b/>
                <w:sz w:val="16"/>
              </w:rPr>
            </w:pPr>
            <w:r>
              <w:rPr>
                <w:rFonts w:ascii="Times New Roman Bold" w:hAnsi="Times New Roman Bold"/>
                <w:b/>
                <w:sz w:val="16"/>
              </w:rPr>
              <w:t>Other</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 Bold" w:hAnsi="Times New Roman Bold"/>
                <w:b/>
                <w:sz w:val="16"/>
              </w:rPr>
            </w:pPr>
            <w:r>
              <w:rPr>
                <w:rFonts w:ascii="Times New Roman Bold" w:hAnsi="Times New Roman Bold"/>
                <w:b/>
                <w:sz w:val="16"/>
              </w:rPr>
              <w:t>Primary</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 Bold" w:hAnsi="Times New Roman Bold"/>
                <w:b/>
                <w:sz w:val="16"/>
              </w:rPr>
            </w:pPr>
            <w:r>
              <w:rPr>
                <w:rFonts w:ascii="Times New Roman Bold" w:hAnsi="Times New Roman Bold"/>
                <w:b/>
                <w:sz w:val="16"/>
              </w:rPr>
              <w:t>VIE</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 Bold" w:hAnsi="Times New Roman Bold"/>
                <w:b/>
                <w:sz w:val="16"/>
              </w:rPr>
            </w:pPr>
            <w:r>
              <w:rPr>
                <w:rFonts w:ascii="Times New Roman Bold" w:hAnsi="Times New Roman Bold"/>
                <w:b/>
                <w:sz w:val="16"/>
              </w:rPr>
              <w:t>Eliminating</w:t>
            </w:r>
          </w:p>
        </w:tc>
        <w:tc>
          <w:tcPr>
            <w:tcW w:w="326" w:type="dxa"/>
            <w:tcBorders/>
            <w:vAlign w:val="center"/>
          </w:tcPr>
          <w:p>
            <w:pPr>
              <w:pStyle w:val="TableContents"/>
              <w:bidi w:val="0"/>
              <w:spacing w:before="0" w:after="0"/>
              <w:ind w:left="0" w:right="0" w:hanging="0"/>
              <w:jc w:val="left"/>
              <w:rPr/>
            </w:pPr>
            <w:r>
              <w:rPr/>
              <w:t>​</w:t>
            </w:r>
          </w:p>
        </w:tc>
        <w:tc>
          <w:tcPr>
            <w:tcW w:w="1382" w:type="dxa"/>
            <w:tcBorders/>
            <w:vAlign w:val="center"/>
          </w:tcPr>
          <w:p>
            <w:pPr>
              <w:pStyle w:val="TableContents"/>
              <w:bidi w:val="0"/>
              <w:spacing w:before="0" w:after="0"/>
              <w:ind w:left="0" w:right="0" w:hanging="0"/>
              <w:jc w:val="center"/>
              <w:rPr>
                <w:rFonts w:ascii="Times New Roman Bold" w:hAnsi="Times New Roman Bold"/>
                <w:b/>
                <w:sz w:val="16"/>
              </w:rPr>
            </w:pPr>
            <w:r>
              <w:rPr>
                <w:rFonts w:ascii="Times New Roman Bold" w:hAnsi="Times New Roman Bold"/>
                <w:b/>
                <w:sz w:val="16"/>
              </w:rPr>
              <w:t>Consolidated</w:t>
            </w:r>
          </w:p>
        </w:tc>
      </w:tr>
      <w:tr>
        <w:trPr/>
        <w:tc>
          <w:tcPr>
            <w:tcW w:w="13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 Bold" w:hAnsi="Times New Roman Bold"/>
                <w:b/>
                <w:sz w:val="16"/>
              </w:rPr>
              <w:t>Parent </w:t>
            </w:r>
            <w:r>
              <w:rPr>
                <w:rFonts w:ascii="Times New Roman Bold" w:hAnsi="Times New Roman Bold"/>
                <w:b/>
                <w:sz w:val="12"/>
              </w:rPr>
              <w:t>(6)</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 Bold" w:hAnsi="Times New Roman Bold"/>
                <w:b/>
                <w:sz w:val="16"/>
              </w:rPr>
              <w:t>Subsidiaries</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Bold" w:hAnsi="Times New Roman Bold"/>
                <w:b/>
                <w:sz w:val="16"/>
              </w:rPr>
            </w:pPr>
            <w:r>
              <w:rPr>
                <w:rFonts w:ascii="Times New Roman Bold" w:hAnsi="Times New Roman Bold"/>
                <w:b/>
                <w:sz w:val="16"/>
              </w:rPr>
              <w:t>Beneficiary</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Bold" w:hAnsi="Times New Roman Bold"/>
                <w:b/>
                <w:sz w:val="16"/>
              </w:rPr>
            </w:pPr>
            <w:r>
              <w:rPr>
                <w:rFonts w:ascii="Times New Roman Bold" w:hAnsi="Times New Roman Bold"/>
                <w:b/>
                <w:sz w:val="16"/>
              </w:rPr>
              <w:t>Entities</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Bold" w:hAnsi="Times New Roman Bold"/>
                <w:b/>
                <w:sz w:val="16"/>
              </w:rPr>
            </w:pPr>
            <w:r>
              <w:rPr>
                <w:rFonts w:ascii="Times New Roman Bold" w:hAnsi="Times New Roman Bold"/>
                <w:b/>
                <w:sz w:val="16"/>
              </w:rPr>
              <w:t>Adjustments</w:t>
            </w:r>
          </w:p>
        </w:tc>
        <w:tc>
          <w:tcPr>
            <w:tcW w:w="326" w:type="dxa"/>
            <w:tcBorders/>
            <w:vAlign w:val="center"/>
          </w:tcPr>
          <w:p>
            <w:pPr>
              <w:pStyle w:val="TableContents"/>
              <w:bidi w:val="0"/>
              <w:spacing w:before="0" w:after="0"/>
              <w:ind w:left="0" w:right="0" w:hanging="0"/>
              <w:jc w:val="left"/>
              <w:rPr/>
            </w:pPr>
            <w:r>
              <w:rPr/>
              <w:t>    </w:t>
            </w:r>
          </w:p>
        </w:tc>
        <w:tc>
          <w:tcPr>
            <w:tcW w:w="13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Bold" w:hAnsi="Times New Roman Bold"/>
                <w:b/>
                <w:sz w:val="16"/>
              </w:rPr>
            </w:pPr>
            <w:r>
              <w:rPr>
                <w:rFonts w:ascii="Times New Roman Bold" w:hAnsi="Times New Roman Bold"/>
                <w:b/>
                <w:sz w:val="16"/>
              </w:rPr>
              <w:t>Totals</w:t>
            </w:r>
          </w:p>
        </w:tc>
      </w:tr>
      <w:tr>
        <w:trPr/>
        <w:tc>
          <w:tcPr>
            <w:tcW w:w="1384"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Net operating cash received from/(paid to) Group companies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3,722</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382" w:type="dxa"/>
            <w:tcBorders/>
            <w:shd w:fill="CCEEFF" w:val="clear"/>
            <w:vAlign w:val="center"/>
          </w:tcPr>
          <w:p>
            <w:pPr>
              <w:pStyle w:val="TableContents"/>
              <w:bidi w:val="0"/>
              <w:spacing w:before="0" w:after="0"/>
              <w:ind w:left="0" w:right="0" w:hanging="0"/>
              <w:jc w:val="right"/>
              <w:rPr/>
            </w:pPr>
            <w:r>
              <w:rPr/>
              <w:t>—</w:t>
            </w:r>
          </w:p>
        </w:tc>
      </w:tr>
      <w:tr>
        <w:trPr/>
        <w:tc>
          <w:tcPr>
            <w:tcW w:w="13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cash (paid to)/received from third parties</w:t>
            </w:r>
          </w:p>
        </w:tc>
        <w:tc>
          <w:tcPr>
            <w:tcW w:w="326" w:type="dxa"/>
            <w:tcBorders/>
            <w:vAlign w:val="center"/>
          </w:tcPr>
          <w:p>
            <w:pPr>
              <w:pStyle w:val="TableContents"/>
              <w:bidi w:val="0"/>
              <w:spacing w:before="0" w:after="0"/>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(3,461)</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(41,547)</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27,485</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3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(19,633)</w:t>
            </w:r>
          </w:p>
        </w:tc>
      </w:tr>
      <w:tr>
        <w:trPr/>
        <w:tc>
          <w:tcPr>
            <w:tcW w:w="1384"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Net cash (used in) provided by operating</w:t>
            </w:r>
            <w:r>
              <w:rPr>
                <w:rFonts w:ascii="Times New Roman;Times;serif" w:hAnsi="Times New Roman;Times;serif"/>
                <w:sz w:val="20"/>
              </w:rPr>
              <w:t xml:space="preserve"> </w:t>
            </w:r>
            <w:r>
              <w:rPr>
                <w:rFonts w:ascii="Times New Roman;Times;serif" w:hAnsi="Times New Roman;Times;serif"/>
                <w:b/>
                <w:sz w:val="20"/>
              </w:rPr>
              <w:t xml:space="preserve">activities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(3,461)</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(37,825)</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21,622</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3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(19,633)</w:t>
            </w:r>
          </w:p>
        </w:tc>
      </w:tr>
      <w:tr>
        <w:trPr/>
        <w:tc>
          <w:tcPr>
            <w:tcW w:w="1384"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Capital contribution to Group companies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(77,655)</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77,655</w:t>
            </w:r>
          </w:p>
        </w:tc>
        <w:tc>
          <w:tcPr>
            <w:tcW w:w="326"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right"/>
              <w:rPr/>
            </w:pPr>
            <w:r>
              <w:rPr/>
              <w:t>—</w:t>
            </w:r>
          </w:p>
        </w:tc>
      </w:tr>
      <w:tr>
        <w:trPr/>
        <w:tc>
          <w:tcPr>
            <w:tcW w:w="1384"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Payments for advances to Group companies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(42,421)</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42,421</w:t>
            </w:r>
          </w:p>
        </w:tc>
        <w:tc>
          <w:tcPr>
            <w:tcW w:w="326" w:type="dxa"/>
            <w:tcBorders/>
            <w:shd w:fill="CCEEFF" w:val="clear"/>
            <w:vAlign w:val="center"/>
          </w:tcPr>
          <w:p>
            <w:pPr>
              <w:pStyle w:val="TableContents"/>
              <w:bidi w:val="0"/>
              <w:spacing w:before="0" w:after="0"/>
              <w:ind w:left="0" w:right="0" w:hanging="0"/>
              <w:jc w:val="left"/>
              <w:rPr/>
            </w:pPr>
            <w:r>
              <w:rPr/>
              <w:t> </w:t>
            </w:r>
          </w:p>
        </w:tc>
        <w:tc>
          <w:tcPr>
            <w:tcW w:w="1382" w:type="dxa"/>
            <w:tcBorders/>
            <w:shd w:fill="CCEEFF" w:val="clear"/>
            <w:vAlign w:val="center"/>
          </w:tcPr>
          <w:p>
            <w:pPr>
              <w:pStyle w:val="TableContents"/>
              <w:bidi w:val="0"/>
              <w:spacing w:before="0" w:after="0"/>
              <w:ind w:left="0" w:right="0" w:hanging="0"/>
              <w:jc w:val="right"/>
              <w:rPr/>
            </w:pPr>
            <w:r>
              <w:rPr/>
              <w:t>—</w:t>
            </w:r>
          </w:p>
        </w:tc>
      </w:tr>
      <w:tr>
        <w:trPr/>
        <w:tc>
          <w:tcPr>
            <w:tcW w:w="1384"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Receipts of repayments of advances from Group companies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80,141</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(80,141)</w:t>
            </w:r>
          </w:p>
        </w:tc>
        <w:tc>
          <w:tcPr>
            <w:tcW w:w="326"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right"/>
              <w:rPr/>
            </w:pPr>
            <w:r>
              <w:rPr/>
              <w:t>—</w:t>
            </w:r>
          </w:p>
        </w:tc>
      </w:tr>
      <w:tr>
        <w:trPr/>
        <w:tc>
          <w:tcPr>
            <w:tcW w:w="13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3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(27,693)</w:t>
            </w:r>
          </w:p>
        </w:tc>
      </w:tr>
      <w:tr>
        <w:trPr/>
        <w:tc>
          <w:tcPr>
            <w:tcW w:w="1384"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 xml:space="preserve">Net cash (used in) provided by investing activities </w:t>
            </w:r>
            <w:r>
              <w:rPr>
                <w:rFonts w:ascii="Times New Roman;Times;serif" w:hAnsi="Times New Roman;Times;serif"/>
                <w:sz w:val="15"/>
              </w:rPr>
              <w:t>(5)</w:t>
            </w:r>
          </w:p>
        </w:tc>
        <w:tc>
          <w:tcPr>
            <w:tcW w:w="326" w:type="dxa"/>
            <w:tcBorders/>
            <w:vAlign w:val="center"/>
          </w:tcPr>
          <w:p>
            <w:pPr>
              <w:pStyle w:val="TableContents"/>
              <w:bidi w:val="0"/>
              <w:spacing w:before="0" w:after="0"/>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(78,790)</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11,793</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(602)</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39,935</w:t>
            </w:r>
          </w:p>
        </w:tc>
        <w:tc>
          <w:tcPr>
            <w:tcW w:w="326" w:type="dxa"/>
            <w:tcBorders/>
            <w:vAlign w:val="center"/>
          </w:tcPr>
          <w:p>
            <w:pPr>
              <w:pStyle w:val="TableContents"/>
              <w:bidi w:val="0"/>
              <w:spacing w:before="0" w:after="0"/>
              <w:ind w:left="0" w:right="0" w:hanging="0"/>
              <w:jc w:val="left"/>
              <w:rPr/>
            </w:pPr>
            <w:r>
              <w:rPr/>
              <w:t> </w:t>
            </w:r>
          </w:p>
        </w:tc>
        <w:tc>
          <w:tcPr>
            <w:tcW w:w="13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(27,693)</w:t>
            </w:r>
          </w:p>
        </w:tc>
      </w:tr>
      <w:tr>
        <w:trPr/>
        <w:tc>
          <w:tcPr>
            <w:tcW w:w="1384"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Capital contribution from Group companies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77,655</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(77,655)</w:t>
            </w:r>
          </w:p>
        </w:tc>
        <w:tc>
          <w:tcPr>
            <w:tcW w:w="326" w:type="dxa"/>
            <w:tcBorders/>
            <w:shd w:fill="CCEEFF" w:val="clear"/>
            <w:vAlign w:val="center"/>
          </w:tcPr>
          <w:p>
            <w:pPr>
              <w:pStyle w:val="TableContents"/>
              <w:bidi w:val="0"/>
              <w:spacing w:before="0" w:after="0"/>
              <w:ind w:left="0" w:right="0" w:hanging="0"/>
              <w:jc w:val="left"/>
              <w:rPr/>
            </w:pPr>
            <w:r>
              <w:rPr/>
              <w:t> </w:t>
            </w:r>
          </w:p>
        </w:tc>
        <w:tc>
          <w:tcPr>
            <w:tcW w:w="1382" w:type="dxa"/>
            <w:tcBorders/>
            <w:shd w:fill="CCEEFF" w:val="clear"/>
            <w:vAlign w:val="center"/>
          </w:tcPr>
          <w:p>
            <w:pPr>
              <w:pStyle w:val="TableContents"/>
              <w:bidi w:val="0"/>
              <w:spacing w:before="0" w:after="0"/>
              <w:ind w:left="0" w:right="0" w:hanging="0"/>
              <w:jc w:val="right"/>
              <w:rPr/>
            </w:pPr>
            <w:r>
              <w:rPr/>
              <w:t>—</w:t>
            </w:r>
          </w:p>
        </w:tc>
      </w:tr>
      <w:tr>
        <w:trPr/>
        <w:tc>
          <w:tcPr>
            <w:tcW w:w="1384"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Receipts of advances from Group companies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42,421</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(42,421)</w:t>
            </w:r>
          </w:p>
        </w:tc>
        <w:tc>
          <w:tcPr>
            <w:tcW w:w="326"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right"/>
              <w:rPr/>
            </w:pPr>
            <w:r>
              <w:rPr/>
              <w:t>—</w:t>
            </w:r>
          </w:p>
        </w:tc>
      </w:tr>
      <w:tr>
        <w:trPr/>
        <w:tc>
          <w:tcPr>
            <w:tcW w:w="1384"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Repayments for advances from Group companies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(80,141)</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80,141</w:t>
            </w:r>
          </w:p>
        </w:tc>
        <w:tc>
          <w:tcPr>
            <w:tcW w:w="326" w:type="dxa"/>
            <w:tcBorders/>
            <w:shd w:fill="CCEEFF" w:val="clear"/>
            <w:vAlign w:val="center"/>
          </w:tcPr>
          <w:p>
            <w:pPr>
              <w:pStyle w:val="TableContents"/>
              <w:bidi w:val="0"/>
              <w:spacing w:before="0" w:after="0"/>
              <w:ind w:left="0" w:right="0" w:hanging="0"/>
              <w:jc w:val="left"/>
              <w:rPr/>
            </w:pPr>
            <w:r>
              <w:rPr/>
              <w:t> </w:t>
            </w:r>
          </w:p>
        </w:tc>
        <w:tc>
          <w:tcPr>
            <w:tcW w:w="1382" w:type="dxa"/>
            <w:tcBorders/>
            <w:shd w:fill="CCEEFF" w:val="clear"/>
            <w:vAlign w:val="center"/>
          </w:tcPr>
          <w:p>
            <w:pPr>
              <w:pStyle w:val="TableContents"/>
              <w:bidi w:val="0"/>
              <w:spacing w:before="0" w:after="0"/>
              <w:ind w:left="0" w:right="0" w:hanging="0"/>
              <w:jc w:val="right"/>
              <w:rPr/>
            </w:pPr>
            <w:r>
              <w:rPr/>
              <w:t>—</w:t>
            </w:r>
          </w:p>
        </w:tc>
      </w:tr>
      <w:tr>
        <w:trPr/>
        <w:tc>
          <w:tcPr>
            <w:tcW w:w="13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activities</w:t>
            </w:r>
          </w:p>
        </w:tc>
        <w:tc>
          <w:tcPr>
            <w:tcW w:w="326" w:type="dxa"/>
            <w:tcBorders/>
            <w:vAlign w:val="center"/>
          </w:tcPr>
          <w:p>
            <w:pPr>
              <w:pStyle w:val="TableContents"/>
              <w:bidi w:val="0"/>
              <w:spacing w:before="0" w:after="0"/>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64,530</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(5,781)</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20,777</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3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79,983</w:t>
            </w:r>
          </w:p>
        </w:tc>
      </w:tr>
      <w:tr>
        <w:trPr/>
        <w:tc>
          <w:tcPr>
            <w:tcW w:w="1384"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 xml:space="preserve">Net cash provided by (used in) financing activities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64,530</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71,874</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(16,943)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457</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(39,935)</w:t>
            </w:r>
          </w:p>
        </w:tc>
        <w:tc>
          <w:tcPr>
            <w:tcW w:w="326" w:type="dxa"/>
            <w:tcBorders/>
            <w:shd w:fill="CCEEFF" w:val="clear"/>
            <w:vAlign w:val="center"/>
          </w:tcPr>
          <w:p>
            <w:pPr>
              <w:pStyle w:val="TableContents"/>
              <w:bidi w:val="0"/>
              <w:spacing w:before="0" w:after="0"/>
              <w:ind w:left="0" w:right="0" w:hanging="0"/>
              <w:jc w:val="left"/>
              <w:rPr/>
            </w:pPr>
            <w:r>
              <w:rPr/>
              <w:t> </w:t>
            </w:r>
          </w:p>
        </w:tc>
        <w:tc>
          <w:tcPr>
            <w:tcW w:w="1382"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79,983</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(US$’000):</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(1)It represents the elimination of intercompany transactions at the consolidation level.</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Services from the VIE entities to other group companies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VIE entities provide online advertising service to other group companies. For the years ended December 31, 2020, 2021 and 2022, the intercompany online advertising service revenues recognized by the VIE entities were US$4,761, US$911 and US$291, respectively. These transactions are eliminated at the consolidation level.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VIE entities also provide other marketing services to other group companies. For the years ended December 31, 2020, 2021 and 2022, the intercompany other marketing service revenues recognized by the VIE entities were nil, US$117 and US$310, respectively. These transactions are eliminated at the consolidation level.</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Services from other group companies to the VIE entities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WFOE as primary beneficiary and other subsidiaries of the Group provide online advertising service and SaaS services to the VIE entities. For the years ended December 31, 2020, 2021 and 2022, the intercompany online advertising and SaaS service revenues from the VIE entities recognized by WFOE as primary beneficiary and other subsidiaries of the Group were US$996, US$49 and US$285, respectively. These transactions are eliminated at the consolidation level.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2020, 2021 and 2022, there were no balances for management fees charged to VIEs.</w:t>
      </w:r>
    </w:p>
    <w:tbl>
      <w:tblPr>
        <w:tblW w:w="8597" w:type="dxa"/>
        <w:jc w:val="left"/>
        <w:tblInd w:w="0" w:type="dxa"/>
        <w:tblLayout w:type="fixed"/>
        <w:tblCellMar>
          <w:top w:w="0" w:type="dxa"/>
          <w:left w:w="0" w:type="dxa"/>
          <w:bottom w:w="0" w:type="dxa"/>
          <w:right w:w="0" w:type="dxa"/>
        </w:tblCellMar>
      </w:tblPr>
      <w:tblGrid>
        <w:gridCol w:w="346"/>
        <w:gridCol w:w="82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investments in subsidiaries and the VIE entities by the Company.</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intercompany balances among the Company, WFOE as primary beneficiary, other subsidiaries and the VIE entities. The Parent transfers cash to its wholly-owned subsidiaries by making capital contributions or interest-free advances to subsidiaries in Hong Kong, and the subsidiaries in Hong Kong transfer cash to the WFOE which is the primary beneficiary of the VIE and other PRC subsidiaries by making capital contributions or interest-free advances.</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2020, 2021 and 2022, cash received by the VIE entities from other entities of the Group for online advertising service and other marketing service were US$3,506, US$1,315 and US$153,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For the years ended December 31, 2020, 2021 and 2022, cash paid by the VIE entities to other entities of the Group for online advertising service and SaaS services were US$1,365, US$543 and nil, respectively.</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cash used in operating activities” and “net cash provided by/used in investing activities” of the Parent for the year ended December 31, 2020, and “investments in subsidiaries and the VIE entities” as of December 31, 2020 have been revised from amounts previously disclosed in the notes to the consolidated financial statements of the Group. See Note 28 to our consolidated financial statements.</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28 of Consolidated Financial Statements for more details of the gross investing activities and financing activities of the Parent.</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an internal restructuring within the Group in 2021 to move the VIE structure from the pre-existing WFOE as primary beneficiary (the “Original WFOE PB”) to another wholly-owned WFOE of the Company (the “New WFOE PB”), on November 1, 2021, the VIE contractual agreements were amended and restated whereby the New WFOE PB became the primary beneficiary of the VIE. Amounts of “WFOE as Primary Beneficiary” presented in the above tables (i) as of and for each of the two years ended December 31, 2022 and December 31, 2021, and (ii) as of and for each of the year ended December 31, 2020 represent the financial information of (i) the New WFOE PB and (ii) the Original WFOE PB, respectively.</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an internal restructuring within the Group in 2022, one of the subsidiaries of the VIE became an indirectly-held legally-owned subsidiary of the Company in June 2022. Financial information of this entity (i) as of and for the year ended December 31, 2022, and (ii) as of and for each of the two years ended December 31, 2021, was presented in the corresponding tables above under (i) “Other Subsidiaries”, and (ii) “VIE Entities”, respectively.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Capitalization and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Reasons for the Offer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financial condition and results of operations are subject to various changing business, competitive, economic, political and social conditions. In addition to the factors discussed elsewhere in this annual report, the following are some of the important factors that could adversely affect our operating results, financial condition and business prospects, and cause our actual results to differ materially from those projected in any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Risk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fluctuations in growth in recent periods, and our historical growth may not be indicative of our future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for our marketing solutions and enterprise solutions, and if we fail to maintain and enhance our capabilities, our results of operations could be materially and adversely affected.</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net losses and cash outflows in the past, all of which may continue in the future.</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recorded significant impairment charges, and may continue to do so in the future.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related to natural disasters, health epidemics and other outbreaks, which could significantly disrupt our operations. In particular, we have been, may continue to be, materially and adversely affected by COVID-19, and changes we have made to our business may not be successful in dealing with the effects or the after-effects of the pandemic.</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the success of “SaaS+X” model and our enterprise solutions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downturn in global economy could reduce the customers’ demand and their ability to pay for our solutions, which could materially and adversely affect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revenues, net revenues as a percentage of gross billing, gross profit margin and the comparability of our financial results may be affected by our revenue models.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retain existing clients or attract new ones could adversely impact our business and results of operations.</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any marketing agency client may materially and adversely affect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any content distribution channel and changes in the contract terms with any content distribution channel may materially and adversely affect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online marketing technology market is highly fragmented and intensely competitive. Independent online marketing technology platforms also face competitive pressure from well-established internet companies, marketing agencies and traditional media. In addition, as we continue to expand into the enterprise solution market, we also face increasingly intensified competition.</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obtain additional capital when desired, on favorable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many of the economic and political risks associated with emerging markets due to our operations in mainland China and Hong Kong. Adverse changes in mainland China or Hong Kong’s economic, political and social conditions as well as government policies could adversely affect our business and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U.S.-China relations, including any escalation of political or trade tensions, could negatively affect our business and the market for our ADSs.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litigation and negative publicity surrounding China-based companies listed in the U.S. may result in increased regulatory scrutiny of us and negatively impact the trading price of the ADSs and could have an adverse effect upon our business, including our results of operations, financial condition, cash flows and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historically been unable to inspect our auditor in relation to their audit work performed for our financial statements and the inability of the PCAOB to conduct inspections of our auditor in the past had deprived our investors with the benefits of such inspections.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may be prohibited from trading in the United States under the HFCA Act, if the PCAOB is unable to inspect or fully investigate auditors located in mainland China or Hong Kong. The delisting of our ADSs, or the threat of their being delisted, may materially and adversely affect the value of your investment.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Cayman Islands holding company with no equity ownership in the VIE entities. We conduct our operations in China through (i) our PRC subsidiaries and (ii) the VIE entities with which we have maintained contractual arrangements. Investors in the ADSs thus are not purchasing equity interest in the VIE entities in China but instead are purchasing equity interest in a Cayman Islands holding company. We are subject to the legal and operational risks associated with being based in or having the majority of our operations in China, and are subject to complex and evolving laws and regulations in China. There are substantial uncertainties regarding the interpretation and application of PRC laws, regulations, and rules relating to such agreements that establish the VIE structure for the majority of our operations in China. In addition, there are uncertainties in the PRC legal system. Some rules and regulations in China might change quickly with little advance notice. These risks could result in a material change in our operations and/or the value of the securities we have listed or could significantly limit or completely hinder our ability to continue to offer securities to investors and cause the value of such securities to significantly decline or be worthless. See “—D. Risk Factors—Risks Related to the Corporate Structure—We are a Cayman Islands holding company with no equity ownership in the VIE and we conduct our operations in China through (i) our PRC subsidiaries and (ii) the VIE entities with which we have maintained contractual arrangements.” and “—Risks Related to the Corporate Structure—We rely on the contractual arrangements that establish the structure for certain of our operations in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 PRC government has indicated an intent to exert more oversight and control over China-based issuers, and initiated a series of regulatory actions and made a number of public statements, some of which are published with little advance notice, including cracking down on illegal activities in the securities market, enhancing supervision over China-based companies listed overseas using a variable interest entity structure, adopting new measures to extend the scope of cybersecurity reviews, and expanding efforts in anti-monopoly enforcement. Since these statements and regulatory actions are new, it is highly uncertain how soon legislative or administrative regulation making bodies will respond and what existing or new laws or regulations or detailed implementations and interpretations will be modified or promulgated, if any, and the potential impact of such modified or new laws and regulations will impact our ability to conduct business, accept foreign investments, or continue to list on a U.S. or other foreign exchange. For a detailed description, see “—D. Risk Factors—Risks Related to the Corporate Structure—Recent regulatory developments in China may subject us to additional regulatory review and disclosure requirements, expose us to government interference, or otherwise restrict or completely hinder our ability to offer securities and raise capital outside mainland China, which could adversely affect our business operations and cause the value of our securities to significantly decline or become worthless.”</w:t>
            </w:r>
          </w:p>
        </w:tc>
      </w:tr>
    </w:tbl>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We have experienced fluctuations in growth in recent periods, and our historical growth may not be indicative of our future growth.</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 xml:space="preserve">We have experienced fluctuations in growth in recent periods. We may not be able to sustain our historical growth rates, or at all. In 2022, our total revenue declined mainly due to the scale-down of our marketing solutions business, uncertainties in the macro-economic environment from pandemic impact and the changing regulatory environment, which led to reduced budget and spending from clients and a broad-based slowdown in the advertising market in China, lockdowns and other pandemic control measures, which affected the progress of our client on-boarding and solution implementation, and increased competition in the SaaS market. You should not consider our historical growth in gross billing and net revenues as indicative of our future performance. </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believe our business, prospects and results of operations depend on a number of factors, some of which are described in more details in this section, including our ability to:</w:t>
      </w:r>
    </w:p>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execute our mobile strategy;</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execute and upgrade our “SaaS+X” model;</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 existing clients while continuing to optimize our client base;</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clients and further diversify our client base especially on enterprise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 our solutions and service offerings to meet evolving business needs, including to address market trends such as the migration of consumers from PCs to mobile devices;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our data assets and experience and expertise in online marketing to extend our solutions beyond online marketing and achieve market acceptance;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the proper functioning of our technology architecture as our business continues to grow;</w:t>
            </w:r>
          </w:p>
        </w:tc>
      </w:tr>
    </w:tbl>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grow our data assets in order to help marketers identify, engage and convert their audience;</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high level of customer satisfaction;</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 and adapt to changing market conditions;</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 to an evolving and complex regulatory environment;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invest in businesses, products and technologies and to integrate and realize synergies from acquisitions and strategic investments;</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awareness of our brand among marketers on a global basis in a cost-effective manner; and</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sufficient working capital for business growth.</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assure you that we will be able to successfully accomplish any of these objectives.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intense competition for our marketing solutions and enterprise solutions, and if we fail to maintain and enhance our capabilities, our results of operations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recent growth was primarily driven by our expansion since 2014 into mobile channels to identify, engage and convert mobile marketing, as well as our expansion into enterprise solutions since 2018. We have experienced and expect to continue to face intense competition in respect of our mobile marketing solutions and enterprise solutions. To deliver, maintain and enhance our mobile capabilities, it is important that we further integrate with a wider range of mobile technologies, systems, networks and standards that we do not control. To further develop and execute our “SaaS+X” model, we have to continuously strength our technological innovation and R&amp;D capabilities and outpace competitors in the market. We may not be successful in developing solutions that operate effectively with these technologies, systems, networks or standards. Any of these could have a material adverse effect on our business, prospects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light of the rising demand for SasS products, and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enterprise solutions and marketing solutions. In addition, the gross margin for our enterprise solutions and marketing solutions may fluctuate in future. As we continue to face increasing competition and pricing pressure, our profit margin could be materially and adversely affected.</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We have incurred significant net losses and cash outflows in the past, all of which may continue in the future.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incurred net losses of US$14.9 million in 2020, US$16.6 million in 2021 and US$202.8 million in 2022. As of December 31, 2022, we had an accumulated deficit of US$422.1 million. We recorded net operating cash outflows of US$19.6 million in 2020 and US$19.7 million in 2021. We will need to generate increased revenue or gross profit levels in future periods to become profitable, and, even if we do, we may not be able to improve our profitability as we intend to continue to expend funds to grow our enterprise solutions business, develop and enhance our data analytic capabilities, and scale our data center infrastructure and services capabilities. Our efforts to grow our business may be more costly than we expect, and we may not be able to increase our revenue or gross profit enough to offset our operating expenses. We may incur significant losses in the future for a number of reasons, including the other risks described in this annual report, and unforeseen expenses, difficulties, complications and delays and other unknown events. If we are unable to achieve or sustain profitability, the market price of our ADSs may significantly decrease. We also face unfavorable capital market in recent years. If there would be no significant fund raising in the future, we may have cash shortage which would impact our strategy on prudent cash management and impact the business, prospects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We have recorded significant impairment charges and may continue to do so in the future.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have recorded significant impairment charges in 2022, and may continue to do so in future. Goodwill represents the excess of the purchase consideration over the fair value of assets and liabilities of businesses acquired. As of December 31, 2022, due to (i) the underperformance of our acquired businesses, which were adversely affected by the COVID-19 outbreak and the macroeconomic conditions, (ii) a revision of our forecasted future earnings due to intensified industry competition, and (iii) a decline in our market capitalization in 2022, we recorded goodwill impairment of US$80.1 million. As of December 31, 2022, our goodwill has been fully impaired. In addition, we recorded impairment charges of US$53.3 million in long-lived assets relation to intangible assets (other than goodwill), property and equipment, and right-of-use assets. We also recorded impairment on our long-term investments of US$10.8 million in 2022, compared to US$4.0 million in 2021.</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Impairment assessment requires significant management judgement. Any changes in our judgmental assumptions would cause a change in the recoverable amounts of goodwill and long-lived assets and determination of investment’s impairment. In addition, we could be required to evaluate the recoverability of goodwill, long-lived assets and investment’s impairment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our acquired companies and to successfully integrate their operations with our other operations, and our failure to manage our long-term investments in other companies. Impairment charges could negatively affect our reported earnings and financial ratios in the periods of such charges and limit our ability to obtain financing in the future. See “Item 5. Operating and Financial Review and Prospects—A. Operating Results —Critical Accounting Estimates” for more information.</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We face risks related to natural disasters, health epidemics and other outbreaks, which could significantly disrupt our operations. In particular, we have been, and may continue to be, materially and adversely affected by the COVID-19 pandemic, and changes we have made to our business may not be successful in dealing with the effects or the after-effects of the pandemic.</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Our business, results of operations, financial condition and prospects have been materially and adversely affected by the COVID-19. The COVID-19 pandemic has resulted in quarantines, travel restrictions, home office policies, and temporary closure of stores and facilities in China and many other jurisdictions. These control measures have slowed down the development of the China’s economy and adversely affected the global economic conditions and financial markets. In 2022, in view of various control measures implemented by the government in different regions in China, substantial uncertainties remained around the macro-economic conditions, which led to reduced budget and spending from clients and a broad-based slowdown in the advertising market in China. This has adversely affected our revenue and outlook, resulting in a reduction in our revenue and significant impairment charges. See “—We have experienced fluctuations in growth in recent periods, and our historical growth may not be indicative of our future growth.” and “—We have recorded significant impairment charges and may continue to do so in the future.” In addition, the travel restrictions and lockdowns materially reduced the efficiency of communication between our employees and clients, which materially and adversely affected our client on-boarding and solution implementation.</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China began to modify its zero-COVID policy at the end of 2022. There were significant surges of COVID-19 cases in many cities in China subsequently. The rapid spread of COVID-19 virus in a relatively short period of time has compelled people to stay at home and reduced business activities, which adversely affected our client on-boarding and solution delivery. The pandemic situation has been improving in China since early 2023. In early May, the World Health Organization declared that COVID-19 no longer represented a global health emergency, and the risk remains of new variants emerging that cause new surges in cases and deaths. The full and long-term implications from COVID-19 on our business and results of operations remain uncertain. Any significant resurgence of COVID-19 may have an adverse effect on our results of operations, financial condition, business and prospects. Any potential impact on our results will depend on, to a large extent, future developments and new information that may emerge regarding the duration of COVID-19 and the actions taken by governmental authorities and other entities to contain COVID-19 or treat its impact, which are mostly beyond our control. Additionally, to the extent the COVID-19 adversely affects our business, results of operations, cash flows, financial condition and/or prospects, it may also have the effect of heightening many of the other risks described herein.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Our business could also be adversely affected by the effects of other epidemics, including monkey pox (mpox), Ebola virus disease, Zika virus disease, H1N1 flu, H7N9 flu, avian flu, Severe Acute Respiratory Syndrome, or SARS. We are also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solutions and services. Most of our system hardware and back-up systems are hosted in leased facilities in Hong Kong, Shanghai, Beijing and Guangzhou,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We cannot assure the success of “SaaS+X” model and our enterprise solutions business.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development of our enterprise solutions is affected by a variety of factors, which mainly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enterprise solutions are primarily initiated and established on our cooperation with Tencent Holdings Limited, or Tencent. For example, we help our clients put in place data-management platforms which are currently built primarily on Tencent Cloud and Enterprise WeChat Work. As a result, we rely on the functionality and stability of Tencent’s cloud and WeChat’s infrastructure in providing our enterprise solutions. In addition, we rely on Tencent’s proprietary API connections to gather and analyze customer data and create consumer profiles. Any disruption or termination of this cooperative relationship, including due to regulatory reasons or changes, could deteriorate our ability to operate our enterprise solutions, which could negatively affect our business, financial condition and results of operations. See “—Developments in U.S.-China relations, including any escalation of political or trade tensions, could negatively affect our business and the market for our ADSs.” for more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increased competition as we expand into the market of enterprise solutions. We may face competitions from local companies that are working on new cloud computing, artificial intelligence, business intelligence and digitalization service, and other types of enterprise solutions. We may also face potential competition from international SaaS companies, which have longer operating histories, greater financial, technical, marketing, distribution, professional services or other resources and greater name recognition. If we fail to upgrade our technologies and differentiate our enterprise solutions to effectively identify and address clients’ needs, our business, results of operations and prospects could be materially and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making efforts to promote our enterprise solutions to clients in various industries, including through cross-selling or upselling to existing clients and referral from existing clients. We cannot assure you that these promotion and marketing efforts will be successful. As a result, the success of our enterprise solutions depends on the continued growth of these sectors. In addition, to the extent businesses do not find our enterprise solutions an effective or efficient way of customer management and to the extent there are any potential new developments in their sectors, our enterprise solutions may be less attractive to clients, and our results of operations and business growth prospects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executing “SaaS+X” model in our enterprise solutions business. The development of our enterprise solutions business depends on our ability to generate and maintain ongoing, profitable client demand for our SaaS products and related operational services, including through the adaptation and expansion of our services in response to the ongoing technology changes. As a result, a significant reduction in such demand or an inability to deliver services in the evolving technological environment could materially affect our results of operations. In addition, since the margin of providing services is generally lower than providing pure SaaS products, our overall margin could be lower along with the ramp up of our “SaaS+X” model.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face unexpected new risks as we conduct our enterprise solutions business. If we cannot successfully address new challenges and compete effectively, we may not be able to develop a sufficient client base, recover costs incurred for developing and marketing our business, and, consequently, our future results of operations and growth prospects may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downturn in global economy could reduce the customers’ demand and their ability to pay for our solutions, which could materially and adversely affect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global financial markets have experienced significant disruptions in the past decade. In particular, eruptions of regional tensions, such as the ongoing military conflict involving Ukraine and Russia, and the related sanctions against Russia have resulted in major economic shocks worldwide and substantial volatility across global financial markets. It is unclear whether these challenges and uncertainties will be contained or resolved, and what effects they may have on the global political and economic conditions in the long term.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considerable uncertainty over the long-term effects of the expansionary monetary and fiscal policies adopted by the central banks and financial authorities of some of the world’s leading economies, including the United States, China and Europe. The stock markets around the world have experienced extreme volatility, in reaction to the COVID-19 pandemic and governments’ responses thereto, including the rate increments by the Federal Reserve in 2022. The Federal Reserve has signaled its intention to raise interest rate in the United States in order to combat inflation. It is unclear whether these challenges and uncertainties will be contained or resolved, and what effects they may have on the global political and economic conditions in the long term. Economic conditions in China are sensitive to global economic conditions and COVID-19 pandemic. The spending, liquidity and financial conditions of our clients in China were adversely impacted. In the event that our clients fail to pay for our solutions in a timely manner, or at all, the recoverability of our accounts receivables could be adversely affected and we may have to make provisions or write off the relevant bad debt. Any prolonged slowdown in the global economy may further reduce client demand and spending for our solutions, cause delays in the payment and have a negative impact on our business, results of operations and financial condition. Additionally, continued turbulence in the international markets may adversely affect our ability to access the capital markets to meet liquidity needs, which also leads to adopting other strategies on prioritizing cash, liquidity management and balanced resources allocation with our business growth.</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the development cycle on enterprise solutions is subject to the complexity of the clients’ needs and requirements, industries, scale of operation, etc., we may face greater costs, longer sales cycles and less predictability in completing some of our sales. In this market segment, clients’ decision to use our services may be an enterprise-wide decision and, if so, these types of sales would require us to provide greater levels of education regarding the use and benefits of our services, as well as education regarding privacy and data protection laws and regulations to prospective clients with international operations. As a result of these factors, these sales opportunities may require us to devote greater development, sales support and professional services resources to individual clients, driving up costs and time required to complete the transactions, while potentially requiring us to delay revenue recognition on some of these transactions until the technical or implementation requirements have been met.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net revenues, net revenues as a percentage of gross billing, gross profit margin and the comparability of our financial results may be affected by our revenue models.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derive revenue primarily from four sources and report them on either the net or gross basis. For our marketing solutions, we derive revenue from (i) incentives earned from the website publishers, for which we act as a sales agent for their content distribution opportunities, or the sales agency arrangement, which is reported on a net basis, (ii) performing cost-plus marketing campaigns, which is reported on a net basis, (iii) performing specified actions marketing campaigns (i.e., a CPM and CPC basis), which is reported on a gross basis. For our enterprise solutions, we derive revenue from the offering of SaaS products and services, which is reported on a gross basis and a net basis. Please see “Item 5. Operating and Financial Review and Prospects—A. Operating Results—Key Components of Results of Operations—Net Revenues” for more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gross profit margins for our sales agency arrangement and cost-plus marketing campaigns are higher than that for our specified action marketing campaigns as cost of revenues for our sales agency arrangement and cost-plus marketing campaigns does not include media cost. Consequently, an increase in the percentage of gross billing recognized as net revenues from performing specified actions marketing campaigns will have a positive impact on our net revenues and a negative impact on our gross profit margin. On the other hand, an increase in the percentage of gross billing recognized as net revenues from our sales agency arrangement and from performing cost- 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 changes from time to time, the relative proportions of gross billing recognized as net revenues on a gross basis and a net basis also fluctuate, which would consequently impact our net revenues and gross profit margin.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marketing solutions and enterprise solutions each represent a mixture of revenue recognized on a gross basis and on a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proportions of gross billing recognized as net revenues on a gross basis and a net basis, are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retain existing clients or attract new ones could adversely impact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long-term contracts with clients, and a majority of our contracts are for a term of one year or shorter. Our clients,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achieve renewals or contracts and new sales depends on many factors, some of which are out of our control, including:</w:t>
      </w:r>
    </w:p>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satisfaction with our solutions, including any new solutions that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competitiveness of our pricing and payment terms for our clients, which may, in turn, be constrained by our capital and financial resources,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satisfaction with our account managing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customize and tailor our solution offerings and delivery and pricing models in accordance with the evolving needs of our clients and end marketers,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our data base and solutions to serve clients in a wider range of industries and geographic regions,</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with a wider range of new technologies, systems, networks and standards,</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 acquisitions or other consolidation among clients, and</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conditions and spending levels of customers generally.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Therefore, we cannot assure you that clients that have generated marketing spend on our platform in the past will continue to spend at similar levels or that they will continue to use our platform at all. We may not be able to replace clients which reduce or cease their usage of our platform with new clients that spend similarly on our platform. In addition, the total number of our marketers decreased by 28% from 3,442 in 2021 to 2,464 in 2022 as we continue to strategically review and optimize our customer base.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existing clients do not continue to use or increase their use of our platform, or if we are unable to attract sufficient spend on our platform from new clients, our business and results of operations could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Loss of any marketing agency client may materially and adversely affect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engage third-party marketing agencies to help source and serve some of our marketers. In 2022, we had 2,464 marketers. Among these marketers, 1,145 were represented by our marketing agency clients, which contributed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Loss of any content distribution channel and changes in the contract terms with any content distribution channel may materially and adversely affect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consistent access to attractive content distribution opportunities is crucial to our business. We primarily rely on third-party content distribution channels to access content distribution opportunities.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75.9%, 55.5% and 56.0% of our media costs in 2020, 2021 and 2022, respectively. Media costs for content distribution opportunities on our largest and second largest channel partners accounted for 51.8% and 10.7% of our media costs in 2022, respectively.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source content distribution opportunities from content distribution channels depends in part on our ability to continuously generate sufficient marketing spend from our clients on these channels. If our content distribution channels terminate or choose not to renew their contracts with us, due to a variety of factors, including regulatory reasons or changes, our business and results of operations will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not be able to negotiate favorable or acceptable terms once the contracts expire. There is no assurance that we will be able to execute these contracts with terms favorable or acceptable to us or at all, which could have a material adverse impact on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independent online marketing technology market is highly fragmented and intensely competitive. Independent online marketing technology platforms also face competitive pressure from well-established internet companies, marketing agencies and traditional media. In addition, as we continue to expand into the enterprise solution market, we also face increasingly intensified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deliver return on marketing expenditure at scale;</w:t>
            </w:r>
          </w:p>
        </w:tc>
      </w:tr>
    </w:tbl>
    <w:tbl>
      <w:tblPr>
        <w:tblW w:w="2706" w:type="dxa"/>
        <w:jc w:val="left"/>
        <w:tblInd w:w="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trust and loyalty;</w:t>
            </w:r>
          </w:p>
        </w:tc>
      </w:tr>
    </w:tbl>
    <w:tbl>
      <w:tblPr>
        <w:tblW w:w="1986" w:type="dxa"/>
        <w:jc w:val="left"/>
        <w:tblInd w:w="0" w:type="dxa"/>
        <w:tblLayout w:type="fixed"/>
        <w:tblCellMar>
          <w:top w:w="28" w:type="dxa"/>
          <w:left w:w="28" w:type="dxa"/>
          <w:bottom w:w="28" w:type="dxa"/>
          <w:right w:w="28" w:type="dxa"/>
        </w:tblCellMar>
      </w:tblPr>
      <w:tblGrid>
        <w:gridCol w:w="124"/>
        <w:gridCol w:w="256"/>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geographic reach;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breadth and depth of cooperation with publishers, ad exchanges, ad networks and other participants in the online marketing ecosystem;</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comprehensiveness of solutions and service offerings;</w:t>
            </w:r>
          </w:p>
        </w:tc>
      </w:tr>
    </w:tbl>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structure and competitiveness;</w:t>
            </w:r>
          </w:p>
        </w:tc>
      </w:tr>
    </w:tbl>
    <w:tbl>
      <w:tblPr>
        <w:tblW w:w="2691" w:type="dxa"/>
        <w:jc w:val="left"/>
        <w:tblInd w:w="0" w:type="dxa"/>
        <w:tblLayout w:type="fixed"/>
        <w:tblCellMar>
          <w:top w:w="28" w:type="dxa"/>
          <w:left w:w="28" w:type="dxa"/>
          <w:bottom w:w="28" w:type="dxa"/>
          <w:right w:w="28" w:type="dxa"/>
        </w:tblCellMar>
      </w:tblPr>
      <w:tblGrid>
        <w:gridCol w:w="124"/>
        <w:gridCol w:w="256"/>
        <w:gridCol w:w="2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cross-channel capabilities;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accessibility and user-friendliness of solutions; and</w:t>
            </w:r>
          </w:p>
        </w:tc>
      </w:tr>
    </w:tbl>
    <w:tbl>
      <w:tblPr>
        <w:tblW w:w="1896" w:type="dxa"/>
        <w:jc w:val="left"/>
        <w:tblInd w:w="0" w:type="dxa"/>
        <w:tblLayout w:type="fixed"/>
        <w:tblCellMar>
          <w:top w:w="28" w:type="dxa"/>
          <w:left w:w="28" w:type="dxa"/>
          <w:bottom w:w="28" w:type="dxa"/>
          <w:right w:w="28" w:type="dxa"/>
        </w:tblCellMar>
      </w:tblPr>
      <w:tblGrid>
        <w:gridCol w:w="124"/>
        <w:gridCol w:w="256"/>
        <w:gridCol w:w="1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awareness.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marketing solutions the way we do, we face indirect competition from these major players in the online marketing technology industry as they provide online marketing technology and offer services and offer solutions that help marketers achieve one or more aspects of their marketing goals in one or more phases of their online marketing cycle. These large and well-established companies control content distribution channels and may also directly compete with us to the extent we expand our solutions and footprints vertically along the online marketing technology value chain.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“Item 4. Information on the Company—B. Business Overview—Our Content Distribution Channels”. Competitive pressure may incentivize them to cease their partnership with us.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2018, we launched our SaaS-based enterprise solutions. We anticipate competition in this relatively new and evolving area in China and such competition to increase based on businesses’ demands for this type of products or solutions. We may face competitions from local companies that are working on enterprise solutions, new cloud computing, artificial intelligence, business intelligence and digitalization. We may also face potential competition from international SaaS companies, which have longer operating histories, greater financial, technical, marketing, distribution, professional services or other resources and greater name recognition. In addition, many of our prospective competitors may have close relationship with our existing and new clients and bear an extensive knowledge of this industry. As a result, we may be able to respond more quickly to new or emerging technologies and changes in clients’ requirements, or devote greater resources to the development, promotion and sale of their products. If we fail to upgrade our technologies and differentiate our enterprise solutions to effectively identify and address clients’ needs, our business, results of operations and prospects could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online marketing technology solutions and enterprise solutions do not achieve widespread market acceptance, our business, growth prospects and results of operations would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 for online marketing technology solutions and enterprise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less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SaaS offerings, which are less mature or common in China, and the pace of transition to SaaS business may be slower among customers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late 2021, we started to strategically reduce lower margin and higher risk businesses in our marketing solution segment in order to focus on the higher growth potential of enterprise solutions. We cannot assure you that this strategy shift would continue to bring more favorable operation results.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enterprise solution is a relatively new data technology market in China. The expansion of our enterprise solutions depends on the clients’ interest and market acceptance. If we fail to obtain a widespread acceptance, the number of our clients may decrease. We may also incur additional spending to further enhance our data analytics capabilities and our brand recognition and promotion, which could adversely impact our profitability. If our enterprise solutions fail to gain a widespread acceptance, our business, growth prospects and results of operations will also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algorithms and data engines for assessing and predicting potential audience behaviors are flawed or ineffective, or if our platform fails to otherwise function properly, our reputation and market share would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attract marketers to, and build trust in, our platform is significantly dependent on our ability to effectively assess and predict audience interest in, and therefore interaction with, relevant marketing content. In addition, our ability to attract businesses to use our enterprise solutions is significantly dependent on our ability to effectively identify and address their needs on customer relationship management, or CRM, and data analytics (e.g. sales data, customer data, product data, etc.).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collect and use data from various sources could be restricted.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choices, including the blocking or deletion of cookies or modifications to privacy settings;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browser or device functionality and settings, and other new technologies, which could make it easier for users to prevent the placement of cookies or other tracking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developments in law, regulations and industry standards on privacy and data protection regimes, including increased visibility of consent mechanisms as a result of these legal, regulatory or industry developments;</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our network or software systems, or the network or software systems of marketers;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grow client base in new industries and geographic markets in order to obtain the critical mass of data necessary for our algorithms and data engines to perform optimally in these new industries and geographies;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 with our data partners or certain key data sources, including major internet companies in China, which may stop providing or be unable to provide us data on terms acceptable to us;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failures or defects in our data collection, mining, analysis and storage systems.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Blocking or deletion of cookies or other modifications to privacy settings on PCs and mobile devices could impair our data collection and effectiveness of our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maintain or renew the value-added telecommunication license, or fail to obtain other requisite license, or approvals or filings in China, the business carried out by certain consolidated entity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2018, we, through OptAim Network, or the VIE, acquired Shanghai Myhayo Technology Co., Ltd., or Myhayo, a content distribution channel and a mobile content aggregator of articles and short videos in China. Myhayo presents customized feeds to users via its mobile application and allows users to earn points from their daily access to the app, which could be used to redeem cash rewards. 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“Item 4. Information on the Company—B. Business Overview—Regulations—Regulations on Value-added Telecommunication Services” and “—Regulations on Internet Content Providers.” It is unclear whether Myhayo’s business model would render it a commercial operator of value-added telecommunication service provider under the relevant PRC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August 2019, Myhayo obtained the value-added telecommunication license that has a validity term of five years from the relevant local counterpart of the MIIT. We are subject to ongoing obligations and continued regulatory review. If we fail to maintain or renew the value-added telecommunication license, or fail to obtain any additional licenses and permits or make any records or filings required by new laws, regulations or executive orders in a timely manner or at all, we could be subject to liabilities or penalties, and we may have to change our business models, and our operations could be adversely affected. In addition, new laws and regulations may be adopted from time to time to address new issues that come to the authorities’ attention, which may require us to obtain new license and permits, or take certain actions that may adversely affect our business operations. We may not timely obtain or maintain all the required licenses or approvals or make all the necessary filings. Nor can we assure you that we will be able to timely address all the change in policy, failure of which may subject us to liabilities or penalties, and our operations could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Content displayed on our platform and the mobile application may be found objectionable by PRC regulatory authorities and may subject us to penalties and other administrative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PRC regulations governing internet access and other forms of information over the internet. Under these regulations, internet content providers are prohibited from posting over the internet any content that, among other things, violates PRC laws and regulations, impairs the national dignity of China or the public interest, or is obscene, superstitious, frightening, gruesome, offensive, fraudulent or defamatory. Failure to comply with these requirements may result in monetary penalties, revocation of licenses to provide internet content or other licenses, suspension of the concerned platforms and reputational harm. In addition, these laws and regulations are subject to interpretation by the relevant authorities, and it may not be possible to determine in all cases the types of content that could cause us to be held liable as a content distribution channel and a mobile content aggregator of articles and short videos in China, which presents customized feeds to users via its mobile application. For a detailed discussion, see “Item 4. Information on the Company—B. Business Overview—Regulation—Regulations on Internet Content Providers.”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Internet platform operators may also be held liable for the content displayed on or linked to their platforms that is subject to certain restrictions. Our users may browse professional or user-generated content, such as articles and other content formats. Although we have adopted internal procedures to monitor the content displayed on our mobile application, due to the significant amount of content, we may not be able to identify all the content that may be illegal or otherwise objectionable. In addition, we may not be able to timely update our internal procedures to reflect the latest changes in the PRC government’s requirements for content display. Failure to identify and prevent illegal or inappropriate content from being displayed on our platform and the mobile application may subject us to liability, government sanctions or loss of licenses and/or permits.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Regulatory, legislative or self-regulatory developments for online businesses, including privacy and data protection regimes, are expansive, not clearly defined and rapidly evolving. These laws and regulations could create unexpected costs, subject us to threats of lawsuits, enforcement actions for compliance failures, result in declines in user growth or engagement, restrict portions of our business or cause us to change our technology platform or business model.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Governments around the world, including the PRC, Hong Kong, U.S. and European Union governments, have enacted or are considering legislation related to online businesses. There may be an increase in legislation and regulation related to online marketing, the use of geo-location data to inform marketing, the collection and use of internet user data and unique device identifiers, such as IP address or mobile unique device identifiers, and other data protection and privacy regulation.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primarily target Chinese language internet users in China for our marketers from all over the world. Through our enterprise solutions, we also access and gather data of users outside China as clients adopt our enterprise solutions. As a result, we may be directly or indirectly subject to the laws and regulations on online marketing and enterprise solutions, including data and privacy laws, of multiple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recent years, the PRC government has enacted legislation on internet use to protect personal information from any unauthorized disclosure. For example, on February 1, 2013, China’s first set of personal data protection guidelines, the Guidelines for Personal Information Protection in Information Security Technology Public and Commercial Service Systems, came into effect, which set forth detailed personal information protection requirements on data collection, data processing, data transfer and data creation. Although these guidelines are voluntary and non-binding, we believe that growing regulatory oversight of data privacy in China is inevitable. In addition, Amendment 9 to the PRC Criminal Law prohibits institutions, companies and their employees in the telecommunications and other industries from selling or otherwise illegally disclosing a citizen’s personal information or obtaining such information through theft or other illegal ways, and further stipulates that persons who sell or otherwise illegally disclose a citizen’s personal information obtained during the course of performing duties or providing services shall be subject to a heavier sentence. On November 7, 2016, the Standing Committee of the PRC National People’s Congress issued the Cyber Security Law of the PRC, which became effective on June 1, 2017. Pursuant to the Cyber Security Law of the PRC, providers of network products and services shall provide security maintenance for their products and services and shall comply with provisions regarding the protection of personal information as stipulated under the relevant laws and regulations. Moreover, the Provisions on Protection of Personal Information of Telecommunication and Internet Users is the specific regulation governing the collection, use, disclosure and security of personal information. Complying with these PRC laws and regulations may cause us to incur substantial costs or require us to change our business practices. Furthermore, the Personal Information Security Specification, last revised on March 6, 2020, or the China Specification, came into force on October 1, 2020. Although the China Specification is not a mandatory regulation, it nonetheless has a key implementing role in relation to China’s Cyber Security Law in respect of protecting personal information in China. It is likely that the China Specification will be relied on by Chinese government agencies as a standard to determine whether businesses have abided by China’s data protection rules. The China Specification has broadened the scope of personal sensitive information, or PSI, including but not limited to phone number, transaction record and purchase history, bank account, browse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subject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 On November 28, 2019, the CAC, or the MIIT, the Ministry of Public Security, and the State Administration for Market Regulation of the PRC jointly formulated the Method for Identifying the Illegal Collection and Use of Personal Information by Applications, which explicitly sets out the specific methods of identifying six types of illegal behaviors of collecting and using personal information through applications. If we are unable to respond to changing laws, regulations, policies and guidelines related to privacy or cyber security, our business, financial condition, results of operations and prospects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U.S., all 50 states have now passed laws to regulate the actions that a business must take in the event of a data breach, such as prompt disclosure and notification to affected users and regulatory authorities. In addition to the data breach notification laws, some states have also enacted statutes and rules requiring businesses to reasonably protect certain types of personal information they hold or to otherwise comply with certain specified data security requirements for personal information. Additionally, the U.S. government has announced that it is reviewing the need for greater regulation of the collection of consumer information, including regulation aimed at restricting some targeted advertising practices.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European Union, or EU, to the extent it is applicable to the processing operations carried out in the course of our activities, the General Data Protection Regulation, or the GDPR, which became applicable on May 25, 2018, has a broad territorial scope affecting the processing of personal data by companies outside of the EU offering goods and services to, or monitoring the behavior of, individuals in the EU. The GDPR introduces new obligations for subject companies in the area of privacy and data protection. The GDPR implements more stringent legal and operational requirements for both processors and controllers of personal data, including, for example, requiring expanded disclosures about how personal information is to be used, limitations on retention of information, new rights for data subjects with respect to their data (including by enabling them to exercise rights to erasure and data portability), mandatory data breach notification requirements, and higher standards for data controllers to demonstrate that they have obtained either valid consent or have another legal basis in place to justify their data processing activities. The GDPR further provides that EU member states may make their own additional laws and regulations in relation to certain data processing activities, which could further limit our ability to use and share personal data and could require localized changes to our operating model. Under the GDPR, fines of up to €20 million or up to 4% of the total worldwide annual turnover of the preceding financial year, whichever is higher, may be imposed in certain cases of non-compliance. To the extent the GDPR is applicable, the implementation of the GDPR may require amendments to our procedures and policies or the agreements we have with our service providers and clients, and these changes could impact our business by increasing its operational and compliance costs. The EU has also released a proposed Regulation on Privacy and Electronic Communications, or the e-Privacy Regulation, to replace the EU’s current Privacy and Electronic Communications Directive, or the e-Privacy Directive, to, among other things, achieve a greater harmonization among EU member states and better align the rules governing electronic communications (e.g., in relation to the use of cookies and other tracking technologies and protection against spam) with the requirements of the GDPR. While the ePrivacy Regulation was originally intended to be adopted on May 25, 2018 (alongside the GDPR), it is still going through the European legislative process, and commentators now expect it to be adopted in 2023. The current draft of the ePrivacy Regulation imposes strict opt-in e-marketing rules with limited exceptions to business to business communications and significantly increases fining powers to the same levels as GDPR. Regulations of cookies and web beacons may lead to broader restrictions on our online activities, including efforts to understand followers’ internet usage and promote ourselves to them. Since the implementation of the GDPR in 2018, we have made tremendous efforts to comply and constantly adapt to the fast-evolving regulatory framework; for example, we have already revised our Data Processing Addendum (after invalidation of the Privacy Shield by the European Court of Justice, with the adoption of the new Standard contractual clauses by the European Union, and the recent adoption of the new UK standard contractual clauses by the United Kingdom). We are always actively working with our clients and partners towards ensuring up to date compliance.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Outside of the U.S. and the EU, many jurisdictions have adopted or are adopting new data privacy and data protection laws that may impose further onerous compliance requirements, such as data localization, which prohibits companies from storing outside the jurisdiction data relating to resident individuals in data centers outside the jurisdiction. The proliferation of such laws within the jurisdictions and countries in which we operate may result in conflicting and contradictory requirements, particularly in relation to evolving technologies such as cloud computing. Any failure to successfully navigate the changing regulatory landscape could result in legal liability or impairment to our reputation in the marketplace, which could have a material adverse effect on our business and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strive to comply with all applicable laws and regulations relating to privacy and data collection, processing, use, and disclosure applicable to us, it is possible that our practices are and will continue to be, inconsistent with certain regulatory requirements.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data protection and privacy laws or to provide adequate notice and/or obtain consent from end users. In addition, some of our content distribution channels require us to indemnify and hold them harmless from the costs or consequences of litigation resulting from using their networks. Any proceeding, claims or lawsuits initiated by governmental bodies, customers or other third parties, whether meritorious or not, or perception of concerns relating to our collection, use, disclosure, and retention of data, including our security measures applicable to the data we collect, whether or not valid, could harm our reputation, force us to spend significant amounts and time on defense of these proceedings, give rise to significant fines, liabilities and damage awards, distract our management, change our business practices, increase our costs of doing business, inhibit the use of our solutions, harm our ability to keep existing customers or attract new customers, or otherwise materially and adversely affect our business,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not able to grow efficiently to meet our clients’ increasing needs, our operating results could be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usage of our solutions especially on enterprise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offer high-quality account services, our business and reputation may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offer high-quality technical support services under enterprise solutions, our relationships with our clients and our financial results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Clients of our enterprise solutions will depend on our support to resolve technical issues relating to our applications. We may be unable to respond quickly enough to accommodate short-term increases in their demand for support services. Increased demand for these services, without corresponding revenues, could increase costs and adversely affect our operating results. In addition, our sales growth can be highly dependent on our applications and business reputation and on positive recommendations from clients. Any failure to maintain high-quality technical support, or a market perception that we do not maintain high-quality support, could adversely affect our reputation, our ability to sell our service offerings to existing and prospective customers, and our business, operating results and financial position.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innovate, adapt and respond timely and effectively to rapidly changing technologies and new trends, our solutions may become less competitive or obsolete.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success will depend on our ability to continuously innovate, enhance and broaden our solutions to meet evolving needs for online marketing, data and intelligent enterprise solutions, and address technological advancements and new trends in these areas,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protect our proprietary information or other intellectual property, our business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we had 2 patents and 138 computer software copyrights in mainland China, and 42 registered trademarks in mainland China, Hong Kong, Singapore, Japan and South Korea. 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may suffer if it is alleged or determined that our technologies or any other aspects of our business infringe on the intellectual property rights of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We cannot be certain that our operations or any aspects of our business do not or will not infringe upon or otherwise violate patents, copyrights or other intellectual property rights held by third parties. This is also the case as our sales and marketing activities may use photos or video clips that contain portraits of individuals and shows performed by others, such as product live-streaming promotions held by our cooperating key opinion leaders (“KOLs”).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 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expanded our business and offerings through organic growth as well as acquisitions and strategic investments. For example, 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2019, we made a controlling investment in Changyi, as we seek to extend our client solutions beyond the core online marketing business, addressing enterprise needs in China, particularly in the emerging area of Smart Retail—an expanding and innovative market involving the combination of online and offline solutions. In October 2020 and December 2020, we further increased our equity stake in Changyi. In March 2022, we entered into an agreement to acquire the remaining equity interest in Changyi. We have since made additional investments and acquisition to expand our enterprise solution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2020, we made a controlling investment in Optimal Power Limited to acquire certain premium media licensing assets covering a number of jurisdictions in the Asia-Pacific.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2020, we acquired CMRS, a leading marketing automation solution provider in China. The acquisition will allow us to further enhance our full product offerings, leveraging CMRS’s marketing automation capabilities, in particular, for cross-border customers’ marketing into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2021, we issued certain Class B ordinary shares to Baozun, a leading brand e-commerce service partner that helps brands execute their e-commerce strategies in China and entered into a strategic cooperation framework agreement with it. Pursuant to the strategic cooperation framework agreement, we and Baozun will collaborate in developing a full-cycle, closed-loop e-commerce service model, covering areas such as system development, IT services, digital marketing, store operation, customer services and warehousing and fulfillment services to better serve potential brand partners.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2021, we completed the acquisition of Parllay, a leading personalized marketing platform with deep expertise in WeChat-based CRM, e-commerce and marketing SaaS solutions in China. We anticipate that the utilization of Parllay’s rich expertise will further enhance our product offerings, enlarge our potential clients base, and accelerate sales of our enterprise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Past and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acquisitions of OptAim, CMRS, and Changyi, our strategic investment in Optimal Power Limited, involve numerous risks, any of which could harm our business,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integrating the operations, technologies, services and personnel of acquired businesses, especially if those businesses operate outside of our core competency;</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cultural challenges associated with integrating employees from the acquired company into our organization;</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 and perception risks associated with the acquired product or technology by the general public;</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ineffectiveness or incompatibility of acquired technologies or solutions;</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loss of key employees of acquired businesses;</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maintain the key business relationships and the reputations of acquired businesses;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management’s attention from other business concerns;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for activities of the acquired company, including claims from terminated employees, clients, former shareholders or other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foreign acquisitions, the need to integrate operations across different cultures and languages and to address the particular economic, currency, political and regulatory risks associated with specific countries;</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necessary to establish and maintain effective internal controls for acquired businesses;</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successfully further develop the acquired technology in order to recoup our investment;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2256" w:type="dxa"/>
        <w:jc w:val="left"/>
        <w:tblInd w:w="0" w:type="dxa"/>
        <w:tblLayout w:type="fixed"/>
        <w:tblCellMar>
          <w:top w:w="28" w:type="dxa"/>
          <w:left w:w="28" w:type="dxa"/>
          <w:bottom w:w="28" w:type="dxa"/>
          <w:right w:w="28" w:type="dxa"/>
        </w:tblCellMar>
      </w:tblPr>
      <w:tblGrid>
        <w:gridCol w:w="124"/>
        <w:gridCol w:w="25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fixed costs.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successfully fully integrate any future business, product or technology we acquire, our business, financial condition and results of operations may suffer.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appropriately maintain effective internal control over financial reporting in accordance with Section 404 of the Sarbanes-Oxley Act of 2002, we may be unable to accurately report our financial results and the market price of our ADSs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in the United States, we are subject to Section 404 of the Sarbanes-Oxley Act of 2002, or the Sarbanes-Oxley Act, which requires that we include a report of management on our internal control over financial reporting in our annual report on Form 20-F beginning with our annual report for the fiscal year ended December 31, 2018.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has concluded that our internal control over financial reporting was not effective as of December 31, 2022.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an up-to-date manual of accounting policies and procedures to facilitate preparation of U.S. GAAP financial statements, which could result in adjustments to U.S. GAAP not identified in a timely and complete manner, causing material misstatements in the Company’s financial reporting. To remediate these two weaknesses, we have adopted the following measures to improve our internal control over financial reporting: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2020 and 2021, we hired additional personnel with managerial positions in our finance department with an appropriate understanding of and work experience involving U.S. GAAP and SEC reporting requirements. We will continue to put effort in hiring additional personnel with an appropriate understanding of and work experience involving U.S. GAAP and SEC reporting requirements to ensure there are sufficient resources in the financial reporting functions.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we established clear roles and responsibilities for financial reporting and accounting personnel to address complex accounting and financial reporting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sponsored our existing financial reporting and accounting personnel to complete external courses relating to U.S. GAAP and SEC reporting such that the financial reporting and accounting personnel can earn the necessary credentials to be qualified as certified public accountants in the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establishing an ongoing program to provide sufficient and additional appropriate training to our financial reporting and accounting staff, especially trainings related to U.S. GAAP and SEC financial reporting requirements. For instance, we continue to require our existing financial reporting and accounting personnel to regularly attend U.S. GAAP and SEC reporting requirement training and workshops hosted by external organizations at least on an annual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formalized the procedures and controls regarding the financial reporting process and developed and implemented a comprehensive set of U.S. GAAP policies and standardized financial reporting procedures, including a manual of accounting policies and financial reporting checklists, to allow early detection, prevention and resolution of potential misstatements. However, we are in the process of hiring additional financial reporting and accounting personnel to timely update the manual of accounting policies, and properly prepare and review financial statements and related footnote /disclosures based on U.S. GAAP and SEC reporting requirements.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15. Controls and Procedures.” We cannot assure you, however, that these measures may fully address these deficiencies in our internal control over financial reporting or that we may conclude that they have been fully remedied. Our failure to correct these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 However, if we fail to maintain effective internal control over financial reporting in the future, our management and our independent registered public accounting firm may not be able to conclude that we have effective internal control over financial reporting. This could in turn result in the loss of investor confidence in the reliability of our financial statements. As a result of these, our business, financial condition, results of operations and prospects, as well as the trading price of our ADSs, may be materially and adversely affected. Moreover, ineffective internal control over financial reporting significantly hinders our ability to prevent fraud. Furthermore, we have incurred and may need to incur additional costs and use additional management and other resources in an effort to comply with Section 404 of the Sarbanes-Oxley Act and other requirements going forward.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internal controls over financial reporting will not prevent or detect all errors or fraud. A control system, no matter how well designed and operated, can provide only reasonable, not absolute, assurance that the control system’s objectives will be met.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Failures or disruption in any systems, software or hardware infrastructure supporting our platform and solutions could significantly disrupt our operation and cause us to lose clients or partners.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 failures, power outages, cyber-attacks, or other malicious human acts and natural disasters. Any steps we take to increase the reliability and redundancy of our systems, software and hardware infrastructure supporting our platform and 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inability to use software licensed from third parties, including open source software could negatively affect our ability to sell our solutions and subject us to possible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detect fraud or serve marketers’ marketing content on undesirable websites, our reputation will suffer, which would harm our brand and negatively impact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 impressions, we may lose business and incur damages to our brand and reputation. In addition, we may be exposed to liabilities or the need to provide credits or refunds to our clients, and our business and results of operations may be harmed.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negative publicity with respect to us, the online marketing industry in general or our partners may materially and adversely affect our reputation,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Complaints, litigation, regulatory actions or other negative publicity that arise about the online marketing industry in general or our company in particular, including on the quality, effectiveness and reliability of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 For example, we collaborate with third-party data service providers who supplement our dataset. We maintain a strict vetting process before engaging with these third-party data service providers to ensure the integrity and quality of data they provided, but we cannot assure you that these providers have accessed and processed data in a proper and legal manners. Any non-compliance on their part may cause potential liabilities to us and disrupt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promote or maintain our brand in a cost-efficient manner, our business and results of operations may be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Misconduct, errors and failure to function by our employees could harm our business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obtain additional capital when desired, on favorable terms or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operate in a capital intensive industry and require a significant amount of cash to fund our operations. In previous years, we have financed our operations primarily with cash generated from financing activities such as issuance of ordinary shares upon IPO and follow-on share offerings, issuance of convertible notes, and bank borrowings. We may not be able to obtain additional capital when desired, on favorable terms or at all. As of February 28, 2023, our total facilities available for draw-down (net of bank deposits that would need to be pledged as restricted cash upon utilization of the facilities) dropped significantly to US$17.4 million.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raise additional funds through future issuances of equity or convertible debt securities, existing shareholders could suffer significant dilution, and any new equity securities we issue could have rights, preferences and privileges superior to those of holders of our ordinary shares. In addition, some of our credit agreements include a financial covenant that requires us to meet certain minimum monthly adjusted quick ratio and minimum quarterly EBITDA, and any debt financing that we secure in the future could involve additional restrictive covenants relating to our capital raising activities and other financial and operational matters, including the ability to pay dividends. These restrictions may make it more difficult for us to obtain additional capital and to pursue business opportunities, including potential acquisitions.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obtain additional financing is subject to a number of uncertainties, including those relating to:</w:t>
      </w:r>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for financing activities by companies in our industry;</w:t>
            </w:r>
          </w:p>
        </w:tc>
      </w:tr>
    </w:tbl>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and other conditions in China and elsewhere.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the factors of the above uncertainties are beyond our control. If we fail to obtain additional capital when desired or properly manage our working capital as planned, we may not be able to execute our growth strategies including but not limited to broaden our business scope, penetrate new markets, invest on innovation and technology etc., and could materially and adversely affected our business, results of operations, liquidity, financial condition, competitiveness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retain our senior management team and key employees, or attract additional technology and sales talents, we may not be able to sustain our growth or achieve our business objectives.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success is substantially dependent on the continued service of our senior management team and key employees.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Negative publicity about our KOLs may adversely affect our reputation, our business and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brand and reputation is perceived to be connected with the reputation of the KOLs we collaborate with. Therefore, our brand image and reputation could be harmed by negative publicity about the KOLs we collaborate with. Negative publicity about them could occur in many circumstances that are beyond our control. For example, the KOLs we collaborate with may post unlawful, false, offensive or controversial content on their social media pages, notwithstanding any terms of use of the social media platforms and our guidelines, which may result in negative comments and complaints or even cause their accounts to be closed by social media platforms. Although we have requested the KOLs we collaborate with to observe certain behavioral covenants and to refrain from conduct that is detrimental to our reputation and brand image, we cannot assure you that they will strictly follow those requirements. In addition, they may also receive negative publicity if they are involved in any illegal activities, scandals or rumors. Any of these negative publicity, regardless of veracity, could hurt our reputation and may result in costs incurred to offset such reputation damage and have a negative impact on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have any business insurance coverage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Insurance companies in China currently do not offer as extensive an array of insurance products as insurance companies in more developed economies in China.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failure of any bank in which we deposit our funds could have an adverse effect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Most recently, on March 10, 2023, Silicon Valley Bank (“SVB”) was closed by the California Department of Financial Protection and Innovation, which appointed the U.S. Federal Deposit Insurance Corporation (“FDIC”) as receiver. Similarly, on March 12, 2023, Signature Bank was also placed into receivership. A statement by the U.S. Department of the Treasury, the Federal Reserve and the FDIC indicated that all depositors of SVB would have access to all of their money after only one business day of closure, including funds held in uninsured deposit accounts, however, borrowers under credit agreements, letters of credit and certain other financial instruments with SVB, Signature Bank or any other financial institution that is placed into receivership by the FDIC may be unable to access undrawn amounts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generally seek to diversify our cash and cash equivalents across several financial institutions in an attempt to minimize exposure to any one of these entities, our cash balance with a financial institution may exceed the amount under the deposit guarantee program in the relevant jurisdiction. To the extent any of the financial institutions in which we have deposited funds ultimately fails, we may lose our deposits to the extent they exceed the amount under the deposit guarantee program in the relevant jurisdiction, and/or we may be required to move our accounts to another financial institution, which could cause operational difficulties, such as delays in making payments to third parties, which could have an adverse effect on our business,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Corporate Structure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Cayman Islands holding company with no equity ownership in the VIE and we conduct our operations in China through (i) our PRC subsidiaries and (ii) the VIE entities with which we have maintained contractual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Cayman Islands holding company with no equity ownership in the VIE and we conduct our operations in China through (i) our PRC subsidiaries and (ii) the VIE entities with which we have maintained contractual arrangements. Investors in our ADSs thus are not purchasing equity interest in the VIE entities in China but instead are purchasing equity interest in a Cayman Islands holding company. If the PRC government deems that our contractual arrangements with the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Our holding company in the Cayman Islands, the VIE, and investors of our company face uncertainty about potential future actions by the PRC government that could affect the validity and enforceability of the contractual arrangements with the VIE and, consequently, significantly affect the financial performance of the VIE and our company as a group.</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rely on the contractual arrangements that establish the structure for certain of our operations in China.</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iClick Data Technology (Beijing) Limited, or iClick Beijing, its PRC subsidiary, is considered a foreign invested enterprise, or FIE. To comply with the then-effective PRC laws and regulations, including the Administrative Provisions on Foreign-Invested Advertising Enterprises, OptAim Beijing, later replaced by iClick Beijing entered into a set of contractual arrangements with OptAim Network and its shareholder. For a detailed description of these contractual arrangements, see “Item 4. Information on the Company—C. Organizational Structure—Contractual Arrangements with OptAim Network.” As a result of these contractual arrangements, we exert control over OptAim Network and its subsidiaries, and consolidate their operating results in our financial statements under U.S. GAAP.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After the abolishment of the foreign ownership restriction in advertising business, we had been transferring the advertising business previously operated by the VIE, OptAim Network, primarily consisting of our mobile marketing solution business, to our wholly-owned subsidiaries. As of December 31, 2018, our wholly-owned subsidiaries had replaced OptAim Network as contracting party for all our mobile marketing solution business. In November 2018, OptAim Network acquired Myhayo, a content distribution channel and a mobile content aggregator of articles and short videos in the PRC, which presents customized feeds to users via its mobile application. The mobile application operated by Myhayo allows users to earn points from their daily access, which could be used to redeem cash rewards. It is unclear whether Myhayo’s business model would render it a commercial operator of value-added telecommunication services under the relevant PRC laws, in which case Myhayo would be required to hold a value-added telecommunication license. In August 2019, Myhayo obtained the value-added telecommunication license that has a validity term of five years. See “—Risk Related to Our Business and Industry—If we fail to maintain or renew the value-added telecommunication license, or fail to obtain other requisite license, or approvals or filings in China, the business carried out by certain consolidated entity may be materially and adversely affected.” Current PRC laws and regulations impose certain restriction on foreign investment in value-added telecommunication services. See “—Regulations—Regulations on Foreign Direct Investment in Value-Added Telecommunications Companies.” As a result, we acquired Myhayo through OptAim Network, the VIE. In June 2022, Zhiyunzhong (Shanghai) Technology Co., Ltd., one of the VIE entities, was wholly transferred from OptAim Network to another subsidiary of the Company, Anhui Zhiyunzhong Information Technology Co., Ltd..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2021, OptAim Network contributed 3.0% to our gross billing and 7.8% of our net revenues. In 2022, OptAim Network contributed 5.3% to our gross billing and 12.7% of our net revenues. We conduct our operations in China through our PRC subsidiaries and the VIE entities, with which we maintained these contractual arrangements. Investors in our ordinary shares or the ADSs are not purchasing equity interest in the VIE in China but instead are purchasing equity interest in a Cayman Islands holding company with no equity ownership of the VIE.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Catalogue for the Guidance of Foreign Investment Industries, or Foreign Investment Catalog,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On September 18, 2021, the Ministry of Commerce (“MOFCOM”) and the National Development and Reform Commission, or the NDRC, jointly promulgated the Special Administrative Measures (Negative List 2021) for Foreign Investment Access, or the Special Administrative Measures, which replaced the negative list attached to the Foreign Investment Catalog in 2020. Industries that are not listed in the Special Administrative Measures are permitted areas for foreign investments, and are generally open to foreign investment unless specifically restricted by other PRC regulations. We do not believe our collection and use of multiple kinds of data from multiple sources in China to improve the cost-effectiveness of marketing campaigns for marketers in and outside China fall within the scope of “foreign-related survey” under the Foreign-related Survey Measures listed under the Special Administrative Measures. However, there are uncertainties under the PRC Laws whether such activities may be deemed as “foreign-related survey,” which would require a foreign-related survey license from the National Bureau of Statistics in China or its local counterparts.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iClick Data Technology (Beijing) Limited’s contractual arrangements with OptAim Network and its shareholder to conduct certain of our operations in China, including to transfer such operations to the VIE to the extent they are deemed foreign-related survey.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opinion of our PRC counsel, Jingtian &amp; Gongcheng, our current ownership structure, the ownership structure of our PRC subsidiaries, the VIE entities, and the contractual arrangements among iClick Beijing, OptAim Network and the shareholder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uncertain whether any new PRC laws, rules or regulations relating to variable interest entity structures will be adopted or if adopted, what they would provide. Please see “—Substantial uncertainties exist with respect to the newly enacted PRC Foreign Investment Law and how it may impact the viability of our current corporate structure, corporate governance and business operations.” for more information.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our offerings and equity issuances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contractual arrangements with our variable interest entity and its shareholder for certain of our business operations, which may not be as effective as direct ownership in providing operational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relied and expect to continue to rely on contractual arrangements with the VIE, OptAim Network, and its shareholder for part of our online marketing business on mobile channels in China, as well as certain other complementary businesses, and to the extent our operations are deemed as foreign-related survey. For a description of these contractual arrangements, see “Item 4. Information on the Company—C. Organizational Structure—Contractual Arrangements with OptAim Network.” These contractual arrangements may not be as effective as direct ownership in providing us with control over the VIE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had direct ownership of OptAim Network and its subsidiaries, we would be able to exercise our rights as a shareholder to effect changes in the board of directors of OptAim Network and its subsidiaries, which in turn could implement changes, subject to any applicable fiduciary obligations, at the management and operational level. However, under the current contractual arrangements, we rely on the performance by OptAim Network and the shareholder of OptAim Network of his obligations under the contracts to exercise control over our consolidated variable interest entity and its subsidiaries. The shareholder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failure by our variable interest entity or its shareholder to perform their obligations under our contractual arrangements with them would have a material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consolidated variable interest entity or its shareholder fails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 of OptAim Network was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Such disputes do not include claims arising under the United States federal securities laws and therefore these arbitration provision do not prevent you from pursuing claims under the United States federal securities law.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shareholder of our variable interest entity, may have potential conflicts of interest with us, which may materially and adversely affect our business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equity interests of OptAim Network are held by Mr. Jian Tang, who is our chairman of the board, chief executive officer and co-founder. His interest may differ from the interests of our Company as a whole. The shareholder may breach, or cause our consolidated variable interest entity to breach, or refuse to renew the existing contractual arrangements we have with his and our consolidated variable interest entity, which would have a material adverse effect on our ability to effectively control our consolidated variable interest entity and receive economic benefits from him. For example, the shareholder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 shareholder will act in the best interests of our company or such conflicts will be resolved in our favor.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we do not have any arrangements to address potential conflicts of interest between the shareholder and our company, except that we could exercise our purchase option under the third amended and restated exclusive option agreement with the shareholder to request him to transfer all of his equity interests in OptAim Network to a PRC entity or individual designated by us, to the extent permitted by PRC laws. If we cannot resolve any conflict of interest or dispute between us and the shareholder of OptAim Network, we would have to rely on legal proceedings, which could result in the disruption of our business and subject us to substantial uncertainty as to the outcome of any such legal proceedings.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wholly-owned subsidiary iClick Beijing, the VIE OptAim Network and the shareholder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iClick Beijing’s tax expenses. In addition, if iClick Beijing requests the shareholder of OptAim Network to transfer his equity interests in OptAim Network at nominal or no value pursuant to these contractual arrangements, such transfer could be viewed as a gift and subject iClick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Substantial uncertainties exist with respect to the newly enacted PRC Foreign Investment Law and how it may impact the viability of our current corporate structure, corporate governance and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15, 2019, the National People’s Congress approved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On December 26, 2019, the State Council adopted the Implementing Rules for the Foreign Investment Law of the People’s Republic of China, which took effect on January 1, 2020, to interpret and implement the Foreign Investment Law. However, uncertainties still exist in relation to the nature of “variable interest entity” structure. As a result, the Foreign Investment Law may materially impact the viability of our current corporate structure, corporate governance and business operations in many aspects.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holding company in the Cayman Islands, VIE, and investors of our company face uncertainty about potential future actions by the PRC government that could affect the enforceability of the contractual arrangements with VIE and, consequently, the business, financial condition, and results of operations of VIE and our company as a group. 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VIE structure may be regarded as invalid and illegal. As a result, we would not be able to (i) continue our business in China through our contractual arrangements with the VIE and shareholder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exercise the option to acquire equity ownership of OptAim Network, the ownership transfer may subject us to certain limitation and substantial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contractual arrangements, iClick Beijing has the exclusive right to purchase all or any part of the equity interests in OptAim Network from OptAim Network’s shareholder for a nominal price, unless the relevant government authorities or then applicable PRC laws request that a minimum price amount be used as the purchase price, in such case the purchase price shall be the lowest amount under such request. The shareholder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iClick Beijing to pay enterprise income tax for ownership transfer income with reference to the market value, in which case the amount of tax could be substantial.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Uncertainties in China’s legal system, including the interpretation and enforcement of PRC laws and regulations, could limit the legal protections available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especially difficult for us to accurately predict the potential impact to us of new legal requirements in China because 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Furthermore, rules and regulations in China can change quickly with little advance notice. Recently, Chinese regulators have announced regulatory actions aimed at providing the Chinese government with greater oversight over certain sectors of China’s economy, including the for-profit education sector and technology platforms that have a quantitatively significant number of users located in China. Although the online marketing technology industry does not appear to be the focus of these regulatory actions, we cannot guarantee that the Chinese government will not in the future take regulatory actions that materially adversely affect the business environment and financial markets in China as they relate to us, our ability to operate our business, our liquidity and our access to capital.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 Uncertainties with respect to the PRC legal system could adversely affect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primarily through our subsidiaries and the VIE entities in China. Our operations in China are governed by PRC laws and regulations. Our subsidiaries are generally subject to laws and regulations applicable to foreign investments in China. The PRC legal system is based on written statutes. Prior court decisions may be cited for reference but have limited precedential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PRC government has significant oversight over and discretion over the conduct of our business and may intervene or influence our operations as the government deems appropriate to further regulatory, political and societal goals. Furthermore, recent statements made by the Chinese government have indicated an intent to increase the government’s oversight and control over offerings of companies with significant operations in China that are to be conducted in foreign markets, as well as foreign investment in China-based issuers like us. Any such action could significantly limit or completely hinder our ability to offer or continue to offer securities to investors and cause the value of such securities to significantly decline or be worthless.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PRC laws and regulations have significantly enhanced the protections afforded to various forms of foreign investments in China for the past decades. However, China has not developed a fully integrated legal system, and recently enacted laws and regulations may not sufficiently cover all aspects of economic activities in China. In particular, because these laws and regulations are relatively new, and because of the limited volume of published decisions and their nonbinding nature, the interpretation and enforcement of these laws and regulations involve uncertainties. Furthermore, the PRC legal system is based in part on government policies and internal rules, some of which are not published on a timely basis or at all, which may have a retroactive effect. As a result, we may not be aware of our violation of these policies and rules until sometime after the violation. In addition, any administrative and court proceedings in China may be protracted, resulting in substantial costs and diversion of resources and management attention.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regulatory developments in China may subject us to additional regulatory review and disclosure requirements, expose us to government interference, or otherwise restrict or completely hinder our ability to offer securities and raise capital outside mainland China, which could adversely affect our business operations and cause the value of our securities to significantly decline or become worthless.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our primary business is conducted in China, we are exposed to legal and other risks associated with our operations in China. The PRC government has significant authority to exert influence on the ability of a company with operations in China, including us, to conduct its business, and may exert substantial intervention and influence over the manner our operations. Any actions by the PRC government to exert more oversight and control over offerings that are conducted overseas or foreign investment in companies having operations in China, including us, could significantly limit or completely hinder our ability to offer or continue to offer securities to investors, and cause the value of our securities to significantly decline or become worthless.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new laws and regulations related to data security, expanding the efforts in anti-monopoly enforcement, and adopting new rules to request China-based companies to fulfill relevant filing procedure and report relevant information to the CSRC for overseas offerings. While we do not believe that these regulatory changes would have any material impact on us, we cannot guarantee that the authorities will agree with us or will not promulgate new regulations that restrict our business operations or access to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Cybersecurity and data privacy and security issues are legislative and regulatory focus in China. On July 30, 2021, the State Council of the PRC promulgated the Regulations on the Protection of the Security of Critical Information Infrastructure, which took effect on September 1, 2021. This regulation requires, among others, certain competent authorities to identify critical information infrastructures. If any critical information infrastructure is identified, the relevant authorities shall promptly notify the relevant operator and the Ministry of Public Security. In November 2021, the CAC promulgated the Draft Administrative Regulations on Cyber Data Security, or the Draft Cyber Data Security Regulations, for public comment. These draft regulations set forth different scenarios under which data processors would be required to apply for cybersecurity review. However, there is no definite timetable as to when these draft regulations will be enacted. In addition, the CAC and a number of other departments under the State Council promulgated the Measures for Cybersecurity Review on December 28, 2021, which became effective on February 15, 2022. According to this regulation, critical information infrastructure operators purchasing network products and services and network platform operators carrying out data processing activities, which affect or may affect national security, are required to conduct cybersecurity review. As advised by our PRC counsel, Jingtian &amp; Gongcheng, we believe that we do not need to apply for cybersecurity reviews under the current regulatory regime, because we have not received any notice or determination from competent PRC government authorities identifying us as a critical information infrastructure operator as of the date of this annual report. However, we cannot rule out the possibility that the competent PRC government authorities will not initiate cybersecurity reviews on us in the future. As of the date hereof, we have not been involved in any investigations on cybersecurity review made by the CAC, and we have not received any inquiry, notice, warning, or sanctions in such respect. However, as these are new regulations that are evolving, there remains uncertainties as to how they will be interpreted or implemented in the context of an overseas offering.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be subject to PRC laws relating to the collection, use, sharing, retention security, and transfer of confidential and private information, such as personal information and other data. These PRC laws apply not only to third-party transactions, but also to transfers of information between us and our wholly foreign-owned enterprises in China, and other parties with which we have commercial relations. For example, on September 1, 2021, the PRC Data Security Law became effective, which imposes data security and privacy obligations on entities and individuals conducting data-related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In addition, the Standing Committee of PRC National People’s Congress promulgated the Personal Information Protection Law (the “PIPL”) on August 20, 2021, which took effect on November 1, 2021. The PIPL further emphasizes processors’ obligations and responsibilities for personal information protection and sets out the basic rules for processing personal information and the rules for cross-border transfer of personal information. As of the date hereof, we have not been involved in any investigations on data security or privacy compliance issues in connection with the PRC Data Security Law or the PIPL, and we have not received any inquiry, notice, warning, or sanctions in such respect. In addition, we do not expect to have significant data security or privacy issues given that the nature of our business does not involving collecting and use of vast personal data. However, we cannot guarantee that the regulators will agree with us or will not in the future adopt new regulations that restrict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7, 2021, the Anti-monopoly Committee of the State Council published the Guideline on Anti-monopoly of Platform Economy Sector, or the Guideline, which became effective on the same day, aiming at enhancing anti-monopoly administration on businesses that operate under the platform model and the overall platform economy. The Guideline intends to regulate abuse of a dominant position and other anticompetitive practices by online platform operators and the related merchants and service providers on online platforms, i.e. unfairly locking in exclusive agreements with merchants and targeting specific customers with unreasonable big-data driven tailored pricing through their online behavior to eliminate or limit market competition. As of the date of this document, we have not been subject to any regulatory actions or investigations in connection with anti-monopoly. However, as the Guideline is newly enacted, there remains uncertainties as to how the Guideline will be implemented, and we cannot assure you that the governmental authorities will not take an opposite opinion. Any failure or perceived failure by us to comply with the Guideline and other anti-monopoly laws and regulations may result in governmental investigations or enforcement actions, litigation or claims against us and could have an adverse effect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7, 2022, the CAC promulgated the Measures on Security Assessment of Outbound Data Transfer, or the Measures on Security Assessment of Outbound Data Transfer, effective September 1, 2022. These measures shall apply to the security assessment of the provision of important data and personal information collected and generated by data processors in the course of their operations within the territory of the PRC by such data processors to overseas recipients, or the outbound data transfer. Where there are other provisions in laws and administrative regulations, such other provisions shall prevail. These Measures specify that an outbound data transfer by a data processor that falls under any of the following circumstances, the data processor shall apply to the CAC for the security assessment via the local provincial-level cyberspace administration authority: (i) outbound transfer of important data by a data processor; (ii) outbound transfer of personal information by a critical information infrastructure operator or a personal information processor who has processed the personal information of more than 1,000,000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or (iv) other circumstances where an application for the security assessment of an outbound data transfer is required as prescribed by the CAC. The data we process does not involve the above circumstances. However, we cannot guarantee that the regulators will agree with us or will not in the future adopt new regulations that restrict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these statements and regulatory actions are new, and some regulations are still at the stage of consultation for comments, it is highly uncertain how soon legislative or administrative regulation making bodies will respond and what existing or new laws or regulations or detailed implementations and interpretations will be modified or promulgated, if any, or the potential impact such modified or new laws and regulations will have on our daily business operation, our ability to accept foreign investments and listing on a U.S. or other foreign exchanges. PRC laws and their interpretations and enforcement continue to develop and are subject to change, and the PRC government may adopt other rules and restrictions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approval of and/or filing with the CSRC or other PRC government authorities may be required in connection with our offshore offerings under PRC law, and, if required, we cannot predict whether or for how long we will be able to obtain such approval or complete such filing.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6, 2021, the General Office of the Central Committee of the Communist Party of China and the General Office of the State Council jointly issued Opinions on Strictly Cracking Down Illegal Securities Activities in Accordance with the Law. These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These opinions and any related implementation rules to be enacted may subject us to additional compliance requirement. On February 17, 2023, the CSRC released a set of regulations consisting of six documents, including the Trial Administrative Measures of Overseas Securities Offering and Listing by Domestic Companies and five supporting guidelines, collectively, the Overseas Listing Filing Rules, which came into effective on March 31, 2023. According to the Overseas Listing Filing Rules, China-based companies that have already offered shares or been listed overseas prior to the implementation of such new regulations qualify as “Stock Enterprises”, and Stock Enterprises are not required to apply for the filing immediately until a subsequent overseas offering or listing occurs. However, the Overseas Listing Filing Rules, among others, require the issuer or its main operational entity in the PRC to file with the CSRC for its follow-on securities offerings in the same offshore market within three business days after the completion of such offerings, and file with the CSRC for its offerings or listing in offshore stock market other than the stock market of its initial public offering or listing within three business days after the submission of offering application outside mainland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been listed on the NASDAQ prior to the implementation of the Overseas Listing Filing Rules. Therefore, we are qualified as a “Stock Enterprise” and are not required to apply for the filing immediately until a subsequent overseas offering or listing occurs according to the Overseas Listing Filing Rules. However, we are required to file with the CSRC for its follow-on securities offerings in the same offshore market within three business days after the completion of such offerings, and file with the CSRC for our offerings or listing in offshore stock market other than the stock market of our initial public offering or listing within three business days after the submission of offering application outside mainland China. Failure to comply with the filing requirements for any offering, listing or any other capital raising activities, may result in administrative penalties, such as order to rectify, warnings, fines and other penalties, on us, our controlling shareholders, the actual controllers, any person directly in charge and other directly liable persons. Given the uncertainties surrounding the CSRC filing requirements at this stage, we cannot assure you that we will be able to complete the filings and fully comply with the relevant new rules on a timely basis, or at all, if we conduct listing in other offshore stock markets or follow-on offerings, issuance of convertible corporate bonds, exchangeable bonds, or other kinds of equity security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we have not received any inquiry, notice, warning, or sanctions regarding offshore offering from the CSRC or any other PRC regulatory authorities. However, if it is determined in the future that approval from the CSRC or other regulatory authorities or other procedures are required for our offshore offerings, it is uncertain whether we can or how long it will take us to obtain such approval or complete such procedures and any such approval or completion could be rescinded. Any failure to obtain or delay in obtaining such approval or completing such procedures for our offshore offerings, or a rescission of any such approval obtained by us, would subject us to sanctions by the CSRC or other PRC regulatory authorities for failure to seek approval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ordinary shares and ADSs. The CSRC or other PRC regulatory authorities also may take actions requiring us, or making it advisable for us, to halt our offshore offerings before settlement and delivery of the shares offered hereby. Consequently, if you engage in market trading or other activities in anticipation of and prior to settlement and delivery, you do so at the risk that settlement and delivery may not occur. In addition, if the CSRC or other regulatory authorities later promulgate new rules or explanations requiring that we obtain their approvals or accomplish the required filing or other regulatory procedures for our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the ordinary shares and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many of the economic and political risks associated with emerging markets due to our operations in mainland China and Hong Kong. Adverse changes in mainland China or Hong Kong’s economic, political and social conditions as well as government policies could adversely affect our business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primary operations are based in, and a substantial percentage of our revenue is generated from China, one of the world’s largest emerging markets. In light of our operations in an emerging market, we may be subject to risks and uncertainties including fluctuations in GDP, unfavorable or unpredictable treatment in relation to tax matters, expropriation of private assets, exchange controls, restrictions affecting our ability to make cross-border transfer of funds, regulatory proceedings, inflation, currency fluctuations or the absence of, or unexpected changes in, regulations and unforeseeable operational risks. In addition, our business, prospects, financial condition and results of operations may be significantly influenced by political, economic and social conditions in China generally and by continued economic growth in China as a whole.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that focus on taking into account market forces to effect economic reform aimed at reducing the state ownership of productive assets and the establishing improved corporate governance in business enterprises, a substantial portion of China’s productive assets are still owned by the government. In addition, the PRC government continues to play a significant role in regulating development through industrial, economic and business policies. The PRC government also exercises significant control over China’s economic growth through its allocation of resources, control of payment of foreign currency-denominated obligations, setting monetary policy, and providing preferential treatment for particular industries or companies. The PRC government also exercises significant control over China’s economic growth through its allocation of resources, control of payment of foreign currency-denominated obligations, monetary policy, and preferential treatment for particular industries or companies. Any such action, once taken by the Chinese government, could significantly limit or completely hinder our ability to offer or continue to offer ADSs and ordinary shares to our investors, and could cause the value of our ADSs and ordinary shares to significantly decline or become worthless.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which may benefit the overall Chinese economy, may have a negative effect on us. For example, our financial condition and results of operations may be adversely affected by government control over capital investments or changes in tax regulations. In addition, the PRC government has from time to time implemented certain measures, including interest rate changes, to control the pace of economic growth. These measures may cause decreased economic activity in China, and since 2012, the Chinese economy has slowed down. Any prolonged slowdown in the Chinese economy may reduce the demand for our services and materially and adversely affect our business and results of operations. There have also been concerns about the relationships among China and other Asian countries, the relationship between China and the United States, as well as the relationship between the United States and certain Asian countries such as North Korea, which may result in or intensify potential conflicts in relation to territorial, regional security and trade disputes.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 An economic downturn, whether actual or perceived, a further decrease in economic growth rates or an otherwise uncertain economic outlook in China could have a material adverse effect on business and consumer spending and, as a result,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Developments in U.S.-China relations, including any escalation of political or trade tensions, could negatively affect our business and the market for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in Hong Kong, and we derive a substantial percentage of our revenue from China. We also continuously seek to expand our international footprint. Accordingly, international trade or political tensions, especially those affecting mainland China and Hong Kong’s relations with the United States, could affect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recent years, political tensions between the United States and China have escalated due to factors including the COVID-19 outbreak and related issues, China’s enactment of national security legislation for Hong Kong, the United States’ enactment of the Hong Kong Autonomy Act, U.S. sanctions imposed on certain Chinese and Hong Kong officials, the U.S. executive order of November 2020 prohibiting U.S. persons from buying securities of certain “Chinese Military-Industrial Complex Companies”, the United States’ imposition of import bans on certain companies and products based on “forced labor” allegations, a January 2021 U.S. executive order authorizing restrictions on dealings with persons who develop or control certain China-connected software applications companies, and United States’ imposition of licensing requirement for exports or transfers of items on lists of controlled items maintained by the U.S. government. We could also be affected by U.S. actions targeting specific Chinese companies we do business with, such as the August 2020 U.S. executive orders prohibiting certain transactions with ByteDance Ltd., Tencent Holdings Ltd. and their respective subsidiaries. China has responded to some of the U.S. actions listed above in actions generally perceived as retaliations, including imposing sanctions on certain U.S. officials and lawmakers, the adoption of China’s Unreliable Entity List, and China’ s tightening of export rules for sensitive technology under its Export Control Law, which came into effect in December 2020.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types of government actions described in the paragraph above are in practice discretionary and highly political. In a relationship as broad and complex as that between the United States and China, it is difficult to predict the full impact of these laws, executive orders and regulations on either us or the overall bilateral relationship. We partner and have business with some of the companies referred to in these executive orders, including Tencent, with which we do substantial business. If a broad prohibition against transactions with Tencent or other companies that we partner or have business with were to be implemented, our business and results of operations could be materially and adversely affected. We cannot assure you that there will not be additional laws, regulations or executive orders or that existing laws regulations or executive orders will be interpreted in ways that impact us. Furthermore, developments in U.S.-China relations could cause investor uncertainty, and the market price of our ADSs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SEC has issued statements primarily focused on companies with significant China-based operations, such as us. For example, on July 30, 2021, Gary Gensler, Chairman of the SEC, issued a Statement on Investor Protection Related to Recent Developments in China, pursuant to which Chairman Gensler stated that he has asked the SEC staff to engage in targeted additional reviews of filings for companies with significant China-based operations. The statement also addressed risks inherent in companies with VIE structures. It is possible that our periodic reports and other filings with the SEC may be subject to enhanced review by the SEC and this additional scrutiny could affect our ability to effectively raise capital in the United States. Consistent with that directive, on December 20, 2021, the SEC posted an illustrative letter containing sample comments to companies with the majority of their operations in the PRC or Hong Kong. The statement and sample comment letter also addressed risks inherent in companies with a VIE, structure, which are used by some companies in China that operate in sectors that are subject to foreign ownership limitations. In response to the SEC’s July 30 statement, the CSRC announced on August 1, 2021, that the CSRC will continue to collaborate “closely with different stakeholders including investors, companies, and relevant authorities to further promote transparency and certainty of policies and implementing measures.” There is no assurance that the tension between the two nations will ease soon. If any new legislation, executive orders, tariffs, laws and/or regulations are implemented, if existing trade agreements are renegotiated or if the U.S. or Chinese governments take retaliatory actions due to the U.S.-China tension, such changes could have an adverse effect on our business, financial condition and results of operations, our ability to raise capital and the price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political tensions, international trade disputes could result in tariffs and other protectionist measures that could adversely affect our business and investor sentiment. The U.S. initiated certain trade actions, primarily higher tariffs, against China beginning in early 2018 and China took certain actions in retaliation. Although the two countries reached the so-called “Phase One” trade deal in January 2020, the long-term stability of their trade relationship remains uncertain. Higher tariffs could increase the cost of goods and services, which could affect our customers’ marketing budget or lead to generally lower levels of economic activity. As we are expanding our business internationally, any unfavorable government policies on international trade, such as capital controls or tariffs, could also affect the demand for our products and services, impact our competitive position, or prevent us from being able to conduct business in certain countries. If any new tariffs, legislation or regulations are implemented or if existing trade agreements are renegotiated, including in relation to political developments in the relationship, such changes could have an adverse effect on our business, financial condition and results of operations. In addition, any escalation in existing trade tensions or the advent of a trade war or related news or rumors, could affect consumer confidence and have a material adverse effect on our business, results of operations and, ultimately, the trading price of the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dividends and other distributions on equity paid by the Company’s subsidiaries incorporated in mainland China to fund any cash and financing requirements we may have, and any limitation on the ability of the Company’s subsidiaries incorporated in mainland China to make payments to us could have a material adverse effect on our ability to conduct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Cayman Islands exempted limited liability company, used as a holding company, and we rely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mainland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 Furthermore, the failure of our beneficial owners who are PRC residents to register or comply with the registration procedures set forth in SAFE Circular 37 and subsequent implementation rules, may also limit our PRC subsidiaries’ ability to distribute dividends to us. See “Item 3. Key Information—D. Risk Factors—Risks Related to Doing Business in China—PRC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 regulation of loans to and direct investment in entities incorporated in mainland China by holding companies incorporated outside mainland China and governmental control of currency conversion may delay or prevent us from using the proceeds of the fundraisings outside mainland China to make loans to or make additional capital contributions to the Company’s subsidiaries incorporated in mainland China, which could materially and adversely affect our liquidity and our ability to fund and expand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funds we transfer to our PRC subsidiaries, either as a shareholder loan or as an increase in registered capital, are subject to approval by, registration or record filing with relevant governmental authorities in mainland China. According to the relevant PRC regulations on foreign-invested enterprises in mainland China, capital contributions to our PRC subsidiaries are subject to the requirement of making necessary filings in the Foreign Investment Comprehensive Management Information System, or FICMIS, and registration with other governmental authorities in mainland China. In addition, (i) any foreign loan procured by our PRC subsidiaries is required to be registered with the State Administration of Foreign Exchange, or SAFE, or its local branches, and (ii) except as otherwise regulated by laws or regulations each of our PRC subsidiaries may procure loans which do not exceed the difference between its registered capital and its total investment amount as recorded in FICMIS, or as an alternative, do not exceed the upper limit as specified in the Notice of the People’s Bank of China on Matters concerning the Macro-Prudential Management of Full-Covered Cross-Border Financing as promulgated by People’s Bank of China, or the PBOC, on January 11, 2017. Any medium or long term loan to be provided by us to our variable interest entity must be recorded and registered by the NDRC and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our offering and to capitalize our PRC operations may be negatively affected, which could adversely affect our liquidity and our ability to fund and expand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2008,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Fluctuations in exchange rates could have a material adverse effect on our results of operations and the price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PBOC. The Renminbi has fluctuated against the U.S. dollar, at times significantly and unpredictably. The value of the Renminbi against the U.S. dollar and other currencies is affected by changes in mainland China’s political and economic conditions and by mainland China’s foreign exchange policies, among other things.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substantial portion of our revenues and costs are denominated in Renminbi, whereas our reporting currency is the U.S. dollar. Any significant appreciation or depreciation of the Renminbi may materially and adversely affect our revenues, earnings and financial position as reported in U.S. dollars. To the extent that we need to convert U.S. dollars we receive from our offshore fundraisings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Very limited hedging options are available in mainland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Governmental control of currency conversion may limit our ability to utilize our revenues effectively and affect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imposes controls on the convertibility of the Renminbi into foreign currencies and, in certain cases, the remittance of currency out of mainland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mainland China to pay capital expenses such as the repayment of loans denominated in foreign currencies, as enterprises shall duly file the cross-border financing contracts according to the Circular of the PBOC on Matters relating to the Macro-prudential Management of Full-covered Cross-border Financing for the Issuance of Foreign Debts by Enterprise, or Circular on Management of Cross-border Financing, effective on January 11, 2017, and any medium or long term loan to be provided by foreign entities to domestic enterprises must be recorded and registered by the National Development and Reform Committee, or the NDRC, according to the Circular on Promoting the Administrative Reform of the Record- filing and Registration System for the Issuance of Foreign Debts by Enterprises, or Circular on Promoting the Administrative Reform, by the NDRC on September 14, 2015.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light of the flood of capital outflows of mainland China in 2016 due to the weakening Renminbi, the PRC government has imposed more restrictive foreign exchange policies and stepped up scrutiny of major outbound capital movement. More restrictions and substantial vetting process are put in place by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M&amp;A rules and certain other PRC regulations establish complex procedures for some acquisitions of Chinese companies by foreign investors, which could make it more difficult for us to pursue growth through acquisitions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the Anti-Monopoly Law promulgated by the Standing Committee of the National People’s Congress of the PRC, which became effective in 2008 requires that transactions which are deemed concentrations and involve parties with specified turnover thresholds must be cleared by MOFCOM before they can be completed. In addition, the Notice of the General Office of the State Council on Establishing the Security Review System for Mergers and Acquisitions of Domestic Enterprises by Foreign Investors which became effective in March 2011 requires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MOFCOM, may delay or inhibit our ability to complete such transactions, which could affect our ability to expand our business or maintain our market share.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failure to comply with PRC regulations regarding the registration requirements for employee stock incentive plans may subject the PRC plan participants or us to fines and other legal or administrative sanctions.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SAFE in 2012, or the 2012 SAFE Notices. Pursuant to the 2012 SAFE Notices, PRC citizens and non-PRC citizens who reside in mainland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Failure to complete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Company—B. Business Overview—Regulation—Regulations on Foreign Exchange—Equity Incentive Plans.”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State Administration of Taxation, or the SAT, has issued certain circulars concerning employee share options and restricted shares. Under these circulars, our employees working in mainland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Company—B. Business Overview—Regulation—Regulations on Foreign Exchange—Equity Incentive Plans.”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make adequate contributions to various employee benefit plans as required by PRC regulations may subject us to penalties.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Companies operating in mainland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mainland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classified as a PRC resident enterprise for PRC income tax purposes, such classification could result in unfavorable tax consequences to us and our non-PRC shareholders or ADS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or the EIT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as amended on December 29, 2017, known as Circular 82, which provides certain specific criteria for determining whether the “de facto management body” of a PRC-controlled enterprise that is incorporated offshore is located in mainland China. Although this circular applies only to offshore enterprises controlled by PRC enterprises or PRC enterprise groups, not those controlled by PRC individuals or foreigners like us,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mainland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none of our entities outside of mainland China is a PRC resident enterprise for PRC tax purposes. See “Item 10. Additional Information—E. Taxation—People’s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mainland China, it remains unclear how the tax residency rule will apply to our case. If the PRC tax authorities determine that iClick Interactive Asia Group Limited or any of our subsidiaries outside of mainland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be subject to PRC income tax on dividends from us or on any gain realized on the transfer of our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mainland China may not qualify for benefits under such tax treaties or arrangements.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obtain certain benefits under relevant tax treaty on dividends paid by our PRC subsidiaries to us through our Hong Kong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EIT Law, a withholding tax rate of 10% currently applies to dividends paid by a PRC “resident enterprise” to a foreign enterprise investor, unless any such foreign investor’s jurisdiction of incorporation has a tax treaty with mainland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SAT,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Taxpayers to Enjoy Treatments under Tax Treaties, which became effective on January 1, 2020,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“Item 10. Additional Information—E. Taxation—People’s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uncertainties with respect to indirect transfers of equity interests in PRC resident enterprises by their non-PRC holding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(i) has an effective tax rate less than 12.5% or (ii) does not tax foreign income of its residents, the non-resident enterprise, being the transferor, shall report to the competent tax authority of the PRC resident enterprise this Indirect Transfer.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applicable taxes will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17, 2017, SAT issued the Announcement on Issues Relating to Withholding at Source of Income Tax of Non-resident Enterprises, or SAT Circular 37, effective in December 2017, which supersedes SAT Circular 698 as a whole and partially amended some provisions in SAT Circular 7. SAT Circular 37 further reduces the burden of withholding obligator, such as revocation of contract filing requirements and tax liquidation procedures, strengthens the cooperation of tax authorities in different places, and clarifies the calculation of tax payable and conversion of foreign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Public Notice 7 and SAT Circular 37. For transfer of shares in our company by investors that are non-PRC resident enterprises, our PRC subsidiaries may be requested to assist in the filing under SAT Public Notice 7 and SAT Circular 37. As a result, we may be required to expend valuable resources to comply with SAT Public Notice 7 and SAT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litigation and negative publicity surrounding China-based companies listed in the U.S. may result in increased regulatory scrutiny of us and negatively impact the trading price of the ADSs and could have an adverse effect upon our business, including our results of operations, financial condition, cash flows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litigation and negative publicity surrounding companies with operations in China that are listed in the U.S. have negatively impacted stock prices for these companies. Various equity-based research organizations have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an adverse effect upon our business, including our results of operations, financial condition, cash flows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PCAOB had historically been unable to inspect our auditor in relation to their audit work performed for our financial statements and the inability of the PCAOB to conduct inspections of our auditor in the past had deprived our investors with the benefits of such inspections.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Hong Kong in the past had made it more difficult to evaluate the effectiveness of our independent registered public accounting firm’s audit procedures or quality control procedures as compared to auditors outside of Hong Kong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the ADSs would be deprived of the benefits of such PCAOB inspections again, which could cause investors and potential investors in the ADSs to lose confidence in our audit procedures and reported financial information and the quality of our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ADSs may be prohibited from trading in the United States under the HFCA Act, if the PCAOB is unable to inspect or fully investigate auditors located in mainland China or Hong Kong. The delisting of our ADSs, or the threat of their being delisted, may materially and adversely affect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HFCA Act,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June 1, 2022, the SEC conclusively listed us as a Commission-Identified Issuer under the HFCA Act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do not expect to be identified as a Commission-Identified Issuer under the HFCA Act after we file this annual report on Form 20-F for the fiscal year ended December 31,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 Act, our ADSs would be prohibited from being traded on a national securities exchange or in the over-the-counter trading market in the United States if we are identified as a Commission-Identified Issuer for two consecutive years in the future. If our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other ADSs when you wish to do so, and the risk and uncertainty associated with delisting would have a negative impact on the price of the ADSs. Also, such a prohibition would significantly affect our ability to raise capital on terms acceptable to us, or at all, which would have a material adverse impact on our business,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American Depositary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for our ADSs may be volatile.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ADSs became listed on NASDAQ Global Market on December 21, 2017, the trading price of our ADSs has ranged from US$0.21 to US$19.10 per ADS (trading price presented here reflected actual trading price, without retrospectively applied ratio change). The trading prices of our ADSs are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Furthermore, as a result of the narrow band of our ADSs publicly available for trading, small trades can cause significant percentage changes in valuation in a short time period. Such volatility may affect the attitude of investors towards our securities,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above factors, the price and trading volume of our ADSs may be highly volatile due to multiple other factors, including the following:</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us, our clients and end marketers, or our industry;</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the online marketing industry and SaaS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 of our results of operations from quarter to quarter due to seasonality in online marketing business, which may be affected by the online spending cycles of consumers and marketers’ practices in marketing budget allocation;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studies and reports relating to the quality of our solutions and service offerings or those of our competitors;</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other providers of marketing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results of operations and changes in or revisions to our expected results;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research analysts;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new product and service offerings, acquisitions, strategic relationships, joint ventures or capital commitments;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senior management;</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detrimental negative publicity about us, our management or our industry;</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exchange rates between Renminbi and the U.S. dollar;</w:t>
            </w:r>
          </w:p>
        </w:tc>
      </w:tr>
    </w:tbl>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or expiry of lock-up or other transfer restrictions on our outstanding ordinary shares or ADSs;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perceived potential sales of additional ordinary shares or ADSs;</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 repurchase program; and</w:t>
            </w:r>
          </w:p>
        </w:tc>
      </w:tr>
    </w:tbl>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investing actions.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factors may result in large and sudden changes in the volume and price at which our ADSs will trade.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stock market in general, and the market prices for internet-related companies and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ADSs, regardless of our actual operating performance. In addition, any negative publicity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have contributed and may continue to contribute to extreme volatility in the global stock markets. These broad market and industry fluctuations may adversely affect the market price of our ADSs. Volatility or a lack of positive performance in our ADS price may also adversely affect our ability to retain key employees, most of whom have been granted options or other equity incentives.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ADSs may not comply with the minimum listing requirements of the NASDAQ.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are currently listed on the NASDAQ Global Market. In order to maintain listing on the NASDAQ, we must satisfy minimum financial and other continued listing requirements and standards, including maintaining a minimum average closing price of $1.00 per ADS over a period of 30 consecutive business days. The Company received a notification letter from the NASDAQ dated June 14, 2022 indicating that the closing bid price of the ADSs was below the minimum bid price of $1.00 required for continued listing under the NASDAQ Listing Rule 5450(a)(1) for 30 consecutive business days. The Company regained compliance with the minimum bid price requirement by changing the ratio of its ADSs representing its Class A ordinary shares from one (1) ADS representing one-half (1/2) of one Class A ordinary share to one (1) ADS representing five (5) Class A ordinary shares. The change became effective on November 14, 2022. Since November 29, 2022, and the Company has regained compliance with the minimum bid price requirement. However, if we were not able to maintain compliance with this requirement or any other applicable listing standard of the NASDAQ, our ADSs would be subject to delisting. In the event that our ADSs are delisted from the NASDAQ and are not eligible for quotation or listing on another market or exchange, trading of our ADSs could be conducted only in the over-the-counter market established for unlisted securities such as OTC markets. In such event, it could become more difficult to dispose of, or obtain accurate price quotations for our ADSs, which could cause the price of our ADSs to decline further. As a result, our ability to obtain adequate financing for the continuation of our operations would be substantially impaired, which could have a material adverse effect on our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cannot guarantee that any share repurchase program will be fully consummated or that any share repurchase program will enhance long-term shareholder value, and share repurchases could increase the volatility of the trading price of the ADSs and could diminish our cash reserves.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announced share repurchase programs in November 2018 (the “2018 Share Repurchase Program”), January 2020 (the “January 2020 Share Repurchase Program”), December 2020 (the “December 2020 Share Repurchase Program”), December 2021 (the “December 2021 Share Repurchase Program”) and December 2022 (the “December 2022 Share Repurchase Program”) to purchase up to US$10 million, US$10 million, US$15 million, US$20 million and US$5 million of the ADSs respectively. In August 2021, we upsized the “December 2020 Share Purchase Program” by US$10 million to US$25 million. Although our board of directors has authorized these programs, we are not obligated to purchase any specific dollar amount or to acquire any specific number of shares.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we deem appropriate. As of December 31, 2022, we repurchased approximately US$28 million of the ADSs under the share repurchase programs. Our share repurchase program could affect the price of the ADSs and increase volatility and may be suspended or terminated at any time, which may result in a decrease in the trading price of the ADSs. For example, the existence of a share repurchase program could cause the price of the ADSs to be higher than it would be in the absence of such a program and could potentially reduce the market liquidity for the ADSs. Additionally, our share repurchase program could diminish our cash reserves, which may impact our ability to finance future growth and to pursue possible future strategic opportunities. There can be no assurance that any share repurchases will enhance shareholder value because the market price of the ADSs or our ordinary shares may decline below the levels at which we determine to repurchase the ADSs or our ordinary shares. Although our share repurchase program is intended to enhance long-term shareholder value, there is no assurance that it will do so and short-term share price fluctuations could reduce the program’s effectiveness.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20 votes per share based on our dual-class share structure. One ADSs represent five Class A ordinary shares was effective from November 14, 2022.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Mr. Sammy Hsieh, our director and co-founder, Mr. Jian Tang, our chairman of the board, chief executive officer and co-founder, beneficially own an aggregate of 4,385,078 Class B ordinary shares. Due to the disparate voting powers associated with our dual-class share structure, Mr. Hsieh and Mr. Tang, collectively beneficially owned approximately 61.2% of the aggregate voting power of our company as of March 31, 2023. See “Item 6. Directors, Senior Management and Employees—E. Share Ownership.” In January 2021, we issued 649,349 Class B ordinary shares to Baozun Inc., or Baozun. In addition, Baozun entered into a share purchase agreement with an existing shareholder of us, pursuant to which Baozun purchased from such existing iClick shareholder 2,471,468 ADSs. After the closing of the above transactions, Baozun beneficially owned approximately 4% of our total outstanding shares, representing approximately 10% of our total voting equity. As a result of the dual-class share structure and the concentration of ownership, Mr. Hsieh, Mr. Tang and Baozun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Our directors, officers and principal shareholders have substantial influence over our company and their interests may not be aligned with the interests of our other shareholders.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Our directors and officers collectively owned an aggregate of 61.2% of the total voting power of our outstanding ordinary shares as of March 31, 2023. See “Item 6. Directors, Senior Management and Employees—E. Share Ownership.” As a result, they have substantial influence over our business, including significant corporate actions such as change of directors, mergers, change of control transactions and other significant corporate actions.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ADS holders. In addition, the significant concentration of share ownership may adversely affect the trading price of the ADSs due to investors’ perception that conflicts of interest may exist or arise.</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We have granted, and may continue to grant, share incentives, which may result in increased share based compensation expenses.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have granted, and may continue to grant, share incentives to employees, directors and advisors to incentivize their performance and align their interests with ours.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of March 31, 2023, options to purchase 274,830 Class A ordinary shares were outstanding under our 2018 Plan, and they were vested and unexercised options.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of March 31, 2023, 427,880 Class A ordinary shares were outstanding under our Post-IPO Plan, representing the shares underlying the unvested 427,880 restricted Class A ordinary shares units.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account for shared-based compensation for these share incentive awards using a fair value based method and recognize expenses in our consolidated statements of comprehensive loss in accordance with U.S. GAAP. We will incur additional share based compensation expenses in the future as we continue to grant share incentives using the ordinary shares reserved for this platform. We believe the granting of share-based compensation is of significant importance to our ability to attract and retain key personnel and employees, and we will continue to grant share-based compensation to them in the future. As a result, our expenses associated with share-based compensation may increase, which may have an adverse effect on our results of operations.</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publish inaccurate or unfavorable research about our business, the market price for our ADSs and trading volume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sale or availability for sale of substantial amounts of our ADSs could adversely affect their market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substantial amounts of our ADSs in the public market, or the perception that these sales could occur, could adversely affect the market price of our ADSs and could materially impair our ability to raise capital through equity offerings in the future. Certain holders of our ordinary shares have rights, subject to certain conditions, to require us to file registration statements covering their shares or to include their shares in registration statements that we may file for ourselves or other shareholders. We have also registered all ordinary shares that we may issue under our equity compensation plans. These shares can be freely sold in the public market subject to volume limitations applicable to affiliates. If any of these additional shares are sold, or if it is perceived that they will be sold, in the public market, the market price of our ADSs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predict what effect, if any, market sales of securities held by our significant shareholders, including potential sales of our securities upon the conversion of our convertible notes, or any other shareholder or the availability of these securities for future sale will have on the market price of our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Because we do not expect to pay dividends in the foreseeable future, you must rely on price appreciation of our ADSs for return on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memorandum and articles of association that contain anti-takeover provisions that could discourage a third party from acquiring us and adversely affect the rights of holders of our Class A ordinary shares and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memorandum and articles of association contain certain provisions that could limit the ability of others to acquire control of our company, including a dual-class share structure that gives greater voting power to the Class B ordinary shares beneficially owned by Mr. Sammy Hsieh, Mr. Jian Tang and Baozun,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approval for certain events, including the establishment or amendment of certain equity based compensation plans and arrangements and certain transactions involving issuances of 20% or more interest in our company;</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 independent directors on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independent directors being involved in the selection of director nominees and determination of executive officer compensation; and</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regularly scheduled executive sessions of independent directors.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our reliance on the corporate governance exemptions available to foreign private issuers, you will not have the same protection afforded to shareholders of companies that are subject to all of Nasdaq’s corporate governance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face difficulties in protecting your interests, and your ability to protect your rights through U.S. courts may be limited, because we are incorporated under Cayman Islands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limited liability company incorporated under the laws of the Cayman Islands. Our corporate affairs are governed by our memorandum and articles of association, the Companies Act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courts are also unlikely: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recognize or enforce against us judgments of courts of the United States based on certain civil liability provisions of U.S. securities laws;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impose liabilities against us, in original actions brought in the Cayman Islands, based on certain civil liability provisions of U.S. securities laws that are penal in nature.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all of the above,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or to obtain copies of lists of shareholders of these companies. Our directors will have discretion under our current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experience difficulties in effecting service of legal process and enforcing judgments obtained against us, our directors or our officers, and the ability of U.S. authorities to bring actions against us, our directors or our officers in China may also be limited.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In addition, due to jurisdictional limitations, matters of comity and various other factors, the SEC, Department of Justice (“DOJ”) and other U.S. authorities may be limited in their ability to take enforcement actions, including in instances of fraud, against us or our directors and officers in China. In addition, shareholder claims that are common in the United States, including class action securities law and fraud claims, are generally uncommon in China.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voting rights of holders of ADSs are limited by the terms of the deposit agreement, and you may not be able to exercise your right to vote your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Except in limited circumstances, the depositary for our ADSs will give us a discretionary proxy to vote the Class A ordinary shares underlying your ADSs if you do not vote at shareholders’ meetings, which could adversely affect your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(i) the granting of such discretionary proxy does not subject the depositary to any reporting obligations in the Cayman Islands, (ii) the granting of such proxy will not result in a violation of any applicable law, public rule or regulation in force in the Cayman Islands and (iii) the courts of the Cayman Islands will give effect to the voting arrangement and deemed instruction as contemplated in the proxy under Cayman Islands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Your rights to pursue claims against the depositary as a holder of ADSs are limited by the terms of the deposit agreement and the deposit agreement may be amended or terminated without your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Your right to participate in any future rights offerings may be limited, which may cause dilution to your holdings.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not receive dividends or other distributions on our Class A ordinary shares and you may not receive any value for them, if it is illegal or impractical to make them available to you.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be subject to limitations on transfer of your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Exchange Act, and as such we are exempt from certain provisions applicable to U.S. domestic public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securities rules and regulations in the United States that are applicable to U.S. domestic issuers,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 of quarterly reports on Form 10-Q or current reports on Form 8-K;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 and</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and reports on Form 6-K relating to certain material events promptly after we publicly announce these events.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lose our foreign private issuer status in the future, which could result in significant additional cost and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incurred increased costs as a result of being a public company, and our compliance costs may continue to increase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incurred additional legal, accounting and other expenses as a public reporting company. For example, we are required to comply with additional requirements of the rules and regulations of the SEC and requirements of the NASDAQ Global Market, including applicable corporate governance practices.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can be no assurance that we will not be a passive foreign investment company, or PFIC, for United States federal income tax purposes for any taxable year, which could subject United States investors in our ADSs or ordinary shares to significant adverse United States income tax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non-U.S. corporation will be a “passive foreign investment company,” or “PFIC,” if, in any particular taxable year, either (a) 75% or more of its gross income for such year consists of certain types of “passive” income or (b) 50% or more of the average quarterly value of its assets (as determined on the basis of fair market value) during such year produce or are held for the production of passive income (the “asset test”). For this purpose, cash generally is treated as a passive asset. Goodwill is treated as an active asset under the PFIC rules to the extent attributable to activities that produce active income for these purposes. We will be treated as owning our proportionate share of the assets and earning our proportionate share of the income of any other corporation in which we own, directly or indirectly, 25% or more (by value) of the stock.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determination of whether we are a PFIC is made annually after the close of each taxable year. This determination is based on the facts and circumstances at that time, some of which may be beyond our control, such as the amount and composition of our income and the valuation and composition of our assets, including goodwill and other intangible assets, as implied by the market price of our ADSs and ordinary shares. In particular, because the value of our assets for purposes of the asset test may be determined by reference to the market price of our ADSs, the recent decline in the market price of our ADSs has resulted in a significant risk that we were a PFIC for our prior taxable year (or, alternatively, that we may become a PFIC for the current or subsequent taxable years). The market price of our ADSs and/or ordinary shares may continue to fluctuate considerably and, consequently, we cannot assure you of our PFIC status for any taxable year. In addition, the composition of our income and assets will also be affected by how, and how quickly, we use our liquid assets. If we determine not to deploy significant amounts of cash for active purposes, or if it were determined that we do not own the stock of the consolidated variable interest entities for U.S. federal income tax purposes, our risk of being a PFIC may substantially increase.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we are a PFIC in any taxable year, U.S. Holders (as defined in “Item 10. Additional Information—E. Taxation—United States Federal Income Tax Considerations”) may incur significantly increased U.S. income tax on gain recognized on the sale or other disposition of the ADSs or ordinary shares and on the receipt of distributions on the ADSs or ordinary shares to the extent such gain or distribution is treated as an “excess distribution” under the U.S. federal income tax rules, and may be subject to burdensome reporting requirements. Further, if we are a PFIC for any year during which a U.S. Holder holds our ADSs or ordinary shares, the U.S. Holder generally will be required to continue to treat us as a PFIC for all succeeding years during which the U.S. Holder holds our ADSs or ordinary shares. For more information, see “Item 10. Additional Information—E. Taxation—United States Federal Income Tax Considerations—Passive Foreign Investment Company Rules.”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4" w:name="ITEM4INFORMATIONONTHECOMPANY_891666"/>
      <w:bookmarkStart w:id="45" w:name="_1b372c78_ad4e_4596_aee6_0bbbd10681fe"/>
      <w:bookmarkEnd w:id="44"/>
      <w:bookmarkEnd w:id="45"/>
      <w:r>
        <w:rPr>
          <w:rFonts w:ascii="Times New Roman;Times;serif" w:hAnsi="Times New Roman;Times;serif"/>
          <w:b/>
          <w:i w:val="false"/>
          <w:caps w:val="false"/>
          <w:smallCaps w:val="false"/>
          <w:sz w:val="20"/>
        </w:rPr>
        <w:t>ITEM 4.</w:t>
      </w:r>
      <w:r>
        <w:rPr>
          <w:rFonts w:ascii="Times New Roman;Times;serif" w:hAnsi="Times New Roman;Times;serif"/>
          <w:b/>
          <w:sz w:val="20"/>
        </w:rPr>
        <w:t>INFORMATION ON THE COMPANY</w:t>
      </w:r>
    </w:p>
    <w:tbl>
      <w:tblPr>
        <w:tblW w:w="3887" w:type="dxa"/>
        <w:jc w:val="left"/>
        <w:tblInd w:w="0" w:type="dxa"/>
        <w:tblLayout w:type="fixed"/>
        <w:tblCellMar>
          <w:top w:w="0" w:type="dxa"/>
          <w:left w:w="0" w:type="dxa"/>
          <w:bottom w:w="0" w:type="dxa"/>
          <w:right w:w="0" w:type="dxa"/>
        </w:tblCellMar>
      </w:tblPr>
      <w:tblGrid>
        <w:gridCol w:w="301"/>
        <w:gridCol w:w="358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5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History and Development of the Company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commenced our online marketing business in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2015, we acquired all shares in OptAim Ltd., or OptAim, and substantially expanded our online marketing business into mobile channels to identify, engage and convert mobile 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21, 2017, our ADSs commenced trading on Nasdaq Global Market under the symbol “ICLK.” We raised from our initial public offering approximately $23,325,000 in net proceeds after deducting underwriting commissions and the offering expenses payable by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2018, we launched a strategic growth initiative beyond our core online marketing operation to provide SaaS-based enterprise solutions. Our enterprise solutions help enterprise optimize their capabilities to leverage various types of data, and help them reduce costs and allow for easy integration with other platforms and applications. Our enterprise solutions help us foster closer relationship with our clients beyond digital marketing. Enterprises can make better and more informed choices during their decision- making process through our enterprise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2018, we acquired Myhayo, a content distribution channel and a mobile content aggregator of articles and short videos in the PRC, which presents customized feeds to users via its mobile application. The acquisition may further increase our market shares in the PRC online marketing segment, particularly in relation to mobile platform.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2019, we made a controlling investment in Changyi, a leading independent software vendor based in Shanghai which provides intelligent retail and CRM solutions, through which we expect to further enhance our data-driven enterprise solutions business. In October 2020 and December 2020, we further increased our equity stake in Changyi. In August 2022, we fully acquired the remaining equity interest in Changyi.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2020, we acquired CMRS Group Holding Limited, or CMRS, a leading marketing automation solution provider in China. The acquisition will allow us to further enhance our full product offerings, leveraging CMRS’s marketing automation capabilities, in particular, for cross-border customers marketing into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2021, we issued certain Class B ordinary shares to Baozun, a leading brand e-commerce service partner that helps brands execute their e-commerce strategies in China and entered into a strategic cooperation framework agreement with it. Pursuant to the strategic cooperation framework agreement, we and Baozun will collaborate in developing a full-cycle, closed-loop e-commerce service model, covering areas such as system development, IT services, digital marketing, store operation, customer services and warehousing and fulfillment services to better serve potential brand partners.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2021, we released iSCRM, a powerful off-the-shelf SaaS enterprise management platform for daily operations and social customer relationship management. iSCRM leverages the updated features of WeCom, Tencent’s communication platform for enterprises, to effectively attract new users and intelligently manage brands’ private domain traffic through integration of the various functions on WeChat Mini Program, WeCom and WeChat.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2021, we completed the acquisition of Parllay, a leading personalized marketing platform with deep expertise in WeChat-based CRM, e-commerce and marketing SaaS solutions in China. We anticipate that the utilization of Parllay’s rich expertise will further enhance our product offerings, enlarge our potential clients base, and accelerate sales of our enterprise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14, 2022, we changed the ratio of our ADSs representing the Class A ordinary shares from one (1) ADS representing one-half (1/2) of one Class A ordinary share to one (1) ADS representing five (5)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at 15/F, Prosperity Millennia Plaza, 663 King’s Road, Quarry Bay, Hong Kong S.A.R. Our telephone number at this address is (852) 3700 9000. Our registered office in the Cayman Islands is located at Maples Corporate Services Limited at PO Box 309, Ugland House, Grand Cayman, KY1-1104, Cayman Islands. Our internet address is www.i-click.com. The SEC also maintains an internet site at www.sec.gov that contains reports, proxy and information statements, and other information regarding registrants that make electronic filings with the SEC.</w:t>
      </w:r>
    </w:p>
    <w:tbl>
      <w:tblPr>
        <w:tblW w:w="1997" w:type="dxa"/>
        <w:jc w:val="left"/>
        <w:tblInd w:w="0" w:type="dxa"/>
        <w:tblLayout w:type="fixed"/>
        <w:tblCellMar>
          <w:top w:w="0" w:type="dxa"/>
          <w:left w:w="0" w:type="dxa"/>
          <w:bottom w:w="0" w:type="dxa"/>
          <w:right w:w="0" w:type="dxa"/>
        </w:tblCellMar>
      </w:tblPr>
      <w:tblGrid>
        <w:gridCol w:w="301"/>
        <w:gridCol w:w="169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6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Overview</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enterprise and marketing cloud Platform in China. We offer a consumer full lifecycle solution that addresses our clients’ needs from traffic acquisition, customer relations management and business decisions optimization driven by data analytics in today’s smart retail era. With our industry-leading marketing solutions as our entry point, we support enterprises on digital operations to drive customer retention and loyalty and growing customer lifetime value with our intelligent data enterprise solutions.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marketing solutions serve as an integrated cross-channel gateway that provides marketers with innovative and cost-effective ways to optimize their online advertising efforts throughout their marketing cycle and achieve their branding and performance-based advertising goals. Our integrated data-driven marketing solutions help marketers engage and activate potential customers, monitor and measure the results of marketing campaigns, and create content catering to potential customers across different content distribution channels through both PC and mobile devices. Our marketing solutions appeal to marketers by offering omni-channel reach to the Chinese audience. We provide our clients with one-stop access to a wide variety of cross-channel content distribution opportunities, including those from leading online publishers in China. We work closely with our content distribution partners to facilitate innovative and effective audience engagement.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Leveraging our data analytics and experience and expertise in online marketing, we launched our SaaS-based enterprise solutions in May 2018. We keep enriching our data-driven enterprise solutions with technological innovation, and currently it is developed in the form of “SaaS+X” model. This model is supported by (i) self-developed software or Tencent cloud and leverage Tencent’s proprietary API connection and mini programs in Tencent’s WeChat ecosystem, (ii) our operational services for enterprises’ digitalization. Through the enterprise solutions, we are able to foster deeper relationship with clients beyond online marketing. As an increasing number of clients adopt our enterprise solutions, we expect to be able to continue to enhance the quantity, quality, and diversity of our data assets and refine our product and service offerings to improve customer experience. Our ability to develop tailored enterprise solutions to our key account clients foster strong relationships with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interests and other online or offline behavioral patterns. As of March 31, 2023, we had analyzed approximately 2,939.6 million active profiled users or devices in terms of number of cookies that we place through internet browsers.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take a flexible approach to delivering our solutions in order to cater to the preferences and levels of internal resources and expertise of our clients. Our clients may choose to access our solutions through (i) self-service, under which they have the flexibility to utilize our solutions “a la carte” to complement their existing marketing resources, including through our software, under which they can use personalized, extensive and secured systems with various functions for advertising, data operation and social retail, and (ii) managed service, under which our account management team provides in-depth services utilizing our solutions that suit the clients’ specified objectives and budgets on marketing and digital operation.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success of our solutions is evidenced by our strong, diverse and recurring client base from a broad range of industry verticals, including but not limited to fashion, entertainment and media, personal care and beauty, banking and finance, and automobile and petroleum. Our clients primarily include large enterprises, from different geographic regions in and outside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marketing solutions, we generate revenues primarily from clients’ marketing spend through our platform as they utilize our solutions in cost-plus and specified action marketing campaigns, and to a less extent from incentives granted by the publisher under our sales agency arrangement. In 2020, 2021 and 2022, our revenue from marketing solutions amounted to US$225.9 million, US$242.6 million and US$106.0 million, respectively. The significant decrease from 2021 to 2022 was primarily as a result of (i) a decline in marketers’ advertising budget, and their potential liquidity issue and difficulty to settle trade debts, due to a broad-based slowdown in China’s advertising market, uncertainties around the macroeconomic condition from COVID-19 impact and tightening regulatory environment that affected our clients in certain industry sectors, and (ii) our strategic scale-down of lower margin, higher risk marketing solutions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enterprise solutions, we generate revenue primarily from the upfront, on-going subscription and service fees our clients pay. Our revenue from enterprise solutions remained relatively stable at US$63.1 million in 2022, compared to US$65.1 million in 2021.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growth opportunities and driving force of our business also depend on the prosperity of the macro-economic environment, the marketing budget of medium and large customers, and our funds from external financing activities. China’s GDP growth rate for 2022 is 3% and recovered to 4.5% in the first quarter of 2023 after the COVID-19 pandemic. However, due to the uncertainties still existing in the macro-economic environment, many customers remain cautious in their advertising expenditure, and new investment in business digitalization. As a Chinese concept stock with small market capitalization, we are facing significant challenges in raising funds. We will closely monitor the needs and payment capabilities of our customers, to balance our own financial situation and cash position with business growth.</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our suite of end-to-end solutions, enabled and supported by our extensive data set, sophisticated data analytics capabilities and cutting-edge technologies, we deliver highly integrated customer experience and address clients’ needs to:</w:t>
      </w:r>
    </w:p>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their potential customers;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and activate potential customers;</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 and measure the results of online marketing campaigns;</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content catering to their potential customers;</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 and operate personalized storefronts on social media platforms;</w:t>
            </w:r>
          </w:p>
        </w:tc>
      </w:tr>
    </w:tbl>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SaaS-based tools;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operational services and support;</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utilize data analytics to advise business decisions; and</w:t>
            </w:r>
          </w:p>
        </w:tc>
      </w:tr>
    </w:tbl>
    <w:tbl>
      <w:tblPr>
        <w:tblW w:w="2331" w:type="dxa"/>
        <w:jc w:val="left"/>
        <w:tblInd w:w="0" w:type="dxa"/>
        <w:tblLayout w:type="fixed"/>
        <w:tblCellMar>
          <w:top w:w="28" w:type="dxa"/>
          <w:left w:w="28" w:type="dxa"/>
          <w:bottom w:w="28" w:type="dxa"/>
          <w:right w:w="28" w:type="dxa"/>
        </w:tblCellMar>
      </w:tblPr>
      <w:tblGrid>
        <w:gridCol w:w="124"/>
        <w:gridCol w:w="256"/>
        <w:gridCol w:w="1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automation</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Enterprise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Leveraging our data analytics expertise and experience in online marketing, we have launched our enterprise solutions from May 2018 to help clients collect information from different consumer touchpoints, and integrate them into a single data management platform to drive sales and marketing decisions. Our enterprise solutions were initially established on WeChat, a widely used social platform in China that is owned and operated by Tencent Holdings Limited. We also further enrich and diversify our offering through self-developed software and provide operational services for digitalization on other third-party platforms, resulted in our “SaaS+X” model.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“SaaS+X” component in our enterprise solutions include (i) data analytics SaaS tools and services; (ii) intelligent enterprise CRM SaaS tools and services; (iii) establishment and operation of client private domains; iv) smart retail tools and services. We continue to broaden our data sources, develop and upgrade SaaS modules and enhance the data functionality of these products so as to help clients better in business digitalization.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iAudience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iAudience is our market intelligence platform empowered by our proprietary data and cutting-edge marketing technology, to provide real-time insights of the target audiences and competitive landscapes in China, that allows enterprises to explore potential market opportunities and drive long-term business growth. Our clients can uncover target audiences by simply typing in a list of keywords, such as brand names, products of interest or competitors brand names and products, and iAudience will automatically suggest other keywords usually associated with, or used in, the relevant contexts, and then search our database of user profiles to identify the most relevant user profiles to target. In addition, iAudience’s market module provides 53 pre-defined market segments’ audience plans including travel, education, finance, automobile, real estate and more, with key analysis metrics to streamline the audience identification process for marketers in these industries, who can identify their desired user profiles and compare two market segments in just one click.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iAudience’s brand module helps clients map out the brand positioning and competitive landscapes by showing the overlaps of their consumers and their competitors. This enables marketers to filter out brand loyalists from brand switchers for more effective, bespoke communication and implement the most appropriate content and marketing strategies to further grow their customer base.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Below is a sample interface for our iAudience solution.</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816600" cy="1751965"/>
            <wp:effectExtent l="0" t="0" r="0" b="0"/>
            <wp:docPr id="1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 descr=""/>
                    <pic:cNvPicPr>
                      <a:picLocks noChangeAspect="1" noChangeArrowheads="1"/>
                    </pic:cNvPicPr>
                  </pic:nvPicPr>
                  <pic:blipFill>
                    <a:blip r:embed="rId3"/>
                    <a:stretch>
                      <a:fillRect/>
                    </a:stretch>
                  </pic:blipFill>
                  <pic:spPr bwMode="auto">
                    <a:xfrm>
                      <a:off x="0" y="0"/>
                      <a:ext cx="5816600" cy="175196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iNsights 2.0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2022, we released iNsights 2.0, our upgraded all-in-one marketing analytics platform, that extends our intelligent data analytics coverage from sole Web to both Web and WeChat Mini program ecosystem, enabling global brands gain unparalleled insights and achieve more effective data-driven marketing and smarter business decisions. Utilizing full-data analytics to produce key metrics, dimensions, reliable and accurate insights, iNsights 2.0 helps clients analyze their campaign performance to refine campaign strategies and guide future campaign planning. Through a user-friendly tracking functions, it not only helps brands create and track events and provide custom analysis for specific metrics to generate insights on campaign performance, such as most-clicked banners or most-engaged with gaming campaign, but also provides customized traffic source tracking paths, as well as custom QR codes for both online and offline campaigns and tailored segmentation capabilities for re-marketing campaigns. Furthermore, combining with iSuite products including iAccess, iNsights 2.0 forms a one-stop MarTech solution that optimizes cross-channel marketing campaigns and transforms data into actionable insights that allow brands to adopt precise remarketing strategies and retarget high-value customers. To summarize, iNsights 2.0 provides marketers with in-depth analyses,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Conversion path analysis—</w:t>
            </w:r>
            <w:r>
              <w:rPr>
                <w:rFonts w:ascii="Times New Roman;Times;serif" w:hAnsi="Times New Roman;Times;serif"/>
                <w:b w:val="false"/>
                <w:i w:val="false"/>
                <w:caps w:val="false"/>
                <w:smallCaps w:val="false"/>
                <w:sz w:val="20"/>
              </w:rPr>
              <w:t>Holistic analysis of when, where and how a user interacts with various devices by the multiple touch points he or she has come in contact with, including the “last mile” through which the user is converted, i.e., making a purchase or otherwise taking an action that the marketer desires;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Cross-channel effectiveness analysis—</w:t>
            </w:r>
            <w:r>
              <w:rPr>
                <w:rFonts w:ascii="Times New Roman;Times;serif" w:hAnsi="Times New Roman;Times;serif"/>
                <w:b w:val="false"/>
                <w:i w:val="false"/>
                <w:caps w:val="false"/>
                <w:smallCaps w:val="false"/>
                <w:sz w:val="20"/>
              </w:rPr>
              <w:t>Analysis of the effectiveness of the various marketing channels in achieving different marketing objectives and their respective cost effectiveness. Combining these with conversion path analyses, marketers can identify the portfolio of channels that work in tandem with each other to generate the greatest marketing impact and effectiveness.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E-commerce analysis—</w:t>
            </w:r>
            <w:r>
              <w:rPr>
                <w:rFonts w:ascii="Times New Roman;Times;serif" w:hAnsi="Times New Roman;Times;serif"/>
                <w:b w:val="false"/>
                <w:i w:val="false"/>
                <w:caps w:val="false"/>
                <w:smallCaps w:val="false"/>
                <w:sz w:val="20"/>
              </w:rPr>
              <w:t>Analysis of e-commerce performance in metrics such as total sales, order amount, conversion rate to measure business growth and product performance including product views, individual product sales growth to facilitate product development and promotion strategies.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Below is a sample interface for our iNsights 2.0 solution.</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816600" cy="1570355"/>
            <wp:effectExtent l="0" t="0" r="0" b="0"/>
            <wp:docPr id="1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 descr=""/>
                    <pic:cNvPicPr>
                      <a:picLocks noChangeAspect="1" noChangeArrowheads="1"/>
                    </pic:cNvPicPr>
                  </pic:nvPicPr>
                  <pic:blipFill>
                    <a:blip r:embed="rId4"/>
                    <a:stretch>
                      <a:fillRect/>
                    </a:stretch>
                  </pic:blipFill>
                  <pic:spPr bwMode="auto">
                    <a:xfrm>
                      <a:off x="0" y="0"/>
                      <a:ext cx="5816600" cy="157035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launched new data enterprise solutions including iParllay and iSCRM which utilize our SaaS capabilities to enrich our service offerings.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iParllay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iParllay is our social commerce platform leveraging our customer management and marketing automation capabilities. It provides various solutions,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 online-to-offline customer touch points, covering advertising, website, livestreaming, meeting, WeChat articles, social referral campaigns to draw high quality leads and build strong customer database;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Unify sales leads from multiple channels, track customers’ lifestyle and nurture sales leads with marketing automation through well-organized enterprise customer database;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professional marketing services for business growth such as private domain traffic operation, KOL and social group marketing, social marketing campaigns, search engine optimization (“SEO”), search engine marketing (“SEM”) and more.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3580130" cy="4572000"/>
            <wp:effectExtent l="0" t="0" r="0" b="0"/>
            <wp:docPr id="13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 descr=""/>
                    <pic:cNvPicPr>
                      <a:picLocks noChangeAspect="1" noChangeArrowheads="1"/>
                    </pic:cNvPicPr>
                  </pic:nvPicPr>
                  <pic:blipFill>
                    <a:blip r:embed="rId5"/>
                    <a:stretch>
                      <a:fillRect/>
                    </a:stretch>
                  </pic:blipFill>
                  <pic:spPr bwMode="auto">
                    <a:xfrm>
                      <a:off x="0" y="0"/>
                      <a:ext cx="3580130" cy="457200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iSCRM</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iSCRM is our WeChat social customer relationship management (“SCRM”) that provides enterprises with WeChat private traffic management and operation. Our one-stop data management SaaS platform provides full-funnel services along the consumer journey by integrating online and offline sales, leveraging the power of Tencent ecosystem, providing mini-program development and operation, advertising, social customer relationship management and social communities. We offer three major integrated systems including WeCom SCRM, WeChat Mini-program and business intelligence with capabilities of precise private traffic data-driven marketing strategies, social community management, cross-channel online store operation and O2O marketing.</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2985770" cy="2743200"/>
            <wp:effectExtent l="0" t="0" r="0" b="0"/>
            <wp:docPr id="13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 descr=""/>
                    <pic:cNvPicPr>
                      <a:picLocks noChangeAspect="1" noChangeArrowheads="1"/>
                    </pic:cNvPicPr>
                  </pic:nvPicPr>
                  <pic:blipFill>
                    <a:blip r:embed="rId6"/>
                    <a:stretch>
                      <a:fillRect/>
                    </a:stretch>
                  </pic:blipFill>
                  <pic:spPr bwMode="auto">
                    <a:xfrm>
                      <a:off x="0" y="0"/>
                      <a:ext cx="2985770" cy="274320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data enterprise solutions, we also offer a suite of intelligent enterprise solutions. For example, we have built up tailored mini programs or mini program stores based on WeChat to fulfill specific requirements of our clients. The mini programs or mini program stores offer our clients not only a WeChat-based e-commerce marketplace but also an interface for them to directly engage with their consumers. We have also established a consumer data platform, or CDP, to address some legacy data silo issues our clients face in China. Our CDP facilitates AI-driven personalized marketing campaigns and drives precise and real-time retail and sales decisions such as store expansions, product selection and offerings to targeted customer segments, as well as personalized customer services. For example, it provides location-based services to target potential customers within 5km of a client’s physical store, attracting more traffic and enabling other marketing triggers.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Marketing Solutions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Audience Engagement and Activation Solutions: iAccess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iAccess is our cross-channel audience engagement and activation solution tailored for brand awareness-driven campaigns and performance-driven campaigns. iAccess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Below is a sample interface for our iAccess solution.</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4596130" cy="1291590"/>
            <wp:effectExtent l="0" t="0" r="0" b="0"/>
            <wp:docPr id="13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 descr=""/>
                    <pic:cNvPicPr>
                      <a:picLocks noChangeAspect="1" noChangeArrowheads="1"/>
                    </pic:cNvPicPr>
                  </pic:nvPicPr>
                  <pic:blipFill>
                    <a:blip r:embed="rId7"/>
                    <a:stretch>
                      <a:fillRect/>
                    </a:stretch>
                  </pic:blipFill>
                  <pic:spPr bwMode="auto">
                    <a:xfrm>
                      <a:off x="0" y="0"/>
                      <a:ext cx="4596130" cy="12915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Data and Data Analytics Capabilities and Technologies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Data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data assets are the backbone of our solutions and data analytics capabilities. We had analyzed approximately 2,939.6 million active profiled users or devices in terms of number of cookies that we place through internet browsers in China as of March 31, 2023. According to the China Internet Network Information Center, there were 1,067 million internet users in China as of December 31, 2022 and the number of mobile internet users in China had reached 1,065 million up to December 31,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social data and demographic data, as well as campaign performance data.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Intent data — </w:t>
            </w:r>
            <w:r>
              <w:rPr>
                <w:rFonts w:ascii="Times New Roman;Times;serif" w:hAnsi="Times New Roman;Times;serif"/>
                <w:b w:val="false"/>
                <w:i w:val="false"/>
                <w:caps w:val="false"/>
                <w:smallCaps w:val="false"/>
                <w:sz w:val="20"/>
              </w:rPr>
              <w:t>Intent data refers to data that indicates the various intent of a user. Intent data directly identifies the interests and immediate needs of 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Interest data — </w:t>
            </w:r>
            <w:r>
              <w:rPr>
                <w:rFonts w:ascii="Times New Roman;Times;serif" w:hAnsi="Times New Roman;Times;serif"/>
                <w:b w:val="false"/>
                <w:i w:val="false"/>
                <w:caps w:val="false"/>
                <w:smallCaps w:val="false"/>
                <w:sz w:val="20"/>
              </w:rPr>
              <w:t>Interest data refers to the category and semantic meaning of the content of websites and apps that a user visits, including visit 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Online transactional data — </w:t>
            </w:r>
            <w:r>
              <w:rPr>
                <w:rFonts w:ascii="Times New Roman;Times;serif" w:hAnsi="Times New Roman;Times;serif"/>
                <w:b w:val="false"/>
                <w:i w:val="false"/>
                <w:caps w:val="false"/>
                <w:smallCaps w:val="false"/>
                <w:sz w:val="20"/>
              </w:rPr>
              <w:t>Online transactional data refers to a user’s behavior on online commerce platforms, including the items he or she is 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clients.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Social data — </w:t>
            </w:r>
            <w:r>
              <w:rPr>
                <w:rFonts w:ascii="Times New Roman;Times;serif" w:hAnsi="Times New Roman;Times;serif"/>
                <w:b w:val="false"/>
                <w:i w:val="false"/>
                <w:caps w:val="false"/>
                <w:smallCaps w:val="false"/>
                <w:sz w:val="20"/>
              </w:rPr>
              <w:t>Social data refers a user’s behavior on social networks, such as Sina Weibo and Tencent QZone, including the content the user shares from websites or apps via social sharing toolbars, and the content the user posts, shares on the social networks, his or her “social graph,” such as his or her “friends” and “followers” and other behavior data the user publicly shares on social networks. Social 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Demographic data — </w:t>
            </w:r>
            <w:r>
              <w:rPr>
                <w:rFonts w:ascii="Times New Roman;Times;serif" w:hAnsi="Times New Roman;Times;serif"/>
                <w:b w:val="false"/>
                <w:i w:val="false"/>
                <w:caps w:val="false"/>
                <w:smallCaps w:val="false"/>
                <w:sz w:val="20"/>
              </w:rPr>
              <w:t>Demographic data refers to a user’s age, gender, income level and geographic location. In addition to inferred demographic information through our data tracking and profiling analytic capabilities and technologies, we obtain actual demographic data from social media accounts through our strategic relationship with selected third-party data partners, including major internet companies in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Campaign performance data — </w:t>
            </w:r>
            <w:r>
              <w:rPr>
                <w:rFonts w:ascii="Times New Roman;Times;serif" w:hAnsi="Times New Roman;Times;serif"/>
                <w:b w:val="false"/>
                <w:i w:val="false"/>
                <w:caps w:val="false"/>
                <w:smallCaps w:val="false"/>
                <w:sz w:val="20"/>
              </w:rPr>
              <w:t>Campaign performance data refers to a user’s interaction with, and response to, a given marketing message, 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client campaigns, and through our data collaboration arrangements with selected third-party data partners.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distill structured variables from large volume of unstructured data to construct context-rich user profiles. As of March 31, 2023, we analyzed approximately 2,939.6 million active profiled users or devices in terms of number of cookies that we place through internet browsers.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Data Analytics Capabilities and Technologies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apply data science technologies extensively throughout the online marketing cycle to support audience tracking, profiling and segmentation and to execute cost-efficient decisions on real-time audience engagement. We also launched a strategic growth initiative on enterprise solutions, leveraging our data analytics expertise and experience in online marketing. Our proprietary data analytics capabilities and technologies include: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Deep Learning and Artificial Intelligence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Audience tracking engine —</w:t>
            </w:r>
            <w:r>
              <w:rPr>
                <w:caps w:val="false"/>
                <w:smallCaps w:val="false"/>
              </w:rPr>
              <w:t xml:space="preserve"> </w:t>
            </w:r>
            <w:r>
              <w:rPr>
                <w:rFonts w:ascii="Times New Roman;Times;serif" w:hAnsi="Times New Roman;Times;serif"/>
                <w:b w:val="false"/>
                <w:i w:val="false"/>
                <w:caps w:val="false"/>
                <w:smallCaps w:val="false"/>
                <w:sz w:val="20"/>
              </w:rPr>
              <w:t>Our audience tracking engine monitors our audience across various devices and channels to identify which user has 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including de-duplication of multiple devices to a user.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Contextual analysis engine — </w:t>
            </w:r>
            <w:r>
              <w:rPr>
                <w:rFonts w:ascii="Times New Roman;Times;serif" w:hAnsi="Times New Roman;Times;serif"/>
                <w:b w:val="false"/>
                <w:i w:val="false"/>
                <w:caps w:val="false"/>
                <w:smallCaps w:val="false"/>
                <w:sz w:val="20"/>
              </w:rPr>
              <w:t>Our contextual analysis engine parses all data properties to understand the context and content which audiences are interacting in and with, including news articles, social networks, search engines, mobile apps, etc. These help understand what a user is interested in, including product categories, brand names, product names, keywords, and the depth of their interest.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Natural language processing (NLP) algorithms — </w:t>
            </w:r>
            <w:r>
              <w:rPr>
                <w:rFonts w:ascii="Times New Roman;Times;serif" w:hAnsi="Times New Roman;Times;serif"/>
                <w:b w:val="false"/>
                <w:i w:val="false"/>
                <w:caps w:val="false"/>
                <w:smallCaps w:val="false"/>
                <w:sz w:val="20"/>
              </w:rPr>
              <w:t>Our NLP algorithms are important elements of our contextual analysis engine. We use these algorithms to extract structure from unstructured data, so that it can be processed and analyzed effectively. Our NLP algorithms are 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Predictive Analytics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User profiling engine — </w:t>
            </w:r>
            <w:r>
              <w:rPr>
                <w:rFonts w:ascii="Times New Roman;Times;serif" w:hAnsi="Times New Roman;Times;serif"/>
                <w:b w:val="false"/>
                <w:i w:val="false"/>
                <w:caps w:val="false"/>
                <w:smallCaps w:val="false"/>
                <w:sz w:val="20"/>
              </w:rPr>
              <w:t>Combining the data collected through, and processed by, our contextual analysis engine and audience tracking engine, our 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Profile Segmentation Algorithms —</w:t>
            </w:r>
            <w:r>
              <w:rPr>
                <w:caps w:val="false"/>
                <w:smallCaps w:val="false"/>
              </w:rPr>
              <w:t xml:space="preserve"> </w:t>
            </w:r>
            <w:r>
              <w:rPr>
                <w:rFonts w:ascii="Times New Roman;Times;serif" w:hAnsi="Times New Roman;Times;serif"/>
                <w:b w:val="false"/>
                <w:i w:val="false"/>
                <w:caps w:val="false"/>
                <w:smallCaps w:val="false"/>
                <w:sz w:val="20"/>
              </w:rPr>
              <w:t>We use various algorithms to organize user profiles, which are generated and updated dynamically in real time, responding to real time changes in user interests and needs. This allows for accurate and detailed segmentation of user interests through multiple dimensions, e.g. by user interest keywords and user interest categories.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Real-Time Matching Technologies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Real-time user engagement algorithms — </w:t>
            </w:r>
            <w:r>
              <w:rPr>
                <w:rFonts w:ascii="Times New Roman;Times;serif" w:hAnsi="Times New Roman;Times;serif"/>
                <w:b w:val="false"/>
                <w:i w:val="false"/>
                <w:caps w:val="false"/>
                <w:smallCaps w:val="false"/>
                <w:sz w:val="20"/>
              </w:rPr>
              <w:t>Our real time user engagement algorithms execute marketing decisions based on a wide range of 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Online continuous real-time bid optimization algorithms — </w:t>
            </w:r>
            <w:r>
              <w:rPr>
                <w:rFonts w:ascii="Times New Roman;Times;serif" w:hAnsi="Times New Roman;Times;serif"/>
                <w:b w:val="false"/>
                <w:i w:val="false"/>
                <w:caps w:val="false"/>
                <w:smallCaps w:val="false"/>
                <w:sz w:val="20"/>
              </w:rPr>
              <w:t>Our online continuous real-time bid optimization algorithms consider a wide range of 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tc>
      </w:tr>
    </w:tbl>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Privacy and 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collect data solely to analyze audience and campaign performance. In order to identify each user profile and to protect data privacy, we develop an approach to assign each profile to a corresponding unique profile number based on our proprietary indexing methodology. We then use that number as the anonymous identification for the profile and associate it with all related data. In general, we do not collect personally identifiable information. If such information is inadvertently obtained by us, our policy is to immediately delete such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treat all information we collect as confidential. We have set up proper control such as encryption and access right on these information. We do not disclose any information we gather from a marketer or any third party data partner unless such disclosure is approved by it, which in turn has obtained end user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put in place appropriate physical, electronic and managerial procedures to safeguard and secure our data assets, including to prevent and detect any unauthorized access and data breach, to preserve their integrity and to ensure their appropriate use.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software level, we maintain login information across all our computer systems to control access, and individuals with different levels or job duties are assigned different levels of access permissions. For example, only high-level technology personnel, including head of system operations and certain other technical developments leaders have root access to our operation system; and only database managers have access to the relevant database. We have central controls to govern user roles and permissions.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hardware levels, our servers are located at our offices and IDCs, and only system operation personnel have access to our servers. In addition, we have established hardware firewall where all traffic is inspected and filtered according to a comprehensive set of rules. We conduct comprehensive security reviews of our data assets on a regular basis and ad hoc security reviews from time to time as special needs arise.</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perform the monitoring and maintenance of our data privacy and security mechanism on a regular basis.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 regular vulnerability scanning on website or web application to identify any weak configuration or vulnerabilities. We apply patch regularly and fix any configuration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any suspicious network traffic regularly including unexpected outgoing traffic such as huge data exfiltration volume and suspicious DNS query. We gather any events or alerts from servers and endpoints with security information and event management facility to set up alerts for any abnormal events or potential security breach.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secure and monitor privileged access, particularly on Internet accessible accounts such as web or cloud hosting, and implement multi-factor authentication on these accounts.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give sufficient priority to develop and upgrade our mechanism to protect data and prevent data leakage. We also endeavor to build up cyber threat intelligence capability to complement the detection mechanisms. As a testament to our dedication to data security and protection, we are not only in compliance with General Data Protection Regulation (“GDPR”), agreed upon by the European Parliament and Council in April 2016 but also qualified for the third level of information system security in mainland China.</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Technology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platform is built on a highly scalable and reliable cloud-based technology architecture. This allows us to harness large quantities of real-time data and ensures high speed performance at a large scale to accommodate more clients and increased complexity of their online marketing campaigns.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Real-time analytics — </w:t>
            </w:r>
            <w:r>
              <w:rPr>
                <w:rFonts w:ascii="Times New Roman;Times;serif" w:hAnsi="Times New Roman;Times;serif"/>
                <w:b w:val="false"/>
                <w:i w:val="false"/>
                <w:caps w:val="false"/>
                <w:smallCaps w:val="false"/>
                <w:sz w:val="20"/>
              </w:rPr>
              <w:t>Our cloud-based technology architecture is built to be fully distributed while having a single unified access layer. Large 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 time to our data, providing the most up-to-date and accurate representations of a user’s traits and online behavior.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Scalability — </w:t>
            </w:r>
            <w:r>
              <w:rPr>
                <w:rFonts w:ascii="Times New Roman;Times;serif" w:hAnsi="Times New Roman;Times;serif"/>
                <w:b w:val="false"/>
                <w:i w:val="false"/>
                <w:caps w:val="false"/>
                <w:smallCaps w:val="false"/>
                <w:sz w:val="20"/>
              </w:rPr>
              <w:t>With modular architecture that is built to be horizontally scalable, our platform can be easily expanded as data storage requirements and client base increase. Our data repositories are clustered and our data processing architecture is distributed in several cities in mainland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Reliability — </w:t>
            </w:r>
            <w:r>
              <w:rPr>
                <w:rFonts w:ascii="Times New Roman;Times;serif" w:hAnsi="Times New Roman;Times;serif"/>
                <w:b w:val="false"/>
                <w:i w:val="false"/>
                <w:caps w:val="false"/>
                <w:smallCaps w:val="false"/>
                <w:sz w:val="20"/>
              </w:rPr>
              <w:t>Our technology layers have built hardware redundancy and will switch if errors are detected. We built our platform on a distributed computing architecture. Furthermore, our data processing architecture is located within the same cities where servers of major ad exchanges in China are located, facilitating low latency access and reliability as we bid for content distribution opportunities in real time.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Content Distribution Channels and Social Medial Platform Partners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marketing solutions, we provide marketers with one-stop access to a wide variety of cross-channel content distribution opportunities in China through our deep relationship with content distribution channel partners, which primarily include mobile and online publishers, major search engines and ad exchanges. For example, we purchase or promote content distribution opportunities on content distribution channels, including premium channels such as Tencent, Baidu, Google and Alibaba. Media cost for content distribution opportunities on Tencent, Baidu, Google and Alibaba channels in aggregate accounted for 75.9%, 55.5% and 56.0% of our media costs in 2020, 2021 and 2022, respectively. Media cost for content distribution opportunities on our largest and second largest channel partners accounted for 51.8% and 10.7% of our media cost in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enterprise solutions, we currently collaborate with Tencent and other social media platforms for the operating environment of our enterprise solutions. We primarily deliver our enterprise products on WeChat in the form of WeChat Mini Programs and WeChat Official Accounts.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Clients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sell our solutions primarily by entering into sales contracts with marketers, marketing agencies or other merchants. We enter into marketing campaign contracts with marketers and marketing agencies for our marketing solutions and service contracts with merchants, many of who are also our marketers for our enterprise solutions. We treat entities which enter into sales contracts with us and incur spending during the relevant period as our clients. Therefore, we count specific sub-brands or divisions within the same brand or holding company as distinct clients so long as we have signed campaign contracts with different entities. On the other hand, even though multiple sales contracts may be involved, we only record one single client if those contracts with us are signed by the same entity. For our marketing solutions, our clients include both marketers who have direct contractual relationships with us, or direct marketer clients, and marketing agency clients. Our “end marketers,” or “marketers” comprise marketers we serve, either directly or through marketing agencies, regardless if they have direct contractual relationship with us. In 2022, we had 2,464 marketers, including 1,145 marketers represented by our marketing agency clients.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marketers span a diverse array of industry segments, with gaming, entertainment and media, personal care and beauty, e-commerce, education &amp; training, and automobile and petroleum being among the top five in terms of gross billing contribution in 2022. They also feature companies of different sizes. Our marketers come from a variety of regions, with headquarters in Europe, North America, or Asia. In determining the geographic classification of revenue, we look at the geographic location of our subsidiaries or the VIE entities which executed the marketing campaign contract. Our subsidiaries or the VIE entities in mainland China generally are our signing entities for marketing campaign contracts with clients which are based in mainland China. Our Singapore subsidiary generally is our signing entity for marketing campaign contracts with clients based in Southeast Asia. Our Hong Kong subsidiaries generally are our signing entities for marketing campaign contracts with other clients.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gross billing per client increased by US$28,420, or 9%, from US$300,450 in 2020 to US$328,870 in 2021, while decreased by US$177,052, or 54%, from US$328,870 in 2021 to US$151,818 in 2022. Relatedly, the total number of clients that we served increased by 7% from 2,256 in 2020 to 2,423 in 2021, and decreased by 23% from 2,423 in 2021 to 1,859 in 2022. The decreases in gross billing per client and the total number of clients from 2021 to 2022 were primarily due to (i) a decline in marketers’ advertising budget, and their potential liquidity issue and difficulty to settle trade debts, due to a broad-based slowdown in China’s advertising market, uncertainties around the macroeconomic condition from COVID-19 impact and tightening regulatory environment that affected our clients in certain industry sectors, (ii) our strategic scale-down of lower margin, higher risk marketing solutions business, (iii) lockdowns and other control measures, which adversely affected the progress of our client on-boarding and solution implementation.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2020, 2021 and 2022, we did not derive over 10% of our net revenues from a marketer.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 Business Development and Account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sales and business development workforce is mainly focused on attracting more clients for our marketing solutions and enterprise solutions, and optimizing the client base to focus on profitability and liquidity. Leveraging our existing positions and reputations in industry sectors where we already have a strong presence, we are able to attract more clients in those sectors. With marketing solutions as our entry point, we drive customer retention and loyalty with our data-driven enterprise solutions and growing customer lifetime value with our smart retail enterprise solutions. Our full-stack marketing and enterprise solutions allow cost-effective conversion of clients of our marketing solutions into clients of our enterprise solutions and vice versa, enabling us to lower our client acquisition costs compared to acquiring new clients separately.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are focused on diversifying our client base. We have partnered with local marketing agencies at selected first and second-tier cities in mainland China to expand our client base in industry segments where we have relatively less presence, as well as to attract and retain high quality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sales and business development team is organized by geographic region, and is further divided into groups that focus on sales to marketers or to marketing agencies in each geographic region.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Supporting our sales and business development team are our account managers under our operational support team, who help maintain and grow the accounts of our clients. While our intuitive user interfaces are designed to enable clients to easily deploy and utilize our solutions themselves with minimal customer support, we make online and telephonic helpdesk facilities available and provide onsite engineering support to clients and also assign account managers for our direct marketer clients and some of our marketing agency clients. Our account managers provide consultative services on the use of our solutions, and in addition, for our managed service clients, more in-depth servicing on campaign planning, execution and result measurement and analysis. As of December 31, 2022, we had 578 employees for sales, business development and account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a variety of traditional and web-based channels to drive our brand awareness and generate demand, including through direct marketing, print advertising in trade journals, offline sales efforts and client referrals. We regularly attend trade shows and industry conferences,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committed to continually enhancing and innovating our solutions, technologies and technical infrastructure. Our current R&amp;D initiatives include leveraging our technology from our marketing solutions to provide the consumer in-depth analysis, forming 360-degree consumer profiles and marketing automation to enhance our integrated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continuous R&amp;D resources devoted to the customization requirements from key account clients, we have launched a number of standard off-the-shelf products to cater to the strong needs of mid-end enterprises for our enterprises solutions. 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these efforts, we cannot be sure that any intellectual property we own will not be challenged, invalidated, or circumvented or that such intellectual property will be commercially useful in protecting our brand, products, services and technology.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we had 2 patents and 138 computer software copyrights in China, and 42 registered trademarks in mainland China, Hong Kong, Japan and Singapore.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China’s independent online marketing technology market is highly competitive, fragmented and rapidly changing. We mainly compete with independent online marketing technology companies in China that offer marketing solutions through demand side platform and use advanced technologies to optimize marketing campaigns for marketers.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client base, deep knowledge and familiarity with China’s online marketing industry, and visionary leadership enable us to remain competitive.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client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marketing solutions the way we do, they are major players in the online marketing technology industry as they provide online marketing technology and offer services and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respect to our SaaS-based enterprise solutions, our competitors include local cloud-based commerce and marketing service providers, as well as WeChat-based third-party service providers in China. We may also face competition from international SaaS companies, which have longer operating histories, greater financial, technical, marketing, distribution, professional services or other resources and greater name recognition. In addition, many of our prospective competitors may have close relationship with our existing and new clients and bear an extensive knowledge of this industry. As a result, they may be able to respond more quickly to new or emerging technologies and changes in clients’ requirements, or devote greater resources to the development, promotion and sale of their products. We believe the principal competitive factors in our industries include the functionality of the products and services, user experience, technology capabilities, sale capabilities, pricing, brand recognition and reputation. In addition, new and enhanced technologies may further increase competition in our industries.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section sets forth a summary of the most significant regulations or requirements that affect our business activities in the PRC or our shareholders’ right to receive dividends and other distributions from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Advertising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Advertising Law of the People’s Republic of China, promulgated by the Standing Committee of the National People’s Congress on April 24, 2015 and became effective on September 1, 2015 and was amended on October 27, 2018,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4, 2016, the State Administration for Industry and Commerce, or the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have developed certain advertising business management rules containing these mandatory content review and conduct requirements, and are establishing internal mechanisms to implement these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Prior to June 29, 2015, we were regulated by the Regulations for the Administration of Foreign-Invested Advertising Enterprises, promulgated by the SAIC and MOFCOM, which prescribed certain conditions on foreign investors that invest in companies in advertising business in China. Among other things, such foreign investors shall have at least three years’ track record primarily engaging in advertising business and shall have obtained an Opinion on the Approval of Foreign-invested Advertising Enterprise Project, which is issued by the SAIC or its local counterparts. The Regulations for the Administration of Foreign-Invested Advertising Enterprises were abolished on June 29, 2015 by the SAIC after consultation with MOFCOM.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Internet Information Service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and most recently amended on January 8, 2011, or the Internet Measures, and (iii) the Catalogue of Telecommunication Services, issued by the State Council on September 25, 2000, and most recently amended by the MIIT on June 6, 2019.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 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Value-added Telecommunication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25, 2000, the State Council promulgated the Telecommunications Regulations of the People’s Republic of China, or the Telecom Regulations, which was amended on July 29, 2014 and February 6, 2016. The Telecom Regulations is the primary PRC law governing telecommunication services and sets out the general regulatory framework for telecommunication services provided by PRC companies. The Telecom Regulations distinguishes between “basic telecommunication services” and “value-added telecommunication services.” The Telecom Regulations defines value-added telecommunications services as telecommunications and information services provided through public network infrastructures. Pursuant to the Telecom Regulations, commercial operators of value-added telecommunications services must first obtain an operating license from the MIIT, or its provincial level counterparts.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Catalog of Telecommunications Business, or the Catalog, which was issued as an attachment to the Telecom Regulations and updated on June 11, 2001, February 21, 2003, December 28, 2015 and June 6, 2019, further categorizes value-added telecommunication services into two classes: Class 1 value-added telecommunication services and Class 2 value-added telecommunication services. Information services provided via cable networks, mobile networks or internet fall within Class 2 value-added telecommunications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 2017, the MIIT issued the Administrative Measures for the Licensing of Telecommunications Business, or the Telecom Licensing Measures, which became effective on September 1, 2017, to supplement the Telecom Regulations. The Telecom Licensing Measures sets forth the types of licenses required to operate value-added telecommunications services and the qualifications and procedures for obtaining such licenses. The Telecom Licensing Measures also provides that an operator providing value-added services in multiple provinces is required to obtain an inter-regional license, whereas an operator providing value-added services in one province is required to obtain an intra-provincial license. Any telecommunication services operator must conduct its business in accordance with the specifications in its license.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Foreign Direct Investment in Value-Added Telecommunications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Foreign direct investment in telecommunications companies in mainland China is governed by the Provisions on the Administration of Foreign-Invested Telecommunications Enterprises, which was promulgated by the State Council on December 11, 2001 and amended on September 10, 2008 and February 6, 2016. These regulations require that foreign-invested value-added telecommunications enterprises in mainland China must be established as Sino-foreign equity joint ventures and that the foreign investors may acquire up to 50% equity interests in such joint ventures. In addition, a major foreign investor in a value-added telecommunications business in mainland China must demonstrate a good track record and experience in operating value-added telecommunications businesses. Moreover, foreign investors that meet these requirements must obtain approvals from the MIIT and MOFCOM, to provide value-added telecommunication services in mainland China and the MIIT and MOFCOM retain considerable discretion in granting such approvals.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13, 2006, the Ministry of Information Industry, or the MII, released the Notice on Strengthening the Administration of Foreign Investment in the Operation of Value-added Telecommunications Business, or the MII Notice, pursuant to which, for any foreign investor to invest in telecommunications businesses in mainland China, a foreign-invested telecommunications enterprise must be established and such enterprise must apply for the relevant telecommunications business operation licenses. Furthermore, under the MII Notice, domestic telecommunications enterprises may not rent, transfer or sell a telecommunications business operation license to foreign investors in any form, and they may not provide any resources, premises, facilities and other assistance in any form to foreign investors for their illegal operation of any telecommunications business in mainland China. In addition, under the MII Notice, the internet domain names and registered trademarks used by a value-added telecommunication service operator shall be legally owned by such operator or its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Guidance Catalog of Industries for Foreign Investment, or the Foreign Investment Catalog, the latest version of which was promulgated jointly by MOFCOM and the National Development and Reform Commission, or the NDRC, on June 28, 2017 and became effective on July 28, 2017, classifies businesses into three categories with regard to foreign investment:(i) “encouraged,” (ii) “restricted,” and (iii) “prohibited.” The latter two categories are included in the negative list (Negative List, which was most recently amended on December 27, 2021), which was first introduced into the Foreign Investment Catalog in 2017, and listed, in a unified manner, the restrictive measures for the entry of foreign investment. Industries that are not listed in the Foreign Investment Catalog or the Special Administrative Measures are permitted areas for foreign investments, and are generally open to foreign investment unless specifically restricted by other PRC regulations. Our business falls under value-added telecommunications services, which are listed under the Special Administrative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view of these restrictions on foreign direct investment in value-added telecommunications services and certain other types of businesses under which our business may fall, we have established domestic consolidated affiliated entities to engage in value- added telecommunications services. For a detailed discussion of our consolidated affiliated entities, see “Item 4. Information on the Company—C. Organizational Structure.” Due to the lack of interpretative guidance from the relevant PRC governmental authorities, there are uncertainties regarding whether PRC governmental authorities would consider our corporate structure and contractual arrangements to constitute foreign ownership of a value-added telecommunications business. In order to comply with PRC regulatory requirements, we operate a substantial portion of our business through our consolidated affiliated entities, which we have contractual relationships with but we do not have actual ownership interests in. If our current ownership structure is found to be in violation of current or future PRC laws, rules or regulations regarding the legality of foreign investment in value-added telecommunications services and other types of businesses on which foreign investment is restricted or prohibited, we could be subject to severe penalties.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Internet Content Providers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Administrative Measures on Internet Information Services, or the Internet Content Measures, which was promulgated by the State Council on September 25, 2000 and amended on January 8, 2011, set out guidelines on the provision of internet information services. The Internet Content Measures specifies that internet information services regarding news, publications, education, medical and health care, pharmacy and medical appliances, among other things, are required to be examined, approved and regulated by the relevant authorities. The Internet Content Measures specifies a list of prohibited content. Internet information providers are prohibited from producing, copying, publishing or distributing information that is humiliating or defamatory to others or that infringes the legal rights of others. Internet information providers that violate such prohibition may face criminal charges or administrative sanctions. If any prohibited content is found, they must remove the content immediately, keep a record of such content and report to the relevant authorities. In accordance with Provisions on the Governance of Network Information Content Ecology promulgated by the CAC on December 15, 2019, which became effective on March 15, 2020, the utilization of personalized algorithm recommendation technology taken in internet content provision service shall be in compliance with all the requirements as stated above as well.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Internet Content Measures classifies internet information services into commercial internet information services and non- commercial internet information services. Commercial internet information services refer to services that provide information or services to internet users with charge. A provider of commercial internet information services must obtain the value-added telecommunications business operation license.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Privacy Protection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Personal Information Protection Law of the PRC (the “Personal Information Protection Law”), issued on August 20, 2021 by the SCNPC, provided a comprehensive personal information protection system, under which in case of any personal information processing, individual prior consent must be obtained except in other circumstances stipulated therein to the contrary. Further, any data processing activities in relation to sensitive personal information including biometrics, religious beliefs, specific identities, medical health, financial accounts, whereabouts, personal information of teenagers under fourteen years old and other personal information once leaked or illegally used might easily lead to the infringement of personal dignity or harm of personal and property safety, are only allowed provided such activities are purpose-specified, highly necessary and strictly protected. Personal information processors who use personal information on automated decision-making must ensure the transparency of decision-making and the fairness and impartiality of the results and may not impose unreasonable differential treatment in terms of transaction prices and other transaction conditions. In addition, cross-border personal information transmission is restricted unless certain requirements in the Personal Information Protection Law have been satisfied, including security review organized by the national cyberspace department and other conditions specified by the laws, regulations and the national cyberspace department.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13, 2022, the MIIT released the Administrative Measures for Data Security in Industry and Information Technology Sectors (Trial), or the Data Security Measures, which came into effect on January 1, 2023. The measures apply to data management in certain industries, including telecommunication sectors, where certain data we process is generated from. The Data Security Measures set out three categories of data: ordinary data, important data and core data. The processing of important data and core data is subject to certain filing and reporting obligations. Since the specific catalogues of important data and core data have not been released, it is uncertain how the measures will be interpreted and implemented. We have sorted and cataloged data we process and will take further measures as required.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Information Security, Censorship and Privacy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Standing Committee of the National People’s Congress, China’s national legislative body, enacted the Decisions on the Maintenance of Internet Security on December 28, 2000 and amended them on August 27, 2009 that may subject persons to criminal liabilities in China for any attempt to use the internet to: (i) gain improper entry to a computer or system of strategic importance; (ii) disseminate politically disruptive information; (iii) leak state secrets; (iv) spread false commercial information or (v) infringe upon intellectual property rights. In 1997, the Ministry of Public Security issued the Administration Measures on the Security Protection of Computer Information Network with International Connections which was amended in 2011 and prohibits using the internet to leak state secrets or to spread socially destabilizing materials. If an ICP license holder violates these measures, the PRC government may revoke its ICP license and shut down its websites. Pursuant to the Ninth Amendment to the Criminal Law issued by the Standing Committee of the National People’s Congress on August 29, 2015, effective on November 1, 2015, any ICP provider that fails to fulfill the obligations related to internet information security as required by applicable laws and refuses to take corrective measures, will be subject to criminal liability for (i) any large-scale dissemination of illegal information; (ii) any severe effect due to the leakage of users’ personal information; (iii) any serious loss of evidence of criminal activities; or (iv) other severe situations, and any individual or entity that (i) sells or provides personal information to others unlawfully or (ii) steals or illegally obtains any personal information will be subject to criminal liability in severe situations.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Cybersecurity Law of the PRC, or the Cybersecurity Law, which was promulgated on November 7, 2016 by the Standing Committee of the National People’s Congress and came into effect on June 1, 2017, provides that network operators shall meet their cyber security obligations and shall take technical measures and other necessary measures to protect the safety and stability of their networks. Under the Cybersecurity Law, network operators are subject to various security protection-related obligations, including: (i) network operators shall comply with certain obligations regarding maintenance of the security of internet systems; (ii) network operators shall verify users’ identities before signing agreements or providing certain services such as information publishing or real-time communication services; (iii) when collecting or using personal information, network operators shall clearly indicate the purposes, methods and scope of the information collection, the use of information collection, and obtain the consent of those from whom the information is collected; (iv) network operators shall strictly preserve the privacy of user information they collect, and establish and maintain systems to protect user privacy; (v) network operators shall strengthen management of information published by users, and when they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28, 2021, the CAC, jointly with the relevant authorities, published the Measures for Cybersecurity Review which stipulates that a critical information infrastructure operator purchases network products and services or an online platform operator conducts data processing, either of which affects or may affect national security shall conduct a cybersecurity review.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SCNPC promulgated the Data Security Law of the PRC (the “Data Security Law”), on June 10, 2021, which came into effect on 1 September 2021. The Data Security Law applies to data processing activities, including the collection, storage, use, processing, transmission, availability and disclosure of data, and security supervision of such activities within the territory of the PRC. Where data processing activities outside the territory of the PRC damage national security, public interests or the legitimate rights and interests of PRC citizens and organizations, such activities shall be subject to legal liabilities. The PRC would also establish a data security review system, under which data processing activities that affect or may affect national security shall be reviewed. According to the Data Security Law, whoever carries out data processing activities shall establish a sound data security management system throughout the whole process, organize data security education and training, and take corresponding technical measures and other necessary measures to ensure data security. Important data shall also be categorized and protected more strictly. The Data Security Law also requires formulating the important data catalogues to enhance the protection of important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Foreign-related Surveys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Negative List, only a domestic enterprise or a sino-foreign enterprise which meet the several requirements stipulated in the Foreign-related Surveys Measures can apply for license for the foreign- related survey. Industries that are not listed in the Negative List are permitted areas for foreign investments, and are generally open to foreign investment unless specifically restricted by other PRC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collect data of multiple kinds and from multiple sources through our consolidated subsidiaries in the mainland China and Hong Kong. These data include users’ search, browse, E-commerce and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VIE, applied for and were granted the foreign-related survey license on June 6, 2017 by the Chinese National Bureau of Statistics.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Intellectual Property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Mainland 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Computer Software Copyright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 2013, the Regulations for the Protection of Computer Software promulgated by the State Council came into effect. These regulations are formulated for protecting the rights and interests of computer software copyright owners, encouraging the development and application of computer software and promoting the development of software business.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Patent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Patents in the PRC are principally protected under the Patent Law of the People’s Republic of China, which was amended by the Standing Committee of the National People’s Congress in 2008 and further amended on 17 October 2020 and effective on 1 June 2021.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Trademark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Trademark Law, promulgated in 1983 and most recently amended in 2019, which such amendments became effective on November 1, 2019, protects the proprietary rights with respect to registered trademarks. The Trademark Office under the SAIC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Domain Name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MIIT promulgated the Measures on Administration of Internet Domain Names, or the Domain Name Measures, on August 24, 2017, which took effect on November 1, 2017 and replaced the Administrative Measures on China Internet Domain Name promulgated by MIIT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identities to domain name registration service institutions. The applicants will become the holder of such domain names upon the completion of the registration procedure.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Employment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amended and became effective on December 29, 2018,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amended and became effective on December 29, 2018, or the Social Insurance Law, which was, and (iv) the Regulations on the Management of Housing Provident Fund, promulgated by the State Council on March 24, 2002 and amended and became effective on March 4, 2019.</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Taxation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PRC Enterprise Income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PRC enterprise income tax is calculated based on taxable income, which is determined under (i) the PRC Enterprise Income Tax Law, promulgated by the National People’s Congress of China and implemented on January 1, 2008, amended and became effective on December 29, 2018, or the EIT Law, and (ii) the implementation rules to the EIT Law promulgated by the State Council and implemented on January 1, 2008 and amended on April 23, 2019. The EIT Law imposes an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for Share Transfers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Notice on Strengthening Administration of Enterprise Income Tax for Share Transfers by Non-Resident Enterprises, or Circular 698, promulgated by the SAT on December 10, 2009, which is replaced by the Circular on Issues of Tax Withholding regarding Non-PRC Resident Enterprise Income Tax, or Circular 37, promulgated by the SAT on October 17, 2017, and the SAT’s Announcement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 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uncertainty as to the application of Circular 37 and Circular 7. Circular 37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37 and Circular 7, and we may be required to expend valuable resources to comply with Circular 37 and Circular 7 or to establish that we should not be taxed under the general anti-avoidance rule of the EIT Law, which may have a material adverse effect on our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Value Added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 On November 19, 2017, the State Council promulgated The Decisions on Abolishing the Provisional Regulations of the PRC on Business Tax and Amending the Provisional Regulations of the PRC on Value-added Tax, or Order 691. According to the VAT Law and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17%, 11%, 6% and 0%, and the VAT tax rate applicable to the small-scale taxpayers is 3%. The Notice of the Ministry of Finance and the SAT on Adjusting Value-added Tax Rates, or the Notice, was promulgated on April 4, 2018 and came into effect on May 1, 2018. According to the Notice, the VAT tax rate of 17% and 11% are changed into 16% and 10%, respectively. On March 20, 2019, the Ministry of Finance, State Taxation Administration and General Administration of Customs jointly promulgated the Relevant Policies Notice on Deepening Reform of VAT Tax, or the Notice 39, effective on April 1, 2019, which lowers the VAT tax rate of 16% and 10% to 13% and 9%,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Dividends Withholding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SAT’s Notice on the Issues concerning the Application of the Dividend Clauses of Tax Agreements, or Circular 81, a Hong Kong resident enterprise must meet the following conditions, among others, in order to benefit from the reduced withholding tax rate: (i) it must be is a company; (ii) it must directly own the required percentage of equity interests and voting rights in the PRC resident enterprise; and (iii) it must have directly owned such required percentage in the PRC resident enterprise throughout the 12 months prior to receiving the dividends. Furthermore, the Announcement of the State Taxation Administration on Issuing the Administrative Measures for Entitlement to Treaty Benefits for Non-resident Taxpayers, or Non-Resident Tax Treatments Measures, which became effective on October 14, 2019, require that non-resident taxpayers collect, gather and retain relevant materials for future reference in accordance with the provisions of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Foreign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SAFE.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Capital Settlement and Overseas Remittance of Foreign-Invested Enterprises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13, 2013,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SAFE, Ministry of Finance, the NDRC, effective on March 1, 2003, PRC foreign-invested companies may not procure loans which exceed the difference between its registered capital and its total investment amount as recorded in FICMIS.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12, 2017, the People’s Bank of China promulgated the Circular on Management of Cross-border Financing. According to this circular, an enterprise shall file the cross-border financing contracts for the record with the Capital Project Information System of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Outbound Investment and Financing and Roundtrip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4, 2014, the Circular on the Relevant Issues Concerning Foreign Exchange Control on Domestic Residents Outbound Investment and Financing and Roundtrip Investment though Special Purpose Vehicles promulgated by SAFE came into effect. This circular prescribes operational procedures and registration requirements for roundtrip investment through special purpose companies and others. In particular, it states that a domestic resident shall apply to the relevant local branch of SAFE for foreign exchange registration of overseas investment, prior to making contribution to a special purpose company with legitimate domestic or overseas assets or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 Incentive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Dividend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legislation with respect to payment or distribution of dividends by wholly foreign-owned enterprises include (i) the Company Law of the People’s Republic of China, most recently amended by the Standing Committee of the National People’s Congress as of October 26, 2018, and (ii) Foreign Investment Law of the People’s Republic of China, which was promulgated on March 15, 2019 and effective from January 1, 2020.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Foreign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Negative List,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Negative List, market survey falls into the catalogue of restrictions, which means foreign investors can engage in businesses in this industry only through a sino-foreign enterprise, while social survey falls into the catalogue of prohibitions.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15, 2019, the National People’s Congress approved the Foreign Investment Law, which came into effect on January 1, 2020 and on December 26, 2019, the State Council adopted Implementing Rules for the Foreign Investment Law of the People’s Republic of China which took effect from January 1, 2020, to interpret and implement the Foreign Investment Law. These rules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organization form and activities of foreign-invested enterprises shall be governed by the laws of the Company Law of the People’s Republic of China and the Partnership Enterprise Law of the People’s Republic of China. Foreign-invested enterprises established before the implementation of the Foreign Investment Law may retain the original business organization and so on within five years after the implementation of the Foreign Investment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Foreign Investment Law is formulated to further expand opening-up, promote foreign investment and protect the legitimate rights and interests of foreign investors. According to the Foreign Investment Law, foreign investments are entitled to pre-entry national treatment and are subject to negative list management system. The pre-entry national treatment means that the treatment given to foreign investors and their investments at the stage of investment access shall not be less favorable than that of domestic investors and their investments. The negative list management system means that the state implements special administrative measures for access of foreign investment in specific fields. Foreign investors shall not invest in any forbidden fields stipulated in the negative list effective on June 2018 and shall meet the conditions stipulated in the negative list before investing in any restricted fields.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Foreign Investment Law does not mention the relevant concept and regulatory regime of VIE structures, since it is relatively new, uncertainties still exist in relation to its interpretation and implementation. 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VIE structure may be regarded as invalid and illegal. As a result, we would not be able to (i) continue our business in China through our contractual arrangements with the VIE and shareholder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2447" w:type="dxa"/>
        <w:jc w:val="left"/>
        <w:tblInd w:w="0" w:type="dxa"/>
        <w:tblLayout w:type="fixed"/>
        <w:tblCellMar>
          <w:top w:w="0" w:type="dxa"/>
          <w:left w:w="0" w:type="dxa"/>
          <w:bottom w:w="0" w:type="dxa"/>
          <w:right w:w="0" w:type="dxa"/>
        </w:tblCellMar>
      </w:tblPr>
      <w:tblGrid>
        <w:gridCol w:w="301"/>
        <w:gridCol w:w="214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Organizational Structure</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chart illustrates our company’s organizational structure, including our principal subsidiaries and consolidated affiliated entities as of March 31, 2023:</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drawing>
          <wp:inline distT="0" distB="0" distL="0" distR="0">
            <wp:extent cx="4937760" cy="6555740"/>
            <wp:effectExtent l="0" t="0" r="0" b="0"/>
            <wp:docPr id="13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7" descr=""/>
                    <pic:cNvPicPr>
                      <a:picLocks noChangeAspect="1" noChangeArrowheads="1"/>
                    </pic:cNvPicPr>
                  </pic:nvPicPr>
                  <pic:blipFill>
                    <a:blip r:embed="rId8"/>
                    <a:stretch>
                      <a:fillRect/>
                    </a:stretch>
                  </pic:blipFill>
                  <pic:spPr bwMode="auto">
                    <a:xfrm>
                      <a:off x="0" y="0"/>
                      <a:ext cx="4937760" cy="6555740"/>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nominee shareholder of OptAim Network is Mr. Jian Tang, who is our co-founder, chairman of the board and chief executive officer.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substantially all our operations through the following consolidated subsidiaries: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iClick Interactive Asia Limited: primarily focusing on providing online advertising, SaaS products and services to Hong Kong and overseas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Tetris Media Limited and Tetris Information Technology (Shanghai) Co., Ltd.: primarily focusing on providing online advertising, SaaS products and services. Its business to Hong Kong and overseas clients are gradually being transferred to iClick Interactive Asia Limited</w:t>
            </w:r>
          </w:p>
        </w:tc>
      </w:tr>
    </w:tbl>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Media Group Limited: primarily focusing on providing online advertising services to Hong Kong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Tetris (Shanghai) Data Technology Co., Ltd.: primarily focusing on providing online advertising, SaaS products and services to PRC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Search (Asia) Limited and its subsidiary: promoting content distribution opportunities for the publisher under our sales agency arrangement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iClick Interactive (Singapore) Pte. Ltd: primarily focusing on providing online advertising services to Singapore and other overseas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iClick Data Technology (Beijing) Limited (previously named iClick Interactive (Beijing) Advertisement Co., Ltd.): primarily focusing on providing our online advertising, SaaS products and services to PRC clients, through itself, and the VIE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Anhui Zhiyunzhong Information Technology Co., Ltd.: primarily focusing on providing mobile online advertising to PRC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OptAim (Beijing) Information Technology Co., Ltd.: primarily focusing on providing mobile online advertising, SaaS products and services to PRC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OptAim Network Technology Co., Ltd., the VIE, and its subsidiaries: primarily focusing on providing mobile online advertising services to PRC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Changyi (Shanghai) Information Technology Co., Ltd. and its subsidiaries: primarily focusing on providing SaaS products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Myhayo Technology Co., Ltd. and Anhui Myhayo Technology Co., Ltd.: primarily focusing on providing mobile content distributions in PRC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Optimal Power Limited and its subsidiaries: primarily focusing on providing online advertising, SaaS products and services with premium media licensing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CMRS Group Holding Limited and its subsidiaries: primarily focusing on promoting online advertising, social media, KOLs and smart content generation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After the abolishment of the foreign ownership restriction in advertising business, we had been transferring the advertising business previously operated by the VIE, OptAim Network, primarily consisted of our mobile marketing solution business, to our wholly-owned subsidiaries. As of December 31, 2018, our wholly-owned subsidiaries had replaced OptAim Network as contracting party for all our mobile marketing solution business. OptAim Network acquired Shanghai Myhayo Technology Co., Ltd. and Anhui Myhayo Technology Co., Ltd. in November 2018 and March 2019 respectively, providing a content distribution channel and a mobile content aggregator of articles and short videos in the PRC, which presents customized feeds to users via its mobile application.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Arrangements with OptAim Network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iClick Beijing, its PRC subsidiary, is considered an FIE. To comply with the then-effective PRC laws and regulations, including the Administrative Provisions on Foreign-Invested Advertising Enterprises, iClick Beijing entered into a set of contractual arrangements with OptAim Network and its shareholder. The laws and regulations that imposed restrictions on foreign ownership in advertising companies, including the Administrative Provisions on Foreign-Invested Advertising Enterprises were abolished in June 2015.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the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iClick Beijing’s contractual arrangements with OptAim Network and its shareholder to conduct certain of our operations in China, including to transfer such operations to VIE to the extent they are deemed foreign-related survey. See “Item 3 Key Information—D. Risk Factors—Risk Related to Our Corporate Structure—We rely on the contractual arrangements that establish the structure for certain of our operations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“Regulations -Regulations on Value-added Telecommunication Services” and “—Regulations on Internet Content Providers.” It is unclear whether Myhayo’s business model would render it a commercial operator of value-added telecommunication services under the relevant PRC laws, in which case Myhayo would be required to hold a value-added telecommunication license. Pursuant to the Negative List, jointly promulgated by MOFCOM and the NDRC on October 24, 2019, foreign investment in value-added telecommunication services is subject to certain restrictions. See “—Regulations—Regulations on Foreign Direct Investment in Value-Added Telecommunications Companies”. As a result, we acquired Myhayo through OptAim Network, the VIE. In August 2019, Myhayo obtained the value-added telecommunication business operation license from the relevant local counterpart of MIIT.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contractual arrangements between iClick Beijing, OptAim Network and the shareholder of OptAim Network allow us to:</w:t>
      </w:r>
    </w:p>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effective control over OptAim Network and its subsidiaries;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substantially all of the economic benefits of OptAim Network and its subsidiaries; and</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an exclusive option to purchase all or part of the equity interests and assets in OptAim Network.</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these contractual agreements, we control and receive the economic benefits of the business operations of the VIE entities, which is not equivalent to equity ownership in the VIE entities. Accordingly, under the U.S. GAAP, the financial statements of the VIE entities are consolidated as part of our financial statements. Accordingly, we are the primary beneficiary of the VIE entities for accounting purposes and consolidate the financial results of the VIE entities in our consolidated financial statements in accordance with the U.S. GAAP. Neither we nor our investors own any equity ownership in, direct foreign investment in, or control of VIE as a result of the contractual agreements with the VIE, its nominee shareholder and our subsidiary, and these agreements have not been tested in a court of law 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contractual arrangements may not be as effective as direct ownership in providing us with control over the VIE. If the VIE or its shareholder fails to perform their respective obligations under these contractual arrangements, our recourse to the assets held by the VIE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 in VIE, including such equity interest, may be put under court custody. As a consequence, we cannot be certain that the equity interest will be disposed pursuant to the contractual arrangement or ownership by the record holder of the equity interest.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currently effective contractual arrangements by and among iClick Data Technology (Beijing) Limited, our wholly-owned subsidiary, OptAim Network, our consolidated VIE, the shareholder of OptAim Network.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Agreements that Provide Us with Effective Control over OptAim Network Third Amended and Restated Equity Pledge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iClick Beijing, OptAim Network and the shareholder of OptAim Network entered into the third amended and restated equity pledge agreement on November 1, 2021. Pursuant to the third amended and restated equity pledge agreement, the shareholder of OptAim Network has pledged all of his equity interest in OptAim Network to iClick Beijing to guarantee the performance by such shareholder and OptAim Network of his obligations under the exclusive business cooperation agreement, power of attorney and the third amended and restated exclusive call option agreement as well as his liabilities arising from any breach. If OptAim Network or its shareholder breaches any obligations under these agreements, iClick Beijing, as pledgee, will be entitled to dispose of the pledged equity and have priority to be compensated by the proceeds from the disposal of the pledged equity. The shareholder of OptAim Network agrees that before his obligations under the contractual arrangements are discharged, 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iClick Beijing. The third amended and restated equity pledge agreement will remain effective until OptAim Network and its shareholder discharge all their obligations under the contractual arrangements and pay out all consulting and services fees under the exclusive business cooperation agreement. We have completed the registration of the equity pledge with the relevant office of the State Administration for Market Regulation in accordance with PRC Property Rights Law on December 15, 2021.</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Power of Attorney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power of attorney dated November 1, 2021, the shareholder of OptAim Network irrevocably authorizes iClick Beijing or any person(s) designated by iClick Beijing to act as his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 of attorney will remain in force unless iClick Beijing gives out any instruction in writing otherwise. Once the power of attorney are terminated in whole or in part, each shareholder shall revoke his/her power of attorney to iClick Beijing and immediately sign another power of attorney with the person(s) designated by iClick Beijing.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Spousal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spouse of Mr. Jian Tang signed a spousal consent letter on November 1, 2021. Mr. Jian Tang holds 100% equity interest in OptAim Network. Under the spousal consent letter, the signing spouse unconditionally and irrevocably agreed that she was aware of the disposal of OptAim Network shares held by Mr. Jian Tang in the following third amended and restated exclusive call option agreement, the abovementioned power of attorney, and the third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Agreement that Allows Us to Receive Economic Benefits from OptAim Network Exclusive Business Cooperation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iClick Beijing, OptAim Network and Zhiyunzhong entered into an exclusive business cooperation agreement on November 1, 2021. Pursuant to this agreement, iClick Beijing or its designated party has the exclusive right to provide OptAim Network and Zhiyunzhong with technical support, consulting services and other services. Without iClick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iClick Beijing owns the intellectual property rights arising out of the provisions of services under this agreement. OptAim Network and Zhiyunzhong shall grant an irrevocable call option to iClick Beijing to purchase all or any of their assets or business with the lowest price allowed by PRC law. Unless iClick Beijing terminates this agreement, this agreement will remain effective until any party thereto is dissolved in accordance with PRC law.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Agreement that Provides Us with the Option to Purchase the Equity Interest in OptAim Network Third Amended and Restated Exclusive Call Option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iClick Beijing, OptAim Network and the shareholder of OptAim Network entered into a third amended and restated exclusive call option agreement on November 1, 2021. Pursuant to the third amended and restated exclusive call option agreement, the shareholder of OptAim Network has irrevocably granted iClick Beijing or any third party designated by iClick Beijing a third amended and restated exclusive call option to purchase all or part of his respective equity interests in OptAim Network. Until there is any evaluation request by PRC law, the purchase price is equal to RMB100 or the lowest price allowed by PRC law. Unless otherwise agreed, the shareholder of OptAim Network will immediately gift iClick Beijing or any third party designated by iClick Beijing with the purchase price after iClick Beijing or any third party designated by iClick Beijing exercises the option. iClick Beijing may transfer all or part of its option under this agreement to a third party under the approval of the shareholder of iClick Beijing. Without iClick Beijing’s prior written consent, the shareholder of OptAim Network shall not, among other things, amend its articles of association, increase or 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 of OptAim Network also undertakes that he will not sale, transfer, pledge, or otherwise dispose of his equity interests in OptAim Network to any third party or create or allow any encumbrance on his equity interests. This agreement will remain effective until iClick Beijing or any third party designated by iClick Beijing has acquired all equity interest of OptAim Network from its shareholder.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opinion of Jingtian &amp; Gongcheng, our PRC legal counsel: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structures of iClick Beijing and OptAim Network do not contravene any applicable PRC laws or regulations currently in effect;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arrangements among iClick Beijing, OptAim Network, the shareholder of OptAim Network and Zhiyunzhong governed by PRC law are valid, binding and enforceable, and do not contravene any PRC laws or regulations currently in effect.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“Item 3. Key Information—D. Risk Factors—Risks Related to Our Corporate Structure—We rely on the contractual arrangements that establish the structure for certain of our operations in China,” and “—Substantial uncertainties exist with respect to the newly enacted PRC Foreign Investment Law and how it may impact the viability of our current corporate structure, corporate governance and business operations.”</w:t>
      </w:r>
    </w:p>
    <w:tbl>
      <w:tblPr>
        <w:tblW w:w="2942" w:type="dxa"/>
        <w:jc w:val="left"/>
        <w:tblInd w:w="0" w:type="dxa"/>
        <w:tblLayout w:type="fixed"/>
        <w:tblCellMar>
          <w:top w:w="0" w:type="dxa"/>
          <w:left w:w="0" w:type="dxa"/>
          <w:bottom w:w="0" w:type="dxa"/>
          <w:right w:w="0" w:type="dxa"/>
        </w:tblCellMar>
      </w:tblPr>
      <w:tblGrid>
        <w:gridCol w:w="301"/>
        <w:gridCol w:w="264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headquarters, principal executive office and some subsidiaries are located in Hong Kong, in an approximately 2,300 square-meter facility, under certain lease agreements expiring on or before August 1, 2025. As of December 31, 2022, we leased approximately 10,100 square-meter office space in China located in Beijing, Shanghai, Shenzhen, Anhui, Xi’an and Guangzhou, which primarily carry out the functions of technology and data engineering, sales and business development and operation support. Outside of mainland China and Hong Kong, we also have subsidiaries or sales offices in Singapore, Taiwan, Korea, Thailand and London.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lease all of our facilities and do not own any real property. Our leases will expire from 2023 to 2025, and we have renewed leases that expired on or before the date of this annual report. We believe that our current facilities are suitable and adequate to meet our current needs. If we require additional space, we expect to be able to obtain additional facilities on commercially reasonable terms.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6" w:name="ITEM4AUNRESOLVEDSTAFFCOMMENTS_525818"/>
      <w:bookmarkStart w:id="47" w:name="_d0b91fdb_cb74_4e06_a699_2b6026b9ef89"/>
      <w:bookmarkEnd w:id="46"/>
      <w:bookmarkEnd w:id="47"/>
      <w:r>
        <w:rPr>
          <w:rFonts w:ascii="Times New Roman;Times;serif" w:hAnsi="Times New Roman;Times;serif"/>
          <w:b/>
          <w:i w:val="false"/>
          <w:caps w:val="false"/>
          <w:smallCaps w:val="false"/>
          <w:sz w:val="20"/>
        </w:rPr>
        <w:t>ITEM 4A.</w:t>
      </w:r>
      <w:r>
        <w:rPr>
          <w:rFonts w:ascii="Times New Roman;Times;serif" w:hAnsi="Times New Roman;Times;serif"/>
          <w:b/>
          <w:sz w:val="20"/>
        </w:rPr>
        <w:t>UNRESOLVED STAFF COMMENTS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8" w:name="ITEM5OPERATINGANDFINANCIALREVIEWANDPROSP"/>
      <w:bookmarkStart w:id="49" w:name="_eea8ed41_6e25_4fca_b366_633164e8a154"/>
      <w:bookmarkEnd w:id="48"/>
      <w:bookmarkEnd w:id="49"/>
      <w:r>
        <w:rPr>
          <w:rFonts w:ascii="Times New Roman;Times;serif" w:hAnsi="Times New Roman;Times;serif"/>
          <w:b/>
          <w:i w:val="false"/>
          <w:caps w:val="false"/>
          <w:smallCaps w:val="false"/>
          <w:sz w:val="20"/>
        </w:rPr>
        <w:t>ITEM 5.</w:t>
      </w:r>
      <w:r>
        <w:rPr>
          <w:rFonts w:ascii="Times New Roman;Times;serif" w:hAnsi="Times New Roman;Times;serif"/>
          <w:b/>
          <w:sz w:val="20"/>
        </w:rPr>
        <w:t>OPERATING AND FINANCIAL REVIEW AND PROSPECTS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0" w:name="_7efde97f_5f3f_4337_b8e1_016ed924c43d"/>
      <w:bookmarkEnd w:id="50"/>
      <w:r>
        <w:rPr>
          <w:rFonts w:ascii="Times New Roman;Times;serif" w:hAnsi="Times New Roman;Times;serif"/>
          <w:b/>
          <w:i w:val="false"/>
          <w:caps w:val="false"/>
          <w:smallCaps w:val="false"/>
          <w:sz w:val="20"/>
        </w:rPr>
        <w:t>ITEM 5A.</w:t>
      </w:r>
      <w:r>
        <w:rPr>
          <w:rFonts w:ascii="Times New Roman;Times;serif" w:hAnsi="Times New Roman;Times;serif"/>
          <w:b/>
          <w:sz w:val="20"/>
        </w:rPr>
        <w:t>OPERATING RESULTS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believe the key factors affecting our financial condition and results of operations include the following:</w:t>
      </w:r>
    </w:p>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enterprise solutions;</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“SaaS+X” model;</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funds from financing activities to support business;</w:t>
            </w:r>
          </w:p>
        </w:tc>
      </w:tr>
    </w:tbl>
    <w:tbl>
      <w:tblPr>
        <w:tblW w:w="2211" w:type="dxa"/>
        <w:jc w:val="left"/>
        <w:tblInd w:w="0" w:type="dxa"/>
        <w:tblLayout w:type="fixed"/>
        <w:tblCellMar>
          <w:top w:w="28" w:type="dxa"/>
          <w:left w:w="28" w:type="dxa"/>
          <w:bottom w:w="28" w:type="dxa"/>
          <w:right w:w="28" w:type="dxa"/>
        </w:tblCellMar>
      </w:tblPr>
      <w:tblGrid>
        <w:gridCol w:w="124"/>
        <w:gridCol w:w="256"/>
        <w:gridCol w:w="1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models;</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optimize client base and increase client spending;</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enlarge audience data set, strengthen data analytics capabilities and innovate technologies; and</w:t>
            </w:r>
          </w:p>
        </w:tc>
      </w:tr>
    </w:tbl>
    <w:tbl>
      <w:tblPr>
        <w:tblW w:w="1536" w:type="dxa"/>
        <w:jc w:val="left"/>
        <w:tblInd w:w="0" w:type="dxa"/>
        <w:tblLayout w:type="fixed"/>
        <w:tblCellMar>
          <w:top w:w="28" w:type="dxa"/>
          <w:left w:w="28" w:type="dxa"/>
          <w:bottom w:w="28" w:type="dxa"/>
          <w:right w:w="28" w:type="dxa"/>
        </w:tblCellMar>
      </w:tblPr>
      <w:tblGrid>
        <w:gridCol w:w="124"/>
        <w:gridCol w:w="256"/>
        <w:gridCol w:w="1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Seasonality;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Expand Enterprise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growth depends on our ability to expand our enterprise solutions. Since May 2018, we started to offer enterprise solutions and have gradually scaled up our enterprise solution business. In 2022, net revenues from enterprise solutions accounted for 37% of our total net revenues, increasing from 21% in 2021 and 11% in 2020. The markets for certain of our offerings remain relatively new and it is uncertain whether our efforts, and related investments, will ever result in significant profits for us. Also, if we are unable to develop enhancements to and new features for our existing services that keep pace with rapid technological developments, our business could be impacted. The budget and spending from clients on SaaS products and services could be impacted by COVID-19 pandemic and macro-economic environment. The success of our development, and implementation of new features and services depends on several factors, including the timely completion, introduction and market acceptance of the feature, service or enhancement by customers, administrators and developers, as well as our ability to integrate all of our service offerings and develop adequate selling capabilities in this new market. Failure in this regard may significantly impair our revenue growth as well as negatively impact our operating results if additional costs are not offset by additional revenues.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Our Ability to Implement “SaaS+X” Model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effectively leveraged the digitalization of China’s economy in the recent years as we accelerate the evolution of our SaaS product matrix. We have also continued to gain practical operational experience in establishing our “SaaS+X” business model. The “SaaS+X” business model that we have established aims to help companies strengthen their productivity and enhance their private domains through effective KOL recommendations, efficient targeted marketing and e-commerce partnerships while integrating and digitalizing data assets and managing and solidifying their brand profiles.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released our “SaaS+X 2022 White Paper on Digital Operations” in March 2022. Combining our in-depth understanding of China’s digital landscape and abundant experience working with more than 1,000 leading banks brands to power sales growth. The white paper is an authoritative resource for companies looking to take their marketing and business development in China to the next level. This white paper combines the theoretical research results and operation methodology that we have developed over the past years since we launched our comprehensive digital transformation strategy in 2019. In the paper we introduce a methodology for implementing digital operation concepts and applying them to all aspects of organization and team collaboration.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Raise Funds from Financing Activities to Support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business also depends on our ability to raise funds for operations and expansion by broadening our business scope as well as penetration into new markets. External funding also strengthening our capabilities and competitiveness through resources for innovation and promotional activities.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been raising funds through different channels such as bank borrowings, IPO, follow-on securities offering and issuance of convertible notes. As a Chinese concept stock with a small market capitalization, we faced significant challenges in obtaining additional equity financing from the capital market. We will continue to manage our own cash positions prudently, including but not limited to close monitoring of cash collection and payment capabilities of clients, balancing the working capital management versus. clients’ demand and business growth opportunities. Meanwhile, we will continue to strategically shift the focus to the higher growth potential of enterprise solutions segment and implement a larger scale of strategic unwind lower margin, higher risk clients under marketing solutions segment.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Revenue Models/ Solution Mix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derive revenue primarily from four sources and report them on either the net or gross basis. For our marketing solutions, we derive revenue from (i) incentives earned from the website publishers, for which we act as a sales agent for their content distribution opportunities, or the sales agency arrangement, which is reported on a net basis, (ii) performing cost-plus marketing campaigns, which is reported on a net basis, (iii) performing specified actions marketing campaigns (i.e., a CPM and CPC basis), which is reported on a gross basis. For our enterprise solutions, we derive revenue from the offering of SaaS products and services, which is reported on a gross basis and a net basis. Please see “—Key Components of Results of Operations—Net Revenues” above for more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respect to our marketing solutions, the gross profit margins for our sales agency arrangement and cost-plus marketing campaigns are higher than that for our specified action marketing campaigns as cost of revenues for our sales agency arrangement and cost-plus marketing campaigns does not include media cost. As a result,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marketing solutions and enterprise solutions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proportion of our gross billing recognized as net revenues on a gross basis and a net basis. The relative proportions of gross billing recognized as net revenues on a gross basis and a net basis are affected by a variety of factors, in particular, the terms of the arrangements with our clients, including whether to conduct their marketing campaigns on a specified-action (i.e., gross) or cost-plus (i.e., net) basis in a particular period, which in turn depends on clients’ needs and goals.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enterprise solutions generally have higher margin than marketing solutions. Within our enterprise solutions, since the margin of providing services is generally lower than providing pure SAAS product as it involves additional labor costs, our overall margin may be impacted as we ramp up our “SaaS+X” model.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Optimize Client Base and Increase Client Spending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growth and profitability are dependent upon our ability to optimize our client base and increase our clients’ spending related to marketing and customer management. In 2022, we strategically reduced lower margin and higher risk businesses and continued to perform comprehensive review of our client base to improve liquidity. The budget and spending from clients on SaaS products and services have been significantly impacted by COVID-19 pandemic and macro-economic environment.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increase clients’ spending on our platform depends on whether we can successfully expand our “SaaS+X” business model and our solutions can effectively address marketers’ evolving and diverse needs in a cost-efficient manner. To that end, we plan to develop and offer more tailored, innovative and user-friendly solutions and services and enhance our sales, marketing and account servicing efforts. For example, we strive to promote our newly launched enterprise solutions to clients by enhancing our ability to effectively identify and address clients’ needs on CRM and comprehensive and customized data acquisition, mining and analytics for real-time, data-driven and more accurate decision making.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Enlarge Audience Data Set, Strengthen Data Analytics Capabilities and Innovate Technologies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performance is significantly dependent on our ability to enlarge audience data set, strengthen data analytics capabilities and innovate technologies. This helps clients achieve more precise audience targeting and enables us to retain clients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clients’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clients’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plan to continue collaborating with clients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Seasonality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COVID-19</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December 2019, there has been an outbreak of COVID-19 in China and around the world. The pandemic has resulted in quarantines, travel restrictions, home office policies, and temporary closure of stores and facilities in mainland China, Hong Kong and many other jurisdictions. These measures have slowed down the development of the China’s economy and adversely affected the global economic conditions and financial markets. Majority of our revenues are derived from, and our workforce are based in China. Our operations have been, and may continue to be, materially and adversely affected by potential delays in or reductions of business activities and commercial transactions, as well as by general uncertainties surrounding the duration of Chinese government’s business and travel restrictions. In 2020, especially in the first half thereof, the industries in which our clients operate were adversely affected by the COVID-19 outbreak, including travel and hospitality sectors. Our clients in these industries reduced their budgets on advertising, which had an adverse impact on our results of operations. In 2022, our marketing solutions business was materially and adversely affected by various control measures implemented by the government in different regions in China, substantial uncertainties remained around the macro-economic conditions and tightened regulation targeting certain industries in which our clients operate, which led to reduced budget and spending from clients and a broad-based slowdown in the advertising market in China. In addition, the travel restrictions and lockdowns materially reduced the efficiency of communication between our employees and customers, delayed our working process and solution delivery. As a result, our business and revenues in 2022 were adversely affected and may continue to be adversely affected in the future. In addition, considering these factors, we recorded significant impairment charges in 2022.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Gross Billing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tbl>
      <w:tblPr>
        <w:tblW w:w="10205" w:type="dxa"/>
        <w:jc w:val="left"/>
        <w:tblInd w:w="0" w:type="dxa"/>
        <w:tblLayout w:type="fixed"/>
        <w:tblCellMar>
          <w:top w:w="0" w:type="dxa"/>
          <w:left w:w="0" w:type="dxa"/>
          <w:bottom w:w="0" w:type="dxa"/>
          <w:right w:w="0" w:type="dxa"/>
        </w:tblCellMar>
      </w:tblPr>
      <w:tblGrid>
        <w:gridCol w:w="2831"/>
        <w:gridCol w:w="326"/>
        <w:gridCol w:w="874"/>
        <w:gridCol w:w="326"/>
        <w:gridCol w:w="916"/>
        <w:gridCol w:w="326"/>
        <w:gridCol w:w="874"/>
        <w:gridCol w:w="326"/>
        <w:gridCol w:w="916"/>
        <w:gridCol w:w="326"/>
        <w:gridCol w:w="874"/>
        <w:gridCol w:w="326"/>
        <w:gridCol w:w="964"/>
      </w:tblGrid>
      <w:tr>
        <w:trPr/>
        <w:tc>
          <w:tcPr>
            <w:tcW w:w="2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797685" cy="175260"/>
                      <wp:effectExtent l="0" t="0" r="0" b="0"/>
                      <wp:wrapNone/>
                      <wp:docPr id="134" name="Frame127"/>
                      <a:graphic xmlns:a="http://schemas.openxmlformats.org/drawingml/2006/main">
                        <a:graphicData uri="http://schemas.microsoft.com/office/word/2010/wordprocessingShape">
                          <wps:wsp>
                            <wps:cNvSpPr txBox="1"/>
                            <wps:spPr>
                              <a:xfrm>
                                <a:off x="0" y="0"/>
                                <a:ext cx="179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5"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54990" cy="175260"/>
                      <wp:effectExtent l="0" t="0" r="0" b="0"/>
                      <wp:wrapNone/>
                      <wp:docPr id="136" name="Frame129"/>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7"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81660" cy="175260"/>
                      <wp:effectExtent l="0" t="0" r="0" b="0"/>
                      <wp:wrapNone/>
                      <wp:docPr id="138" name="Frame13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39"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54990" cy="175260"/>
                      <wp:effectExtent l="0" t="0" r="0" b="0"/>
                      <wp:wrapNone/>
                      <wp:docPr id="140" name="Frame133"/>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1"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81660" cy="175260"/>
                      <wp:effectExtent l="0" t="0" r="0" b="0"/>
                      <wp:wrapNone/>
                      <wp:docPr id="142" name="Frame13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3"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54990" cy="175260"/>
                      <wp:effectExtent l="0" t="0" r="0" b="0"/>
                      <wp:wrapNone/>
                      <wp:docPr id="144" name="Frame137"/>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5"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12140" cy="175260"/>
                      <wp:effectExtent l="0" t="0" r="0" b="0"/>
                      <wp:wrapNone/>
                      <wp:docPr id="146" name="Frame139"/>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48" w:type="dxa"/>
            <w:gridSpan w:val="11"/>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left"/>
              <w:rPr/>
            </w:pPr>
            <w:r>
              <w:rPr/>
              <w:t>​</w:t>
            </w:r>
          </w:p>
        </w:tc>
        <w:tc>
          <w:tcPr>
            <w:tcW w:w="21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w:t>
            </w:r>
          </w:p>
        </w:tc>
        <w:tc>
          <w:tcPr>
            <w:tcW w:w="216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r>
      <w:tr>
        <w:trPr/>
        <w:tc>
          <w:tcPr>
            <w:tcW w:w="2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r>
      <w:tr>
        <w:trPr/>
        <w:tc>
          <w:tcPr>
            <w:tcW w:w="2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billing)</w:t>
            </w:r>
          </w:p>
        </w:tc>
        <w:tc>
          <w:tcPr>
            <w:tcW w:w="326" w:type="dxa"/>
            <w:tcBorders/>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billing)</w:t>
            </w:r>
          </w:p>
        </w:tc>
        <w:tc>
          <w:tcPr>
            <w:tcW w:w="326" w:type="dxa"/>
            <w:tcBorders/>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    </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billing)</w:t>
            </w:r>
          </w:p>
        </w:tc>
      </w:tr>
      <w:tr>
        <w:trPr/>
        <w:tc>
          <w:tcPr>
            <w:tcW w:w="28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metrics:</w:t>
            </w:r>
          </w:p>
        </w:tc>
        <w:tc>
          <w:tcPr>
            <w:tcW w:w="32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  </w:t>
            </w:r>
          </w:p>
        </w:tc>
      </w:tr>
      <w:tr>
        <w:trPr/>
        <w:tc>
          <w:tcPr>
            <w:tcW w:w="2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 from marketing solutions</w:t>
            </w:r>
          </w:p>
        </w:tc>
        <w:tc>
          <w:tcPr>
            <w:tcW w:w="32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648,922</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32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727,340</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32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217,364</w:t>
            </w:r>
          </w:p>
        </w:tc>
        <w:tc>
          <w:tcPr>
            <w:tcW w:w="326" w:type="dxa"/>
            <w:tcBorders/>
            <w:vAlign w:val="center"/>
          </w:tcPr>
          <w:p>
            <w:pPr>
              <w:pStyle w:val="TableContents"/>
              <w:bidi w:val="0"/>
              <w:spacing w:before="0" w:after="0"/>
              <w:ind w:left="0" w:right="0" w:hanging="0"/>
              <w:jc w:val="left"/>
              <w:rPr/>
            </w:pPr>
            <w:r>
              <w:rPr/>
              <w:t> </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r>
      <w:tr>
        <w:trPr/>
        <w:tc>
          <w:tcPr>
            <w:tcW w:w="2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 from enterprise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28,893</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69,512</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64,865</w:t>
            </w:r>
          </w:p>
        </w:tc>
        <w:tc>
          <w:tcPr>
            <w:tcW w:w="326" w:type="dxa"/>
            <w:tcBorders/>
            <w:shd w:fill="CCEEFF" w:val="clear"/>
            <w:vAlign w:val="center"/>
          </w:tcPr>
          <w:p>
            <w:pPr>
              <w:pStyle w:val="TableContents"/>
              <w:bidi w:val="0"/>
              <w:spacing w:before="0" w:after="0"/>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28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677,815</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left"/>
              <w:rPr/>
            </w:pPr>
            <w:r>
              <w:rPr/>
              <w:t> </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796,852</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left"/>
              <w:rPr/>
            </w:pPr>
            <w:r>
              <w:rPr/>
              <w:t> </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282,229</w:t>
            </w:r>
          </w:p>
        </w:tc>
        <w:tc>
          <w:tcPr>
            <w:tcW w:w="326" w:type="dxa"/>
            <w:tcBorders/>
            <w:vAlign w:val="center"/>
          </w:tcPr>
          <w:p>
            <w:pPr>
              <w:pStyle w:val="TableContents"/>
              <w:bidi w:val="0"/>
              <w:spacing w:before="0" w:after="0"/>
              <w:ind w:left="0" w:right="0" w:hanging="0"/>
              <w:jc w:val="left"/>
              <w:rPr/>
            </w:pPr>
            <w:r>
              <w:rPr/>
              <w:t> </w:t>
            </w:r>
          </w:p>
        </w:tc>
        <w:tc>
          <w:tcPr>
            <w:tcW w:w="96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 is an important operating measure by which we evaluate and manage our business. We define gross billing as the aggregate dollar amount that our clients pay us, after deducting rebates paid and discounts given to clients.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gross billing increased from US$677.8 million in 2020 to US$796.9 million in 2021 and decreased to US$282.2 million in 2022. The decrease in 2022 was primarily because we strategically moving to unwind lower-margin, higher-risk marketing solutions business, COVID-19 pandemic and uncertainties of the macro-economic environment from pandemic impact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 derived from our sales agency arrangement was US$20.4 million, US$16.8 million and US$11.1 million in 2020, 2021 and 2022, respectively, none of which was recognized as net revenues for the respective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 derived from our cost-plus marketing campaigns was US$435.3 million, US$498.2 million and US$111.8 million in 2020, 2021 and 2022, respectively, out of which US$26.7 million, US$26.1 million and US$8.9 million was recognized as net revenues for the respective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 derived from our specified action marketing campaigns was US$193.3 million, US$212.4 million and US$94.5 million in 2020, 2021 and 2022, respectively, all of which was recognized as net revenues for the respective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 derived from our enterprise solutions was US$28.9 million, US$69.5 million and US$64.9 million in 2020, 2021 and 2022, respectively, out of which US$28.9 million and US$65.1 million and US$63.1 million was recognized as net revenues for the respective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gross billing per client increased by US$28,420, or 9%, from US$300,450 in 2020 to US$328,870 in 2021, while decreased by US$177,052, or 54%, from US$328,870 in 2021 to US$151,818 million in 2022. The total number of our clients increased by 7% from 2,256 in 2020 to 2,423 in 2021 and decreased to 1,859 in 2022. The decreases in gross billing per client and the total number of clients from 2021 to 2022 were primarily due to (i) a decline in marketers’ advertising budget, and their potential liquidity issue and difficulty to settle trade debts, due to a broad-based slowdown in China’s advertising market, uncertainties around the macroeconomic condition from COVID-19 impact and tightening regulatory environment that affected our clients in certain industry sectors, (ii) our strategic scale-down of lower margin, higher risk marketing solutions business, and (iii) lockdowns and other control measures, which adversely affected the progress of our client on-boarding and solution implementation.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 and the period-to-period comparisons discussed below may not be meaningful and are not indicative of our future trends.</w:t>
      </w:r>
    </w:p>
    <w:tbl>
      <w:tblPr>
        <w:tblW w:w="10205" w:type="dxa"/>
        <w:jc w:val="left"/>
        <w:tblInd w:w="0" w:type="dxa"/>
        <w:tblLayout w:type="fixed"/>
        <w:tblCellMar>
          <w:top w:w="0" w:type="dxa"/>
          <w:left w:w="0" w:type="dxa"/>
          <w:bottom w:w="0" w:type="dxa"/>
          <w:right w:w="0" w:type="dxa"/>
        </w:tblCellMar>
      </w:tblPr>
      <w:tblGrid>
        <w:gridCol w:w="3219"/>
        <w:gridCol w:w="326"/>
        <w:gridCol w:w="865"/>
        <w:gridCol w:w="326"/>
        <w:gridCol w:w="796"/>
        <w:gridCol w:w="326"/>
        <w:gridCol w:w="865"/>
        <w:gridCol w:w="326"/>
        <w:gridCol w:w="796"/>
        <w:gridCol w:w="326"/>
        <w:gridCol w:w="865"/>
        <w:gridCol w:w="326"/>
        <w:gridCol w:w="843"/>
      </w:tblGrid>
      <w:tr>
        <w:trPr/>
        <w:tc>
          <w:tcPr>
            <w:tcW w:w="3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44065" cy="175260"/>
                      <wp:effectExtent l="0" t="0" r="0" b="0"/>
                      <wp:wrapNone/>
                      <wp:docPr id="147" name="Frame140"/>
                      <a:graphic xmlns:a="http://schemas.openxmlformats.org/drawingml/2006/main">
                        <a:graphicData uri="http://schemas.microsoft.com/office/word/2010/wordprocessingShape">
                          <wps:wsp>
                            <wps:cNvSpPr txBox="1"/>
                            <wps:spPr>
                              <a:xfrm>
                                <a:off x="0" y="0"/>
                                <a:ext cx="2044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48"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49275" cy="175260"/>
                      <wp:effectExtent l="0" t="0" r="0" b="0"/>
                      <wp:wrapNone/>
                      <wp:docPr id="149" name="Frame142"/>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0"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05460" cy="175260"/>
                      <wp:effectExtent l="0" t="0" r="0" b="0"/>
                      <wp:wrapNone/>
                      <wp:docPr id="151" name="Frame1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2"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49275" cy="175260"/>
                      <wp:effectExtent l="0" t="0" r="0" b="0"/>
                      <wp:wrapNone/>
                      <wp:docPr id="153" name="Frame146"/>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4"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05460" cy="175260"/>
                      <wp:effectExtent l="0" t="0" r="0" b="0"/>
                      <wp:wrapNone/>
                      <wp:docPr id="155" name="Frame1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6"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49275" cy="175260"/>
                      <wp:effectExtent l="0" t="0" r="0" b="0"/>
                      <wp:wrapNone/>
                      <wp:docPr id="157" name="Frame150"/>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58"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35305" cy="175260"/>
                      <wp:effectExtent l="0" t="0" r="0" b="0"/>
                      <wp:wrapNone/>
                      <wp:docPr id="159" name="Frame152"/>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6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2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left"/>
              <w:rPr/>
            </w:pPr>
            <w:r>
              <w:rPr/>
              <w:t>​</w:t>
            </w:r>
          </w:p>
        </w:tc>
        <w:tc>
          <w:tcPr>
            <w:tcW w:w="198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w:t>
            </w:r>
          </w:p>
        </w:tc>
        <w:tc>
          <w:tcPr>
            <w:tcW w:w="203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r>
      <w:tr>
        <w:trPr/>
        <w:tc>
          <w:tcPr>
            <w:tcW w:w="32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254,745</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307,702</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169,080</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(181,482)</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(218,549)</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(173,212)</w:t>
            </w:r>
          </w:p>
        </w:tc>
        <w:tc>
          <w:tcPr>
            <w:tcW w:w="326" w:type="dxa"/>
            <w:tcBorders/>
            <w:vAlign w:val="center"/>
          </w:tcPr>
          <w:p>
            <w:pPr>
              <w:pStyle w:val="TableContents"/>
              <w:bidi w:val="0"/>
              <w:spacing w:before="0" w:after="0"/>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profit/(loss)</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73,263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89,153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w:t>
            </w:r>
          </w:p>
        </w:tc>
        <w:tc>
          <w:tcPr>
            <w:tcW w:w="326"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pPr>
            <w:r>
              <w:rPr/>
              <w:t>  </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w:t>
            </w:r>
          </w:p>
        </w:tc>
        <w:tc>
          <w:tcPr>
            <w:tcW w:w="326"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(38,028)</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(52,872)</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(44,613)</w:t>
            </w:r>
          </w:p>
        </w:tc>
        <w:tc>
          <w:tcPr>
            <w:tcW w:w="326"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(31,648)</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(51,668)</w:t>
            </w:r>
          </w:p>
        </w:tc>
        <w:tc>
          <w:tcPr>
            <w:tcW w:w="326"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3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26" w:type="dxa"/>
            <w:tcBorders/>
            <w:shd w:fill="CCEEFF" w:val="clear"/>
            <w:vAlign w:val="center"/>
          </w:tcPr>
          <w:p>
            <w:pPr>
              <w:pStyle w:val="TableContents"/>
              <w:bidi w:val="0"/>
              <w:spacing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(80,137)</w:t>
            </w:r>
          </w:p>
        </w:tc>
        <w:tc>
          <w:tcPr>
            <w:tcW w:w="326" w:type="dxa"/>
            <w:tcBorders/>
            <w:shd w:fill="CCEEFF" w:val="clear"/>
            <w:vAlign w:val="center"/>
          </w:tcPr>
          <w:p>
            <w:pPr>
              <w:pStyle w:val="TableContents"/>
              <w:bidi w:val="0"/>
              <w:spacing w:before="0" w:after="0"/>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3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(75,025)</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(102,042)</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(190,037)</w:t>
            </w:r>
          </w:p>
        </w:tc>
        <w:tc>
          <w:tcPr>
            <w:tcW w:w="326"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(12,889)</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(194,169)</w:t>
            </w:r>
          </w:p>
        </w:tc>
        <w:tc>
          <w:tcPr>
            <w:tcW w:w="326"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r>
      <w:tr>
        <w:trPr/>
        <w:tc>
          <w:tcPr>
            <w:tcW w:w="3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c>
          <w:tcPr>
            <w:tcW w:w="326"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w:t>
            </w:r>
          </w:p>
        </w:tc>
        <w:tc>
          <w:tcPr>
            <w:tcW w:w="326"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gains/(losses), net</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5,852</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(19,165)</w:t>
            </w:r>
          </w:p>
        </w:tc>
        <w:tc>
          <w:tcPr>
            <w:tcW w:w="326"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losses on convertible notes</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pPr>
            <w:r>
              <w:rPr/>
              <w:t>—</w:t>
            </w:r>
          </w:p>
        </w:tc>
      </w:tr>
      <w:tr>
        <w:trPr/>
        <w:tc>
          <w:tcPr>
            <w:tcW w:w="3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losses on derivative liabilities</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(11,466)</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share of loss from an equity investee and income tax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(13,162)</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(213,913)</w:t>
            </w:r>
          </w:p>
        </w:tc>
        <w:tc>
          <w:tcPr>
            <w:tcW w:w="326"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w:t>
            </w:r>
          </w:p>
        </w:tc>
      </w:tr>
      <w:tr>
        <w:trPr/>
        <w:tc>
          <w:tcPr>
            <w:tcW w:w="3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 from an equity investee</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3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(expense)/credit</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w:t>
            </w:r>
          </w:p>
        </w:tc>
        <w:tc>
          <w:tcPr>
            <w:tcW w:w="326" w:type="dxa"/>
            <w:tcBorders/>
            <w:shd w:fill="CCEEFF" w:val="cle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(14,906)</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(16,598)</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(202,806)</w:t>
            </w:r>
          </w:p>
        </w:tc>
        <w:tc>
          <w:tcPr>
            <w:tcW w:w="326" w:type="dxa"/>
            <w:tcBorders/>
            <w:vAlign w:val="center"/>
          </w:tcPr>
          <w:p>
            <w:pPr>
              <w:pStyle w:val="TableContents"/>
              <w:bidi w:val="0"/>
              <w:spacing w:before="0" w:after="0"/>
              <w:ind w:left="0" w:right="0" w:hanging="0"/>
              <w:jc w:val="left"/>
              <w:rPr/>
            </w:pPr>
            <w:r>
              <w:rPr/>
              <w:t> </w:t>
            </w:r>
          </w:p>
        </w:tc>
        <w:tc>
          <w:tcPr>
            <w:tcW w:w="8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generate revenue primarily from clients’ marketing spend through our platform as they utilize our solutions in cost-plus and specified action marketing campaigns, and to a less extent from incentives granted by the publishers under our sales agency arrangement. We derive revenue primarily from four sources and report them on either the net or gross basis. For our marketing solutions, we derive revenue from (i) incentives earned from the website publishers, for which we act as a sales agent for their content distribution opportunities, or the sales agency arrangement, which is reported on a net basis, (ii) performing cost-plus marketing campaigns, which is reported on a net basis, (iii) performing specified actions marketing campaigns (i.e., a CPM and CPC basis), which is reported on a gross basis. For our enterprise solutions, we derive revenue from the offering of SaaS products and services, which is reported on a gross basis and a net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 incentives from the publishers under the sales agency arrangement as net revenues. We consider the publishers to be our customers under the sales agency arrangement. The amount of such incentives is determined based on a variety of factors, including yearly market spending at the publishers’ platforms. Under our sales agency arrangement, we do not receive any rebate from the publishers. Net revenues from our sales agency arrangement, which equal the incentives received from the publishers under the sales agency arrangement were US$5.8 million, US$4.2 million and US$2.6 million, in 2020, 2021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US$26.7 million, US$26.0 million and US$8.9 million, in 2020, 2021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US$193.3 million, US$212.4 million and US$94.5 million, in 2020, 2021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In all other circumstances, rebates and discounts we grant are recorded as reduction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Starting from 2019, we also generate revenue from SaaS products which are cloud-hosted software offering enterprise solutions to customers through provision of software licenses and retail and CRM solutions.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and (iii) various combinations of technical support, maintenance services and digitalized operational services provided by us. Net revenues from our enterprise solutions were US$28.9 million, US$65.1 million and US$63.1 million in 2020, 2021 and 2022,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shows our net revenues breakdown for our marketing solutions, and enterprise solutions for the periods presented.</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39"/>
        <w:gridCol w:w="326"/>
        <w:gridCol w:w="880"/>
        <w:gridCol w:w="326"/>
        <w:gridCol w:w="841"/>
        <w:gridCol w:w="326"/>
        <w:gridCol w:w="880"/>
        <w:gridCol w:w="326"/>
        <w:gridCol w:w="841"/>
        <w:gridCol w:w="326"/>
        <w:gridCol w:w="880"/>
        <w:gridCol w:w="326"/>
        <w:gridCol w:w="888"/>
      </w:tblGrid>
      <w:tr>
        <w:trPr/>
        <w:tc>
          <w:tcPr>
            <w:tcW w:w="3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929765" cy="175260"/>
                      <wp:effectExtent l="0" t="0" r="0" b="0"/>
                      <wp:wrapNone/>
                      <wp:docPr id="160" name="Frame153"/>
                      <a:graphic xmlns:a="http://schemas.openxmlformats.org/drawingml/2006/main">
                        <a:graphicData uri="http://schemas.microsoft.com/office/word/2010/wordprocessingShape">
                          <wps:wsp>
                            <wps:cNvSpPr txBox="1"/>
                            <wps:spPr>
                              <a:xfrm>
                                <a:off x="0" y="0"/>
                                <a:ext cx="192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1"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58800" cy="175260"/>
                      <wp:effectExtent l="0" t="0" r="0" b="0"/>
                      <wp:wrapNone/>
                      <wp:docPr id="162" name="Frame155"/>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3"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34035" cy="175260"/>
                      <wp:effectExtent l="0" t="0" r="0" b="0"/>
                      <wp:wrapNone/>
                      <wp:docPr id="164" name="Frame15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5"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58800" cy="175260"/>
                      <wp:effectExtent l="0" t="0" r="0" b="0"/>
                      <wp:wrapNone/>
                      <wp:docPr id="166" name="Frame159"/>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67"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34035" cy="175260"/>
                      <wp:effectExtent l="0" t="0" r="0" b="0"/>
                      <wp:wrapNone/>
                      <wp:docPr id="168" name="Frame16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69"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58800" cy="175260"/>
                      <wp:effectExtent l="0" t="0" r="0" b="0"/>
                      <wp:wrapNone/>
                      <wp:docPr id="170" name="Frame163"/>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1"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63880" cy="175260"/>
                      <wp:effectExtent l="0" t="0" r="0" b="0"/>
                      <wp:wrapNone/>
                      <wp:docPr id="172" name="Frame16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95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30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4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center"/>
              <w:rPr/>
            </w:pPr>
            <w:r>
              <w:rPr/>
              <w:t>​</w:t>
            </w:r>
          </w:p>
        </w:tc>
        <w:tc>
          <w:tcPr>
            <w:tcW w:w="204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209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(US$ in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 net</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8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(US$ in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 net</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8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(US$ in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8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 net</w:t>
            </w:r>
            <w:r>
              <w:rPr>
                <w:rFonts w:ascii="Times New Roman;Times;serif" w:hAnsi="Times New Roman;Times;serif"/>
                <w:sz w:val="16"/>
              </w:rPr>
              <w:t> </w:t>
            </w:r>
          </w:p>
        </w:tc>
      </w:tr>
      <w:tr>
        <w:trPr/>
        <w:tc>
          <w:tcPr>
            <w:tcW w:w="30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center"/>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center"/>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30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 from marketing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225,852</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c>
          <w:tcPr>
            <w:tcW w:w="326"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242,610</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326"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105,956</w:t>
            </w:r>
          </w:p>
        </w:tc>
        <w:tc>
          <w:tcPr>
            <w:tcW w:w="326"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r>
      <w:tr>
        <w:trPr/>
        <w:tc>
          <w:tcPr>
            <w:tcW w:w="30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 from enterprise solutions</w:t>
            </w:r>
          </w:p>
        </w:tc>
        <w:tc>
          <w:tcPr>
            <w:tcW w:w="326" w:type="dxa"/>
            <w:tcBorders/>
            <w:vAlign w:val="center"/>
          </w:tcPr>
          <w:p>
            <w:pPr>
              <w:pStyle w:val="TableContents"/>
              <w:bidi w:val="0"/>
              <w:spacing w:before="0" w:after="0"/>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28,893</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vAlign w:val="center"/>
          </w:tcPr>
          <w:p>
            <w:pPr>
              <w:pStyle w:val="TableContents"/>
              <w:bidi w:val="0"/>
              <w:spacing w:before="0" w:after="0"/>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65,092</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vAlign w:val="center"/>
          </w:tcPr>
          <w:p>
            <w:pPr>
              <w:pStyle w:val="TableContents"/>
              <w:bidi w:val="0"/>
              <w:spacing w:before="0" w:after="0"/>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63,124</w:t>
            </w:r>
          </w:p>
        </w:tc>
        <w:tc>
          <w:tcPr>
            <w:tcW w:w="326" w:type="dxa"/>
            <w:tcBorders/>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r>
      <w:tr>
        <w:trPr/>
        <w:tc>
          <w:tcPr>
            <w:tcW w:w="30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254,745</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 </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307,702</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 </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169,080</w:t>
            </w:r>
          </w:p>
        </w:tc>
        <w:tc>
          <w:tcPr>
            <w:tcW w:w="326" w:type="dxa"/>
            <w:tcBorders/>
            <w:shd w:fill="CCEEFF" w:val="clear"/>
            <w:vAlign w:val="center"/>
          </w:tcPr>
          <w:p>
            <w:pPr>
              <w:pStyle w:val="TableContents"/>
              <w:bidi w:val="0"/>
              <w:spacing w:before="0" w:after="0"/>
              <w:ind w:left="0" w:right="0" w:hanging="0"/>
              <w:jc w:val="left"/>
              <w:rPr/>
            </w:pPr>
            <w:r>
              <w:rPr/>
              <w:t> </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2020, 2021 and 2022, US$61.3 million, US$77.5 million and US$18.6 million rebates were received from publishers under cost-plus marketing campaigns, respectively, which were recognized as net revenues for our marketing solutions, representing 24.1%, 31.9% and 17.5%, of our net revenues in respective periods. Of these rebates, US$0.5 million, US$0.2 million and US$45 thousand were received under cost-plus marketing campaigns from the publisher for which we acted as its sales agent under our sales agency arrangement in respective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2020, 2021 and 2022, US$7.1 million, US$5.1 million and US$3.4 million incentive revenues were received from publishers under our sales agency arrangement, respectively, which were recognized as net revenues for our marketing solutions, representing 2.8%, 2.1% and 3.2% of our net revenues in respective periods. These exclude US$0.5 million, US$0.2 million and US$45 thousand rebates that were received under cost-plus marketing campaigns from the publisher for which we acted as its sales agent under our sales agency arrangement in respective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2020, 2021 and 2022, we granted rebates and discounts of US$48.5 million, US$76.2 million and US$15.6 million, respectively, to marketers and marketing agencies under our cost-plus and specified action marketing campaigns for our marketing solutions, which were recognized as reduction of revenue in respective periods, representing 19.0%, 31.4% and 14.7% of our net revenues in respective periods. Of these rebates and discounts we granted, US$8.6 million, US$15.1 million and US$2.9 million was in connection with our specified action (i.e., gross) marketing campaigns in respective periods, and US$40.0 million, US$61.1 million and US$12.7 million, were in connection with our cost-plus (i.e., net) marketing campaigns in respective periods.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 diverse client base in terms of the geographic location of our clients’ or marketers’ headquarters as we help them, especially multinational marketers, navigate through the fragmented online marketing landscapes in mainland China to identify and reach their potential audience. In determining the geographic classification of our revenue, we look at the geographic location of our subsidiary or the VIE entities which executed the marketing campaign contract. Our subsidiaries or the VIE entities in mainland China generally are our signing entities for marketing campaign contracts with clients which are based in mainland China. Our Singapore subsidiary generally is our signing entity for marketing campaign contracts with clients based in Southeast Asia. Our Hong Kong subsidiaries generally are our signing entities for the other clients. Our clients are primarily based in mainland China. Our net revenues from clients in mainland China increased significantly from 2020 to 2021, and decreased to 2022 as a result of our strategic move to unwind lower-margin, higher-risk Marketing Solutions businesses, and uncertainties of the macro-economic environment from pandemic impact. In 2020, 2021 and 2022, we derived 15.8%, 17.2% and 17.1% of our net revenues from outside mainland China, respectively. The table below shows our net revenues breakdown by geographic region for the periods presented.</w:t>
      </w:r>
    </w:p>
    <w:p>
      <w:pPr>
        <w:pStyle w:val="TextBody"/>
        <w:bidi w:val="0"/>
        <w:spacing w:before="0" w:after="240"/>
        <w:ind w:left="0" w:right="0" w:firstLine="720"/>
        <w:jc w:val="both"/>
        <w:rPr/>
      </w:pPr>
      <w:r>
        <w:rPr/>
        <w:t>​</w:t>
      </w:r>
    </w:p>
    <w:tbl>
      <w:tblPr>
        <w:tblW w:w="8713" w:type="dxa"/>
        <w:jc w:val="left"/>
        <w:tblInd w:w="0" w:type="dxa"/>
        <w:tblLayout w:type="fixed"/>
        <w:tblCellMar>
          <w:top w:w="0" w:type="dxa"/>
          <w:left w:w="0" w:type="dxa"/>
          <w:bottom w:w="0" w:type="dxa"/>
          <w:right w:w="0" w:type="dxa"/>
        </w:tblCellMar>
      </w:tblPr>
      <w:tblGrid>
        <w:gridCol w:w="1621"/>
        <w:gridCol w:w="326"/>
        <w:gridCol w:w="886"/>
        <w:gridCol w:w="326"/>
        <w:gridCol w:w="796"/>
        <w:gridCol w:w="326"/>
        <w:gridCol w:w="886"/>
        <w:gridCol w:w="326"/>
        <w:gridCol w:w="841"/>
        <w:gridCol w:w="326"/>
        <w:gridCol w:w="886"/>
        <w:gridCol w:w="326"/>
        <w:gridCol w:w="841"/>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029335" cy="175260"/>
                      <wp:effectExtent l="0" t="0" r="0" b="0"/>
                      <wp:wrapNone/>
                      <wp:docPr id="173" name="Frame166"/>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4"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62610" cy="175260"/>
                      <wp:effectExtent l="0" t="0" r="0" b="0"/>
                      <wp:wrapNone/>
                      <wp:docPr id="175" name="Frame16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6"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05460" cy="175260"/>
                      <wp:effectExtent l="0" t="0" r="0" b="0"/>
                      <wp:wrapNone/>
                      <wp:docPr id="177" name="Frame17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78"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62610" cy="175260"/>
                      <wp:effectExtent l="0" t="0" r="0" b="0"/>
                      <wp:wrapNone/>
                      <wp:docPr id="179" name="Frame1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0"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34035" cy="175260"/>
                      <wp:effectExtent l="0" t="0" r="0" b="0"/>
                      <wp:wrapNone/>
                      <wp:docPr id="181" name="Frame17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2"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62610" cy="175260"/>
                      <wp:effectExtent l="0" t="0" r="0" b="0"/>
                      <wp:wrapNone/>
                      <wp:docPr id="183" name="Frame1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4"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34035" cy="175260"/>
                      <wp:effectExtent l="0" t="0" r="0" b="0"/>
                      <wp:wrapNone/>
                      <wp:docPr id="185" name="Frame17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6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center"/>
              <w:rPr/>
            </w:pPr>
            <w:r>
              <w:rPr/>
              <w:t>​</w:t>
            </w:r>
          </w:p>
        </w:tc>
        <w:tc>
          <w:tcPr>
            <w:tcW w:w="20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20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 of net </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r>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Mainland China</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214,444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254,874</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140,211</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40,197</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52,599</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28,661</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revenues</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254,745</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307,702</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169,080</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sets forth a breakdown of our cost of revenues for the periods indicated:</w:t>
      </w:r>
    </w:p>
    <w:tbl>
      <w:tblPr>
        <w:tblW w:w="5692" w:type="dxa"/>
        <w:jc w:val="left"/>
        <w:tblInd w:w="0" w:type="dxa"/>
        <w:tblLayout w:type="fixed"/>
        <w:tblCellMar>
          <w:top w:w="0" w:type="dxa"/>
          <w:left w:w="0" w:type="dxa"/>
          <w:bottom w:w="0" w:type="dxa"/>
          <w:right w:w="0" w:type="dxa"/>
        </w:tblCellMar>
      </w:tblPr>
      <w:tblGrid>
        <w:gridCol w:w="1966"/>
        <w:gridCol w:w="326"/>
        <w:gridCol w:w="901"/>
        <w:gridCol w:w="326"/>
        <w:gridCol w:w="901"/>
        <w:gridCol w:w="326"/>
        <w:gridCol w:w="94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48410" cy="175260"/>
                      <wp:effectExtent l="0" t="0" r="0" b="0"/>
                      <wp:wrapNone/>
                      <wp:docPr id="186" name="Frame179"/>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87"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72135" cy="175260"/>
                      <wp:effectExtent l="0" t="0" r="0" b="0"/>
                      <wp:wrapNone/>
                      <wp:docPr id="188" name="Frame18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89"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72135" cy="175260"/>
                      <wp:effectExtent l="0" t="0" r="0" b="0"/>
                      <wp:wrapNone/>
                      <wp:docPr id="190" name="Frame18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1"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00710" cy="175260"/>
                      <wp:effectExtent l="0" t="0" r="0" b="0"/>
                      <wp:wrapNone/>
                      <wp:docPr id="192" name="Frame18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4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69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4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 in thousands)</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solutions</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(172,917)</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(194,912)</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(138,140)</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(8,565)</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(23,637)</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(35,072)</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 of revenues</w:t>
            </w:r>
          </w:p>
        </w:tc>
        <w:tc>
          <w:tcPr>
            <w:tcW w:w="32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(181,482)</w:t>
            </w:r>
          </w:p>
        </w:tc>
        <w:tc>
          <w:tcPr>
            <w:tcW w:w="32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(218,549)</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(173,212)</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for our marketing solutions primarily consists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Media cost in connection with specified-action marketing campaigns</w:t>
            </w:r>
            <w:r>
              <w:rPr>
                <w:rFonts w:ascii="Times New Roman;Times;serif" w:hAnsi="Times New Roman;Times;serif"/>
                <w:b w:val="false"/>
                <w:i w:val="false"/>
                <w:caps w:val="false"/>
                <w:smallCaps w:val="false"/>
                <w:sz w:val="20"/>
              </w:rPr>
              <w:t>. Media cost refers to cost we pay to publishers for acquisition of content distribution opportunities, which is partially offset by rebates we receive from publishers in specified-action marketing campaigns. Media cost represented 93.2%, 88.1% and 50.5% of our cost of revenues in 2020, 2021 and 2022,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Impairment of intangible assets.</w:t>
            </w:r>
            <w:r>
              <w:rPr>
                <w:caps w:val="false"/>
                <w:smallCaps w:val="false"/>
              </w:rPr>
              <w:t xml:space="preserve"> </w:t>
            </w:r>
            <w:r>
              <w:rPr>
                <w:rFonts w:ascii="Times New Roman;Times;serif" w:hAnsi="Times New Roman;Times;serif"/>
                <w:b w:val="false"/>
                <w:i w:val="false"/>
                <w:caps w:val="false"/>
                <w:smallCaps w:val="false"/>
                <w:sz w:val="20"/>
              </w:rPr>
              <w:t>This impairment is primarily related to premium media licensing assets, due to (i) a decline in marketers’ advertising budget, and their potential liquidity issue and difficulty to settle trade debts, due to a broad-based slowdown in China’s advertising market, uncertainties around the macroeconomic condition from COVID-19 impact and tightening regulatory environment that affected our clients in certain industry sectors, (ii) our strategic scale-down of lower margin, higher risk marketing solutions business. It represented 28.3% of our cost of revenues in 2022. We did not incur any impairment of intangible assets under cost of revenues in 2020 and 2021.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Cost of revenues for our enterprise solutions primarily consists of amortization expenses related to the computer software and systems, salaries and benefits of relevant operations and support personnel, depreciation of relevant property and equipment and other direct services costs.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classify our operating expenses into five categories: research and development expenses, sales and marketing expenses, general and administrative expenses, impairment of long-lived assets and impairment of goodwill. The following table sets forth our operating expenses, both in absolute amount and as a percentage of our net revenues, for the periods presented.</w:t>
      </w:r>
    </w:p>
    <w:tbl>
      <w:tblPr>
        <w:tblW w:w="10205" w:type="dxa"/>
        <w:jc w:val="left"/>
        <w:tblInd w:w="0" w:type="dxa"/>
        <w:tblLayout w:type="fixed"/>
        <w:tblCellMar>
          <w:top w:w="0" w:type="dxa"/>
          <w:left w:w="0" w:type="dxa"/>
          <w:bottom w:w="0" w:type="dxa"/>
          <w:right w:w="0" w:type="dxa"/>
        </w:tblCellMar>
      </w:tblPr>
      <w:tblGrid>
        <w:gridCol w:w="3001"/>
        <w:gridCol w:w="326"/>
        <w:gridCol w:w="883"/>
        <w:gridCol w:w="326"/>
        <w:gridCol w:w="841"/>
        <w:gridCol w:w="326"/>
        <w:gridCol w:w="898"/>
        <w:gridCol w:w="326"/>
        <w:gridCol w:w="841"/>
        <w:gridCol w:w="326"/>
        <w:gridCol w:w="898"/>
        <w:gridCol w:w="326"/>
        <w:gridCol w:w="887"/>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905635" cy="175260"/>
                      <wp:effectExtent l="0" t="0" r="0" b="0"/>
                      <wp:wrapNone/>
                      <wp:docPr id="193" name="Frame186"/>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4"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60705" cy="175260"/>
                      <wp:effectExtent l="0" t="0" r="0" b="0"/>
                      <wp:wrapNone/>
                      <wp:docPr id="195" name="Frame188"/>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6"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34035" cy="175260"/>
                      <wp:effectExtent l="0" t="0" r="0" b="0"/>
                      <wp:wrapNone/>
                      <wp:docPr id="197" name="Frame19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198"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70230" cy="175260"/>
                      <wp:effectExtent l="0" t="0" r="0" b="0"/>
                      <wp:wrapNone/>
                      <wp:docPr id="199" name="Frame192"/>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0"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34035" cy="175260"/>
                      <wp:effectExtent l="0" t="0" r="0" b="0"/>
                      <wp:wrapNone/>
                      <wp:docPr id="201" name="Frame19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2"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70230" cy="175260"/>
                      <wp:effectExtent l="0" t="0" r="0" b="0"/>
                      <wp:wrapNone/>
                      <wp:docPr id="203" name="Frame19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4"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63245" cy="175260"/>
                      <wp:effectExtent l="0" t="0" r="0" b="0"/>
                      <wp:wrapNone/>
                      <wp:docPr id="205" name="Frame198"/>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87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5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center"/>
              <w:rPr/>
            </w:pPr>
            <w:r>
              <w:rPr/>
              <w:t>​</w:t>
            </w:r>
          </w:p>
        </w:tc>
        <w:tc>
          <w:tcPr>
            <w:tcW w:w="206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211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(US$ in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 net</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9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(US$ in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 net</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9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(US$ in</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8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 net</w:t>
            </w:r>
            <w:r>
              <w:rPr>
                <w:rFonts w:ascii="Times New Roman;Times;serif" w:hAnsi="Times New Roman;Times;serif"/>
                <w:sz w:val="16"/>
              </w:rPr>
              <w:t>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center"/>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center"/>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center"/>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(75,025)</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(102,042)</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(190,037)</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(38,028)</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(52,872)</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(44,613)</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(31,648)</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(39,643)</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(51,668)</w:t>
            </w:r>
          </w:p>
        </w:tc>
        <w:tc>
          <w:tcPr>
            <w:tcW w:w="326"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c>
          <w:tcPr>
            <w:tcW w:w="326"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26"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(80,137)</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Research and development expenses. </w:t>
            </w:r>
            <w:r>
              <w:rPr>
                <w:rFonts w:ascii="Times New Roman;Times;serif" w:hAnsi="Times New Roman;Times;serif"/>
                <w:b w:val="false"/>
                <w:i w:val="false"/>
                <w:caps w:val="false"/>
                <w:smallCaps w:val="false"/>
                <w:sz w:val="20"/>
              </w:rPr>
              <w:t>Research and development expenses consist primarily of (i) salary and welfare for research and development personnel, (ii) rental expenses, and (iii) server hosting and internet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Sales and marketing expenses. </w:t>
            </w:r>
            <w:r>
              <w:rPr>
                <w:rFonts w:ascii="Times New Roman;Times;serif" w:hAnsi="Times New Roman;Times;serif"/>
                <w:b w:val="false"/>
                <w:i w:val="false"/>
                <w:caps w:val="false"/>
                <w:smallCaps w:val="false"/>
                <w:sz w:val="20"/>
              </w:rPr>
              <w:t>Sales and marketing expenses consist primarily of (i) salary and welfare expenses, and (ii) marketing and promotional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General and administrative expenses.</w:t>
            </w:r>
            <w:r>
              <w:rPr>
                <w:caps w:val="false"/>
                <w:smallCaps w:val="false"/>
              </w:rPr>
              <w:t xml:space="preserve"> </w:t>
            </w:r>
            <w:r>
              <w:rPr>
                <w:rFonts w:ascii="Times New Roman;Times;serif" w:hAnsi="Times New Roman;Times;serif"/>
                <w:b w:val="false"/>
                <w:i w:val="false"/>
                <w:caps w:val="false"/>
                <w:smallCaps w:val="false"/>
                <w:sz w:val="20"/>
              </w:rPr>
              <w:t>General and administrative expenses consist primarily of (i) salary and welfare for general and administrative personnel, (ii) provision for bad debt and other receivables, and (iii) audit, legal and other professional service fees.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Impairment of long-lived assets and goodwill.</w:t>
            </w:r>
            <w:r>
              <w:rPr>
                <w:caps w:val="false"/>
                <w:smallCaps w:val="false"/>
              </w:rPr>
              <w:t xml:space="preserve"> </w:t>
            </w:r>
            <w:r>
              <w:rPr>
                <w:rFonts w:ascii="Times New Roman;Times;serif" w:hAnsi="Times New Roman;Times;serif"/>
                <w:b w:val="false"/>
                <w:i w:val="false"/>
                <w:caps w:val="false"/>
                <w:smallCaps w:val="false"/>
                <w:sz w:val="20"/>
              </w:rPr>
              <w:t>Impairment of long-lived assets consists of impairment of property and equipment, right-of-use assets and intangible assets. Impairment of goodwill was recorded under marketing solutions and enterprise solutions segment. The impairment of long-lived assets and goodwill impairment under marketing solutions reporting unit were as a result of (i) a decline in marketers’ advertising budget, and their potential liquidity issue and difficulty to settle trade debts, due to a broad-based slowdown in China’s advertising market, uncertainties around the macroeconomic condition and tightening regulatory environment that affected our clients in certain industry sectors, and (ii) our larger scale strategic scale-down of lower margin, higher risk marketing solutions business as we prioritized growth focus and resource allocation in light of the challenges in obtaining additional financing. The goodwill impairment under enterprise solutions reporting unit was as a result of (i) our clients’ tightened IT budget and reduced spending on digitalization products and services in light of a slowdown of China’s economy and the uncertain macroeconomic conditions, (ii) increased competition in the SaaS market, in response to which we revisit our pricing strategy and enhance our research and development capacity, and (iii) limited additional equity financing from the capital market and debt financing from banks, which hinder our business expansion to new markets.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Gains/(Losses),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gains/(loess), net consist primarily of (i) impairment on long-term investments, (ii) fair value change in contingent consideration payable in relation to our acquisitions, (iii) government subsidy income, (iv) net exchange gains/(losses), and (v) impairment and fair value gains/(losses) on short-term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British Virgin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our PRC subsidiaries, our consolidated VIE entities, which are considered PRC resident enterprises under PRC tax law, are subject to enterprise income tax on their worldwide taxable income as determined under PRC tax laws and accounting standards at a rate of 25%. High and new technology enterprises (“HNTE”) will enjoy a preferential enterprise income tax rate of 15% under the EIT Law. Our certain subsidiaries in the PRC, which are qualified as a HNTE under the EIT Law, are eligible for a preferential enterprise income tax rate of 15% for a period of three years so long as these entities obtain approval from relevant tax authority if they are profitable during the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paid by our wholly foreign-owned subsidiary in mainland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“Item 3. Key Information—D. Risk Factors—Risks Related to Doing Business in China—We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holding company in the Cayman Islands or any of our subsidiaries outside of mainland China were deemed to be a “resident enterprise” under the PRC Enterprise Income Tax Law, it would be subject to enterprise income tax on its worldwide income at a rate of 25%. See “Item 3. Key Information—D. Risk Factors—Risks Related to Doing Business in China—If we are classified as a PRC resident enterprise for PRC income tax purposes, such classification could result in unfavorable tax consequences to us and our non-PRC shareholders or ADS 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Year Ended December 31, 2022 Compared to Year Ended December 31, 2021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revenues decreased by US$138.6 million, or 45.1%, from US$307.7 million in 2021 to US$169.1 million in 2022.</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our marketing solutions revenues decreased by US$136.7 million, or 56.3%, from US$242.6 million in 2021 to US$106.0 million in 2022, primarily as a result of (i) a decline in marketers’ advertising budget, and their potential liquidity issue and difficulty to settle trade debts, due to a broad-based slowdown in China’s advertising market, uncertainties around the macroeconomic condition from COVID-19 impact and tightening regulatory environment that affected our clients in certain industry sectors, and (ii) our strategic scale-down of lower margin, higher risk marketing solutions business.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our enterprise solutions was dropped by 3.0% to  US$63.1 million in 2022, compared to US$65.1 million in 2021, primarily due to challenges from the pandemic and lockdowns, which affected the progress of our client on-boarding and solution implementation in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 Gross Profit and Gross Profit Margin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decreased by US$45.3 million, or 20.7%, from US$218.5 million in 2021 to US$173.2 million in 2022, primarily as a result of contraction in marketing solutions segment during the year.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our marketing solutions decreased by US$56.8 million, or 29.1%, from US$194.9 million in 2021 to US$138.1 million in 2022, which was primarily due to the scale down of our advertising business and impairment of intangible assets of US$48.6 million in 2022.</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our enterprise solutions increased by US$11.4 million, or 48.4%, from US$23.6 million in 2021 to US$35.1 million in 2022, primarily as a result of more customized services demand from clients.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we incurred gross loss of US$4.1 million in 2022, compared to a gross profit of US$89.2 million. Specifically, we incurred gross loss of US$32.2 million in 2022 for marketing solutions, compared to a US$47.7 million gross profit in 2021. Gross profit for our enterprise solutions decreased by US$13.4 million, or 32.3%, from US$41.5 million in 2021 to US$28.1 million in 2022.</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loss margin of 2.4% in 2022, compared to a gross profit margin of 29.0% in 2021.</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4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increased by US$88.0 million, or 86.2%, from US$102.0 million in 2021 to US$190.0 million in 2022, primarily due to the impairment of goodwill and long-lived assets of US$80.1 million and US$4.4 million respectively, and increase in bad debt expenses and provision of other receivables, partially offset by reduced share-based compensation expenses of US$9.7 million and optimizing cost effectiveness. The operating expenses as a percentage of net revenues increased from 33.2% in 2021 to 112.4% in 2022.</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Sales and marketing expenses</w:t>
            </w:r>
            <w:r>
              <w:rPr>
                <w:rFonts w:ascii="Times New Roman;Times;serif" w:hAnsi="Times New Roman;Times;serif"/>
                <w:b w:val="false"/>
                <w:i w:val="false"/>
                <w:caps w:val="false"/>
                <w:smallCaps w:val="false"/>
                <w:sz w:val="20"/>
              </w:rPr>
              <w:t>. Our sales and marketing decreased by US$8.3 million, or 15.6%, from US$52.9 million in 2021 to US$44.6 million in 2022. The decrease was primarily related to the reduction of share-based compensation expenses of US$8.2 million. Sales and marketing expenses as a percentage of net revenues increased from 17.2% in 2021 to 26.4% in 2022.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General and administrative expenses</w:t>
            </w:r>
            <w:r>
              <w:rPr>
                <w:rFonts w:ascii="Times New Roman;Times;serif" w:hAnsi="Times New Roman;Times;serif"/>
                <w:b w:val="false"/>
                <w:i w:val="false"/>
                <w:caps w:val="false"/>
                <w:smallCaps w:val="false"/>
                <w:sz w:val="20"/>
              </w:rPr>
              <w:t>. Our general and administrative expenses increased by US$12.0 million, or 40.0%, from US$39.6 million in 2021 to US$51.7 million in 2022, primarily due to the increase of bad debt expenses and provision of other receivables. General and administrative expenses as a percentage of net revenues increased from 12.9% in 2021 to 30.6% in 2022.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Research and development expenses.</w:t>
            </w:r>
            <w:r>
              <w:rPr>
                <w:caps w:val="false"/>
                <w:smallCaps w:val="false"/>
              </w:rPr>
              <w:t xml:space="preserve"> </w:t>
            </w:r>
            <w:r>
              <w:rPr>
                <w:rFonts w:ascii="Times New Roman;Times;serif" w:hAnsi="Times New Roman;Times;serif"/>
                <w:b w:val="false"/>
                <w:i w:val="false"/>
                <w:caps w:val="false"/>
                <w:smallCaps w:val="false"/>
                <w:sz w:val="20"/>
              </w:rPr>
              <w:t xml:space="preserve">Our research and development expenses decreased by US$0.3 million, or 3.3%, from US$9.5 million in 2021 to US$9.2 million in 2022, primarily due to the decrease on bonus with the weaker operational performance due to uncertainties in macro-environment and COVID-19 pandemic. Research and development expenses as a percentage of net revenues increased from 3.1% in 2021 to 5.5% in 2022.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Impairment of goodwill and long-lived assets</w:t>
            </w:r>
            <w:r>
              <w:rPr>
                <w:rFonts w:ascii="Times New Roman;Times;serif" w:hAnsi="Times New Roman;Times;serif"/>
                <w:b w:val="false"/>
                <w:i w:val="false"/>
                <w:caps w:val="false"/>
                <w:smallCaps w:val="false"/>
                <w:sz w:val="20"/>
              </w:rPr>
              <w:t>. In 2022, we recorded US$4.4 million in impairment of long-lived assets and US$80.1 million in goodwill (US$53.0 million under marketing solutions reporting unit and US$27.1 million under enterprise solutions reporting unit). We did not record any impairment of long-lived assets or goodwill in 2020 and 2021. The goodwill impairment in marketing solutions reporting unit and impairment of long-lived assets were as a result of (i) a decline in marketers’ advertising budget, and their potential liquidity issue and the difficulty to settle accounts receivables, due to a broad-based slowdown in China’s advertising market and tightening regulatory environment that affected our clients in certain industry sectors, and (ii) our strategic scale-down of lower margin, higher risk marketing solutions business. The goodwill impairment in enterprise solutions reporting unit was as a result of (i) our clients’ tightened IT budget and reduced spending on digitalization products and services in light of a slowdown of China’s economy and the uncertain macroeconomic conditions, (ii) increased competition in the SaaS market, in response to which we revisit our pricing strategy and enhance research and development capacity, and (iii) limited additional equity financing from the capital market and debt financing from banks, which has hindered our business expansion to new markets.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income was US$0.8 million and US$1.5 million in 2021 and 2022, respectively. The change was primarily attributable to the increase of interest rate for US$ deposit.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expense was US$4.1 million and US$2.1 million in 2021 and 2022, respectively. The change was primarily attributable to the decrease of credit facilities used during the year, as a result of the increase of cash inflow from operating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(Losses)/Gains , Net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gains, net was US$2.2 million in 2021 and it was other losses of US$19.2 million in 2022, respectively. The change was affected by impairment loss on our long-term investments of US$10.8 million, fair value loss on contingent consideration payables of US$8.4 million, and exchange loss of US$3.2 million, partially offset by government subsidy income of US$4.5 million in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of Loss from an Equity Investee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of loss of an equity investee was US$0.1 million in 2021 and 2022 each. Our share of losses of an equity investee is primarily associated with net losses from our joint venture with VGI Global Media Plc in Thailand that was set up in May 2019.</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(Credit)/Expense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an income tax expenses of US$2.5 million and income tax credit of US$11.2 million in 2021 and 2022, respectively. The income tax credit in 2022 was primarily due to impairment of intangible assets which resulted in reversal of deferred tax liabilities during the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loss increased from US$16.6 million in 2021 to US$202.8 million in 2022.</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2021 Compared to Year Ended December 31, 2020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revenues increased by US$53.0 million, or 21%, from US$254.7 million in 2020 to US307.7 million in 2021.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marketing solutions increased by US$16.7 million, or 7% from US$225.9 million in 2020 to US$242.6 million in 2021, primarily as a result of the growing market demand from specified action marketing campaigns.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revenues from our enterprise solutions increased by US$36.2 million, or 125% from US$28.9 million in 2020 to US$65.1 million in 2021, which was primarily driven by our strategic focus on this segment with more diversified new products and services offering during the year, the growing market demand for the collection of information from different consumer online and offline touchpoints, integration of such information into a single data management platform to facilitate better informed business decisions, and the value added services we tailor made to clients for content creation, integrated multi-channel distribution transformation, private domain management, etc.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 Gross Profit and Gross Profit Margin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increased by US$37.0 million, or 20.4%, from US$181.5 million in 2020 to US$218.5 million in 2021, primarily as a result of an increase in media cost, which increased by US$24.1 million, or 14.3%, from US$168.5 million in 2020 to US$192.6 million in 2021 as a result of our sales growth during the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for our marketing solutions increased by US$22.0 million, or 12.7%, from US$172.9 million in 2020 to US$194.9 million in 2021, which was in line with the higher market demand for our marketing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revenues for our enterprise solutions increased by US$15.0 million, or 176.0%, from US$8.6 million in 2020 to US$23.6 million in 2021, primarily as a result of increase of staff expenses, development cost and service expenses to capture the market growth on this business stream.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above, our gross profit increased from US$73.3 million in 2020 to US$89.2 million in 2021. Specifically, gross profit for our marketing solutions decreased by US$5.2 million, or 10.0%, from US$52.9 million in 2020 to US$47.7 million in 2021. Gross profit for our enterprise solutions increased by US$21.2 million, or 103.9%, from US$20.3 million in 2020 to US$41.5 million in 2021.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gross profit margin increased from 28.8% in 2020 to 29.0% in 2021, primarily due to our strong momentum in enterprise solutions with higher margin, partially offset by the lower margin in marketing solutions due to the changing regulatory environment and heightened macro-economic uncertainties. We have started to strategically reduce lower margin and higher risk businesses in our more capital-intensive marketing solutions segment in order to focus on the higher growth potential of enterprise solutions.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operating expenses increased by US$27.0 million, or 36.0%, from US$75.0 million in 2020 to US$102.0 million in 2021, primarily due to increase of share-based compensation, staff cost for product innovation and business development, and bad debt expenses. The operating expenses as a percentage of net revenues increased from 29.5% in 2020 to 33.2% in 2021.</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Sales and marketing expenses. </w:t>
            </w:r>
            <w:r>
              <w:rPr>
                <w:rFonts w:ascii="Times New Roman;Times;serif" w:hAnsi="Times New Roman;Times;serif"/>
                <w:b w:val="false"/>
                <w:i w:val="false"/>
                <w:caps w:val="false"/>
                <w:smallCaps w:val="false"/>
                <w:sz w:val="20"/>
              </w:rPr>
              <w:t>Our sales and marketing expenses increased by US$14.9 million, or 39.0%, from US$38.0 million in 2020 to US$52.9 million in 2021. The increase was primarily related to new business development, and the nature includes year on year increment in share-based compensation expenses of US$7.3 million, staff cost of US$4.6 million especially from newly acquired subsidiaries, and promotional expenses of US$1.8 million. Sales and marketing expenses as a percentage of net revenues increased from 14.9% in 2020 to 17.2% in 2021.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General and administrative expenses</w:t>
            </w:r>
            <w:r>
              <w:rPr>
                <w:rFonts w:ascii="Times New Roman;Times;serif" w:hAnsi="Times New Roman;Times;serif"/>
                <w:b w:val="false"/>
                <w:i w:val="false"/>
                <w:caps w:val="false"/>
                <w:smallCaps w:val="false"/>
                <w:sz w:val="20"/>
              </w:rPr>
              <w:t>. Our general and administrative expenses increased by US$8.0 million, or 25.3%, from US$31.6 million in 2020 to US$39.6 million in 2021, primarily due to increase in staff cost of US$0.9 million and bad debt expenses of US$5.8 million on specific provision of certain clients in 2021. General and administrative expenses as a percentage of net revenues increased from 12.5% in 2020 to 12.9% in 2021.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Research and development expenses. </w:t>
            </w:r>
            <w:r>
              <w:rPr>
                <w:rFonts w:ascii="Times New Roman;Times;serif" w:hAnsi="Times New Roman;Times;serif"/>
                <w:b w:val="false"/>
                <w:i w:val="false"/>
                <w:caps w:val="false"/>
                <w:smallCaps w:val="false"/>
                <w:sz w:val="20"/>
              </w:rPr>
              <w:t>Our research and development expenses increased by US$4.2 million, or 78.1%, from US$5.3 million in 2020 to US$9.5 million in 2021, primarily due to increase in staff cost for continuous product innovation and development. Research and development expenses as a percentage of net revenues increased from 2.1% in 2020 to 3.1% in 2021.</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interest income was US$1.3 million and US$0.8 million in 2020 and 2021,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interest expense was US$2.7 million and US$4.1 million in 2020 and 2021, respectively. The change was primarily attributable to the increase of credit facilities used during the year, with the increase of banking facilities offered by banks.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Gains,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other gains, net was US$5.9 million in 2020 and US$2.2 million in 2021, respectively. The change was affected by impairment loss of long-term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Losses on Derivative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recorded fair value losses on derivative liabilities of US$11.5 million in 2020 while we did not record any fair value gains or losses on derivative liabilities in 2021. Our fair value losses on derivative liabilities were primarily in relation to a call option for investors to purchase our convertible notes.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Losses on Convertible Notes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recorded fair value losses on convertible notes of US$4.4 million in 2020 while we did not record any fair value gains or losses on convertible notes in 2021. The amount of our fair value losses on convertible notes in 2020 was primarily impacted by volatility in the price of our ADSs.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of Losses from an Equity Investee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share of losses of an equity investee was US$0.1 million in 2020 and 2021. Our share of losses of an equity investee is primarily associated with net losses from our joint venture with VGI Global Media Plc in Thailand that was set up in May 2019.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recorded an income tax expenses of US$1.6 million and US$2.5 million in 2020 and 2021, respectively. The increase was primarily due to increasing profitability of operating companies.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our net loss increased by 11.4% from US$14.9 million in 2020 to US$16.6 million in 2021.</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detailed discussion on recent accounting pronouncements, see Note 2(an) to our consolidated financial statements included elsewhere in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B.</w:t>
      </w:r>
      <w:r>
        <w:rPr>
          <w:rFonts w:ascii="Times New Roman;Times;serif" w:hAnsi="Times New Roman;Times;serif"/>
          <w:b w:val="false"/>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and Working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sources of liquidity have been cash generated from our operating activities, proceeds from our equity and debt issuances and proceeds from bank borrowings. As of December 31, 2022, we had US$82.8 million in cash and cash equivalents, time deposits of US$10 thousand, restricted cash of US$22.5 million, and borrowing capacity of US$44.3 million under our revolving credit facilities of a total principal amount of US$165.3 million. As of December 31, 2022, our cash and cash equivalents primarily consisted of cash on hand, cash held at bank, and time deposits placed with banks or other financial institutions, which have original maturities of three months or less. Out of our cash and cash equivalents as of December 31, 2022, US$17.3 million was held in U.S. dollar, RMB378.0 million (US$54.6 million) was held in Renminbi, HK$78.0 million (US$10.1 million) was held in Hong Kong dollar, EUR106 thousand (US$111 thousand) was held in European dollar, SGD471 thousand (US$345 thousand) was held in Singapore dollar, TWD3.1 million (US$99 thousand) was held in New Taiwan dollar, JPY11.8 million (US$91 thousand) was held in Japanese Yen and a subsequent 133 thousand (US$104 thousand) was held in other currencies. We closely monitor our cash balance and future payments obligations by preparing monthly management account and regular fund reports to provide a timely overview of our overall cash position and liquidity and risk control measurements. Such reports will be reviewed by our chief financial officer and our financial controller. In addition, we have adopted a stringent cash management policy. We also regularly monitor our current and expected liquidity requirements to ensure that we maintain sufficient cash balances to meet our liquidity needs. As of December 31, 2022, the VIE entities held US$1.5 million cash and cash equivalents.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current cash and cash equivalents, short-term investments, together with the borrowing capacity under our revolving credit facilities and the term loan facility will be sufficient to meet our anticipated working capital requirements and capital expenditures for the next 12 months. We may, however, need additional capital in the future to fund our continued operations. If we determine that our cash requirements exceed our available financial resources, we may seek to issue equity or debt securities or obtain credit facilities.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although we consolidate the results of our consolidated VIE entities, we only have access to the assets or earnings of our consolidated VIE entities through our contractual arrangements with our consolidated VIE entities and its shareholder. See “Item 4. Information on the Company—C. Organizational Structure—Contractual Arrangements with OptAim Network.” For restrictions and limitations on liquidity and capital resources as a result of our corporate structure, see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SAFE as long as certain routine procedural requirements are fulfilled. However, approval from or registration with competent government authorities is required where Renminbi is to be converted into foreign currency and remitted out of mainland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SAFE and its local branches. See “Item 3. Key Information—D. Risk Factors—Risks Relating to Doing Business in China—Governmental control of currency conversion may limit our ability to utilize our revenues effectively and affect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cash flows for the periods indicated:</w:t>
      </w:r>
    </w:p>
    <w:tbl>
      <w:tblPr>
        <w:tblW w:w="10132" w:type="dxa"/>
        <w:jc w:val="left"/>
        <w:tblInd w:w="0" w:type="dxa"/>
        <w:tblLayout w:type="fixed"/>
        <w:tblCellMar>
          <w:top w:w="0" w:type="dxa"/>
          <w:left w:w="0" w:type="dxa"/>
          <w:bottom w:w="0" w:type="dxa"/>
          <w:right w:w="0" w:type="dxa"/>
        </w:tblCellMar>
      </w:tblPr>
      <w:tblGrid>
        <w:gridCol w:w="6676"/>
        <w:gridCol w:w="326"/>
        <w:gridCol w:w="796"/>
        <w:gridCol w:w="326"/>
        <w:gridCol w:w="796"/>
        <w:gridCol w:w="326"/>
        <w:gridCol w:w="886"/>
      </w:tblGrid>
      <w:tr>
        <w:trPr/>
        <w:tc>
          <w:tcPr>
            <w:tcW w:w="6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239260" cy="175260"/>
                      <wp:effectExtent l="0" t="0" r="0" b="0"/>
                      <wp:wrapNone/>
                      <wp:docPr id="206" name="Frame199"/>
                      <a:graphic xmlns:a="http://schemas.openxmlformats.org/drawingml/2006/main">
                        <a:graphicData uri="http://schemas.microsoft.com/office/word/2010/wordprocessingShape">
                          <wps:wsp>
                            <wps:cNvSpPr txBox="1"/>
                            <wps:spPr>
                              <a:xfrm>
                                <a:off x="0" y="0"/>
                                <a:ext cx="423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07"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05460" cy="175260"/>
                      <wp:effectExtent l="0" t="0" r="0" b="0"/>
                      <wp:wrapNone/>
                      <wp:docPr id="208" name="Frame20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09"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05460" cy="175260"/>
                      <wp:effectExtent l="0" t="0" r="0" b="0"/>
                      <wp:wrapNone/>
                      <wp:docPr id="210" name="Frame20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1"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62610" cy="175260"/>
                      <wp:effectExtent l="0" t="0" r="0" b="0"/>
                      <wp:wrapNone/>
                      <wp:docPr id="212" name="Frame2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6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13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 thousands)</w:t>
            </w:r>
          </w:p>
        </w:tc>
      </w:tr>
      <w:tr>
        <w:trPr/>
        <w:tc>
          <w:tcPr>
            <w:tcW w:w="66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Consolidated Cash Flow Data:</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6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(19,633)</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(19,673)</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71,104</w:t>
            </w:r>
          </w:p>
        </w:tc>
      </w:tr>
      <w:tr>
        <w:trPr/>
        <w:tc>
          <w:tcPr>
            <w:tcW w:w="6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(3,977)</w:t>
            </w:r>
          </w:p>
        </w:tc>
      </w:tr>
      <w:tr>
        <w:trPr/>
        <w:tc>
          <w:tcPr>
            <w:tcW w:w="6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79,983</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24,743</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(37,289)</w:t>
            </w:r>
          </w:p>
        </w:tc>
      </w:tr>
      <w:tr>
        <w:trPr/>
        <w:tc>
          <w:tcPr>
            <w:tcW w:w="6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on exchange rate changes on cash and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w:t>
            </w:r>
          </w:p>
        </w:tc>
      </w:tr>
      <w:tr>
        <w:trPr/>
        <w:tc>
          <w:tcPr>
            <w:tcW w:w="6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32,657</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(17,320)</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29,838</w:t>
            </w:r>
          </w:p>
        </w:tc>
      </w:tr>
      <w:tr>
        <w:trPr/>
        <w:tc>
          <w:tcPr>
            <w:tcW w:w="6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at the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60,706</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94,377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77,589</w:t>
            </w:r>
          </w:p>
        </w:tc>
      </w:tr>
      <w:tr>
        <w:trPr/>
        <w:tc>
          <w:tcPr>
            <w:tcW w:w="6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at the end of year</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94,377</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77,589</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105,297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amounted to US$71.1 million in 2022, which was mainly attributable to non-cash items of US$181.6 million and a net increase in working capital of US$92.3 million, partially offset by net loss of US$202.8 million. The non-cash items of US$181.6 million were primarily attributable to goodwill impairment of US$80.1 million, impairment on intangible assets of US$49.8 million, allowance for credit losses on accounts receivable of US$18.5 million, impairment on long-term investments of US$10.8 million, provision of loan and other receivables of US$11.2 million, and fair value change on contingent consideration payable of US$8.4 million. The net increase in working capital of US$92.3 million was primarily attributable to decrease in accounts receivable of US$104.0 million and decrease in prepaid media cost of US$17.5 million, partially offset by decrease in accounts payable of US$24.9 million, and decrease in deferred revenue of US$6.9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amounted to US$19.7 million in 2021, which was mainly attributable to a net loss of US$16.6 million and a net decrease in working capital of US$37.4 million, partially offset by non-cash items of US$34.3 million. The net decrease in working capital of US$37.4 million was primarily attributable to increase in accounts receivable of US$58.6 million and decrease in deferred revenue of US$5.3 million, partially offset by an increase in accounts payable of US$23.4 million. The non-cash items of US$34.3 million were primarily attributable to allowance for credit losses on accounts receivable of US$12.4 million, share-based compensation expenses of US$13.5 million and impairment on long-term investments of US$4.0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amounted to US$19.6 million in 2020, which was mainly attributable to a net loss of US$14.9 million and a net decrease in working capital of US$34.9 million, partially offset by non-cash items of US$30.2 million. The net decrease in working capital of US$34.9 million was primarily attributable to decrease in accounts payable of US$23.3 million, and increase in prepaid media cost and rebate receivables of US$8.4 million and US$5.0 million, respectively. The non-cash items of US$30.2 million were primarily attributable to fair value loss on derivative liabilities and convertible notes of US$11.5 million and US$4.4 million, respectively, share based compensation of US$6.2 million, and amortization of intangible assets and right-of-use assets of US$6.1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2022 was US$4.0 million, due to US$7.7 million and US$6.5 million for acquisition of businesses and long-term investments, respectively, partially offset by cash inflow from time deposits of US$11.1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2021 was US$22.4 million, due to an increase in time deposits of US$11.0 million, US$10.9 million of net loan amount to third parties, US$10.0 million and US$4.5 million for acquisition of businesses and long-term investments respectively, partially offset by a decrease in short-term investments of US$15.6 million.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2020 was US$27.7 million, due to an increase in short-term investments of US$22.3 million, prepaid long-term investment costs and other long-term investments of US$1.9 million and US$7.1 million,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in 2022 was US$37.3 million, which was primarily attributable to net repayments of bank borrowings of US$29.8 million and share repurchase amounting to US$7.6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in 2021 was US$24.7 million, which was primarily attributable to net proceeds from bank borrowings of US$17.8 million and net proceeds from issuance of ordinary shares upon subscription from Baozun Inc. of US$17.0 million respectively, partially offset by share repurchase amounting to US$10.7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in 2020 was US$80.0 million, which was primarily attributable to net proceeds from follow-on and private placement of US$53.4 million and US$18.5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Facilities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2019, we entered into a facility agreement with a commercial bank, which provides for a one-year factoring loans of HK$24.0 million (US$3.1 million). We provide corporate guarantee and accounts receivable as pledge to secure our obligations under this revolving loan. The interest rate of this loan facility was at 4.25% per annum over 1-month Hong Kong Interbank Offered Rate (“HIBOR”) for loan in HK$, 2.00% per annum over 1-month HIBOR for loan in RMB, or 4.25% per annum over 1-month London Interbank Offered Rate (“LIBOR”) for loan in US$. The interest rate of facilities in US$ was amended to 4.32% over US$ reference rate from April 2022. As of December 31, 2022, the total outstanding amount of the revolving loan was HK$31.6 thousand (US$4.1 thousand).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2019, we entered into a facility agreement for working capital loans with a commercial bank. The loan facility provides for a one-year revolving loan of US$13.6 million, which is supported by standby documentary credit facilities of US$15.0 million. In April 2021, this loan was subsequently amended. The amended agreement provides for a one-year revolving loan of US$50.0 million. We provide corporate guarantee, deposits and accounts receivable as pledge to secure our obligations under this revolving loan. The interest rate of this loan facility is either (i) 5.22% in RMB, or (ii) 1-month LIBOR plus 3.00% per annum if the loan is drawn down in US$. As of December 31, 2022, the total outstanding amount of the revolving loan was RMB127.4 million (US$18.4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August 2019, we entered into two facility agreements for working capital loans with a commercial bank, which provide for (i) a one-year revolving loan of RMB18.5 million (US$2.7 million) and (ii) a one-year revolving loan of US$1.6 million, respectively. We provide corporate guarantee and deposits as pledge to secure our obligations under this revolving loan. The interest rate of this loan facility was the benchmark interest rate determined by the People’s Bank of China for loans over one year granted by financial institutions plus 0.97% per annum. This loan was subsequently renewed in September 2019 and August 2020. The one-year revolving loan of US$1.6 million was replaced by a one-year revolving loan of RMB11.5 million (US$1.7 million). The interest rate of these facilities is 3.60% per annum and reduced to 3.00% in August 2021. As of December 31, 2022, we had no outstanding balance under this revolving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2019, we entered into a one-year facility agreement for working capital loans with a commercial bank, which provides for (i) US$15.0 million standby documentary credit facilities, (ii) US$10.0 million combined limit for pre-shipment buyer loan and revolving loan, and (iii) US$1.0 million overdraft facilities. We provide corporate guarantee and bank deposits as pledge to secure our obligations under these loan facilities. In March 2021, this loan was subsequently amended, which provides for (i) US$15.0 million combined limit for pre-shipment buyer loan and post-shipment buyer loan, (ii) US$6.0 million revolving loan, and (iii) US$1.0 million overdraft facilities. For the pre-shipment buyer loan and post-shipment buyer loan, the interest rate is at either (i) HIBOR plus 3.85% per annum if the loan is drawn down in HK$, or (ii) LIBOR plus 3.85% per annum if the loan is drawn down in US$. For the revolving loan, the interest rate is at either (i) HIBOR plus 4.25% per annum if the loan is drawn down in HK$, or (ii) LIBOR plus 4.25% per annum if the loan is drawn down in US$. For the overdraft facility, the interest rate is at the bank’s US$ best lending rate. From April 2022, interest rate of the pre-shipment buyer loan and post-shipment buyer loan in US$ was amended to 3.95% over US$ reference rate, and interest rate of the revolving loan in US$ was amended to 4.35% over US$ reference rate. We had no outstanding balance under these loan facilities as of December 31,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2019, we entered into a facility agreement for working capital loans with a commercial bank, which provide for a half-year revolving loan of RMB50.0 million (US$7.2 million). We provide corporate guarantee and accounts receivable of certain subsidiaries to secure our obligations. It was subsequently renewed and amended in December 2020 and December 2021. The amended agreement provides for a half-year revolving loan of RMB80.0 million (US$11.6 million). The interest rate of this facility was 6.35%, reduced to 6.25% in December 2021, and reduced to 5.00% in December 2022. As of December 31, 2022, the total outstanding amount of this revolving loan was RMB80.0 million (US$11.6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2019, we entered into a facility agreement for working capital loans with a commercial bank, which provide for one-year revolving loan of RMB50.0 million (US$7.2 million). We provide corporate guarantee and deposits as pledge to secure our obligations under this revolving loan. It was subsequently renewed and amended in December 2020. The interest rate of this loan facility was subsequently amended to 3.00% per annum. As of December 31, 2022, the total outstanding amount of this revolving loan was RMB30.0 million (US$4.3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August 2020, we entered into a bank acceptance draft discount facility agreement with a commercial bank, which provides for a revolving loan of RMB40.0 million (US$5.8 million). The interest rate of this loan facility is based on cost of funding at the time of discounting plus a risk premium depending on the accepting bank’s credit rating. As of December 31, 2022, we had no outstanding balance under this revolving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October 2020, we entered into a facility agreement for working capital loans with a commercial bank, which provide for one-year revolving loan of RMB100.0 million (US$14.5 million). We provide corporate guarantee and deposits as pledge to secure our obligations under this revolving loan. The interest rate of this loan facility is fixed at 3.25% per annum and reduced to 3.00% in August 2021. As of December 31, 2022, the total outstanding amount of this revolving loan was RMB54.5 million (US$7.9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2021, we entered into a facility agreement for working capital loans with a commercial bank, which provides for a revolving loan of RMB220.0 million (US$31.8 million). The interest rate of this loan facility is fixed at 4.00% per annum. As of December 31, 2022, we had no outstanding balance under this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2021, we entered into a facility agreement for working capital loans with a commercial bank, which provides for a one-year non-revolving loan of RMB20.0 million (US$2.9 million). The interest rate of this loan facility is 0.50% over loan prime rate (“LPR”). As of December 31, 2022, we had no outstanding balance under this loan.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2021, we entered into a facility agreement for working capital loans with a commercial bank, which provides for a revolving loan of US$30.0 million. The interest rate of this loan facility is LIBOR plus 0.70% (or higher) per annum over the bank’s cost of funds. As of December 31, 2022, we had no outstanding balance under this revolving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2022, we entered into a facility agreement for working capital loans with a commercial bank, which provides for a one-year non-revolving loan of RMB3.5 million (US$0.5 million). The interest rate of this loan facility is fixed at 4.00% per annum. As of December 31, 2022, the total outstanding amount of this loan was RMB3.5 million (US$0.5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2022, we entered into a facility agreement for working capital loans with a commercial bank, which provides for a one-year non-revolving loan of RMB20.0 million (US$2.9 million). The interest rate of this loan facility is fixed at 3.90% per annum. As of December 31, 2022, the total outstanding amount of this loan was RMB2.0 million (US$0.3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2022, we entered into a facility agreement for working capital loans with a commercial bank, which provides for a non-revolving loan of RMB9.0 million (US$1.3 million) until June 2023. The interest rate of this loan facility is LPR minus 0.05%. As of December 31, 2022, the total outstanding amount of this loan was RMB9.0 million (US$1.3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2020, no financial covenants as set out in these loan agreements have been breached. As of December 31, 2021, certain financial covenant (minimum quarterly EBITDA as defined in the banking facilities agreements) as set out in these loan agreements have been breached. We have obtained waiver letter such that the bank would not demand immediate repayment. As of December 31, 2022, no financial covenants as set out in these loan agreements have been breached.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Out of our banking facilities of US$213.3 million and US$165.3 million available as of December 31, 2021 and 2022, respectively, US$75.5 million and US$44.3 million have been utilized by us as of December 31, 2021 and 2022, respectively. As of December 31, 2022, total unutilized revolving, service trade and term loan facilities amounted to US$97.4 million, US$18.1 million and US$5.5 million (December 31, 2021: US$115.4 million, US$18.0 million and US$4.4 million respectively). Total undrawn facilities available for drawdown as of December 31, 2022, net of bank deposits that would need to be pledged as restricted cash upon utilization of the facilities, amounted to US$41.2 million. Subsequent to December 31, 2022, available facilities from certain banks to the Group were reduced whereby total undrawn facilities available for drawdown, net of bank deposits that would need to be pledged as restricted cash upon utilization of the facilities as of February 28, 2023 would be US$17.4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those shown in “—Credit Facilities,” we did not have any significant capital and other commitments, long-term obligations, or guarantees as of December 31,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Capital Expenditures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made capital expenditures of US$1.1 million, US$1.6 million and US$0.5 million in 2020, 2021 and 2022, respectively. In these periods, our capital expenditures were mainly used for the purchase of property and equipment. We will continue to make capital expenditures to support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Cash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material cash requirements as of December 31, 2022 and any subsequent interim period primarily include our bank borrowings, operating lease obligations, purchase obligations and investment commitment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Holding Company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iClick Interactive Asia Group Limited is a Cayman Islands exempted limited liability company, used as a holding company with no material operations of its own. We conduct our operations primarily through our wholly-owned subsidiaries, our consolidated VIE entities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PRC accounting standards and regulations. Under PRC law, each of our wholly-owned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Remittance of dividends by a wholly foreign-owned company out of China is subject to examination by the banks designated by SAFE. We currently plan to reinvest all earnings from our PRC subsidiaries to their business developments and do not plan to request dividend distributions from them.</w:t>
      </w:r>
    </w:p>
    <w:tbl>
      <w:tblPr>
        <w:tblW w:w="4847" w:type="dxa"/>
        <w:jc w:val="left"/>
        <w:tblInd w:w="0" w:type="dxa"/>
        <w:tblLayout w:type="fixed"/>
        <w:tblCellMar>
          <w:top w:w="0" w:type="dxa"/>
          <w:left w:w="0" w:type="dxa"/>
          <w:bottom w:w="0" w:type="dxa"/>
          <w:right w:w="0" w:type="dxa"/>
        </w:tblCellMar>
      </w:tblPr>
      <w:tblGrid>
        <w:gridCol w:w="301"/>
        <w:gridCol w:w="454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5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Patents and Licenses, Etc.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Overview—Research and Development” and “—Intellectual Property.”</w:t>
      </w:r>
    </w:p>
    <w:tbl>
      <w:tblPr>
        <w:tblW w:w="1937" w:type="dxa"/>
        <w:jc w:val="left"/>
        <w:tblInd w:w="0" w:type="dxa"/>
        <w:tblLayout w:type="fixed"/>
        <w:tblCellMar>
          <w:top w:w="0" w:type="dxa"/>
          <w:left w:w="0" w:type="dxa"/>
          <w:bottom w:w="0" w:type="dxa"/>
          <w:right w:w="0" w:type="dxa"/>
        </w:tblCellMar>
      </w:tblPr>
      <w:tblGrid>
        <w:gridCol w:w="301"/>
        <w:gridCol w:w="163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since January 1, 2021 that are reasonably likely to have a material effect on our net revenues, income, profitability, liquidity or capital resources, or that would cause reported consolidated financial information not necessarily to be indicative of future operating results or financial condition.</w:t>
      </w:r>
    </w:p>
    <w:tbl>
      <w:tblPr>
        <w:tblW w:w="2882" w:type="dxa"/>
        <w:jc w:val="left"/>
        <w:tblInd w:w="0" w:type="dxa"/>
        <w:tblLayout w:type="fixed"/>
        <w:tblCellMar>
          <w:top w:w="0" w:type="dxa"/>
          <w:left w:w="0" w:type="dxa"/>
          <w:bottom w:w="0" w:type="dxa"/>
          <w:right w:w="0" w:type="dxa"/>
        </w:tblCellMar>
      </w:tblPr>
      <w:tblGrid>
        <w:gridCol w:w="286"/>
        <w:gridCol w:w="2596"/>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2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Accounting Estimates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discussion and analysis of our financial condition and results of operations relates to our consolidated financial statements, which have been prepared in accordance with United States of America generally accepted accounting principles (“U.S. GAAP”). The preparation of these financial statements requires us to make estimates and judgments that affect the reported amounts of assets, liabilities, revenues, costs and expenses, and related disclosures.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has discussed the development and selection of these critical accounting estimates with the Audit Committee of our Board of Directors.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“Notes to Consolidated Financial Statements – Note 2 Principal accounting policies”.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assessment of goodwill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Nature of estimate: Goodwill is subject to periodic assessments of impairment. We conduct a goodwill impairment test at the reporting unit level annually in the fourth quarter, or more frequently when events or circumstances occur indicating that the recorded goodwill may be impaired. We assess qualitative factors to determine whether it is more likely than not that the fair value of a reporting unit is less than its carrying amount, including goodwill. If a qualitative assessment identifies a possible impairment or we impair the assets of a reporting unit, then a quantitative goodwill impairment test is performed. If the carrying value of the reporting unit is above fair value, an impairment loss is recognized in an amount equal to the excess.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two reporting units, which include (i) the Marketing Solutions business and (ii) the Enterprise Solutions business. Our consolidated goodwill balance was nil as of December 31,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Assumptions: We estimate the fair values of our Marketing Solutions and Enterprise Solutions reporting units using the market approach and the income approach, respectively as of December 31, 2021. During the year ended December 31, 2022, due to our plan to strategically downsize the Marketing Solutions reporting unit, we considered the identification of companies comparable to the downsized Marketing Solutions reporting unit under a market approach using the guideline public company method to be not practical whereby the use of an income approach to estimate the fair value of Marketing Solutions reporting unit as of December 31, 2022 is considered to be more appropriate. Therefore, we determine the fair values of both Marketing Solutions reporting unit and the Enterprise Solutions reporting unit as of December 31, 2022 based on an income approach.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market approach considers revenue multipliers based on market data of comparable companies engaged in similar operations and economic characteristics. The income approach considers a number of factors that include expected future cash flows, revenue growth rates, an estimated terminal value using a terminal year long-term future growth rate, a discount rate, and requires us to make certain assumptions and estimates regarding future profitability of the business. The goodwill impairment assessment is sensitive to our estimates in these factors. Some of the inherent estimates and assumptions used in determining fair value of the reporting units are outside the control of management, including interest rates, cost of capital, tax rates and market multiples on revenue for comparable entities. While we believe we have made reasonable estimates and assumptions to calculate the fair value of the reporting units, it is possible a material change could occur. If our actual results are not consistent with our estimates and assumptions used to calculate fair value, it could result in material impairments of our goodwill.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Based on the annual impairment test conducted for the years ended December 31, 2020 and 2021, the fair value of the reporting unit exceeded the carrying value, indicating that the goodwill was not impaired.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Based on the periodic impairment tests conducted for the year ended December 31, 2022, the carrying value of the reporting unit exceeded the fair value and indicating that the goodwill was fully impaired for both Marketing Solutions and Enterprise Solutions reporting units. The goodwill impairment in Marketing Solutions reporting unit was affected by (i) decline in marketers’ advertising budgets, and the potential liquidity issue and the difficulty to settle trade debts, due to the slowdown of China’s entire advertising sector growth as a result of changing regulatory environment, and unpredictable macro environment continued at post-pandemic era in which marketers are still cautious on advertising spending; and (ii) larger scale of strategic unwind lower margin, higher risk clients under Marketing Solutions segment because of the difficulty in obtaining additional equity financing from the capital market and debt financing from banks, which lead to the execution of balancing working capital management and business growth. The goodwill impairment in Enterprise Solutions reporting unit was affected by (i) slowdown of Chinese economy and unpredictable macro-economic environment, which consumers are shifting priorities towards cost-cutting measures rather than investing in new technology, causing them to tighten IT budgets and spending of digitalization products and services; (ii) higher competitive SaaS market, which we have to increase cost to develop more new SaaS related offerings as well as enhance additional research and development capacity, and revisit our pricing strategy with a downward pricing pressure; and (iii) limited additional equity financing from the capital market and debt financing from banks hinder our business expansions and penetration to new markets.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Impairment assessment of long-lived assets other than goodwill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Long-lived assets other than goodwill are tested at the level of the smallest identifiable group of assets that generates cash inflows that are largely independent of the cash inflows from other assets or groups of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Nature of estimate: We test long-lived asset groups for impairment when an event occurs or circumstances change that indicate the asset groups may be impaired. When a triggering event occurs, a test for recoverability is performed, comparing projected undiscounted future cash flows to the carrying value of the asset group. If the test for recoverability identifies a possible impairment, the asset group’s fair value is measured relying primarily on a discounted cash flow method. Judgment is used in estimating future cash flows, determining appropriate discount rates and making other assumptions. Changes in these estimates and assumptions could materially affect the determination of the asset group’s fair value. An impairment charge is recognized for the amount by which the carrying value of the asset group exceeds its estimated fair value. When an impairment loss is recognized for assets to be held and used, the adjusted carrying amounts of those assets are depreciated over their remaining useful life.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Assumptions and Approach Used: Fair value of an asset group is determined from the perspective of a market-participant considering, among other things, appropriate valuation techniques, the most advantageous market, and assumptions about the highest and best use of the asset group. We measure the fair value of an asset group based on market prices (i.e., the amount for which the asset could be sold to a third party) when available. When market prices are not available, we generally estimate the fair value of the asset group using the income approach. The income approach uses cash flow projections. Inherent in our development of cash flow projections are assumptions and estimates derived from a review of our operating results, business plan forecasts, expected growth rates, and risk adjusted discount rates, similar to those a market participant would use to assess fair value. We also make certain assumptions about future economic conditions and other data. Many of the factors used in assessing fair value are outside the control of management, and these assumptions and estimates may change in future periods. Changes in assumptions or estimates can materially affect the fair value measurement of an asset group and, therefore, can affect the test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impairment charge for long-lived assets and intangible assets was recognized for the years ended December 31, 2020 and 2021 given no such events nor changes in circumstances are noted in these fiscal years. We recorded impairment of US$1.2 million, US$2.4 million and US$49.8 million on fixed assets, right-of-use assets and intangible assets respectively for the year ended December 31, 2022, as a result of (i) decline in marketers’ advertising budgets, and the potential liquidity issue and the difficulty to settle trade debts, due to the slowdown of China’s entire advertising sector growth as a result of changing regulatory environment, and unpredictable macro environment continued at post-pandemic era in which marketers are still cautious on advertising spending; and (ii) larger scale of strategic unwind lower margin, higher risk clients under Marketing Solutions segment because of the difficulty in obtaining additional equity financing from the capital market and debt financing from banks, which lead to the execution of balancing working capital management and business growth.</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determination related to the accounting for business combinations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Nature: We completed business combinations in 2020 and 2021 which require us to perform purchase price allocations. We allocate the fair value of purchase consideration to the tangible assets acquired, liabilities assumed, and intangible assets acquired, including amounts attributed to noncontrolling interests based on their estimated fair values at the date of acquisition. The excess of the fair value of purchase consideration over the fair values of these identifiable assets and liabilities is recorded as goodwill. Allocation of purchase consideration to identifiable assets and liabilities affects our amortization expense, as acquired finite-lived intangible assets are amortized over the useful life, whereas any indefinite lived intangible assets, including goodwill, are not amortized.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Assumptions: In order to recognize the fair values of assets acquired and liabilities assumed, mainly consisting of intangible assets and goodwill, we use various models such as relief-from-royalty and multi-period excess earnings to value intangible assets and discounted cash flow to value goodwill. We make estimates and assumptions about projected future cash flows including sales growth, operating margins, attrition rates, and discount rates based on historical results, business plans, expected synergies, perceived risk and marketplace data considering the perspective of marketplace participants. Determining the useful life of an intangible asset also requires judgment as different types of intangible assets will have different useful lives and certain assets may be considered to have indefinite useful lives. For significant acquisitions we may use independent third-party valuation specialists to assist us in determining the fair values of assets acquired and liabilities assumed.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believe those expectations and assumptions are reasonable, they are inherently uncertain. Unanticipated market or macro-economic events and circumstances may occur, which could affect the accuracy or validity of the estimates and assumptions, which could result in subsequent impairments.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assessment of investments in equity securities without readily determinable fair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Nature: We measure certain financial instruments at fair value on a nonrecurring basis, consisting primarily of our equity securities without readily determinable fair value. These investments are accounted for under the measurement alternative and are measured at cost, less impairment, subject to upward and downward adjustments resulting from observable price changes in orderly transactions for identical or similar investments of the same issuer. These adjustments require quantitative assessments of the fair value of equity securities, primarily using a market approach. These investments are also evaluated for impairment, based on qualitative factors and events including (i) adverse performance of investees; (ii) adverse industry developments affecting investees; and (iii) adverse regulatory, social, economic or other developments affecting investees and (iv) valuation methods and key valuation assumptions and data used in estimating the impairment amounts. If a qualitative assessment indicates that the investment is impaired, we estimate the investment’s fair value in accordance with the principles of ASC 820. If the fair value is less than the investment’s carrying value, we recognize an impairment loss in net income equal to the difference between the carrying value and fair value. We recognized impairment losses of US$4.0 million and US$10.8 million for the years ended December 31, 2021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Assumptions: These judgements include valuation methods and key valuation assumptions and estimates used in estimating impairment amounts. The quantitative assessment requires the use of unobservable inputs, such as selection of comparable companies and multiples, and discount for lack of marketability. For the assessment of impairment based on qualitative factors, it considers the companies’ financial and liquidity position and access to capital resources, among others. When our assessment indicates that an impairment exists, we write down the investment to its fair value. Our estimates of these inputs require subjective management judgment and are inherently uncertain. The fair value of equity securities is sensitive to changes in the unobservable inputs used to determine fair value. While we believe we have made reasonable estimates and assumptions to calculate the fair value of the equity securities, it is possible a material change could occur. As a result, if factors change and different assumptions are used, the fair value of the equity securities could be significantly different from what we recorded in the reporting period. When one of our estimates of a discount for lack of marketability and price-to-sales multiples of comparable companies decreased/increased by 5% while holding all other estimates constant, there would be no significant impact to our consolidated results of operations.</w:t>
      </w:r>
    </w:p>
    <w:p>
      <w:pPr>
        <w:pStyle w:val="TextBody"/>
        <w:bidi w:val="0"/>
        <w:spacing w:before="0" w:after="240"/>
        <w:ind w:left="0" w:right="0" w:hanging="0"/>
        <w:jc w:val="left"/>
        <w:rPr>
          <w:rFonts w:ascii="Times New Roman;Times;serif" w:hAnsi="Times New Roman;Times;serif"/>
          <w:b/>
          <w:sz w:val="20"/>
        </w:rPr>
      </w:pPr>
      <w:bookmarkStart w:id="51" w:name="ITEM6DIRECTORSSENIORMANAGEMENTANDEMPLOYE"/>
      <w:bookmarkStart w:id="52" w:name="_a9c0fcb8_3e0d_41cc_8d97_af091b32ef7a"/>
      <w:bookmarkEnd w:id="51"/>
      <w:bookmarkEnd w:id="52"/>
      <w:r>
        <w:rPr>
          <w:rFonts w:ascii="Times New Roman;Times;serif" w:hAnsi="Times New Roman;Times;serif"/>
          <w:b/>
          <w:i w:val="false"/>
          <w:caps w:val="false"/>
          <w:smallCaps w:val="false"/>
          <w:sz w:val="20"/>
        </w:rPr>
        <w:t>ITEM 6.</w:t>
      </w:r>
      <w:r>
        <w:rPr>
          <w:rFonts w:ascii="Times New Roman;Times;serif" w:hAnsi="Times New Roman;Times;serif"/>
          <w:b/>
          <w:sz w:val="20"/>
        </w:rPr>
        <w:t>DIRECTORS, SENIOR MANAGEMENT AND EMPLOYEES</w:t>
      </w:r>
    </w:p>
    <w:tbl>
      <w:tblPr>
        <w:tblW w:w="3212" w:type="dxa"/>
        <w:jc w:val="left"/>
        <w:tblInd w:w="0" w:type="dxa"/>
        <w:tblLayout w:type="fixed"/>
        <w:tblCellMar>
          <w:top w:w="0" w:type="dxa"/>
          <w:left w:w="0" w:type="dxa"/>
          <w:bottom w:w="0" w:type="dxa"/>
          <w:right w:w="0" w:type="dxa"/>
        </w:tblCellMar>
      </w:tblPr>
      <w:tblGrid>
        <w:gridCol w:w="301"/>
        <w:gridCol w:w="291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Senior Management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regarding our directors and executive officers as of the date of this annual report.</w:t>
      </w:r>
    </w:p>
    <w:p>
      <w:pPr>
        <w:pStyle w:val="TextBody"/>
        <w:bidi w:val="0"/>
        <w:spacing w:before="0" w:after="240"/>
        <w:ind w:left="0" w:right="0" w:firstLine="720"/>
        <w:jc w:val="both"/>
        <w:rPr/>
      </w:pPr>
      <w:r>
        <w:rPr/>
        <w:t>​</w:t>
      </w:r>
    </w:p>
    <w:tbl>
      <w:tblPr>
        <w:tblW w:w="8905" w:type="dxa"/>
        <w:jc w:val="left"/>
        <w:tblInd w:w="0" w:type="dxa"/>
        <w:tblLayout w:type="fixed"/>
        <w:tblCellMar>
          <w:top w:w="0" w:type="dxa"/>
          <w:left w:w="0" w:type="dxa"/>
          <w:bottom w:w="0" w:type="dxa"/>
          <w:right w:w="0" w:type="dxa"/>
        </w:tblCellMar>
      </w:tblPr>
      <w:tblGrid>
        <w:gridCol w:w="2491"/>
        <w:gridCol w:w="326"/>
        <w:gridCol w:w="391"/>
        <w:gridCol w:w="326"/>
        <w:gridCol w:w="537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581785" cy="175260"/>
                      <wp:effectExtent l="0" t="0" r="0" b="0"/>
                      <wp:wrapNone/>
                      <wp:docPr id="213" name="Frame206"/>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4"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48285" cy="175260"/>
                      <wp:effectExtent l="0" t="0" r="0" b="0"/>
                      <wp:wrapNone/>
                      <wp:docPr id="215" name="Frame20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6"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410585" cy="175260"/>
                      <wp:effectExtent l="0" t="0" r="0" b="0"/>
                      <wp:wrapNone/>
                      <wp:docPr id="217" name="Frame210"/>
                      <a:graphic xmlns:a="http://schemas.openxmlformats.org/drawingml/2006/main">
                        <a:graphicData uri="http://schemas.microsoft.com/office/word/2010/wordprocessingShape">
                          <wps:wsp>
                            <wps:cNvSpPr txBox="1"/>
                            <wps:spPr>
                              <a:xfrm>
                                <a:off x="0" y="0"/>
                                <a:ext cx="341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Directors and Executive Officers</w:t>
            </w:r>
          </w:p>
        </w:tc>
        <w:tc>
          <w:tcPr>
            <w:tcW w:w="326" w:type="dxa"/>
            <w:tcBorders/>
            <w:vAlign w:val="center"/>
          </w:tcPr>
          <w:p>
            <w:pPr>
              <w:pStyle w:val="TableContents"/>
              <w:bidi w:val="0"/>
              <w:spacing w:before="0" w:after="0"/>
              <w:ind w:left="0" w:right="0" w:hanging="0"/>
              <w:jc w:val="center"/>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vAlign w:val="center"/>
          </w:tcPr>
          <w:p>
            <w:pPr>
              <w:pStyle w:val="TableContents"/>
              <w:bidi w:val="0"/>
              <w:spacing w:before="0" w:after="0"/>
              <w:ind w:left="0" w:right="0" w:hanging="0"/>
              <w:jc w:val="center"/>
              <w:rPr/>
            </w:pPr>
            <w:r>
              <w:rPr/>
              <w:t>    </w:t>
            </w:r>
          </w:p>
        </w:tc>
        <w:tc>
          <w:tcPr>
            <w:tcW w:w="53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Position/Title</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 Tang</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 </w:t>
            </w:r>
          </w:p>
        </w:tc>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Chief Executive Officer and Co-Founder</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Wing Hong Sammy Hsieh</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 </w:t>
            </w:r>
          </w:p>
        </w:tc>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and Co-Founder</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Lub Bun Chong</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 </w:t>
            </w:r>
          </w:p>
        </w:tc>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Chu Pong Fong</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 </w:t>
            </w:r>
          </w:p>
        </w:tc>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Dylan Huang</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 </w:t>
            </w:r>
          </w:p>
        </w:tc>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Kan</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left"/>
              <w:rPr/>
            </w:pPr>
            <w:r>
              <w:rPr/>
              <w:t> </w:t>
            </w:r>
          </w:p>
        </w:tc>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Zhang</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 </w:t>
            </w:r>
          </w:p>
        </w:tc>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Jian Tang </w:t>
      </w:r>
      <w:r>
        <w:rPr>
          <w:rFonts w:ascii="Times New Roman;Times;serif" w:hAnsi="Times New Roman;Times;serif"/>
          <w:sz w:val="20"/>
        </w:rPr>
        <w:t>is our chairman of the board, chief executive officer and co-founder and has served as our chief operating officer since January 2016 and our chief technology officer since 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Wing Hong Sammy Hsieh </w:t>
      </w:r>
      <w:r>
        <w:rPr>
          <w:rFonts w:ascii="Times New Roman;Times;serif" w:hAnsi="Times New Roman;Times;serif"/>
          <w:sz w:val="20"/>
        </w:rPr>
        <w:t>is our director and co-founder and served as our chief executive officer from 2009 to 2019. Prior to founding 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Lub Bun Chong </w:t>
      </w:r>
      <w:r>
        <w:rPr>
          <w:rFonts w:ascii="Times New Roman;Times;serif" w:hAnsi="Times New Roman;Times;serif"/>
          <w:sz w:val="20"/>
        </w:rPr>
        <w:t>has served as our director since July 2019. Mr. Chong is currently a partner of C Consultancy Limited, a Hong Kong-based corporate and financial advisory firm which specializes in the advertising, digital and media sectors of China and Southeast Asia. Prior to founding C Consultancy Limited, he was the chief financial officer and the director of mergers and acquisitions of Clear Media (00100.HK), and the chief financial officer of Focus Media (002027.SZ). Mr. Chong previously worked at PricewaterhouseCoopers in China, Hong Kong and Singapore during the 1990s. Mr. Chong is the author of “Managing a Chinese Partner” (published by Palgrave Macmillan) and a contributor of China articles to reputable publications. Mr. Chong received his bachelor’s degree of accountancy from National University of Singapore and his MBA degree with merit from Manchester Business School. Mr. Chong is a chartered accountant in 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Matthew Chu Pong Fong </w:t>
      </w:r>
      <w:r>
        <w:rPr>
          <w:rFonts w:ascii="Times New Roman;Times;serif" w:hAnsi="Times New Roman;Times;serif"/>
          <w:sz w:val="20"/>
        </w:rPr>
        <w:t>has served as our director since January 2020. Mr. Fong has more than 10 years of professional experience in auditing, corporate finance and financial management for both private and listed corporations. He held multiple financial leadership positions, including as a manager at a Hong Kong-based multi-strategy private investment fund, from 2015 to 2017, and the chief financial officer of Fornton Group Limited, a knitwear manufacturer, from 2011 to 2014. Mr. Fong also led teams in performing financial audit-related engagements including initial public offering and acquisition at Ernst &amp; Young from 2007 to 2009. Mr. Fong obtained his bachelor degree in accountancy from The Hong Kong Polytechnic University in 2003 and is currently a fellow member of the Association of Chartered Certified Accountants.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Dylan Huang </w:t>
      </w:r>
      <w:r>
        <w:rPr>
          <w:rFonts w:ascii="Times New Roman;Times;serif" w:hAnsi="Times New Roman;Times;serif"/>
          <w:sz w:val="20"/>
        </w:rPr>
        <w:t>has served as our director since December 2017. Mr. Huang has served as senior vice president of Meituan-Dianping since 2017. Mr. Huang served as the corporate vice president, group chief technology officer and general manager at Tencent Online Media Group from 2008 to 2017, leading its media’s mobile initiative. He was the senior lead program manager, program manager, software design engineer and software design engineer in test at Microsoft Corporation from 2001 to 2008. Mr. Huang received his bachelor’s degree in electrical engineering from Zhejiang University and his MBA degree from Washington Business School.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Philip Kan </w:t>
      </w:r>
      <w:r>
        <w:rPr>
          <w:rFonts w:ascii="Times New Roman;Times;serif" w:hAnsi="Times New Roman;Times;serif"/>
          <w:sz w:val="20"/>
        </w:rPr>
        <w:t>has served as our director since January 2021. Mr. Kan has extensive experience in management, finance, banking, capital market, information technology, risk management, corporate governance and corporate development. Mr. Kan has been the responsible officer, director and the senior management of several financial institutions regulated by SFC since 2003. Mr. Kan was the founder and a director of Galileo Capital Group Ltd (HKEX:8029) from July 2000 to October 2008, a boutique corporate finance house providing services in co-sponsoring IPOs, shares placement, M&amp;A, assets management and financial advisory. Prior to founding Galileo Capital Group Ltd, Mr. Kan held senior positions in a number of prominent companies. Mr. Kan was the senior vice president for First Pacific Bank Limited, oversees the centralized banking services units (i.e. processing support units) and the Information Technology Division of the Bank. Prior to that, Mr. Kan was the manager of Systems &amp; Operations at HSBC from 1987 to 1992. Mr. Kan also held various management positions at the AIG Finance (HK) Ltd, General Electric Co and Bank of America earlier in his career. Mr. Kan received his MBA degree from Henley Management College, Brunel University in the United Kingdom. Mr. Kan also held a Fellow Membership of the Chartered Institute of Management (FCIM) and the Institute of Management Services (FMS) in the United Kingdom. Mr. Kan is currently a member of the Disciplinary Panel of the Hong Kong Institute of Certified Public Accountants.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David Zhang </w:t>
      </w:r>
      <w:r>
        <w:rPr>
          <w:rFonts w:ascii="Times New Roman;Times;serif" w:hAnsi="Times New Roman;Times;serif"/>
          <w:sz w:val="20"/>
        </w:rPr>
        <w:t>has served as our director and chief financial officer since January 31, 2022. Prior to joining iClick, Mr. Zhang served in senior management roles and advisory capacities at Big Four accounting firms and conglomerates listed on the Hong Kong and US stock exchanges. He received a bachelor’s degree in accounting from the University of Shanghai for Science and Technology and studied civil law in Peking University. Mr. Zhang is a Member of the Chinese Institute of Certified Public Accountants. He holds qualification as a PRC lawyer.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Board Diversity Disclosure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information was provided by our directors on a voluntary basis.</w:t>
      </w:r>
    </w:p>
    <w:tbl>
      <w:tblPr>
        <w:tblW w:w="8990" w:type="dxa"/>
        <w:jc w:val="left"/>
        <w:tblInd w:w="0" w:type="dxa"/>
        <w:tblLayout w:type="fixed"/>
        <w:tblCellMar>
          <w:top w:w="0" w:type="dxa"/>
          <w:left w:w="0" w:type="dxa"/>
          <w:bottom w:w="0" w:type="dxa"/>
          <w:right w:w="0" w:type="dxa"/>
        </w:tblCellMar>
      </w:tblPr>
      <w:tblGrid>
        <w:gridCol w:w="4951"/>
        <w:gridCol w:w="781"/>
        <w:gridCol w:w="586"/>
        <w:gridCol w:w="1156"/>
        <w:gridCol w:w="1516"/>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143885" cy="175260"/>
                      <wp:effectExtent l="0" t="0" r="0" b="0"/>
                      <wp:wrapNone/>
                      <wp:docPr id="218" name="Frame211"/>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95935" cy="175260"/>
                      <wp:effectExtent l="0" t="0" r="0" b="0"/>
                      <wp:wrapNone/>
                      <wp:docPr id="219" name="Frame2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72110" cy="175260"/>
                      <wp:effectExtent l="0" t="0" r="0" b="0"/>
                      <wp:wrapNone/>
                      <wp:docPr id="220" name="Frame21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734060" cy="175260"/>
                      <wp:effectExtent l="0" t="0" r="0" b="0"/>
                      <wp:wrapNone/>
                      <wp:docPr id="221" name="Frame21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962660" cy="175260"/>
                      <wp:effectExtent l="0" t="0" r="0" b="0"/>
                      <wp:wrapNone/>
                      <wp:docPr id="222" name="Frame215"/>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99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Board Diversity Matrix (As of the date of this annual report)</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Country of Principal Executive Offices</w:t>
            </w:r>
          </w:p>
        </w:tc>
        <w:tc>
          <w:tcPr>
            <w:tcW w:w="4039" w:type="dxa"/>
            <w:gridSpan w:val="4"/>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Hong Kong, China</w:t>
            </w:r>
          </w:p>
        </w:tc>
      </w:tr>
      <w:tr>
        <w:trPr/>
        <w:tc>
          <w:tcPr>
            <w:tcW w:w="4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Private Issuer</w:t>
            </w:r>
          </w:p>
        </w:tc>
        <w:tc>
          <w:tcPr>
            <w:tcW w:w="4039" w:type="dxa"/>
            <w:gridSpan w:val="4"/>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Yes</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Disclosure Prohibited Under Home Country Law</w:t>
            </w:r>
          </w:p>
        </w:tc>
        <w:tc>
          <w:tcPr>
            <w:tcW w:w="4039" w:type="dxa"/>
            <w:gridSpan w:val="4"/>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4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Number of Directors</w:t>
            </w:r>
          </w:p>
        </w:tc>
        <w:tc>
          <w:tcPr>
            <w:tcW w:w="4039" w:type="dxa"/>
            <w:gridSpan w:val="4"/>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495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Female </w:t>
            </w:r>
          </w:p>
        </w:tc>
        <w:tc>
          <w:tcPr>
            <w:tcW w:w="5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Male </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Non-Binary </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Did not disclose </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Part I: Gender Identity </w:t>
            </w:r>
          </w:p>
        </w:tc>
        <w:tc>
          <w:tcPr>
            <w:tcW w:w="7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1516" w:type="dxa"/>
            <w:tcBorders/>
            <w:shd w:fill="CCEEFF" w:val="clear"/>
            <w:vAlign w:val="center"/>
          </w:tcPr>
          <w:p>
            <w:pPr>
              <w:pStyle w:val="TableContents"/>
              <w:bidi w:val="0"/>
              <w:spacing w:before="0" w:after="1"/>
              <w:ind w:left="0" w:right="0" w:hanging="0"/>
              <w:jc w:val="left"/>
              <w:rPr/>
            </w:pPr>
            <w:r>
              <w:rPr/>
              <w:t>​</w:t>
            </w:r>
          </w:p>
        </w:tc>
      </w:tr>
      <w:tr>
        <w:trPr/>
        <w:tc>
          <w:tcPr>
            <w:tcW w:w="4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Directors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0</w:t>
            </w:r>
          </w:p>
        </w:tc>
        <w:tc>
          <w:tcPr>
            <w:tcW w:w="5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7</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0</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0</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Part II: Demographic Background </w:t>
            </w:r>
          </w:p>
        </w:tc>
        <w:tc>
          <w:tcPr>
            <w:tcW w:w="7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center"/>
              <w:rPr/>
            </w:pPr>
            <w:r>
              <w:rPr/>
              <w:t>​</w:t>
            </w:r>
          </w:p>
        </w:tc>
        <w:tc>
          <w:tcPr>
            <w:tcW w:w="1156" w:type="dxa"/>
            <w:tcBorders/>
            <w:shd w:fill="CCEEFF" w:val="clear"/>
            <w:vAlign w:val="center"/>
          </w:tcPr>
          <w:p>
            <w:pPr>
              <w:pStyle w:val="TableContents"/>
              <w:bidi w:val="0"/>
              <w:spacing w:before="0" w:after="1"/>
              <w:ind w:left="0" w:right="0" w:hanging="0"/>
              <w:jc w:val="center"/>
              <w:rPr/>
            </w:pPr>
            <w:r>
              <w:rPr/>
              <w:t>​</w:t>
            </w:r>
          </w:p>
        </w:tc>
        <w:tc>
          <w:tcPr>
            <w:tcW w:w="1516" w:type="dxa"/>
            <w:tcBorders/>
            <w:shd w:fill="CCEEFF" w:val="clear"/>
            <w:vAlign w:val="center"/>
          </w:tcPr>
          <w:p>
            <w:pPr>
              <w:pStyle w:val="TableContents"/>
              <w:bidi w:val="0"/>
              <w:spacing w:before="0" w:after="1"/>
              <w:ind w:left="0" w:right="0" w:hanging="0"/>
              <w:jc w:val="center"/>
              <w:rPr/>
            </w:pPr>
            <w:r>
              <w:rPr/>
              <w:t>​</w:t>
            </w:r>
          </w:p>
        </w:tc>
      </w:tr>
      <w:tr>
        <w:trPr/>
        <w:tc>
          <w:tcPr>
            <w:tcW w:w="4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Underrepresented Individual in Home Country Jurisdiction </w:t>
            </w:r>
          </w:p>
        </w:tc>
        <w:tc>
          <w:tcPr>
            <w:tcW w:w="4039" w:type="dxa"/>
            <w:gridSpan w:val="4"/>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LGBTQ+ </w:t>
            </w:r>
          </w:p>
        </w:tc>
        <w:tc>
          <w:tcPr>
            <w:tcW w:w="4039" w:type="dxa"/>
            <w:gridSpan w:val="4"/>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4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Did Not Disclose Demographic Background </w:t>
            </w:r>
          </w:p>
        </w:tc>
        <w:tc>
          <w:tcPr>
            <w:tcW w:w="4039" w:type="dxa"/>
            <w:gridSpan w:val="4"/>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 with Executive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employment agreements with each of our executive officers.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Term and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Confidentiality; 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Non-Competition and Non-Solicitation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each executive officer has agreed to be bound by non-competition and non-solicitation restrictions during the term of his or her employment and typically for six months following the last date of employment, unless otherwise agreed. Specifically, during such term each executive officer has agreed not to (i) 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4517" w:type="dxa"/>
        <w:jc w:val="left"/>
        <w:tblInd w:w="0" w:type="dxa"/>
        <w:tblLayout w:type="fixed"/>
        <w:tblCellMar>
          <w:top w:w="0" w:type="dxa"/>
          <w:left w:w="0" w:type="dxa"/>
          <w:bottom w:w="0" w:type="dxa"/>
          <w:right w:w="0" w:type="dxa"/>
        </w:tblCellMar>
      </w:tblPr>
      <w:tblGrid>
        <w:gridCol w:w="301"/>
        <w:gridCol w:w="421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of Directors and Executive Officers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2022 we paid an aggregate of approximately US$0.3 million in cash to our executive officers, and we paid an aggregate of approximately US$0.2 million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based on the insurance scales set forth by the local government for employees’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Incentive Plans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2018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2018 Plan, the maximum number of ordinary shares that may be issued to the beneficiaries is 2,398,137, which have been issued to Arda as trustee to the beneficiaries of the 2018 Plan. As of March 31, 2023, options to purchase 274,830 ordinary shares are outstanding, including vested and unexercised options to purchase 274,830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2018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Type of Awards. </w:t>
      </w:r>
      <w:r>
        <w:rPr>
          <w:rFonts w:ascii="Times New Roman;Times;serif" w:hAnsi="Times New Roman;Times;serif"/>
          <w:sz w:val="20"/>
        </w:rPr>
        <w:t>The 2018 Plan permits the award of options to purchase our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Trustee. </w:t>
      </w:r>
      <w:r>
        <w:rPr>
          <w:rFonts w:ascii="Times New Roman;Times;serif" w:hAnsi="Times New Roman;Times;serif"/>
          <w:sz w:val="20"/>
        </w:rPr>
        <w:t>Mr. Wing Hong Sammy Hsieh through Arda upon trust serves as the trustee to the beneficiaries of the 2018 Plan. Upon a grantee’s exercise of 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Award Agreement. </w:t>
      </w:r>
      <w:r>
        <w:rPr>
          <w:rFonts w:ascii="Times New Roman;Times;serif" w:hAnsi="Times New Roman;Times;serif"/>
          <w:sz w:val="20"/>
        </w:rPr>
        <w:t>Any award granted under the 2018 Plan is evidenced by an award agreement that sets forth terms, conditions and limitations on 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Eligibility. </w:t>
      </w:r>
      <w:r>
        <w:rPr>
          <w:rFonts w:ascii="Times New Roman;Times;serif" w:hAnsi="Times New Roman;Times;serif"/>
          <w:sz w:val="20"/>
        </w:rPr>
        <w:t>We may grant awards to employees of our company or any of our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Vesting Schedule. </w:t>
      </w:r>
      <w:r>
        <w:rPr>
          <w:rFonts w:ascii="Times New Roman;Times;serif" w:hAnsi="Times New Roman;Times;serif"/>
          <w:sz w:val="20"/>
        </w:rPr>
        <w:t>Unless otherwise stated in respective grants, subject to forfeiture and arrangement on termination of employment or service, 25% of 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Exercise of Options. </w:t>
      </w:r>
      <w:r>
        <w:rPr>
          <w:rFonts w:ascii="Times New Roman;Times;serif" w:hAnsi="Times New Roman;Times;serif"/>
          <w:sz w:val="20"/>
        </w:rPr>
        <w:t>Vested options will become exercisable during the first five business days of January, April, July and October until the termination date of the 2018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Transfer Restrictions. </w:t>
      </w:r>
      <w:r>
        <w:rPr>
          <w:rFonts w:ascii="Times New Roman;Times;serif" w:hAnsi="Times New Roman;Times;serif"/>
          <w:sz w:val="20"/>
        </w:rPr>
        <w:t>The participant will not be permitted to transfer, assign, dispose of, or create or purport to create any encumbrances over any option. In principle, all options shall be exercisable only by the participants. Any such transfer, assignment, disposal or encumbrance or purported encumbrance shall result in the automatic cancellation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Termination and amendment of the 2018 Plan. </w:t>
      </w:r>
      <w:r>
        <w:rPr>
          <w:rFonts w:ascii="Times New Roman;Times;serif" w:hAnsi="Times New Roman;Times;serif"/>
          <w:sz w:val="20"/>
        </w:rPr>
        <w:t>Our board of directors may amend or discontinue the 2018 Plan, provided that such amendment or termination shall not impair the rights of a participant under any award without such participant’s consent.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as of March 31, 2023, the outstanding options granted under the 2018 Plan to our directors, executive officers and other grantees.</w:t>
      </w:r>
    </w:p>
    <w:tbl>
      <w:tblPr>
        <w:tblW w:w="10205" w:type="dxa"/>
        <w:jc w:val="left"/>
        <w:tblInd w:w="0" w:type="dxa"/>
        <w:tblLayout w:type="fixed"/>
        <w:tblCellMar>
          <w:top w:w="0" w:type="dxa"/>
          <w:left w:w="0" w:type="dxa"/>
          <w:bottom w:w="0" w:type="dxa"/>
          <w:right w:w="0" w:type="dxa"/>
        </w:tblCellMar>
      </w:tblPr>
      <w:tblGrid>
        <w:gridCol w:w="1193"/>
        <w:gridCol w:w="326"/>
        <w:gridCol w:w="1366"/>
        <w:gridCol w:w="326"/>
        <w:gridCol w:w="1472"/>
        <w:gridCol w:w="326"/>
        <w:gridCol w:w="2367"/>
        <w:gridCol w:w="326"/>
        <w:gridCol w:w="2503"/>
      </w:tblGrid>
      <w:tr>
        <w:trPr/>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57555" cy="175260"/>
                      <wp:effectExtent l="0" t="0" r="0" b="0"/>
                      <wp:wrapNone/>
                      <wp:docPr id="223" name="Frame216"/>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4"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867410" cy="175260"/>
                      <wp:effectExtent l="0" t="0" r="0" b="0"/>
                      <wp:wrapNone/>
                      <wp:docPr id="225" name="Frame218"/>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6"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934720" cy="175260"/>
                      <wp:effectExtent l="0" t="0" r="0" b="0"/>
                      <wp:wrapNone/>
                      <wp:docPr id="227" name="Frame220"/>
                      <a:graphic xmlns:a="http://schemas.openxmlformats.org/drawingml/2006/main">
                        <a:graphicData uri="http://schemas.microsoft.com/office/word/2010/wordprocessingShape">
                          <wps:wsp>
                            <wps:cNvSpPr txBox="1"/>
                            <wps:spPr>
                              <a:xfrm>
                                <a:off x="0" y="0"/>
                                <a:ext cx="934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28"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503045" cy="175260"/>
                      <wp:effectExtent l="0" t="0" r="0" b="0"/>
                      <wp:wrapNone/>
                      <wp:docPr id="229" name="Frame222"/>
                      <a:graphic xmlns:a="http://schemas.openxmlformats.org/drawingml/2006/main">
                        <a:graphicData uri="http://schemas.microsoft.com/office/word/2010/wordprocessingShape">
                          <wps:wsp>
                            <wps:cNvSpPr txBox="1"/>
                            <wps:spPr>
                              <a:xfrm>
                                <a:off x="0" y="0"/>
                                <a:ext cx="150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0"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589405" cy="175260"/>
                      <wp:effectExtent l="0" t="0" r="0" b="0"/>
                      <wp:wrapNone/>
                      <wp:docPr id="231" name="Frame224"/>
                      <a:graphic xmlns:a="http://schemas.openxmlformats.org/drawingml/2006/main">
                        <a:graphicData uri="http://schemas.microsoft.com/office/word/2010/wordprocessingShape">
                          <wps:wsp>
                            <wps:cNvSpPr txBox="1"/>
                            <wps:spPr>
                              <a:xfrm>
                                <a:off x="0" y="0"/>
                                <a:ext cx="158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9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36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Ordinary Shares</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47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03" w:type="dxa"/>
            <w:tcBorders/>
            <w:vAlign w:val="center"/>
          </w:tcPr>
          <w:p>
            <w:pPr>
              <w:pStyle w:val="TableContents"/>
              <w:bidi w:val="0"/>
              <w:spacing w:before="0" w:after="1"/>
              <w:ind w:left="0" w:right="0" w:hanging="0"/>
              <w:jc w:val="center"/>
              <w:rPr/>
            </w:pPr>
            <w:r>
              <w:rPr/>
              <w:t>​</w:t>
            </w:r>
          </w:p>
        </w:tc>
      </w:tr>
      <w:tr>
        <w:trPr/>
        <w:tc>
          <w:tcPr>
            <w:tcW w:w="11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Underlying</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147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03" w:type="dxa"/>
            <w:tcBorders/>
            <w:vAlign w:val="center"/>
          </w:tcPr>
          <w:p>
            <w:pPr>
              <w:pStyle w:val="TableContents"/>
              <w:bidi w:val="0"/>
              <w:spacing w:before="0" w:after="1"/>
              <w:ind w:left="0" w:right="0" w:hanging="0"/>
              <w:jc w:val="center"/>
              <w:rPr/>
            </w:pPr>
            <w:r>
              <w:rPr/>
              <w:t>​</w:t>
            </w:r>
          </w:p>
        </w:tc>
      </w:tr>
      <w:tr>
        <w:trPr/>
        <w:tc>
          <w:tcPr>
            <w:tcW w:w="11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Outstanding</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147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Exercise Price</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23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03" w:type="dxa"/>
            <w:tcBorders/>
            <w:vAlign w:val="center"/>
          </w:tcPr>
          <w:p>
            <w:pPr>
              <w:pStyle w:val="TableContents"/>
              <w:bidi w:val="0"/>
              <w:spacing w:before="0" w:after="1"/>
              <w:ind w:left="0" w:right="0" w:hanging="0"/>
              <w:jc w:val="center"/>
              <w:rPr/>
            </w:pPr>
            <w:r>
              <w:rPr/>
              <w:t>​</w:t>
            </w:r>
          </w:p>
        </w:tc>
      </w:tr>
      <w:tr>
        <w:trPr/>
        <w:tc>
          <w:tcPr>
            <w:tcW w:w="119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center"/>
              <w:rPr/>
            </w:pPr>
            <w:r>
              <w:rPr/>
              <w:t>    </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    </w:t>
            </w:r>
          </w:p>
        </w:tc>
        <w:tc>
          <w:tcPr>
            <w:tcW w:w="147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26" w:type="dxa"/>
            <w:tcBorders/>
            <w:vAlign w:val="center"/>
          </w:tcPr>
          <w:p>
            <w:pPr>
              <w:pStyle w:val="TableContents"/>
              <w:bidi w:val="0"/>
              <w:spacing w:before="0" w:after="1"/>
              <w:ind w:left="0" w:right="0" w:hanging="0"/>
              <w:jc w:val="center"/>
              <w:rPr/>
            </w:pPr>
            <w:r>
              <w:rPr/>
              <w:t>    </w:t>
            </w:r>
          </w:p>
        </w:tc>
        <w:tc>
          <w:tcPr>
            <w:tcW w:w="23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vAlign w:val="center"/>
          </w:tcPr>
          <w:p>
            <w:pPr>
              <w:pStyle w:val="TableContents"/>
              <w:bidi w:val="0"/>
              <w:spacing w:before="0" w:after="1"/>
              <w:ind w:left="0" w:right="0" w:hanging="0"/>
              <w:jc w:val="center"/>
              <w:rPr/>
            </w:pPr>
            <w:r>
              <w:rPr/>
              <w:t>    </w:t>
            </w:r>
          </w:p>
        </w:tc>
        <w:tc>
          <w:tcPr>
            <w:tcW w:w="25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11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Jian Tang</w:t>
            </w:r>
          </w:p>
        </w:tc>
        <w:tc>
          <w:tcPr>
            <w:tcW w:w="32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4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0.2687—4.0304</w:t>
            </w:r>
          </w:p>
        </w:tc>
        <w:tc>
          <w:tcPr>
            <w:tcW w:w="326" w:type="dxa"/>
            <w:tcBorders/>
            <w:shd w:fill="CCEEFF" w:val="clear"/>
            <w:vAlign w:val="center"/>
          </w:tcPr>
          <w:p>
            <w:pPr>
              <w:pStyle w:val="TableContents"/>
              <w:bidi w:val="0"/>
              <w:spacing w:before="0" w:after="1"/>
              <w:ind w:left="0" w:right="0" w:hanging="0"/>
              <w:jc w:val="left"/>
              <w:rPr/>
            </w:pPr>
            <w:r>
              <w:rPr/>
              <w:t>​</w:t>
            </w:r>
          </w:p>
        </w:tc>
        <w:tc>
          <w:tcPr>
            <w:tcW w:w="236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August 1, 2015</w:t>
            </w:r>
          </w:p>
        </w:tc>
        <w:tc>
          <w:tcPr>
            <w:tcW w:w="326" w:type="dxa"/>
            <w:tcBorders/>
            <w:shd w:fill="CCEEFF" w:val="clear"/>
            <w:vAlign w:val="center"/>
          </w:tcPr>
          <w:p>
            <w:pPr>
              <w:pStyle w:val="TableContents"/>
              <w:bidi w:val="0"/>
              <w:spacing w:before="0" w:after="1"/>
              <w:ind w:left="0" w:right="0" w:hanging="0"/>
              <w:jc w:val="left"/>
              <w:rPr/>
            </w:pPr>
            <w:r>
              <w:rPr/>
              <w:t>​</w:t>
            </w:r>
          </w:p>
        </w:tc>
        <w:tc>
          <w:tcPr>
            <w:tcW w:w="250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August 1, 2025</w:t>
            </w:r>
          </w:p>
        </w:tc>
      </w:tr>
      <w:tr>
        <w:trPr/>
        <w:tc>
          <w:tcPr>
            <w:tcW w:w="11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grantees</w:t>
            </w:r>
          </w:p>
        </w:tc>
        <w:tc>
          <w:tcPr>
            <w:tcW w:w="326" w:type="dxa"/>
            <w:tcBorders/>
            <w:vAlign w:val="center"/>
          </w:tcPr>
          <w:p>
            <w:pPr>
              <w:pStyle w:val="TableContents"/>
              <w:bidi w:val="0"/>
              <w:spacing w:before="0" w:after="1"/>
              <w:ind w:left="0" w:right="0" w:hanging="0"/>
              <w:jc w:val="left"/>
              <w:rPr/>
            </w:pPr>
            <w:r>
              <w:rPr/>
              <w:t> </w:t>
            </w:r>
          </w:p>
        </w:tc>
        <w:tc>
          <w:tcPr>
            <w:tcW w:w="13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14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0.3224—20.0000</w:t>
            </w:r>
          </w:p>
        </w:tc>
        <w:tc>
          <w:tcPr>
            <w:tcW w:w="326" w:type="dxa"/>
            <w:tcBorders/>
            <w:vAlign w:val="center"/>
          </w:tcPr>
          <w:p>
            <w:pPr>
              <w:pStyle w:val="TableContents"/>
              <w:bidi w:val="0"/>
              <w:spacing w:before="0" w:after="1"/>
              <w:ind w:left="0" w:right="0" w:hanging="0"/>
              <w:jc w:val="center"/>
              <w:rPr/>
            </w:pPr>
            <w:r>
              <w:rPr/>
              <w:t> </w:t>
            </w:r>
          </w:p>
        </w:tc>
        <w:tc>
          <w:tcPr>
            <w:tcW w:w="236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August 18, 2014 to July 1, 2017</w:t>
            </w:r>
          </w:p>
        </w:tc>
        <w:tc>
          <w:tcPr>
            <w:tcW w:w="326" w:type="dxa"/>
            <w:tcBorders/>
            <w:vAlign w:val="center"/>
          </w:tcPr>
          <w:p>
            <w:pPr>
              <w:pStyle w:val="TableContents"/>
              <w:bidi w:val="0"/>
              <w:spacing w:before="0" w:after="1"/>
              <w:ind w:left="0" w:right="0" w:hanging="0"/>
              <w:jc w:val="center"/>
              <w:rPr/>
            </w:pPr>
            <w:r>
              <w:rPr/>
              <w:t> </w:t>
            </w:r>
          </w:p>
        </w:tc>
        <w:tc>
          <w:tcPr>
            <w:tcW w:w="250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October 1, 2024 to April 1, 2027</w:t>
            </w:r>
          </w:p>
        </w:tc>
      </w:tr>
    </w:tbl>
    <w:tbl>
      <w:tblPr>
        <w:tblW w:w="4742" w:type="dxa"/>
        <w:jc w:val="left"/>
        <w:tblInd w:w="0" w:type="dxa"/>
        <w:tblLayout w:type="fixed"/>
        <w:tblCellMar>
          <w:top w:w="0" w:type="dxa"/>
          <w:left w:w="0" w:type="dxa"/>
          <w:bottom w:w="0" w:type="dxa"/>
          <w:right w:w="0" w:type="dxa"/>
        </w:tblCellMar>
      </w:tblPr>
      <w:tblGrid>
        <w:gridCol w:w="226"/>
        <w:gridCol w:w="451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45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Less than 1% of our total outstanding ordinary shares.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2017 and 2018 Performance-Based Incentive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2016, our board of directors and shareholders authorized the issuance of 1,068,114 ordinary shares to Mr. Jian Tang and certain other employees in China upon the fulfillment of certain performance conditions in 2017, and the issuance of 801,086 ordinary shares to Mr. Jian Tang and certain other employees in China upon the fulfillment of certain performance conditions in 2018.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 performance conditions were not fulfilled in 2017 and 2018, the 1,068,114 and 801,086 ordinary shares were not issued to Mr. Jian Tang and certain other 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Post-IPO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our Post-IPO Plan, previously named as 2017 Share Incentive Plan, which became effective in December 2017, is to promote the success of our business. On September 22, 2018, August 31, 2020, February 26, 2021 and December 31, 2021, our board of directors approved an increase of 1,500,000 Class A ordinary shares, 1,000,000 Class A ordinary shares, 1,000,000 Class A ordinary shares, and 1,500,000 Class A ordinary shares, respectively, to the award pool under the Post-IPO Plan. As a result, the maximum number of ordinary shares which may be issued pursuant to all awards under the Post-IPO Plan will initially be 6,000,000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 As of March 31, 2023, the award pool under the Post-IPO Plan is 6,791,374 Class A ordinary shares. As of March 31, 2023, 427,880 Class A ordinary shares are outstanding under our Post-IPO Plan, representing the shares underlying the unvested 427,880 restricted Class A ordinary shares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Post-IPO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Types of Awards. </w:t>
      </w:r>
      <w:r>
        <w:rPr>
          <w:rFonts w:ascii="Times New Roman;Times;serif" w:hAnsi="Times New Roman;Times;serif"/>
          <w:sz w:val="20"/>
        </w:rPr>
        <w:t>The Post-IPO Plan permits the awards of options, restricted shares and restricted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Plan Administration. </w:t>
      </w:r>
      <w:r>
        <w:rPr>
          <w:rFonts w:ascii="Times New Roman;Times;serif" w:hAnsi="Times New Roman;Times;serif"/>
          <w:sz w:val="20"/>
        </w:rPr>
        <w:t>Our board of directors or a committee of one or more members of the board of directors will administer the Post-IPO Plan. The committee or the full board of directors, as applicable, will determine the participants to receive awards, the type and number of awards to be granted to each participant, and the terms and conditions of each award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Award Agreement. </w:t>
      </w:r>
      <w:r>
        <w:rPr>
          <w:rFonts w:ascii="Times New Roman;Times;serif" w:hAnsi="Times New Roman;Times;serif"/>
          <w:sz w:val="20"/>
        </w:rPr>
        <w:t>Awards granted under the Post-IPO Plan are evidenced by an award agreement that sets forth terms, conditions and limitations for each award, which may include the term of the award, the provisions applicable in the event of the grantee’s employment or service terminates, and our authority to unilaterally or bilaterally amend, modify, suspend, cancel or rescind the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Eligibility. </w:t>
      </w:r>
      <w:r>
        <w:rPr>
          <w:rFonts w:ascii="Times New Roman;Times;serif" w:hAnsi="Times New Roman;Times;serif"/>
          <w:sz w:val="20"/>
        </w:rPr>
        <w:t>We may grant awards to our employees, directors and consultants of our company. However, we may grant options that are intended to qualify as incentive share options only to our employees and employees of our parent companies and subsidiaries.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Vesting Schedule. </w:t>
      </w:r>
      <w:r>
        <w:rPr>
          <w:rFonts w:ascii="Times New Roman;Times;serif" w:hAnsi="Times New Roman;Times;serif"/>
          <w:sz w:val="20"/>
        </w:rPr>
        <w:t>In general, the plan administrator determines the vesting schedule, which is specified in the relevant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Exercise of Options. </w:t>
      </w:r>
      <w:r>
        <w:rPr>
          <w:rFonts w:ascii="Times New Roman;Times;serif" w:hAnsi="Times New Roman;Times;serif"/>
          <w:sz w:val="20"/>
        </w:rPr>
        <w:t>The plan administrator determines the exercise price for each award, which is stated in the award agreement. The vested portion of option will expire if not exercised prior to the time as the plan administrator determines at the time of its grant. However, the maximum exercisable term is ten years from the date of a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Transfer Restrictions. </w:t>
      </w:r>
      <w:r>
        <w:rPr>
          <w:rFonts w:ascii="Times New Roman;Times;serif" w:hAnsi="Times New Roman;Times;serif"/>
          <w:sz w:val="20"/>
        </w:rPr>
        <w:t>Awards may not be transferred in any manner by the recipient other than by will or the laws of descent and distribution, except as otherwise provided by the plan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Termination and amendment of the Post-IPO Plan. </w:t>
      </w:r>
      <w:r>
        <w:rPr>
          <w:rFonts w:ascii="Times New Roman;Times;serif" w:hAnsi="Times New Roman;Times;serif"/>
          <w:sz w:val="20"/>
        </w:rPr>
        <w:t>Unless terminated earlier, the Post-IPO Plan has a term often years. Our board of directors has the authority to amend or terminate the plan subject to shareholder approval to the extent necessary to comply with applicable law. Shareholder approval is required for any amendment to the Post-IPO Plan that (i) increases the number of shares available under the Post-IPO Plan, or (ii) permits the plan administrator to extend the term of the Post-IPO Plan or the exercise period for an option beyond ten years from the date of grant.</w:t>
      </w:r>
    </w:p>
    <w:tbl>
      <w:tblPr>
        <w:tblW w:w="1712" w:type="dxa"/>
        <w:jc w:val="left"/>
        <w:tblInd w:w="0" w:type="dxa"/>
        <w:tblLayout w:type="fixed"/>
        <w:tblCellMar>
          <w:top w:w="0" w:type="dxa"/>
          <w:left w:w="0" w:type="dxa"/>
          <w:bottom w:w="0" w:type="dxa"/>
          <w:right w:w="0" w:type="dxa"/>
        </w:tblCellMar>
      </w:tblPr>
      <w:tblGrid>
        <w:gridCol w:w="301"/>
        <w:gridCol w:w="141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Practices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consists of seven directors, including executive directors and non-executive directors. Pursuant to our ninth amended and restated memorandum and articles of association, the size of our board of directors shall be limited to nine. Please refer to “Item 3. Key Information—D. Risk Factors—Risks Related to Our American Depositary Shares—As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“Item 3. Key Information—D. Risk Factors—Risks Related to Our American Depositary Shares—As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We have established an audit committee, a compensation committee, and a corporate governance and nominating committee under the board of directors. We have adopted a charter for each of the three committees. Each committee’s members and functions are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Audit Committee </w:t>
      </w:r>
      <w:r>
        <w:rPr>
          <w:rFonts w:ascii="Times New Roman;Times;serif" w:hAnsi="Times New Roman;Times;serif"/>
          <w:sz w:val="20"/>
        </w:rPr>
        <w:t>Our audit committee consists of Matthew Chu Pong Fong, Lub Bun Chong, and Dylan Huang, and is chaired by Matthew Chu Pong Fong. Lub Bun Chong, Matthew Chu Pong Fong and Dylan Huang each satisfy the “independence” requirements of the Rule 5605(a)(2) of the Listing Rules of the NASDAQ Stock Market and meet the independence standards under Rule 10A-3 under the Exchange Act. We have determined that each of Matthew Chu Pong Fong, and Lub Bun Chong qualify as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the independent registered public accounting firm and pre-screening all auditing and non-auditing services permitted to be performed by the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registered public accounting firm any audit problems or difficulties and management’s response;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 as defined in Item 404 of Regulation S-K under the Securities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major issues as to the adequacy of our internal controls and any special audit steps adopted in light of material control deficiencies;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reviewing and reassessing the adequacy of our audit committee charter;</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registered public accounting firm; and</w:t>
            </w:r>
          </w:p>
        </w:tc>
      </w:tr>
    </w:tbl>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regularly to the board of directors.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Compensation Committee </w:t>
      </w:r>
      <w:r>
        <w:rPr>
          <w:rFonts w:ascii="Times New Roman;Times;serif" w:hAnsi="Times New Roman;Times;serif"/>
          <w:sz w:val="20"/>
        </w:rPr>
        <w:t>Our compensation committee consists of Dylan Huang, Wing Hong Sammy Hsieh and Jian Tang, and is chaired by Dylan Huang. Dylan Huang satisfies the “independence” requirements of the Listing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total compensation package for our executive officers and making recommendations to the board with respect to it;</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compensation of our directors and making recommendations to the board with respect to it;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reviewing and approving any long-term incentive compensation or equity plans, programs or similar arrangements, annual bonuses, and employee pension and welfare benefit plans.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Corporate Governance and Nominating Committee </w:t>
      </w:r>
      <w:r>
        <w:rPr>
          <w:rFonts w:ascii="Times New Roman;Times;serif" w:hAnsi="Times New Roman;Times;serif"/>
          <w:sz w:val="20"/>
        </w:rPr>
        <w:t>Our corporate governance and nominating committee consists of Philip Kan, Wing Hong Sammy Hsieh and Jian Tang, and is chaired by Philip Kan. Philip Kan satisfies the “independence” requirements of the Listing Rules of the NASDAQ Stock Market. The corporate governance and nominating committee will assist the board in selecting individuals qualified to become our directors and in determining the composition of the board and its committees. The corporate governance and nominating committee will be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nominees to the board for election or re-election to the board, or for appointment to fill any vacancy on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regards to characteristics such as independence, age, skills, experience and availability of service to us;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Duties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our directors have a common law duty to act honestly in good faith with a view to our best interests and for a proper purpose. Our directors also have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all the powers necessary for managing, and for directing and supervising, our business affairs. The functions and powers of our board of directors include, among others:</w:t>
      </w:r>
    </w:p>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general meetings and reporting our board’s work at our shareholders’ meetings;</w:t>
            </w:r>
          </w:p>
        </w:tc>
      </w:tr>
    </w:tbl>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our business and investment plans;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the officers;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our annual financial budgets and financial reports;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formulating proposals for the increase or reduction of our authorized capital; and</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other powers, functions and duties as conferred by our articles of association.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directors may exercise all the powers of our company to borrow money, mortgage its business, property and uncalled capital and issue debentures or other securities whenever money is borrowed or as security for any obligation of our company or of any third party.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Terms of Directors and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our ninth amended and restated memorandum and articles of association,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offence involving dishonesty or engaging in conduct which brings the director or us into disrepute or which results in material financial detriment to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 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our ninth amended and restated memorandum and articles of association, any removal or appointment of chairman of the board is subject to shareholder approval by ordinary resolution.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352" w:type="dxa"/>
        <w:jc w:val="left"/>
        <w:tblInd w:w="0" w:type="dxa"/>
        <w:tblLayout w:type="fixed"/>
        <w:tblCellMar>
          <w:top w:w="0" w:type="dxa"/>
          <w:left w:w="0" w:type="dxa"/>
          <w:bottom w:w="0" w:type="dxa"/>
          <w:right w:w="0" w:type="dxa"/>
        </w:tblCellMar>
      </w:tblPr>
      <w:tblGrid>
        <w:gridCol w:w="301"/>
        <w:gridCol w:w="105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2020, 2021 and 2022, we had a total of 1,145, 1,192 and 1,209 employees, respectively. The table below provides a breakdown of our employees by function as of December 31, 2022:</w:t>
      </w:r>
    </w:p>
    <w:tbl>
      <w:tblPr>
        <w:tblW w:w="7030" w:type="dxa"/>
        <w:jc w:val="left"/>
        <w:tblInd w:w="0" w:type="dxa"/>
        <w:tblLayout w:type="fixed"/>
        <w:tblCellMar>
          <w:top w:w="0" w:type="dxa"/>
          <w:left w:w="0" w:type="dxa"/>
          <w:bottom w:w="0" w:type="dxa"/>
          <w:right w:w="0" w:type="dxa"/>
        </w:tblCellMar>
      </w:tblPr>
      <w:tblGrid>
        <w:gridCol w:w="4546"/>
        <w:gridCol w:w="326"/>
        <w:gridCol w:w="886"/>
        <w:gridCol w:w="326"/>
        <w:gridCol w:w="946"/>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886710" cy="175260"/>
                      <wp:effectExtent l="0" t="0" r="0" b="0"/>
                      <wp:wrapNone/>
                      <wp:docPr id="232" name="Frame225"/>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3"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62610" cy="175260"/>
                      <wp:effectExtent l="0" t="0" r="0" b="0"/>
                      <wp:wrapNone/>
                      <wp:docPr id="234" name="Frame22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5"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00710" cy="175260"/>
                      <wp:effectExtent l="0" t="0" r="0" b="0"/>
                      <wp:wrapNone/>
                      <wp:docPr id="236" name="Frame22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pPr>
            <w:r>
              <w:rPr/>
              <w:t>​</w:t>
            </w:r>
          </w:p>
        </w:tc>
      </w:tr>
      <w:tr>
        <w:trPr/>
        <w:tc>
          <w:tcPr>
            <w:tcW w:w="4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employees</w:t>
            </w:r>
          </w:p>
        </w:tc>
        <w:tc>
          <w:tcPr>
            <w:tcW w:w="32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technology and data engineering</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business development and account management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we had a total of 1,209 employees, increased by 1% from 1,192 as of December 31, 2021. The increase primarily resulted from the increase in headcount for sales and business development on Enterprise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mainland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working environment and the support and benefits provided to our employees have contributed to maintaining good working relationships with our employees. None of our employees are represented by labor unions.</w:t>
      </w:r>
    </w:p>
    <w:tbl>
      <w:tblPr>
        <w:tblW w:w="1802" w:type="dxa"/>
        <w:jc w:val="left"/>
        <w:tblInd w:w="0" w:type="dxa"/>
        <w:tblLayout w:type="fixed"/>
        <w:tblCellMar>
          <w:top w:w="0" w:type="dxa"/>
          <w:left w:w="0" w:type="dxa"/>
          <w:bottom w:w="0" w:type="dxa"/>
          <w:right w:w="0" w:type="dxa"/>
        </w:tblCellMar>
      </w:tblPr>
      <w:tblGrid>
        <w:gridCol w:w="286"/>
        <w:gridCol w:w="1516"/>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5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Ownership</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with respect to the beneficial ownership of our ordinary shares as of March 31, 2023 by:</w:t>
      </w:r>
    </w:p>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own beneficially more than 5% of our total outstanding shares.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2023, there were 50,045,657 ordinary shares outstanding, par value $0.001 per share, being the sum of 45,011,230 Class A ordinary shares and 5,034,427 Class B ordinary shares. The calculations in the table below are based on 48,783,628 ordinary shares outstanding as of March 31, 2023, comprising (i) 43,749,201 Class A ordinary shares, excluding (x) the 1,093,585.5 Class A ordinary shares held by Arda Holdings Limited underlying the options granted but not yet exercised (whether or not they are vested) and the options reserved for issuance under our 2018 Plan, and (y) the 168,443.5 Class A ordinary shares held by JPMorgan Chase Bank N.A., our depositary, underlying the unvested restricted Class A ordinary shares units under our Post-IPO Plan, and (ii) 5,034,427 Class B ordinary shares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as of March 31, 2023, including through the exercise of any option, warrant or other right or the conversion of any other security. These shares, however, are not included in the computation of the percentage ownership of any other person.</w:t>
      </w:r>
    </w:p>
    <w:tbl>
      <w:tblPr>
        <w:tblW w:w="10205" w:type="dxa"/>
        <w:jc w:val="left"/>
        <w:tblInd w:w="0" w:type="dxa"/>
        <w:tblLayout w:type="fixed"/>
        <w:tblCellMar>
          <w:top w:w="0" w:type="dxa"/>
          <w:left w:w="0" w:type="dxa"/>
          <w:bottom w:w="0" w:type="dxa"/>
          <w:right w:w="0" w:type="dxa"/>
        </w:tblCellMar>
      </w:tblPr>
      <w:tblGrid>
        <w:gridCol w:w="4096"/>
        <w:gridCol w:w="326"/>
        <w:gridCol w:w="931"/>
        <w:gridCol w:w="326"/>
        <w:gridCol w:w="931"/>
        <w:gridCol w:w="326"/>
        <w:gridCol w:w="948"/>
        <w:gridCol w:w="332"/>
        <w:gridCol w:w="476"/>
        <w:gridCol w:w="326"/>
        <w:gridCol w:w="871"/>
        <w:gridCol w:w="31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600960" cy="175260"/>
                      <wp:effectExtent l="0" t="0" r="0" b="0"/>
                      <wp:wrapNone/>
                      <wp:docPr id="237" name="Frame230"/>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38"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91185" cy="175260"/>
                      <wp:effectExtent l="0" t="0" r="0" b="0"/>
                      <wp:wrapNone/>
                      <wp:docPr id="239" name="Frame2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0"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91185" cy="175260"/>
                      <wp:effectExtent l="0" t="0" r="0" b="0"/>
                      <wp:wrapNone/>
                      <wp:docPr id="241" name="Frame2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2"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01980" cy="175260"/>
                      <wp:effectExtent l="0" t="0" r="0" b="0"/>
                      <wp:wrapNone/>
                      <wp:docPr id="243" name="Frame236"/>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0820" cy="175260"/>
                      <wp:effectExtent l="0" t="0" r="0" b="0"/>
                      <wp:wrapNone/>
                      <wp:docPr id="244" name="Frame237"/>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02260" cy="175260"/>
                      <wp:effectExtent l="0" t="0" r="0" b="0"/>
                      <wp:wrapNone/>
                      <wp:docPr id="245" name="Frame238"/>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6"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53085" cy="175260"/>
                      <wp:effectExtent l="0" t="0" r="0" b="0"/>
                      <wp:wrapNone/>
                      <wp:docPr id="247" name="Frame24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0660" cy="175260"/>
                      <wp:effectExtent l="0" t="0" r="0" b="0"/>
                      <wp:wrapNone/>
                      <wp:docPr id="248" name="Frame24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467"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 Beneficially Owned</w:t>
            </w:r>
          </w:p>
        </w:tc>
        <w:tc>
          <w:tcPr>
            <w:tcW w:w="316" w:type="dxa"/>
            <w:tcBorders/>
            <w:vAlign w:val="center"/>
          </w:tcPr>
          <w:p>
            <w:pPr>
              <w:pStyle w:val="TableContents"/>
              <w:bidi w:val="0"/>
              <w:spacing w:before="0" w:after="1"/>
              <w:ind w:left="0" w:right="0" w:hanging="0"/>
              <w:jc w:val="center"/>
              <w:rPr/>
            </w:pPr>
            <w:r>
              <w:rPr/>
              <w:t> </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Class A</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Class B</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948" w:type="dxa"/>
            <w:tcBorders/>
            <w:vAlign w:val="center"/>
          </w:tcPr>
          <w:p>
            <w:pPr>
              <w:pStyle w:val="TableContents"/>
              <w:bidi w:val="0"/>
              <w:spacing w:before="0" w:after="1"/>
              <w:ind w:left="0" w:right="0" w:hanging="0"/>
              <w:jc w:val="center"/>
              <w:rPr/>
            </w:pPr>
            <w:r>
              <w:rPr/>
              <w:t>​</w:t>
            </w:r>
          </w:p>
        </w:tc>
        <w:tc>
          <w:tcPr>
            <w:tcW w:w="332"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vAlign w:val="center"/>
          </w:tcPr>
          <w:p>
            <w:pPr>
              <w:pStyle w:val="TableContents"/>
              <w:bidi w:val="0"/>
              <w:spacing w:before="0" w:after="1"/>
              <w:ind w:left="0" w:right="0" w:hanging="0"/>
              <w:jc w:val="center"/>
              <w:rPr/>
            </w:pPr>
            <w:r>
              <w:rPr/>
              <w:t>​</w:t>
            </w:r>
          </w:p>
        </w:tc>
        <w:tc>
          <w:tcPr>
            <w:tcW w:w="948" w:type="dxa"/>
            <w:tcBorders/>
            <w:vAlign w:val="center"/>
          </w:tcPr>
          <w:p>
            <w:pPr>
              <w:pStyle w:val="TableContents"/>
              <w:bidi w:val="0"/>
              <w:spacing w:before="0" w:after="1"/>
              <w:ind w:left="0" w:right="0" w:hanging="0"/>
              <w:jc w:val="center"/>
              <w:rPr/>
            </w:pPr>
            <w:r>
              <w:rPr/>
              <w:t>​</w:t>
            </w:r>
          </w:p>
        </w:tc>
        <w:tc>
          <w:tcPr>
            <w:tcW w:w="332"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316" w:type="dxa"/>
            <w:tcBorders/>
            <w:vAlign w:val="center"/>
          </w:tcPr>
          <w:p>
            <w:pPr>
              <w:pStyle w:val="TableContents"/>
              <w:bidi w:val="0"/>
              <w:spacing w:before="0" w:after="1"/>
              <w:ind w:left="0" w:right="0" w:hanging="0"/>
              <w:jc w:val="center"/>
              <w:rPr/>
            </w:pPr>
            <w:r>
              <w:rPr/>
              <w:t> </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75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Ordinary Shares</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Voting</w:t>
            </w:r>
          </w:p>
        </w:tc>
        <w:tc>
          <w:tcPr>
            <w:tcW w:w="316" w:type="dxa"/>
            <w:tcBorders/>
            <w:vAlign w:val="center"/>
          </w:tcPr>
          <w:p>
            <w:pPr>
              <w:pStyle w:val="TableContents"/>
              <w:bidi w:val="0"/>
              <w:spacing w:before="0" w:after="1"/>
              <w:ind w:left="0" w:right="0" w:hanging="0"/>
              <w:jc w:val="center"/>
              <w:rPr/>
            </w:pPr>
            <w:r>
              <w:rPr/>
              <w:t> </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1"/>
              <w:ind w:left="0" w:right="0" w:hanging="0"/>
              <w:jc w:val="center"/>
              <w:rPr/>
            </w:pPr>
            <w:r>
              <w:rPr/>
              <w:t>​</w:t>
            </w:r>
          </w:p>
        </w:tc>
        <w:tc>
          <w:tcPr>
            <w:tcW w:w="94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32" w:type="dxa"/>
            <w:tcBorders/>
            <w:vAlign w:val="center"/>
          </w:tcPr>
          <w:p>
            <w:pPr>
              <w:pStyle w:val="TableContents"/>
              <w:bidi w:val="0"/>
              <w:spacing w:before="0" w:after="1"/>
              <w:ind w:left="0" w:right="0" w:hanging="0"/>
              <w:jc w:val="center"/>
              <w:rPr/>
            </w:pPr>
            <w:r>
              <w:rPr/>
              <w:t>    </w:t>
            </w:r>
          </w:p>
        </w:tc>
        <w:tc>
          <w:tcPr>
            <w:tcW w:w="4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Power %</w:t>
            </w:r>
          </w:p>
        </w:tc>
        <w:tc>
          <w:tcPr>
            <w:tcW w:w="316" w:type="dxa"/>
            <w:tcBorders/>
            <w:vAlign w:val="center"/>
          </w:tcPr>
          <w:p>
            <w:pPr>
              <w:pStyle w:val="TableContents"/>
              <w:bidi w:val="0"/>
              <w:spacing w:before="0" w:after="1"/>
              <w:ind w:left="0" w:right="0" w:hanging="0"/>
              <w:jc w:val="center"/>
              <w:rPr/>
            </w:pPr>
            <w:r>
              <w:rPr/>
              <w:t> </w:t>
            </w:r>
          </w:p>
        </w:tc>
      </w:tr>
      <w:tr>
        <w:trPr/>
        <w:tc>
          <w:tcPr>
            <w:tcW w:w="409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pPr>
            <w:r>
              <w:rPr/>
              <w:t>  </w:t>
            </w:r>
          </w:p>
        </w:tc>
        <w:tc>
          <w:tcPr>
            <w:tcW w:w="332"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096"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Wing Hong Sammy Hsieh</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241,290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2,282,815</w:t>
            </w:r>
          </w:p>
        </w:tc>
        <w:tc>
          <w:tcPr>
            <w:tcW w:w="32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2,524,105</w:t>
            </w:r>
          </w:p>
        </w:tc>
        <w:tc>
          <w:tcPr>
            <w:tcW w:w="332"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Jian Tang</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424,195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2,102,263</w:t>
            </w:r>
          </w:p>
        </w:tc>
        <w:tc>
          <w:tcPr>
            <w:tcW w:w="32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2,526,458</w:t>
            </w:r>
          </w:p>
        </w:tc>
        <w:tc>
          <w:tcPr>
            <w:tcW w:w="332"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Lub Bun Chong</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32"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Matthew Chu Pong Fong</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32"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Dylan Huang</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32"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Philip Kan</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32"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David Zhang</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32"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(i)</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directors and executive officers as a group</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694,485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4,385,078</w:t>
            </w:r>
          </w:p>
        </w:tc>
        <w:tc>
          <w:tcPr>
            <w:tcW w:w="32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5,079,563</w:t>
            </w:r>
          </w:p>
        </w:tc>
        <w:tc>
          <w:tcPr>
            <w:tcW w:w="332"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09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Principal Shareholders: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pPr>
            <w:r>
              <w:rPr/>
              <w:t>  </w:t>
            </w:r>
          </w:p>
        </w:tc>
        <w:tc>
          <w:tcPr>
            <w:tcW w:w="332"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096"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Bubinga Holdings Limited</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2,282,815</w:t>
            </w:r>
          </w:p>
        </w:tc>
        <w:tc>
          <w:tcPr>
            <w:tcW w:w="32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2,282,815</w:t>
            </w:r>
          </w:p>
        </w:tc>
        <w:tc>
          <w:tcPr>
            <w:tcW w:w="332"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Igomax Inc.</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396,290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2,102,263</w:t>
            </w:r>
          </w:p>
        </w:tc>
        <w:tc>
          <w:tcPr>
            <w:tcW w:w="32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2,498,553</w:t>
            </w:r>
          </w:p>
        </w:tc>
        <w:tc>
          <w:tcPr>
            <w:tcW w:w="332"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Baozun Inc.</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1,235,730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649,349</w:t>
            </w:r>
          </w:p>
        </w:tc>
        <w:tc>
          <w:tcPr>
            <w:tcW w:w="32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1,885,079</w:t>
            </w:r>
          </w:p>
        </w:tc>
        <w:tc>
          <w:tcPr>
            <w:tcW w:w="332"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Creative Big Limited</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3,589,740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3,589,740</w:t>
            </w:r>
          </w:p>
        </w:tc>
        <w:tc>
          <w:tcPr>
            <w:tcW w:w="332"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Integrated Asset Management (Asia) Ltd.</w:t>
            </w:r>
            <w:r>
              <w:rPr>
                <w:rFonts w:ascii="Times New Roman;Times;serif" w:hAnsi="Times New Roman;Times;serif"/>
                <w:sz w:val="15"/>
              </w:rPr>
              <w:t>(6)</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3,282,450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3,282,450</w:t>
            </w:r>
          </w:p>
        </w:tc>
        <w:tc>
          <w:tcPr>
            <w:tcW w:w="332"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Marine Central Limited</w:t>
            </w:r>
            <w:r>
              <w:rPr>
                <w:rFonts w:ascii="Times New Roman;Times;serif" w:hAnsi="Times New Roman;Times;serif"/>
                <w:sz w:val="15"/>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2,564,103</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2,564,103</w:t>
            </w:r>
          </w:p>
        </w:tc>
        <w:tc>
          <w:tcPr>
            <w:tcW w:w="332" w:type="dxa"/>
            <w:tcBorders/>
            <w:shd w:fill="CCEEFF" w:val="clear"/>
            <w:vAlign w:val="center"/>
          </w:tcPr>
          <w:p>
            <w:pPr>
              <w:pStyle w:val="TableContents"/>
              <w:bidi w:val="0"/>
              <w:spacing w:before="0" w:after="1"/>
              <w:ind w:left="0" w:right="0" w:hanging="0"/>
              <w:jc w:val="left"/>
              <w:rPr/>
            </w:pPr>
            <w:r>
              <w:rPr/>
              <w:t>​</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6"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TIAA-CREF Investment Management, LLC, Teachers Advisors, LLC, College Retirement Equities Fund-Stock Account and Nuveen Asset Management, LLC</w:t>
            </w:r>
            <w:r>
              <w:rPr>
                <w:rFonts w:ascii="Times New Roman;Times;serif" w:hAnsi="Times New Roman;Times;serif"/>
                <w:sz w:val="15"/>
              </w:rPr>
              <w:t>(8)</w:t>
            </w: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3,709,380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3,709,380</w:t>
            </w:r>
          </w:p>
        </w:tc>
        <w:tc>
          <w:tcPr>
            <w:tcW w:w="332"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Notes:</w:t>
      </w:r>
    </w:p>
    <w:tbl>
      <w:tblPr>
        <w:tblW w:w="4082" w:type="dxa"/>
        <w:jc w:val="left"/>
        <w:tblInd w:w="0" w:type="dxa"/>
        <w:tblLayout w:type="fixed"/>
        <w:tblCellMar>
          <w:top w:w="0" w:type="dxa"/>
          <w:left w:w="0" w:type="dxa"/>
          <w:bottom w:w="0" w:type="dxa"/>
          <w:right w:w="0" w:type="dxa"/>
        </w:tblCellMar>
      </w:tblPr>
      <w:tblGrid>
        <w:gridCol w:w="301"/>
        <w:gridCol w:w="378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 of our total outstanding shares.</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40"/>
              <w:jc w:val="both"/>
              <w:rPr/>
            </w:pPr>
            <w:r>
              <w:rPr/>
              <w:t>††</w:t>
            </w:r>
          </w:p>
        </w:tc>
        <w:tc>
          <w:tcPr>
            <w:tcW w:w="99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each person and group included in this column, percentage ownership is calculated by dividing the number of ordinary shares beneficially owned by such person or group, including shares that such person or group has the right to acquire within 60 days of March 31, 2023, by the sum of (1) 48,783,628, which is the total number of ordinary shares outstanding as of March 31, 2023; and (2) the number of ordinary shares that such person or group has the right to acquire within 60 days of March 31, 2023.</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40"/>
              <w:jc w:val="both"/>
              <w:rPr/>
            </w:pPr>
            <w:r>
              <w:rPr/>
              <w:t>††</w:t>
            </w:r>
          </w:p>
        </w:tc>
        <w:tc>
          <w:tcPr>
            <w:tcW w:w="99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20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tc>
      </w:tr>
    </w:tbl>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2,282,815 Class B ordinary shares held by Bubinga Holdings Limited, a British Virgin Islands company wholly owned by Mr. Wing Hong Sammy Hsieh, and (b) 241,290 Class A ordinary shares held by Mr. Hsieh. The registered office address of Bubinga Holdings Limited is Vistra Corporate Services Centre, Wickhams Cay II, Road Town, Tortola, VG1110, British Virgin Islands. The address of Mr. Wing Hong Sammy Hsieh is 15/F, Prosperity Millennia Plaza, 663 King’s Road, Quarry Bay, Hong Kong S.A.R.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90"/>
        <w:gridCol w:w="9791"/>
      </w:tblGrid>
      <w:tr>
        <w:trPr/>
        <w:tc>
          <w:tcPr>
            <w:tcW w:w="124" w:type="dxa"/>
            <w:tcBorders/>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2,102,263 Class B ordinary shares held by Igomax Inc., a British Virgin Islands company wholly owned by Mr. Jian Tang, (b) 27,905 Class A ordinary shares that are issuable upon exercise of options held in trust by Mr. Tang on behalf of certain consultants of OptAim, and (c) 396,290 Class A ordinary shares held by Igomax Inc..</w:t>
            </w:r>
          </w:p>
        </w:tc>
      </w:tr>
    </w:tbl>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2,102,263 Class B ordinary shares held by Igomax Inc., a British Virgin Islands company wholly owned by Mr. Jian Tang, and (b) 396,290 Class A ordinary shares held by Igomax Inc..</w:t>
            </w:r>
          </w:p>
        </w:tc>
      </w:tr>
    </w:tbl>
    <w:tbl>
      <w:tblPr>
        <w:tblW w:w="10205" w:type="dxa"/>
        <w:jc w:val="left"/>
        <w:tblInd w:w="0" w:type="dxa"/>
        <w:tblLayout w:type="fixed"/>
        <w:tblCellMar>
          <w:top w:w="28" w:type="dxa"/>
          <w:left w:w="28" w:type="dxa"/>
          <w:bottom w:w="28" w:type="dxa"/>
          <w:right w:w="28" w:type="dxa"/>
        </w:tblCellMar>
      </w:tblPr>
      <w:tblGrid>
        <w:gridCol w:w="124"/>
        <w:gridCol w:w="330"/>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1,235,730 Class A ordinary shares in the form of 247,146 ADSs and (b) 649,349 Class B ordinary shares.</w:t>
            </w:r>
          </w:p>
        </w:tc>
      </w:tr>
    </w:tbl>
    <w:tbl>
      <w:tblPr>
        <w:tblW w:w="10205" w:type="dxa"/>
        <w:jc w:val="left"/>
        <w:tblInd w:w="0" w:type="dxa"/>
        <w:tblLayout w:type="fixed"/>
        <w:tblCellMar>
          <w:top w:w="28" w:type="dxa"/>
          <w:left w:w="28" w:type="dxa"/>
          <w:bottom w:w="28" w:type="dxa"/>
          <w:right w:w="28" w:type="dxa"/>
        </w:tblCellMar>
      </w:tblPr>
      <w:tblGrid>
        <w:gridCol w:w="124"/>
        <w:gridCol w:w="284"/>
        <w:gridCol w:w="9797"/>
      </w:tblGrid>
      <w:tr>
        <w:trPr/>
        <w:tc>
          <w:tcPr>
            <w:tcW w:w="124" w:type="dxa"/>
            <w:tcBorders/>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7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3,589,740 Class A ordinary shares held by Creative Big Limited. Creative Big Limited is a company incorporated in the British Virgin Islands. These ordinary shares were issued for acquisition of Optimal Power Limited. Mr. Kenny Sin Nang Chiu is the sole shareholder and the sole director of Creative Big Limited. The principal business office of Creative Big Limited is Flat 23B, Block 6, Hanley Villa, 22 Yau Lai Road, Yau Kom Tau, Tsuen Wan, Hong Kong S.A.R.</w:t>
            </w:r>
          </w:p>
        </w:tc>
      </w:tr>
    </w:tbl>
    <w:tbl>
      <w:tblPr>
        <w:tblW w:w="10205" w:type="dxa"/>
        <w:jc w:val="left"/>
        <w:tblInd w:w="0" w:type="dxa"/>
        <w:tblLayout w:type="fixed"/>
        <w:tblCellMar>
          <w:top w:w="28" w:type="dxa"/>
          <w:left w:w="28" w:type="dxa"/>
          <w:bottom w:w="28" w:type="dxa"/>
          <w:right w:w="28" w:type="dxa"/>
        </w:tblCellMar>
      </w:tblPr>
      <w:tblGrid>
        <w:gridCol w:w="124"/>
        <w:gridCol w:w="287"/>
        <w:gridCol w:w="97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7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3,282,450 Class A ordinary shares directly held by Integrated Asset Management (Asia) Ltd., a company incorporated in the British Virgin Island. Mr. Yam Tak Cheung is the sole shareholder and the sole director of Integrated Asset Management (Asia) Ltd. The principal business office of Integrated Asset Management (Asia) Ltd. is 21/F, 88 Gloucester Road, Wan Chai, Hong Kong S.A.R.</w:t>
            </w:r>
          </w:p>
        </w:tc>
      </w:tr>
    </w:tbl>
    <w:tbl>
      <w:tblPr>
        <w:tblW w:w="10205" w:type="dxa"/>
        <w:jc w:val="left"/>
        <w:tblInd w:w="0" w:type="dxa"/>
        <w:tblLayout w:type="fixed"/>
        <w:tblCellMar>
          <w:top w:w="28" w:type="dxa"/>
          <w:left w:w="28" w:type="dxa"/>
          <w:bottom w:w="28" w:type="dxa"/>
          <w:right w:w="28" w:type="dxa"/>
        </w:tblCellMar>
      </w:tblPr>
      <w:tblGrid>
        <w:gridCol w:w="124"/>
        <w:gridCol w:w="293"/>
        <w:gridCol w:w="9788"/>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7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2,564,103 Class A ordinary shares held by Marine Central Limited. Mr. Jianjun Huang is the majority shareholder and the sole director of Marine Central Limited, who possesses power to direct the voting and disposition of the shares beneficially owned by Marine Central Limited.</w:t>
            </w:r>
          </w:p>
        </w:tc>
      </w:tr>
    </w:tbl>
    <w:tbl>
      <w:tblPr>
        <w:tblW w:w="10205" w:type="dxa"/>
        <w:jc w:val="left"/>
        <w:tblInd w:w="0" w:type="dxa"/>
        <w:tblLayout w:type="fixed"/>
        <w:tblCellMar>
          <w:top w:w="28" w:type="dxa"/>
          <w:left w:w="28" w:type="dxa"/>
          <w:bottom w:w="28" w:type="dxa"/>
          <w:right w:w="28" w:type="dxa"/>
        </w:tblCellMar>
      </w:tblPr>
      <w:tblGrid>
        <w:gridCol w:w="124"/>
        <w:gridCol w:w="301"/>
        <w:gridCol w:w="9780"/>
      </w:tblGrid>
      <w:tr>
        <w:trPr/>
        <w:tc>
          <w:tcPr>
            <w:tcW w:w="124" w:type="dxa"/>
            <w:tcBorders/>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7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aggregate 3,709,380 Class A ordinary shares held by TIAA-CREF Investment Management, LLC, Teachers Advisors, LLC, College Retirement Equities Fund-Stock Account and Nuveen Asset Management, LLC.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our knowledge, as of March 31, 2023, 40,607,417, or 83.2% of our ordinary shares were held by one record holder in the United States, which was JPMorgan Chase Bank, N.A., the depositary of our ADS program. The number of beneficial owners of our ADSs in the United States is likely to be much larger than the number of record holders of our ordinary shares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aware of any arrangement that may, at a subsequent date, result in a change of control of our company.</w:t>
      </w:r>
    </w:p>
    <w:tbl>
      <w:tblPr>
        <w:tblW w:w="7202" w:type="dxa"/>
        <w:jc w:val="left"/>
        <w:tblInd w:w="0" w:type="dxa"/>
        <w:tblLayout w:type="fixed"/>
        <w:tblCellMar>
          <w:top w:w="0" w:type="dxa"/>
          <w:left w:w="0" w:type="dxa"/>
          <w:bottom w:w="0" w:type="dxa"/>
          <w:right w:w="0" w:type="dxa"/>
        </w:tblCellMar>
      </w:tblPr>
      <w:tblGrid>
        <w:gridCol w:w="271"/>
        <w:gridCol w:w="693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69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Disclosure of a Registrant’s Action to Recover Erroneously Awarded Compensation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53" w:name="ITEM7MAJORSHAREHOLDERSANDRELATEDPARTYTRA"/>
      <w:bookmarkStart w:id="54" w:name="_1cbdcc60_6546_4aa8_aea4_b2c6fcad0cbc"/>
      <w:bookmarkEnd w:id="53"/>
      <w:bookmarkEnd w:id="54"/>
      <w:r>
        <w:rPr>
          <w:rFonts w:ascii="Times New Roman;Times;serif" w:hAnsi="Times New Roman;Times;serif"/>
          <w:b/>
          <w:i w:val="false"/>
          <w:caps w:val="false"/>
          <w:smallCaps w:val="false"/>
          <w:sz w:val="20"/>
        </w:rPr>
        <w:t>ITEM 7.</w:t>
      </w:r>
      <w:r>
        <w:rPr>
          <w:rFonts w:ascii="Times New Roman;Times;serif" w:hAnsi="Times New Roman;Times;serif"/>
          <w:b/>
          <w:sz w:val="20"/>
        </w:rPr>
        <w:t>MAJOR SHAREHOLDERS AND RELATED PARTY TRANSACTIONS</w:t>
      </w:r>
    </w:p>
    <w:tbl>
      <w:tblPr>
        <w:tblW w:w="2042" w:type="dxa"/>
        <w:jc w:val="left"/>
        <w:tblInd w:w="0" w:type="dxa"/>
        <w:tblLayout w:type="fixed"/>
        <w:tblCellMar>
          <w:top w:w="0" w:type="dxa"/>
          <w:left w:w="0" w:type="dxa"/>
          <w:bottom w:w="0" w:type="dxa"/>
          <w:right w:w="0" w:type="dxa"/>
        </w:tblCellMar>
      </w:tblPr>
      <w:tblGrid>
        <w:gridCol w:w="301"/>
        <w:gridCol w:w="174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Shareholders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refer to “Item 6. Directors, Senior Management and Employees—E. Share Ownership.”</w:t>
      </w:r>
    </w:p>
    <w:tbl>
      <w:tblPr>
        <w:tblW w:w="2627" w:type="dxa"/>
        <w:jc w:val="left"/>
        <w:tblInd w:w="0" w:type="dxa"/>
        <w:tblLayout w:type="fixed"/>
        <w:tblCellMar>
          <w:top w:w="0" w:type="dxa"/>
          <w:left w:w="0" w:type="dxa"/>
          <w:bottom w:w="0" w:type="dxa"/>
          <w:right w:w="0" w:type="dxa"/>
        </w:tblCellMar>
      </w:tblPr>
      <w:tblGrid>
        <w:gridCol w:w="301"/>
        <w:gridCol w:w="232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3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were no transactions nor balances with related parties as of and for the years ended December 31, 2020, 2021 and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Arrangements with our Variable Interest Entity and its Shareholder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Company—C. Organizational Structure.”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Strategic Business Cooperation with Baozun Inc.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Strategic Cooperation Framework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2021, we have entered into a strategic cooperation framework agreement with Baozun, pursuant to which both parties will collaborate in developing a full-cycle, closed-loop e-commerce service model, covering areas such as system development, IT services, digital marketing, store operation, customer services and warehousing and fulfillment services to better serve potential brand partners.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Registration Rights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2021, we have also entered into a registration rights agreement with Baozun. Set forth below is a description of the registration rights granted under the registration rights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Demand registration</w:t>
      </w:r>
      <w:r>
        <w:rPr>
          <w:rFonts w:ascii="Times New Roman;Times;serif" w:hAnsi="Times New Roman;Times;serif"/>
          <w:sz w:val="20"/>
        </w:rPr>
        <w:t>. Holders of at least 5% of the voting power of the then outstanding shares, may, at any time, request registration of their shares and we will use our reasonable best efforts to cause such shares to be registered. We, however, are not obligated to effect a demand registration if we have already effected two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Form F-3 Registration Rights</w:t>
      </w:r>
      <w:r>
        <w:rPr>
          <w:rFonts w:ascii="Times New Roman;Times;serif" w:hAnsi="Times New Roman;Times;serif"/>
          <w:sz w:val="20"/>
        </w:rPr>
        <w:t>. When we are eligible for registration on Form F-3, upon a written request from any holder of the registrable securities 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Piggyback Registration Rights</w:t>
      </w:r>
      <w:r>
        <w:rPr>
          <w:rFonts w:ascii="Times New Roman;Times;serif" w:hAnsi="Times New Roman;Times;serif"/>
          <w:sz w:val="20"/>
        </w:rPr>
        <w:t>. If we propose to file a registration statement for a public offering for our own account or for the account of holder of 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Underwritten Offering</w:t>
      </w:r>
      <w:r>
        <w:rPr>
          <w:rFonts w:ascii="Times New Roman;Times;serif" w:hAnsi="Times New Roman;Times;serif"/>
          <w:sz w:val="20"/>
        </w:rPr>
        <w:t>. If the managing underwriters of any underwritten offering advises us in writing that, in its opinion, the number of securities to be included in such offering is greater than the total number of securities which can be sold therein without having a material adverse effect on the distribution of such securities or otherwise having a material adverse effect on the marketability thereof, or the “Maximum Number of Securities,” then we shall include in such registration the registrable securities that the participating holders have requested to be registered thereunder only to the extent the number of such registrable securities does not exceed the Maximum Number of Securities. If such amount exceeds the Maximum Number of Securities, the number of registrable securities included in such Registration shall be allocated among all the participating holders on a pro rata basis (based on the number of registrable securities held by each participating holder). If the amount of such registrable securities does not exceed the Maximum Number of Securities, we may include in such Registration any ordinary shares of our company and other ordinary shares held by other security holders of us, as we may in our discretion determine or be obligated to allow, in an amount which together with the registrable securities included in such Registration shall not exceed the Maximum Number of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Expenses of Registration</w:t>
      </w:r>
      <w:r>
        <w:rPr>
          <w:rFonts w:ascii="Times New Roman;Times;serif" w:hAnsi="Times New Roman;Times;serif"/>
          <w:sz w:val="20"/>
        </w:rPr>
        <w:t>. We will pay all expenses incurred in complying with the terms of the registration rights provisions, other than the 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of Obligations</w:t>
      </w:r>
      <w:r>
        <w:rPr>
          <w:rFonts w:ascii="Times New Roman;Times;serif" w:hAnsi="Times New Roman;Times;serif"/>
          <w:sz w:val="20"/>
        </w:rPr>
        <w:t>. The registration rights set forth above shall terminate with respect to any holder, the date on which such holder and its permitted transferee hold less than 5% of the voting power of the then outstanding shares of our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Employees—A. Directors and Senior Management—Employment Agreements and Indemnification Agreements with Executive Officers.”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 of Directors and Executive Officers—Share Incentive Plans.”</w:t>
      </w:r>
    </w:p>
    <w:tbl>
      <w:tblPr>
        <w:tblW w:w="3062" w:type="dxa"/>
        <w:jc w:val="left"/>
        <w:tblInd w:w="0" w:type="dxa"/>
        <w:tblLayout w:type="fixed"/>
        <w:tblCellMar>
          <w:top w:w="0" w:type="dxa"/>
          <w:left w:w="0" w:type="dxa"/>
          <w:bottom w:w="0" w:type="dxa"/>
          <w:right w:w="0" w:type="dxa"/>
        </w:tblCellMar>
      </w:tblPr>
      <w:tblGrid>
        <w:gridCol w:w="301"/>
        <w:gridCol w:w="276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 of Experts and Counsel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55" w:name="ITEM8FINANCIALINFORMATION_541771"/>
      <w:bookmarkStart w:id="56" w:name="_2ca783e6_69bd_4c1c_9ed5_4dec8540308d"/>
      <w:bookmarkEnd w:id="55"/>
      <w:bookmarkEnd w:id="56"/>
      <w:r>
        <w:rPr>
          <w:rFonts w:ascii="Times New Roman;Times;serif" w:hAnsi="Times New Roman;Times;serif"/>
          <w:b/>
          <w:i w:val="false"/>
          <w:caps w:val="false"/>
          <w:smallCaps w:val="false"/>
          <w:sz w:val="20"/>
        </w:rPr>
        <w:t>ITEM 8.</w:t>
      </w:r>
      <w:r>
        <w:rPr>
          <w:rFonts w:ascii="Times New Roman;Times;serif" w:hAnsi="Times New Roman;Times;serif"/>
          <w:b/>
          <w:sz w:val="20"/>
        </w:rPr>
        <w:t>FINANCIAL INFORMATION</w:t>
      </w:r>
    </w:p>
    <w:tbl>
      <w:tblPr>
        <w:tblW w:w="5132" w:type="dxa"/>
        <w:jc w:val="left"/>
        <w:tblInd w:w="0" w:type="dxa"/>
        <w:tblLayout w:type="fixed"/>
        <w:tblCellMar>
          <w:top w:w="0" w:type="dxa"/>
          <w:left w:w="0" w:type="dxa"/>
          <w:bottom w:w="0" w:type="dxa"/>
          <w:right w:w="0" w:type="dxa"/>
        </w:tblCellMar>
      </w:tblPr>
      <w:tblGrid>
        <w:gridCol w:w="301"/>
        <w:gridCol w:w="483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and Other Financial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and Administrative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disclosed in this annual report,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 and Dividend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limited liability company, used as a holding company incorporated in the Cayman Islands. We rely principally on dividends from our PRC subsidiaries and VIE entities for our cash requirements, including any payment of dividends to our shareholders. PRC regulations may restrict the ability of our PRC subsidiaries to pay dividends to us. See “Item 4. Information on the Company—B. Business Overview—Regulation—Regulations on Dividend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pay any dividends, we will pay our ADS holders to the same extent as holders of our ordinary shares, subject to the terms of the deposit agreement, including the fees and expenses payable thereunder. Cash dividends on our ordinary shares, if any, will be paid in U.S. dollars.</w:t>
      </w:r>
    </w:p>
    <w:tbl>
      <w:tblPr>
        <w:tblW w:w="2102" w:type="dxa"/>
        <w:jc w:val="left"/>
        <w:tblInd w:w="0" w:type="dxa"/>
        <w:tblLayout w:type="fixed"/>
        <w:tblCellMar>
          <w:top w:w="0" w:type="dxa"/>
          <w:left w:w="0" w:type="dxa"/>
          <w:bottom w:w="0" w:type="dxa"/>
          <w:right w:w="0" w:type="dxa"/>
        </w:tblCellMar>
      </w:tblPr>
      <w:tblGrid>
        <w:gridCol w:w="301"/>
        <w:gridCol w:w="180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240"/>
        <w:ind w:left="0" w:right="0" w:hanging="0"/>
        <w:jc w:val="left"/>
        <w:rPr>
          <w:rFonts w:ascii="Times New Roman;Times;serif" w:hAnsi="Times New Roman;Times;serif"/>
          <w:b/>
          <w:sz w:val="20"/>
        </w:rPr>
      </w:pPr>
      <w:bookmarkStart w:id="57" w:name="ITEM9THEOFFERANDLISTING_110413"/>
      <w:bookmarkStart w:id="58" w:name="_f2de68e3_9970_41e7_ac56_9665b81c3c35"/>
      <w:bookmarkEnd w:id="57"/>
      <w:bookmarkEnd w:id="58"/>
      <w:r>
        <w:rPr>
          <w:rFonts w:ascii="Times New Roman;Times;serif" w:hAnsi="Times New Roman;Times;serif"/>
          <w:b/>
          <w:i w:val="false"/>
          <w:caps w:val="false"/>
          <w:smallCaps w:val="false"/>
          <w:sz w:val="20"/>
        </w:rPr>
        <w:t>ITEM 9.</w:t>
      </w:r>
      <w:r>
        <w:rPr>
          <w:rFonts w:ascii="Times New Roman;Times;serif" w:hAnsi="Times New Roman;Times;serif"/>
          <w:b/>
          <w:sz w:val="20"/>
        </w:rPr>
        <w:t>THE OFFER AND LISTING</w:t>
      </w:r>
    </w:p>
    <w:tbl>
      <w:tblPr>
        <w:tblW w:w="2717" w:type="dxa"/>
        <w:jc w:val="left"/>
        <w:tblInd w:w="0" w:type="dxa"/>
        <w:tblLayout w:type="fixed"/>
        <w:tblCellMar>
          <w:top w:w="0" w:type="dxa"/>
          <w:left w:w="0" w:type="dxa"/>
          <w:bottom w:w="0" w:type="dxa"/>
          <w:right w:w="0" w:type="dxa"/>
        </w:tblCellMar>
      </w:tblPr>
      <w:tblGrid>
        <w:gridCol w:w="301"/>
        <w:gridCol w:w="241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and Listing Details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2057" w:type="dxa"/>
        <w:jc w:val="left"/>
        <w:tblInd w:w="0" w:type="dxa"/>
        <w:tblLayout w:type="fixed"/>
        <w:tblCellMar>
          <w:top w:w="0" w:type="dxa"/>
          <w:left w:w="0" w:type="dxa"/>
          <w:bottom w:w="0" w:type="dxa"/>
          <w:right w:w="0" w:type="dxa"/>
        </w:tblCellMar>
      </w:tblPr>
      <w:tblGrid>
        <w:gridCol w:w="301"/>
        <w:gridCol w:w="175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Distribution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1112" w:type="dxa"/>
        <w:jc w:val="left"/>
        <w:tblInd w:w="0" w:type="dxa"/>
        <w:tblLayout w:type="fixed"/>
        <w:tblCellMar>
          <w:top w:w="0" w:type="dxa"/>
          <w:left w:w="0" w:type="dxa"/>
          <w:bottom w:w="0" w:type="dxa"/>
          <w:right w:w="0" w:type="dxa"/>
        </w:tblCellMar>
      </w:tblPr>
      <w:tblGrid>
        <w:gridCol w:w="301"/>
        <w:gridCol w:w="81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one ADS representing five Class A ordinary shares, have been listed on the Nasdaq Global Market since December 21, 2017.</w:t>
      </w:r>
    </w:p>
    <w:tbl>
      <w:tblPr>
        <w:tblW w:w="2132" w:type="dxa"/>
        <w:jc w:val="left"/>
        <w:tblInd w:w="0" w:type="dxa"/>
        <w:tblLayout w:type="fixed"/>
        <w:tblCellMar>
          <w:top w:w="0" w:type="dxa"/>
          <w:left w:w="0" w:type="dxa"/>
          <w:bottom w:w="0" w:type="dxa"/>
          <w:right w:w="0" w:type="dxa"/>
        </w:tblCellMar>
      </w:tblPr>
      <w:tblGrid>
        <w:gridCol w:w="301"/>
        <w:gridCol w:w="183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1127" w:type="dxa"/>
        <w:jc w:val="left"/>
        <w:tblInd w:w="0" w:type="dxa"/>
        <w:tblLayout w:type="fixed"/>
        <w:tblCellMar>
          <w:top w:w="0" w:type="dxa"/>
          <w:left w:w="0" w:type="dxa"/>
          <w:bottom w:w="0" w:type="dxa"/>
          <w:right w:w="0" w:type="dxa"/>
        </w:tblCellMar>
      </w:tblPr>
      <w:tblGrid>
        <w:gridCol w:w="286"/>
        <w:gridCol w:w="841"/>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2147" w:type="dxa"/>
        <w:jc w:val="left"/>
        <w:tblInd w:w="0" w:type="dxa"/>
        <w:tblLayout w:type="fixed"/>
        <w:tblCellMar>
          <w:top w:w="0" w:type="dxa"/>
          <w:left w:w="0" w:type="dxa"/>
          <w:bottom w:w="0" w:type="dxa"/>
          <w:right w:w="0" w:type="dxa"/>
        </w:tblCellMar>
      </w:tblPr>
      <w:tblGrid>
        <w:gridCol w:w="271"/>
        <w:gridCol w:w="1876"/>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of the Issue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59" w:name="ITEM10ADDITIONALINFORMATION_962013"/>
      <w:bookmarkStart w:id="60" w:name="_03443149_b914_440d_8219_d554cfa1037b"/>
      <w:bookmarkEnd w:id="59"/>
      <w:bookmarkEnd w:id="60"/>
      <w:r>
        <w:rPr>
          <w:rFonts w:ascii="Times New Roman;Times;serif" w:hAnsi="Times New Roman;Times;serif"/>
          <w:b/>
          <w:i w:val="false"/>
          <w:caps w:val="false"/>
          <w:smallCaps w:val="false"/>
          <w:sz w:val="20"/>
        </w:rPr>
        <w:t>ITEM 10.</w:t>
      </w:r>
      <w:r>
        <w:rPr>
          <w:rFonts w:ascii="Times New Roman;Times;serif" w:hAnsi="Times New Roman;Times;serif"/>
          <w:b/>
          <w:sz w:val="20"/>
        </w:rPr>
        <w:t>ADDITIONAL INFORMATION</w:t>
      </w:r>
    </w:p>
    <w:tbl>
      <w:tblPr>
        <w:tblW w:w="1547" w:type="dxa"/>
        <w:jc w:val="left"/>
        <w:tblInd w:w="0" w:type="dxa"/>
        <w:tblLayout w:type="fixed"/>
        <w:tblCellMar>
          <w:top w:w="0" w:type="dxa"/>
          <w:left w:w="0" w:type="dxa"/>
          <w:bottom w:w="0" w:type="dxa"/>
          <w:right w:w="0" w:type="dxa"/>
        </w:tblCellMar>
      </w:tblPr>
      <w:tblGrid>
        <w:gridCol w:w="301"/>
        <w:gridCol w:w="124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3827" w:type="dxa"/>
        <w:jc w:val="left"/>
        <w:tblInd w:w="0" w:type="dxa"/>
        <w:tblLayout w:type="fixed"/>
        <w:tblCellMar>
          <w:top w:w="0" w:type="dxa"/>
          <w:left w:w="0" w:type="dxa"/>
          <w:bottom w:w="0" w:type="dxa"/>
          <w:right w:w="0" w:type="dxa"/>
        </w:tblCellMar>
      </w:tblPr>
      <w:tblGrid>
        <w:gridCol w:w="301"/>
        <w:gridCol w:w="352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Memorandum and Articles of Association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2018, the shareholders of our company approved a special resolution to delete certain provisions of our articles of association which can be more efficiently dealt with through our website and with public filings, and to adopt the ninth amended and restated memorandum an articles of association reflecting such changes. The following are summaries of material provisions of our ninth amended and restated memorandum and articles of association, as well as the Companies Act (Revised) insofar as they relate to the material terms of our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Objects of Our Company</w:t>
      </w:r>
      <w:r>
        <w:rPr>
          <w:rFonts w:ascii="Times New Roman;Times;serif" w:hAnsi="Times New Roman;Times;serif"/>
          <w:sz w:val="20"/>
        </w:rPr>
        <w:t>. Under our ninth amended and restated memorandum and articles of association, the objects of our company are unrestricted and we have the full power and authority to carry out any object not prohibited by the laws of the Cayman Islands.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Ordinary Shares. Our ordinary shares are issued in registered form and are issued when registered in our register of members. Our shareholders who are non-residents of the Cayman Islands may freely hold and vote their shares.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Register of Members. Under Cayman Islands law, we must keep a register of members and there should be entered therein:</w:t>
      </w:r>
    </w:p>
    <w:tbl>
      <w:tblPr>
        <w:tblW w:w="3891" w:type="dxa"/>
        <w:jc w:val="left"/>
        <w:tblInd w:w="0" w:type="dxa"/>
        <w:tblLayout w:type="fixed"/>
        <w:tblCellMar>
          <w:top w:w="28" w:type="dxa"/>
          <w:left w:w="28" w:type="dxa"/>
          <w:bottom w:w="28" w:type="dxa"/>
          <w:right w:w="28" w:type="dxa"/>
        </w:tblCellMar>
      </w:tblPr>
      <w:tblGrid>
        <w:gridCol w:w="124"/>
        <w:gridCol w:w="31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the members;</w:t>
            </w:r>
          </w:p>
        </w:tc>
      </w:tr>
    </w:tbl>
    <w:tbl>
      <w:tblPr>
        <w:tblW w:w="6351" w:type="dxa"/>
        <w:jc w:val="left"/>
        <w:tblInd w:w="0" w:type="dxa"/>
        <w:tblLayout w:type="fixed"/>
        <w:tblCellMar>
          <w:top w:w="28" w:type="dxa"/>
          <w:left w:w="28" w:type="dxa"/>
          <w:bottom w:w="28" w:type="dxa"/>
          <w:right w:w="28" w:type="dxa"/>
        </w:tblCellMar>
      </w:tblPr>
      <w:tblGrid>
        <w:gridCol w:w="124"/>
        <w:gridCol w:w="331"/>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statement of the shares held by each member, and the statement shall:</w:t>
            </w:r>
          </w:p>
        </w:tc>
      </w:tr>
    </w:tbl>
    <w:tbl>
      <w:tblPr>
        <w:tblW w:w="7746" w:type="dxa"/>
        <w:jc w:val="left"/>
        <w:tblInd w:w="0" w:type="dxa"/>
        <w:tblLayout w:type="fixed"/>
        <w:tblCellMar>
          <w:top w:w="28" w:type="dxa"/>
          <w:left w:w="28" w:type="dxa"/>
          <w:bottom w:w="28" w:type="dxa"/>
          <w:right w:w="28" w:type="dxa"/>
        </w:tblCellMar>
      </w:tblPr>
      <w:tblGrid>
        <w:gridCol w:w="124"/>
        <w:gridCol w:w="211"/>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 the amount paid or agreed to be considered as paid on the shares of each member;</w:t>
            </w:r>
          </w:p>
        </w:tc>
      </w:tr>
    </w:tbl>
    <w:tbl>
      <w:tblPr>
        <w:tblW w:w="5811" w:type="dxa"/>
        <w:jc w:val="left"/>
        <w:tblInd w:w="0" w:type="dxa"/>
        <w:tblLayout w:type="fixed"/>
        <w:tblCellMar>
          <w:top w:w="28" w:type="dxa"/>
          <w:left w:w="28" w:type="dxa"/>
          <w:bottom w:w="28" w:type="dxa"/>
          <w:right w:w="28" w:type="dxa"/>
        </w:tblCellMar>
      </w:tblPr>
      <w:tblGrid>
        <w:gridCol w:w="124"/>
        <w:gridCol w:w="271"/>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 the number and category of shares held by each member;</w:t>
            </w:r>
          </w:p>
        </w:tc>
      </w:tr>
    </w:tbl>
    <w:tbl>
      <w:tblPr>
        <w:tblW w:w="10205" w:type="dxa"/>
        <w:jc w:val="left"/>
        <w:tblInd w:w="0" w:type="dxa"/>
        <w:tblLayout w:type="fixed"/>
        <w:tblCellMar>
          <w:top w:w="28" w:type="dxa"/>
          <w:left w:w="28" w:type="dxa"/>
          <w:bottom w:w="28" w:type="dxa"/>
          <w:right w:w="28" w:type="dxa"/>
        </w:tblCellMar>
      </w:tblPr>
      <w:tblGrid>
        <w:gridCol w:w="124"/>
        <w:gridCol w:w="331"/>
        <w:gridCol w:w="9750"/>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 whether each relevant category of shares held by a member carries voting rights under our current memorandum and articles of association, and if so, whether such voting rights are conditional;</w:t>
            </w:r>
          </w:p>
        </w:tc>
      </w:tr>
    </w:tbl>
    <w:tbl>
      <w:tblPr>
        <w:tblW w:w="7581" w:type="dxa"/>
        <w:jc w:val="left"/>
        <w:tblInd w:w="0" w:type="dxa"/>
        <w:tblLayout w:type="fixed"/>
        <w:tblCellMar>
          <w:top w:w="28" w:type="dxa"/>
          <w:left w:w="28" w:type="dxa"/>
          <w:bottom w:w="28" w:type="dxa"/>
          <w:right w:w="28" w:type="dxa"/>
        </w:tblCellMar>
      </w:tblPr>
      <w:tblGrid>
        <w:gridCol w:w="124"/>
        <w:gridCol w:w="31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name of any person was entered on the register as a member; and</w:t>
            </w:r>
          </w:p>
        </w:tc>
      </w:tr>
    </w:tbl>
    <w:tbl>
      <w:tblPr>
        <w:tblW w:w="4881" w:type="dxa"/>
        <w:jc w:val="left"/>
        <w:tblInd w:w="0" w:type="dxa"/>
        <w:tblLayout w:type="fixed"/>
        <w:tblCellMar>
          <w:top w:w="28" w:type="dxa"/>
          <w:left w:w="28" w:type="dxa"/>
          <w:bottom w:w="28" w:type="dxa"/>
          <w:right w:w="28" w:type="dxa"/>
        </w:tblCellMar>
      </w:tblPr>
      <w:tblGrid>
        <w:gridCol w:w="124"/>
        <w:gridCol w:w="331"/>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member.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our initial public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Voting Rights. 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Act and our ninth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Conversion. Class B ordinary shares are convertible into Class A ordinary shares. All Class B ordinary shares are subject to automatic conversion into 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Transfer of Ordinary Shares. Subject to the restrictions set out below, any of our shareholders may transfer all or any of his or her ordinary shares by an instrument of transfer in the usual or common form or any other form approved by our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NASDAQ may determine to be payable or such lesser sum as our directors may from time to time require is paid to us in respect thereof.</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Liquidation. 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Calls on Shares and Forfeiture of Shares.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Redemption, Repurchase and Surrender of Ordinary Shares. 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Variations of Rights of Shares. 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Issuance of Additional Shares. Our ninth amended and restated memorandum and articles of association authorizes our board of directors to issue additional ordinary shares from time to time as our board of directors shall determine, to the extent of available authorized but unissued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ninth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issue preferred shares without action by our shareholders to the extent authorized but unissued.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Issuance of these shares may dilute the voting power of holders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Inspection of Books and Records. Holders of our ordinary shares will have no general right under Cayman Islands law to inspect or obtain copies of our list of shareholders or our corporate records. However, we will provide our shareholders with annual audited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Anti-Takeover Provisions. Some provisions of our ninth amended and restated memorandum and articles of association may discourage, delay or prevent a change of control of our company or management that shareholders may consider favorable, including provisions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ninth amended and restated memorandum and articles of association for a proper purpose and for what they believe in good faith to be in the best interests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Meetings of Shareholders and Shareholder Proposals. Our shareholders’ general meetings may be held in such place within or outside the Cayman Islands as our board of directors considers appropriate.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an exempted Cayman Islands company, we are not obliged by law to call shareholders’ annual general meetings. Our ninth amended and restated memorandum and articles of association provide that we shall in each year hold a general meeting as our annual general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Exempted Company.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negotiable or bearer shares or shares with no par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967" w:type="dxa"/>
        <w:jc w:val="left"/>
        <w:tblInd w:w="0" w:type="dxa"/>
        <w:tblLayout w:type="fixed"/>
        <w:tblCellMar>
          <w:top w:w="0" w:type="dxa"/>
          <w:left w:w="0" w:type="dxa"/>
          <w:bottom w:w="0" w:type="dxa"/>
          <w:right w:w="0" w:type="dxa"/>
        </w:tblCellMar>
      </w:tblPr>
      <w:tblGrid>
        <w:gridCol w:w="301"/>
        <w:gridCol w:w="166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“Item 7. Major Shareholders and Related Party Transactions—B. Related Party Transactions” and “Item 10. Additional Information—C. Material Contracts” or elsewhere in this annual report.</w:t>
      </w:r>
    </w:p>
    <w:tbl>
      <w:tblPr>
        <w:tblW w:w="2012" w:type="dxa"/>
        <w:jc w:val="left"/>
        <w:tblInd w:w="0" w:type="dxa"/>
        <w:tblLayout w:type="fixed"/>
        <w:tblCellMar>
          <w:top w:w="0" w:type="dxa"/>
          <w:left w:w="0" w:type="dxa"/>
          <w:bottom w:w="0" w:type="dxa"/>
          <w:right w:w="0" w:type="dxa"/>
        </w:tblCellMar>
      </w:tblPr>
      <w:tblGrid>
        <w:gridCol w:w="301"/>
        <w:gridCol w:w="171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Controls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Overview—Regulation—Regulations on Foreign Exchange” and “—Regulations on Dividend Distribution.”</w:t>
      </w:r>
    </w:p>
    <w:tbl>
      <w:tblPr>
        <w:tblW w:w="1172" w:type="dxa"/>
        <w:jc w:val="left"/>
        <w:tblInd w:w="0" w:type="dxa"/>
        <w:tblLayout w:type="fixed"/>
        <w:tblCellMar>
          <w:top w:w="0" w:type="dxa"/>
          <w:left w:w="0" w:type="dxa"/>
          <w:bottom w:w="0" w:type="dxa"/>
          <w:right w:w="0" w:type="dxa"/>
        </w:tblCellMar>
      </w:tblPr>
      <w:tblGrid>
        <w:gridCol w:w="286"/>
        <w:gridCol w:w="886"/>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summary of the material Cayman Islands, Hong Kong, mainland China and United States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United States state or local tax laws, or tax laws of jurisdictions other than the Cayman Islands, Hong Kong, mainland China and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Cayman Islands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People’s Republic of China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SAT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 including the holders of our ADSs. In addition, non- 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 PRC shareholders of iClick Interactive Asia Group Limited would be able to claim the benefits of any tax treaties between their country of tax residence and the PRC in the event that iClick Interactive Asia Group Limited is treated as a PRC resident enterprise.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PRC Enterprise Income Tax Law, Law of the People’s Republic of China on the Administration of Tax Collection promulgated on April 24, 2015, and the SAT’s Announcement on Matters Concerning Withholding of Income Tax of Non-resident Enterprises at Source promulgated on October 17, 2017,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United States Federal Income Tax Considerations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material U.S. federal income tax considerations that are likely to be relevant to the purchase, ownership and disposition of our ordinary shares or ADSs by a U.S. Holder (as defined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shares (measured by voting power or value),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general, if you are a U.S. Holder of ADSs, you will be treated, for U.S. federal income tax purposes, as the beneficial owner of the underlying ordinary shares that are represented by those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Taxation of 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expect to maintain calculations of our earnings and profits in accordance with U.S. federal income tax principles.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Therefore, U.S. Holders should expect that distributions generally will be treated as dividends for U.S. federal income tax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in the year prior to the year in which the dividend was paid, and are not, in the year in which the dividend is paid, a PFIC.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ADSs are listed on the NASDAQ Global Market, and will qualify as readily tradable on an established securities market in the United States so long as they are so listed. Based on our audited financial statements, we believe that we were not treated as a PFIC for U.S. federal income tax purposes with respect to our 2021 taxable year. As discussed further below under “Passive Foreign Investment Company Rules,” however, the recent decline in the market price of our ADSs has resulted in a significant risk that we were a PFIC for our prior taxable year (or, alternatively, that we may become a PFIC for the current or subsequent taxable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we are deemed to be a PRC resident enterprise under the PRC Enterprise Income Tax Law (see “Item 10. Additional Information—E. Taxation—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Subject to generally applicable limitations and conditions, PRC dividend withholding tax paid at the appropriate rate applicable to the U.S. Holder may be eligible for a credit against such U.S. Holder’s U.S. federal income tax liability. These generally applicable limitations and conditions include new requirements recently adopted by the U.S. Internal Revenue Service (“IRS”), and any PRC tax will need to satisfy these requirements in order to be eligible to be a creditable tax for a U.S. Holder. In the case of a U.S. Holder that is eligible for, and properly elects, the benefits of the Treaty, the PRC tax on dividends will be treated as meeting the new requirements and therefore as a creditable tax. In the case of all other U.S. Holders, the application of these requirements to the PRC tax on dividends is uncertain, and we have not determined whether these requirements have been met. If the PRC dividend tax is not a creditable tax for a U.S. Holder or the U.S. Holder does not elect to claim a foreign tax credit for any foreign income taxes paid or accrued in the same taxable year, the U.S. Holder may be able to deduct the PRC tax in computing such U.S. Holder’s taxable income for U.S. federal income tax purposes. Dividend distributions will constitute income from sources without the United States and, for U.S. Holders that elect to claim foreign tax credits, generally will constitute “passive category income” for foreign tax credit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availability and calculation of foreign tax credits and deductions for foreign taxes depend on a U.S. Holder’s particular circumstances and involve the application of complex rules to those circumstances. U.S. Holders should consult their own tax advisors regarding the application of these rules to their particular circumstances.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Taxation of Dispositions of ADSs or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discussion below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Capital gain or loss realized by a U.S. Holder on the sale or other disposition of the ADSs or ordinary shares generally will be U.S. source gain or loss for U.S. foreign tax credit purposes. However, in the event that gain from the disposition of the ADSs or ordinary shares is subject to tax in the PRC, we may be eligible for the benefits of the Treaty, in which case such gain may be treated as PRC source gain under the Treaty. Under the new foreign tax credit requirements recently adopted by the IRS, any PRC tax imposed on the sale or other disposition of the ADSs or ordinary shares generally will not be treated as a creditable tax for U.S. foreign tax credit purposes except in the case of a U.S. Holder that is eligible for, and properly elects to claim, the benefits of the Treaty. If the PRC tax is not a creditable tax or claimed as a credit by the U.S. Holder pursuant to the Treaty, the tax would reduce the amount realized on the sale or other disposition of the shares even if the U.S. Holder has elected to claim a foreign tax credit for other taxes in the same year. U.S. Holders should consult their own tax advisors regarding the application of the foreign tax credit rules to a sale or other disposition of the ADSs or ordinary shares and any PRC tax imposed on such sale or disposition.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Deposits and withdrawals of ordinary shares by U.S. Holders in exchange for ADSs will not result in the realization of gain or loss for U.S. federal income tax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Special U.S. tax rules apply to companies that are considered to be PFICs. We will be classified as a PFIC in a particular taxable year if either</w:t>
      </w:r>
    </w:p>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percent or more of our gross income for the taxable year is passive income;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percentage of the value of our assets that produce or are held for the production of passive income is at least 50 percent.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this purpose, cash generally is treated as a passive asset. Goodwill is treated as an active asset under the PFIC rules to the extent attributable to activities that produce active income. We will be treated as owning our proportionate share of the assets and earning our proportionate share of the income of any other corporation in which we own, directly or indirectly, 25% or more (by value) of the stock.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determination of whether we are a PFIC is made annually after the close of each taxable year. This determination is based on the facts and circumstances at that time, some of which may be beyond our control, such as the amount and composition of our income and the valuation and composition of our assets, including goodwill and other intangible assets, as implied by the market price of our ADSs and ordinary shares. In particular, because the value of our assets for purposes of the asset test may be determined by reference to the market price of our ADSs, the recent decline in the market price of our ADSs has resulted in a significant risk that we were a PFIC for our prior taxable year (or, alternatively, that we may become a PFIC for the current or subsequent taxable years). The market price of our ADSs and/or ordinary shares may continue to fluctuate considerably and, consequently, we cannot assure you of our PFIC status for any taxable year. In addition, the composition of our income and assets will also be affected by how, and how quickly, we use our liquid assets. If we determine not to deploy significant amounts of cash for active purposes, or if it were determined that we do not own the stock of the consolidated variable interest entities for U.S. federal income tax purposes, our risk of being a PFIC may substantially increase.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we are classified as a PFIC in any year and a U.S. Holder does not make a mark-to-market election, as described below,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Additionally, dividends paid by us will not be eligible for the special reduced rate of taxes described above under “—Taxation of Dividends.” If we are classified as a PFIC for any taxable year in which a U.S. Holder owns our ordinary shares or ADSs, we will generally continue to be treated as a PFIC with respect to the U.S. Holder for all succeeding years during which the U.S. Holder owns our ordinary shares or ADSs, even if we cease to meet the threshold requirements for PFIC status (unless the U.S. Holder makes a deemed sale election with respect to our ordinary shares or ADSs once we are no longer a PFIC). Classification as a PFIC may also have other adverse tax consequences, including, in the case of individuals, the denial of a step-up in the basis of his or her ordinary shares or ADSs at death. U.S. Holders are urged to consult their own tax advisors about the application of the PFIC rules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for any taxable year during which a U.S. Holder holds our ordinary shares or ADSs and we have any direct, and in certain circumstances, indirect subsidiaries that are PFICs (each a “Subsidiary PFIC”), the U.S. Holder will be treated as owning its pro rata share of the stock of each Subsidiary PFIC for purposes of the application of these rules, and the U.S. Holder generally would be subject to similar rules with respect to distributions to us by, and dispositions by us of the stock of, any Subsidiary PFIC.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 xml:space="preserve">If we are a PFIC for any taxable year, in lieu of being subject to the general rules discussed above, a U.S. Holder may elect to mark its ordinary shares or ADSs to market, provided that the ordinary shares or ADS are considered “marketable.” The ordinary shares or ADS will be marketable if they are regularly traded on certain U.S. stock exchanges, including the NASDAQ Global Market, or on a non-U.S. stock exchange if (i) the exchange is regulated or supervised by a governmental authority in the country in which the exchange is located; (ii) the exchange has trading volume, listing, financial disclosure, surveillance and other requirements designed to prevent fraudulent and manipulative acts and practices, remove impediments to, and perfect the mechanism of, a free and open, fair and orderly, market and to protect investors; (iii) the laws of the country in which the exchange is located and the rules of the exchange ensure that these requirements are actually enforced; and (iv) the rules of the exchange ensure active trading during any calendar year during which they are traded, other than in </w:t>
      </w:r>
      <w:r>
        <w:rPr>
          <w:rFonts w:ascii="Times New Roman;Times;serif" w:hAnsi="Times New Roman;Times;serif"/>
          <w:i/>
          <w:sz w:val="20"/>
        </w:rPr>
        <w:t>de minimis</w:t>
      </w:r>
      <w:r>
        <w:rPr>
          <w:rFonts w:ascii="Times New Roman;Times;serif" w:hAnsi="Times New Roman;Times;serif"/>
          <w:sz w:val="20"/>
        </w:rPr>
        <w:t xml:space="preserve"> quantities, on at least 15 days during each calendar quarter. It should be noted that only the ADSs, and not the ordinary shares, are listed on the NASDAQ Global Market, and the ordinary shares themselves are not listed on any stock exchange. Consequently, a mark-to-market election is not expected to be available for a U.S. Holder that holds ordinary shares that are not represented by ADSs. </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If the U.S. Holder makes this mark-to-market election with respect to its ADSs, the holder will be required in any year in which we are a PFIC to include as ordinary income the excess of the fair market value of the ADSs at year-end over the holder’s basis in those ADSs. If, at the end of the U.S. Holder’s taxable year for a year in which we were a PFIC, the holder’s basis in the ADSs exceeds their fair market value, the holder will be entitled to deduct the excess as an ordinary loss, but only to the extent of the holder’s net mark-to-market gains from previous years. The holder’s adjusted tax basis in the ADSs will be adjusted to reflect any income or loss recognized under these rules. In addition, any gain the U.S. Holder recognizes upon the sale of the holder’s ADSs will be taxed as ordinary income in the year of sale, and any loss will be treated as an ordinary loss to the extent of the U.S. Holder’s net mark-to-market gains from previous years. Once made, the election cannot be revoked without the consent of the IRS unless the shares cease to be marketable.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 U.S. Holder will not, however, be able to make a mark-to-market election with respect to the stock of any Subsidiary PFIC. Therefore, the U.S. Holder would continue to be subject to the excess distribution rules with respect to any of our subsidiaries that are PFICs, any distributions received by us from a subsidiary that is a PFIC and any gain recognized by us upon a sale of equity interests in a subsidiary that is a PFIC, even if the U.S. Holder has made a mark-to-market election with respect to our ADSs. The interaction of the mark-to-market rules and the rules governing lower-tier PFICs is complex and uncertain.</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 some cases, a shareholder of a PFIC may be subject to alternative treatment by making a valid qualified electing fund election, or QEF election. If a QEF election is made, such U.S. Holder generally will be required to include in income on a current basis its pro rata share of the PFIC’s ordinary income and net capital gains, regardless of whether or not such earnings and gains are actually distributed to such U.S. Holder. To make a QEF election, the PFIC must provide shareholders with certain information compiled according to U.S. federal income tax principles. We do not intend, however, to prepare or provide the information that would enable U.S. Holders to make QEF elections.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 U.S. Holder that owns an equity interest in a PFIC generally must annually file IRS Form 8621, and may be required to file other IRS forms.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U.S. Holders should consult their own tax advisors regarding the U.S. federal income tax considerations discussed above and the availability and desirability of making a mark-to-market election.</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Foreign Financial Asset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U.S. Holders who are individuals that own “specified foreign financial assets” with an aggregate value in excess of US$50,000 on the last day of the taxable year or $75,000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Backup Withholding and Information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holder that is a foreign corporation or a non-resident alien individual may be required to comply with certification and identification procedures in order to establish its exemption from information reporting and backup withholding.</w:t>
      </w:r>
    </w:p>
    <w:tbl>
      <w:tblPr>
        <w:tblW w:w="2837" w:type="dxa"/>
        <w:jc w:val="left"/>
        <w:tblInd w:w="0" w:type="dxa"/>
        <w:tblLayout w:type="fixed"/>
        <w:tblCellMar>
          <w:top w:w="0" w:type="dxa"/>
          <w:left w:w="0" w:type="dxa"/>
          <w:bottom w:w="0" w:type="dxa"/>
          <w:right w:w="0" w:type="dxa"/>
        </w:tblCellMar>
      </w:tblPr>
      <w:tblGrid>
        <w:gridCol w:w="271"/>
        <w:gridCol w:w="2566"/>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2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and Paying Agents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2177" w:type="dxa"/>
        <w:jc w:val="left"/>
        <w:tblInd w:w="0" w:type="dxa"/>
        <w:tblLayout w:type="fixed"/>
        <w:tblCellMar>
          <w:top w:w="0" w:type="dxa"/>
          <w:left w:w="0" w:type="dxa"/>
          <w:bottom w:w="0" w:type="dxa"/>
          <w:right w:w="0" w:type="dxa"/>
        </w:tblCellMar>
      </w:tblPr>
      <w:tblGrid>
        <w:gridCol w:w="301"/>
        <w:gridCol w:w="187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1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by Experts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2297" w:type="dxa"/>
        <w:jc w:val="left"/>
        <w:tblInd w:w="0" w:type="dxa"/>
        <w:tblLayout w:type="fixed"/>
        <w:tblCellMar>
          <w:top w:w="0" w:type="dxa"/>
          <w:left w:w="0" w:type="dxa"/>
          <w:bottom w:w="0" w:type="dxa"/>
          <w:right w:w="0" w:type="dxa"/>
        </w:tblCellMar>
      </w:tblPr>
      <w:tblGrid>
        <w:gridCol w:w="301"/>
        <w:gridCol w:w="199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1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on Display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furnish JPMorgan Chase Bank, N.A.,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tbl>
      <w:tblPr>
        <w:tblW w:w="2252" w:type="dxa"/>
        <w:jc w:val="left"/>
        <w:tblInd w:w="0" w:type="dxa"/>
        <w:tblLayout w:type="fixed"/>
        <w:tblCellMar>
          <w:top w:w="0" w:type="dxa"/>
          <w:left w:w="0" w:type="dxa"/>
          <w:bottom w:w="0" w:type="dxa"/>
          <w:right w:w="0" w:type="dxa"/>
        </w:tblCellMar>
      </w:tblPr>
      <w:tblGrid>
        <w:gridCol w:w="226"/>
        <w:gridCol w:w="2026"/>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list of our subsidiaries, see “Item 4. Information on the Company—C. Organizational Structure.”</w:t>
      </w:r>
    </w:p>
    <w:p>
      <w:pPr>
        <w:pStyle w:val="TextBody"/>
        <w:bidi w:val="0"/>
        <w:spacing w:before="0" w:after="240"/>
        <w:ind w:left="0" w:right="0" w:hanging="0"/>
        <w:jc w:val="left"/>
        <w:rPr>
          <w:rFonts w:ascii="Times New Roman;Times;serif" w:hAnsi="Times New Roman;Times;serif"/>
          <w:b/>
          <w:sz w:val="20"/>
        </w:rPr>
      </w:pPr>
      <w:bookmarkStart w:id="61" w:name="ITEM11QUANTITATIVEANDQUALITATIVEDISCLOSU"/>
      <w:bookmarkStart w:id="62" w:name="_f819285d_855d_4ccb_8611_9efc1ce02c01"/>
      <w:bookmarkEnd w:id="61"/>
      <w:bookmarkEnd w:id="62"/>
      <w:r>
        <w:rPr>
          <w:rFonts w:ascii="Times New Roman;Times;serif" w:hAnsi="Times New Roman;Times;serif"/>
          <w:b/>
          <w:i w:val="false"/>
          <w:caps w:val="false"/>
          <w:smallCaps w:val="false"/>
          <w:sz w:val="20"/>
        </w:rPr>
        <w:t>ITEM 11.</w:t>
      </w:r>
      <w:r>
        <w:rPr>
          <w:rFonts w:ascii="Times New Roman;Times;serif" w:hAnsi="Times New Roman;Times;serif"/>
          <w:b/>
          <w:sz w:val="20"/>
        </w:rPr>
        <w:t>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inflation in China has not materially impacted our results of operations. According to the National Bureau of Statistics of China, the year over year percent change in the consumer price index for 2020, 2021 and 2022 were increases of 2.5%, 0.9% and 2.0%,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Exchange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and VIE entities in China. Our commercial transactions outside China are primarily denominated in U.S. dollars and Hong Kong dollars, which are pegged to U.S. dollars. We do not hedge against currency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value of the Renminbi against the U.S. dollar and other currencies may fluctuate and is affected by, among other things, changes in political and economic conditions in China and by China’s foreign exchange policies. Accordingly, it is difficult to predict how market forces or PRC or U.S. government policy may impact the exchange rate between the Renminbi and the U.S. dollar in the future. In addition, the PBOC may, from time to time, release policies and measures concerning the foreign exchange market to limit fluctuations in Renminbi exchange rates and for other policy considerations.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 For U.S. dollars against Renminbi in term of average monthly exchange rate, there was appreciation of approximately 0.5%, depreciation of approximately 7.2% and appreciation of approximately 3.2% in 2020, 2021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of our operating activities are transacted in HK dollars. We consider the foreign exchange risk in relation to transactions denominated in HK dollars with respect to U.S. dollars is not significant as HK dollar is pegged to U.S. dollar.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2.9% of the aggregate principal outstanding amount of our bank borrowings as of December 31, 2022 was at floating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if interest rates increased/decreased by 1%, with all other variables having remained constant, and assuming the amount of bank borrowings outstanding at the end of the year was outstanding for the entire year, our net loss would have been US0.01 million higher/lower, respectively. These were mainly as a result of higher/lower interest expense for our bank borrowings at floating rates.</w:t>
      </w:r>
    </w:p>
    <w:p>
      <w:pPr>
        <w:pStyle w:val="TextBody"/>
        <w:bidi w:val="0"/>
        <w:spacing w:before="0" w:after="240"/>
        <w:ind w:left="0" w:right="0" w:hanging="0"/>
        <w:jc w:val="left"/>
        <w:rPr>
          <w:rFonts w:ascii="Times New Roman;Times;serif" w:hAnsi="Times New Roman;Times;serif"/>
          <w:b/>
          <w:sz w:val="20"/>
        </w:rPr>
      </w:pPr>
      <w:bookmarkStart w:id="63" w:name="ITEM12DESCRIPTIONOFSECURITIESOTHERTHANEQ"/>
      <w:bookmarkStart w:id="64" w:name="_c73c4d62_ac95_4d17_a154_42efc56d3fad"/>
      <w:bookmarkEnd w:id="63"/>
      <w:bookmarkEnd w:id="64"/>
      <w:r>
        <w:rPr>
          <w:rFonts w:ascii="Times New Roman;Times;serif" w:hAnsi="Times New Roman;Times;serif"/>
          <w:b/>
          <w:i w:val="false"/>
          <w:caps w:val="false"/>
          <w:smallCaps w:val="false"/>
          <w:sz w:val="20"/>
        </w:rPr>
        <w:t>ITEM 12.</w:t>
      </w:r>
      <w:r>
        <w:rPr>
          <w:rFonts w:ascii="Times New Roman;Times;serif" w:hAnsi="Times New Roman;Times;serif"/>
          <w:b/>
          <w:sz w:val="20"/>
        </w:rPr>
        <w:t>DESCRIPTION OF SECURITIES OTHER THAN EQUITY SECURITIES</w:t>
      </w:r>
    </w:p>
    <w:tbl>
      <w:tblPr>
        <w:tblW w:w="1682" w:type="dxa"/>
        <w:jc w:val="left"/>
        <w:tblInd w:w="0" w:type="dxa"/>
        <w:tblLayout w:type="fixed"/>
        <w:tblCellMar>
          <w:top w:w="0" w:type="dxa"/>
          <w:left w:w="0" w:type="dxa"/>
          <w:bottom w:w="0" w:type="dxa"/>
          <w:right w:w="0" w:type="dxa"/>
        </w:tblCellMar>
      </w:tblPr>
      <w:tblGrid>
        <w:gridCol w:w="301"/>
        <w:gridCol w:w="138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2102" w:type="dxa"/>
        <w:jc w:val="left"/>
        <w:tblInd w:w="0" w:type="dxa"/>
        <w:tblLayout w:type="fixed"/>
        <w:tblCellMar>
          <w:top w:w="0" w:type="dxa"/>
          <w:left w:w="0" w:type="dxa"/>
          <w:bottom w:w="0" w:type="dxa"/>
          <w:right w:w="0" w:type="dxa"/>
        </w:tblCellMar>
      </w:tblPr>
      <w:tblGrid>
        <w:gridCol w:w="301"/>
        <w:gridCol w:w="180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and Rights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1742" w:type="dxa"/>
        <w:jc w:val="left"/>
        <w:tblInd w:w="0" w:type="dxa"/>
        <w:tblLayout w:type="fixed"/>
        <w:tblCellMar>
          <w:top w:w="0" w:type="dxa"/>
          <w:left w:w="0" w:type="dxa"/>
          <w:bottom w:w="0" w:type="dxa"/>
          <w:right w:w="0" w:type="dxa"/>
        </w:tblCellMar>
      </w:tblPr>
      <w:tblGrid>
        <w:gridCol w:w="301"/>
        <w:gridCol w:w="144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Securities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2732" w:type="dxa"/>
        <w:jc w:val="left"/>
        <w:tblInd w:w="0" w:type="dxa"/>
        <w:tblLayout w:type="fixed"/>
        <w:tblCellMar>
          <w:top w:w="0" w:type="dxa"/>
          <w:left w:w="0" w:type="dxa"/>
          <w:bottom w:w="0" w:type="dxa"/>
          <w:right w:w="0" w:type="dxa"/>
        </w:tblCellMar>
      </w:tblPr>
      <w:tblGrid>
        <w:gridCol w:w="301"/>
        <w:gridCol w:w="243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Fees and Charges Our ADS Holders May Have to Pay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up to US$0.05 per ADS for any cash distribution made pursuant to the deposit agreement;</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US$1.50 per ADR or ADRs for transfers of certificated or direct registration ADRs;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transfer or other taxes and other governmental charges;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telex and facsimile transmission and delivery charges incurred at your request in connection with the deposit or delivery of shares, ADRs or deposited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or registration fees for the registration of transfer of deposited securities on any applicable register in connection with the deposit or withdrawal of deposited securities;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JPMorgan and/or its agent may act as principal for such conversion of foreign currency.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Fees and Other Payments Made by the Depositary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 For the year ended December 31, 2022, we received US$0.1 million reimbursement, after deduction of applicable U.S. taxes, from the depositary.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5" w:name="PARTII_115056"/>
      <w:bookmarkStart w:id="66" w:name="_1fa09927_13d3_4194_9498_fe0dd90c54d4"/>
      <w:bookmarkEnd w:id="65"/>
      <w:bookmarkEnd w:id="66"/>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67" w:name="ITEM13DEFAULTSDIVIDENDARREARAGESANDDELIN"/>
      <w:bookmarkEnd w:id="67"/>
      <w:r>
        <w:rPr>
          <w:rFonts w:ascii="Times New Roman;Times;serif" w:hAnsi="Times New Roman;Times;serif"/>
          <w:b/>
          <w:i w:val="false"/>
          <w:caps w:val="false"/>
          <w:smallCaps w:val="false"/>
          <w:sz w:val="20"/>
        </w:rPr>
        <w:t>ITEM 13.</w:t>
      </w:r>
      <w:r>
        <w:rPr>
          <w:rFonts w:ascii="Times New Roman;Times;serif" w:hAnsi="Times New Roman;Times;serif"/>
          <w:b/>
          <w:sz w:val="20"/>
        </w:rPr>
        <w:t>DEFAULTS, DIVIDEND ARREARAGES AND DELINQUENCIES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8" w:name="ITEM14MATERIALMODIFICATIONSTOTHERIGHTSOF"/>
      <w:bookmarkStart w:id="69" w:name="_8ba13453_8d33_4273_a76d_b2f61e42540b"/>
      <w:bookmarkEnd w:id="68"/>
      <w:bookmarkEnd w:id="69"/>
      <w:r>
        <w:rPr>
          <w:rFonts w:ascii="Times New Roman;Times;serif" w:hAnsi="Times New Roman;Times;serif"/>
          <w:b/>
          <w:i w:val="false"/>
          <w:caps w:val="false"/>
          <w:smallCaps w:val="false"/>
          <w:sz w:val="20"/>
        </w:rPr>
        <w:t>ITEM 14.</w:t>
      </w:r>
      <w:r>
        <w:rPr>
          <w:rFonts w:ascii="Times New Roman;Times;serif" w:hAnsi="Times New Roman;Times;serif"/>
          <w:b/>
          <w:sz w:val="20"/>
        </w:rPr>
        <w:t>MATERIAL MODIFICATIONS TO THE RIGHTS OF SECURITY HOLDERS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 Material Modifications to the Rights of Security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10. Additional Information—B. Memorandum and Articles of Association—Ordinary Shares” for a description of the rights of securities holders, which remain unchanged.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“Use of Proceeds” information relates to the registration statement on Form F-1, as amended (File No. 333-221034) in relation to our initial public offering, which was declared effective by the SEC on December 21, 2017 and to the registration statement on Form F-3, as amended (File No. 333-232435) in relation to our follow-on offering, which was declared effective by the SEC on July 15, 2019.</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2017, we completed our initial public offering, in which we issued and sold an aggregate of 3,750,000 ADSs (excluding ADSs issued upon the exercise of the over-allotment options), representing 1,875,000 Class A ordinary shares, at an initial offering price of US$8.00 per ADS. In the same month, the underwriters of our initial public offering exercised their over-allotment options to purchase an additional 562,500 ADSs in full. The net proceeds we received from the initial public offering and the exercise of the over-allotment options in full totaled approximately US$27.5 million. Roth Capital Partners, LLC was the representative of the underwriters for our initial public offering. None of the transaction expenses included payments to directors or officers of our company or their associates, persons owning more than 10% or more of our equity securities or our affiliates.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period from December 21, 2017, the date that the Form F-1 was declared effective by the SEC, to December 31, 2021, we had used the net proceeds from our initial public offering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US$12 million of the net proceeds for research and development and expansion of our suite of solutions and service offerings; and</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US$16 million of the net proceeds for sales and marketing.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intend to use the remainder of the proceeds from our initial public offering, as disclosed in our registration statement on Form F-1, for (i) research and development and expansion of our suite of solutions and service offerings, and (ii) funding our working capital and other general corporate purposes. None of the net proceeds from the initial public offering have been paid, directly or indirectly, to any of our directors or officers or their associates, persons owning 10% or more of our equity securities or our affiliates.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2020, we completed the follow-on offering of 8,500,001 ADSs, of which 6,877,214 ADSs (excluding ADSs issued upon the exercise of the over-allotment options), representing an aggregate of 3,438,607 Class A ordinary shares were sold by us. The net proceeds we raised from the follow-on public offering were approximately US$53.0 million, after deducting underwriting discounts and commissions and offering expenses payable by us. BofA Securities, Inc. was the representative of the underwriters for our follow-on offering. None of the transaction expenses included payments to directors or officers of our company or their associates, persons owning more than 10% or more of our equity securities or our affiliates.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period from September 2, 2020, the date that we completed our follow-on offering, to December 31, 2022, we had used the net proceeds from our follow-on offering for working capital and other general corporate purpose and for investment, acquisition and business collaboration opportunities that complement or enhance our existing operations and are strategically beneficial to our long-term goals.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 of the net proceeds from the initial public offering have been paid, directly or indirectly, to any of our directors or officers or their associates, persons owning 10% or more of our equity securities or our affiliates. We still intend to use the remainder of the proceeds from our follow-on offering as disclosed in our prospectus dated September 2, 2020 on Form 424B5 filed with the SEC on September 4, 2020.</w:t>
      </w:r>
    </w:p>
    <w:p>
      <w:pPr>
        <w:pStyle w:val="TextBody"/>
        <w:bidi w:val="0"/>
        <w:spacing w:before="0" w:after="240"/>
        <w:ind w:left="0" w:right="0" w:hanging="0"/>
        <w:jc w:val="left"/>
        <w:rPr>
          <w:rFonts w:ascii="Times New Roman;Times;serif" w:hAnsi="Times New Roman;Times;serif"/>
          <w:b/>
          <w:sz w:val="20"/>
        </w:rPr>
      </w:pPr>
      <w:bookmarkStart w:id="70" w:name="ITEM15CONTROLSANDPROCEDURES_724753"/>
      <w:bookmarkStart w:id="71" w:name="_df269830_1680_4d7b_9263_ae1c97dbd7ad"/>
      <w:bookmarkEnd w:id="70"/>
      <w:bookmarkEnd w:id="71"/>
      <w:r>
        <w:rPr>
          <w:rFonts w:ascii="Times New Roman;Times;serif" w:hAnsi="Times New Roman;Times;serif"/>
          <w:b/>
          <w:i w:val="false"/>
          <w:caps w:val="false"/>
          <w:smallCaps w:val="false"/>
          <w:sz w:val="20"/>
        </w:rPr>
        <w:t>ITEM 15.</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our chief financial officer, we carried out an evaluation of the effectiveness of our disclosure controls and procedures, which is defined in Rules 13a-15(e) of the Exchange Act, as of December 31, 2022. Based upon that evaluation, our management, with the participation of our chief executive officer and chief financial officer, has concluded that, as of the end of the period covered by this annual report, our disclosure controls and procedures were not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such term is defined in Rules 13a-15(f) and 15d-15(f) under the Exchange Act of 1934. Our internal control over financial reporting is a process designed to provide reasonable assurance regarding the reliability of financial reporting and the preparation of consolidated financial statements in accordance with U.S. GAAP. Because of its inherent limitations, a system of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conducted an assessment of the effectiveness of our internal control over financial reporting as of December 31, 2022. In making this assessment, it used the criteria established within the Internal Control—Integrated Framework issued by the Committee of Sponsoring Organizations of the Treadway Commission (COSO) (2013 framework). Based on this assessment, our management has concluded that, as of December 31, 2022, our internal control over financial reporting was not effective.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an up-to-date manual of accounting policies and procedures to facilitate preparation of U.S. GAAP financial statements, which could result in adjustments to U.S. GAAP not identified in a timely and complete manner, causing material misstatements in the Company’s financial reporting. To remediate these two weaknesses, we have adopted the following measures to improve our internal control over financial reporting.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and 2022, we hired additional personnel with managerial positions in our finance department with an appropriate understanding of and work experience involving U.S. GAAP and SEC reporting requirements. We will continue to put effort in hiring additional personnel with an appropriate understanding of and work experience involving U.S. GAAP and SEC reporting requirements to ensure there are sufficient resources in the financial reporting functions.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we established clear roles and responsibilities for financial reporting and accounting personnel to address complex accounting and financial reporting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sponsored our existing financial reporting and accounting personnel to complete external courses relating to U.S. GAAP and SEC reporting such that the financial reporting and accounting personnel can earn the necessary credentials to be qualified as certified public accountants in the U.S.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establishing an ongoing program to provide sufficient and additional appropriate training to our financial reporting and accounting staff, especially trainings related to U.S. GAAP and SEC financial reporting requirements. For instance, we continue to require our existing financial reporting and accounting personnel to regularly attend U.S. GAAP and SEC reporting requirement training and workshops hosted by external organizations at least on an annual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formalized the procedures and controls regarding the financial reporting process and developed and implemented a comprehensive set of U.S. GAAP policies and standardized financial reporting procedures, including a manual of accounting policies and financial reporting checklists, to allow early detection, prevention and resolution of potential misstatements. However, we are in the process of hiring additional financial reporting and accounting personnel to timely update the manual of accounting policies, and properly prepare and review financial statements and related footnote /disclosures based on U.S. GAAP and SEC reporting requirements.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fully committed to continue to implement measures to remediate our material weaknesses in our internal control over financial reporting.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Attestation Report of the Independent Registered Public Accounting Firm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Regulation S-K Item 308(b), this annual report does not include an attestation report of our independent registered public accounting firm regarding internal control over financial reporting.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the above, there have not been any changes in our internal control over financial reporting in the year ended December 31, 2022, which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72" w:name="_7ac26c3d_95ee_49d8_ae97_2c93adbce6ae"/>
      <w:bookmarkEnd w:id="72"/>
      <w:r>
        <w:rPr>
          <w:rFonts w:ascii="Times New Roman;Times;serif" w:hAnsi="Times New Roman;Times;serif"/>
          <w:b/>
          <w:i w:val="false"/>
          <w:caps w:val="false"/>
          <w:smallCaps w:val="false"/>
          <w:sz w:val="20"/>
        </w:rPr>
        <w:t>ITEM 16.</w:t>
      </w:r>
      <w:r>
        <w:rPr>
          <w:rFonts w:ascii="Times New Roman;Times;serif" w:hAnsi="Times New Roman;Times;serif"/>
          <w:b/>
          <w:sz w:val="20"/>
        </w:rPr>
        <w:t>[Reserved]</w:t>
      </w:r>
    </w:p>
    <w:p>
      <w:pPr>
        <w:pStyle w:val="TextBody"/>
        <w:bidi w:val="0"/>
        <w:spacing w:before="0" w:after="240"/>
        <w:ind w:left="0" w:right="0" w:hanging="0"/>
        <w:jc w:val="left"/>
        <w:rPr>
          <w:rFonts w:ascii="Times New Roman;Times;serif" w:hAnsi="Times New Roman;Times;serif"/>
          <w:b/>
          <w:sz w:val="20"/>
        </w:rPr>
      </w:pPr>
      <w:bookmarkStart w:id="73" w:name="ITEM16AAUDITCOMMITTEEFINANCIALEXPERT_535"/>
      <w:bookmarkStart w:id="74" w:name="_ff6b24e9_24aa_4d46_b12b_bba7b945025d"/>
      <w:bookmarkEnd w:id="73"/>
      <w:bookmarkEnd w:id="74"/>
      <w:r>
        <w:rPr>
          <w:rFonts w:ascii="Times New Roman;Times;serif" w:hAnsi="Times New Roman;Times;serif"/>
          <w:b/>
          <w:i w:val="false"/>
          <w:caps w:val="false"/>
          <w:smallCaps w:val="false"/>
          <w:sz w:val="20"/>
        </w:rPr>
        <w:t>ITEM 16A.</w:t>
      </w:r>
      <w:r>
        <w:rPr>
          <w:rFonts w:ascii="Times New Roman;Times;serif" w:hAnsi="Times New Roman;Times;serif"/>
          <w:b/>
          <w:sz w:val="20"/>
        </w:rPr>
        <w:t>AUDIT COMMITTEE FINANCIAL EXPERT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determined that Matthew Chu Pong Fong and Lub Bun Chong are our audit committee financial experts. Each of Matthew Chu Pong Fong and Lub Bun Chong satisfies the independent requirements of the Rule 5605(c)(2) of the Listing Rules of the NASDAQ Stock Market and meet the independence standards under Rule 10A-3 under the Exchange Act.</w:t>
      </w:r>
    </w:p>
    <w:p>
      <w:pPr>
        <w:pStyle w:val="TextBody"/>
        <w:bidi w:val="0"/>
        <w:spacing w:before="0" w:after="240"/>
        <w:ind w:left="0" w:right="0" w:hanging="0"/>
        <w:jc w:val="left"/>
        <w:rPr>
          <w:rFonts w:ascii="Times New Roman;Times;serif" w:hAnsi="Times New Roman;Times;serif"/>
          <w:b/>
          <w:sz w:val="20"/>
        </w:rPr>
      </w:pPr>
      <w:bookmarkStart w:id="75" w:name="ITEM16BCODEOFETHICS_833888"/>
      <w:bookmarkStart w:id="76" w:name="_e373e631_a665_42e6_94e9_2c78af20ff81"/>
      <w:bookmarkEnd w:id="75"/>
      <w:bookmarkEnd w:id="76"/>
      <w:r>
        <w:rPr>
          <w:rFonts w:ascii="Times New Roman;Times;serif" w:hAnsi="Times New Roman;Times;serif"/>
          <w:b/>
          <w:i w:val="false"/>
          <w:caps w:val="false"/>
          <w:smallCaps w:val="false"/>
          <w:sz w:val="20"/>
        </w:rPr>
        <w:t>ITEM 16B.</w:t>
      </w:r>
      <w:r>
        <w:rPr>
          <w:rFonts w:ascii="Times New Roman;Times;serif" w:hAnsi="Times New Roman;Times;serif"/>
          <w:b/>
          <w:sz w:val="20"/>
        </w:rPr>
        <w:t>CODE OF ETHICS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adopted a code of business conduct and ethics that applies to our directors, officers and employees. We have filed our code of business conduct and ethics as an exhibit to our registration statement on Form F-1 (file No. 333-221034), as amended, initially filed with the SEC on October 20, 2017. We have posted a copy of our code of business conduct and ethics on our website at http://ir.i-click.com.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7" w:name="ITEM16CPRINCIPALACCOUNTANTFEESANDSERVICE"/>
      <w:bookmarkStart w:id="78" w:name="_5648dbdc_d6eb_4991_a29e_05cdbb872455"/>
      <w:bookmarkEnd w:id="77"/>
      <w:bookmarkEnd w:id="78"/>
      <w:r>
        <w:rPr>
          <w:rFonts w:ascii="Times New Roman;Times;serif" w:hAnsi="Times New Roman;Times;serif"/>
          <w:b/>
          <w:i w:val="false"/>
          <w:caps w:val="false"/>
          <w:smallCaps w:val="false"/>
          <w:sz w:val="20"/>
        </w:rPr>
        <w:t>ITEM 16C.</w:t>
      </w:r>
      <w:r>
        <w:rPr>
          <w:rFonts w:ascii="Times New Roman;Times;serif" w:hAnsi="Times New Roman;Times;serif"/>
          <w:b/>
          <w:sz w:val="20"/>
        </w:rPr>
        <w:t>PRINCIPAL ACCOUNTANT FEES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PricewaterhouseCoopers, our independent registered public accounting firm, for the periods indicated. We did not pay any other fees to our independent registered public accounting firm during the periods indicated below.</w:t>
      </w:r>
    </w:p>
    <w:tbl>
      <w:tblPr>
        <w:tblW w:w="3597" w:type="dxa"/>
        <w:jc w:val="left"/>
        <w:tblInd w:w="0" w:type="dxa"/>
        <w:tblLayout w:type="fixed"/>
        <w:tblCellMar>
          <w:top w:w="0" w:type="dxa"/>
          <w:left w:w="0" w:type="dxa"/>
          <w:bottom w:w="0" w:type="dxa"/>
          <w:right w:w="0" w:type="dxa"/>
        </w:tblCellMar>
      </w:tblPr>
      <w:tblGrid>
        <w:gridCol w:w="1756"/>
        <w:gridCol w:w="326"/>
        <w:gridCol w:w="572"/>
        <w:gridCol w:w="326"/>
        <w:gridCol w:w="617"/>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115060" cy="175260"/>
                      <wp:effectExtent l="0" t="0" r="0" b="0"/>
                      <wp:wrapNone/>
                      <wp:docPr id="249" name="Frame242"/>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0"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63220" cy="175260"/>
                      <wp:effectExtent l="0" t="0" r="0" b="0"/>
                      <wp:wrapNone/>
                      <wp:docPr id="251" name="Frame244"/>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2"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91795" cy="175260"/>
                      <wp:effectExtent l="0" t="0" r="0" b="0"/>
                      <wp:wrapNone/>
                      <wp:docPr id="253" name="Frame246"/>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7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6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97"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756"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1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 in thousands)</w:t>
            </w:r>
          </w:p>
        </w:tc>
      </w:tr>
      <w:tr>
        <w:trPr/>
        <w:tc>
          <w:tcPr>
            <w:tcW w:w="175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Audit fees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w:t>
            </w:r>
          </w:p>
        </w:tc>
        <w:tc>
          <w:tcPr>
            <w:tcW w:w="326" w:type="dxa"/>
            <w:tcBorders/>
            <w:shd w:fill="CCEEFF" w:val="clear"/>
            <w:vAlign w:val="center"/>
          </w:tcPr>
          <w:p>
            <w:pPr>
              <w:pStyle w:val="TableContents"/>
              <w:bidi w:val="0"/>
              <w:spacing w:before="0" w:after="1"/>
              <w:ind w:left="0" w:right="0" w:hanging="0"/>
              <w:jc w:val="left"/>
              <w:rPr/>
            </w:pPr>
            <w:r>
              <w:rPr/>
              <w:t>    </w:t>
            </w:r>
          </w:p>
        </w:tc>
        <w:tc>
          <w:tcPr>
            <w:tcW w:w="6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w:t>
            </w:r>
          </w:p>
        </w:tc>
      </w:tr>
      <w:tr>
        <w:trPr/>
        <w:tc>
          <w:tcPr>
            <w:tcW w:w="1756"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Tax fees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 </w:t>
            </w:r>
          </w:p>
        </w:tc>
        <w:tc>
          <w:tcPr>
            <w:tcW w:w="5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 </w:t>
            </w:r>
          </w:p>
        </w:tc>
        <w:tc>
          <w:tcPr>
            <w:tcW w:w="6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75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Audit related fees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26" w:type="dxa"/>
            <w:tcBorders/>
            <w:shd w:fill="CCEEFF" w:val="clear"/>
            <w:vAlign w:val="center"/>
          </w:tcPr>
          <w:p>
            <w:pPr>
              <w:pStyle w:val="TableContents"/>
              <w:bidi w:val="0"/>
              <w:spacing w:before="0" w:after="1"/>
              <w:ind w:left="0" w:right="0" w:hanging="0"/>
              <w:jc w:val="left"/>
              <w:rPr/>
            </w:pPr>
            <w:r>
              <w:rPr/>
              <w:t> </w:t>
            </w:r>
          </w:p>
        </w:tc>
        <w:tc>
          <w:tcPr>
            <w:tcW w:w="617"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130</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means the aggregate fees billed for professional services rendered by our principal auditors for the audit of our annual financial statements and the review of our comparative interim financial statements.</w:t>
            </w:r>
          </w:p>
        </w:tc>
      </w:tr>
    </w:tbl>
    <w:tbl>
      <w:tblPr>
        <w:tblW w:w="6302" w:type="dxa"/>
        <w:jc w:val="left"/>
        <w:tblInd w:w="0" w:type="dxa"/>
        <w:tblLayout w:type="fixed"/>
        <w:tblCellMar>
          <w:top w:w="0" w:type="dxa"/>
          <w:left w:w="0" w:type="dxa"/>
          <w:bottom w:w="0" w:type="dxa"/>
          <w:right w:w="0" w:type="dxa"/>
        </w:tblCellMar>
      </w:tblPr>
      <w:tblGrid>
        <w:gridCol w:w="346"/>
        <w:gridCol w:w="59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95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Tax fees” include fees billed for tax compliance and tax consultations.</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Audit-related fees” represent the aggregate fees billed in each of the fiscal years listed for the assurance and related services rendered by our principal auditors that are reasonably related to the performance of the audit or review of our financial statements and not reported under “Audit fees.”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policy of our audit committee is to pre-approve all audit and other service provided by PricewaterhouseCoopers as described above, other than those for </w:t>
      </w:r>
      <w:r>
        <w:rPr>
          <w:rFonts w:ascii="Times New Roman;Times;serif" w:hAnsi="Times New Roman;Times;serif"/>
          <w:i/>
          <w:sz w:val="20"/>
        </w:rPr>
        <w:t>de minimis</w:t>
      </w:r>
      <w:r>
        <w:rPr>
          <w:rFonts w:ascii="Times New Roman;Times;serif" w:hAnsi="Times New Roman;Times;serif"/>
          <w:sz w:val="20"/>
        </w:rPr>
        <w:t xml:space="preserve"> services which are approved by the Audit Committee prior to the completion of the audit.</w:t>
      </w:r>
    </w:p>
    <w:p>
      <w:pPr>
        <w:pStyle w:val="TextBody"/>
        <w:bidi w:val="0"/>
        <w:spacing w:before="0" w:after="240"/>
        <w:ind w:left="0" w:right="0" w:hanging="0"/>
        <w:jc w:val="left"/>
        <w:rPr>
          <w:rFonts w:ascii="Times New Roman;Times;serif" w:hAnsi="Times New Roman;Times;serif"/>
          <w:b/>
          <w:sz w:val="20"/>
        </w:rPr>
      </w:pPr>
      <w:bookmarkStart w:id="79" w:name="ITEM16DEXEMPTIONSFROMTHELISTINGSTANDARDS"/>
      <w:bookmarkStart w:id="80" w:name="_bd88499f_13b6_41dd_9c1a_0679a740df37"/>
      <w:bookmarkEnd w:id="79"/>
      <w:bookmarkEnd w:id="80"/>
      <w:r>
        <w:rPr>
          <w:rFonts w:ascii="Times New Roman;Times;serif" w:hAnsi="Times New Roman;Times;serif"/>
          <w:b/>
          <w:i w:val="false"/>
          <w:caps w:val="false"/>
          <w:smallCaps w:val="false"/>
          <w:sz w:val="20"/>
        </w:rPr>
        <w:t>ITEM 16D.</w:t>
      </w:r>
      <w:r>
        <w:rPr>
          <w:rFonts w:ascii="Times New Roman;Times;serif" w:hAnsi="Times New Roman;Times;serif"/>
          <w:b/>
          <w:sz w:val="20"/>
        </w:rPr>
        <w:t>EXEMPTIONS FROM THE LISTING STANDARDS FOR AUDIT COMMITTEES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1" w:name="ITEM16EPURCHASESOFEQUITYSECURITIESBYTHEI"/>
      <w:bookmarkStart w:id="82" w:name="_e996d9ea_241d_4f48_b0e4_8f1e5e816e98"/>
      <w:bookmarkEnd w:id="81"/>
      <w:bookmarkEnd w:id="82"/>
      <w:r>
        <w:rPr>
          <w:rFonts w:ascii="Times New Roman;Times;serif" w:hAnsi="Times New Roman;Times;serif"/>
          <w:b/>
          <w:i w:val="false"/>
          <w:caps w:val="false"/>
          <w:smallCaps w:val="false"/>
          <w:sz w:val="20"/>
        </w:rPr>
        <w:t>ITEM 16E.</w:t>
      </w:r>
      <w:r>
        <w:rPr>
          <w:rFonts w:ascii="Times New Roman;Times;serif" w:hAnsi="Times New Roman;Times;serif"/>
          <w:b/>
          <w:sz w:val="20"/>
        </w:rPr>
        <w:t>PURCHASES OF EQUITY SECURITIES BY THE ISSUER AND AFFILIATED PURCHASERS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about our purchases of outstanding ADSs in 2022:</w:t>
      </w:r>
    </w:p>
    <w:tbl>
      <w:tblPr>
        <w:tblW w:w="9244" w:type="dxa"/>
        <w:jc w:val="left"/>
        <w:tblInd w:w="0" w:type="dxa"/>
        <w:tblLayout w:type="fixed"/>
        <w:tblCellMar>
          <w:top w:w="0" w:type="dxa"/>
          <w:left w:w="0" w:type="dxa"/>
          <w:bottom w:w="0" w:type="dxa"/>
          <w:right w:w="0" w:type="dxa"/>
        </w:tblCellMar>
      </w:tblPr>
      <w:tblGrid>
        <w:gridCol w:w="1441"/>
        <w:gridCol w:w="326"/>
        <w:gridCol w:w="1576"/>
        <w:gridCol w:w="326"/>
        <w:gridCol w:w="1726"/>
        <w:gridCol w:w="326"/>
        <w:gridCol w:w="1486"/>
        <w:gridCol w:w="326"/>
        <w:gridCol w:w="1711"/>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915035" cy="175260"/>
                      <wp:effectExtent l="0" t="0" r="0" b="0"/>
                      <wp:wrapNone/>
                      <wp:docPr id="254" name="Frame247"/>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5"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000760" cy="175260"/>
                      <wp:effectExtent l="0" t="0" r="0" b="0"/>
                      <wp:wrapNone/>
                      <wp:docPr id="256" name="Frame249"/>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57"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096010" cy="175260"/>
                      <wp:effectExtent l="0" t="0" r="0" b="0"/>
                      <wp:wrapNone/>
                      <wp:docPr id="258" name="Frame251"/>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59"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943610" cy="175260"/>
                      <wp:effectExtent l="0" t="0" r="0" b="0"/>
                      <wp:wrapNone/>
                      <wp:docPr id="260" name="Frame25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1"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086485" cy="175260"/>
                      <wp:effectExtent l="0" t="0" r="0" b="0"/>
                      <wp:wrapNone/>
                      <wp:docPr id="262" name="Frame25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5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7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4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7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 Approximately</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 Total Number</w:t>
            </w:r>
          </w:p>
        </w:tc>
        <w:tc>
          <w:tcPr>
            <w:tcW w:w="32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 Value of ADSs</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ADSs Purchased</w:t>
            </w:r>
          </w:p>
        </w:tc>
        <w:tc>
          <w:tcPr>
            <w:tcW w:w="32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Part of Publicly</w:t>
            </w:r>
          </w:p>
        </w:tc>
        <w:tc>
          <w:tcPr>
            <w:tcW w:w="32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 Under the</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(a)Total Number of</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17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(b)Average Price Paid</w:t>
            </w:r>
          </w:p>
        </w:tc>
        <w:tc>
          <w:tcPr>
            <w:tcW w:w="32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Announced Plans</w:t>
            </w:r>
          </w:p>
        </w:tc>
        <w:tc>
          <w:tcPr>
            <w:tcW w:w="32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Plans or Programs</w:t>
            </w:r>
          </w:p>
        </w:tc>
      </w:tr>
      <w:tr>
        <w:trPr/>
        <w:tc>
          <w:tcPr>
            <w:tcW w:w="14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1"/>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ADSs Purchased</w:t>
            </w:r>
          </w:p>
        </w:tc>
        <w:tc>
          <w:tcPr>
            <w:tcW w:w="326" w:type="dxa"/>
            <w:tcBorders/>
            <w:vAlign w:val="center"/>
          </w:tcPr>
          <w:p>
            <w:pPr>
              <w:pStyle w:val="TableContents"/>
              <w:bidi w:val="0"/>
              <w:spacing w:before="0" w:after="1"/>
              <w:ind w:left="0" w:right="0" w:hanging="0"/>
              <w:jc w:val="center"/>
              <w:rPr/>
            </w:pPr>
            <w:r>
              <w:rPr/>
              <w:t>​</w:t>
            </w:r>
          </w:p>
        </w:tc>
        <w:tc>
          <w:tcPr>
            <w:tcW w:w="172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pPr>
            <w:r>
              <w:rPr/>
              <w:t> </w:t>
            </w:r>
            <w:r>
              <w:rPr>
                <w:rFonts w:ascii="Times New Roman;Times;serif" w:hAnsi="Times New Roman;Times;serif"/>
                <w:b/>
                <w:sz w:val="16"/>
              </w:rPr>
              <w:t>per ADS (US$)</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w:t>
            </w:r>
          </w:p>
        </w:tc>
        <w:tc>
          <w:tcPr>
            <w:tcW w:w="148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or Programs</w:t>
            </w:r>
            <w:r>
              <w:rPr>
                <w:rFonts w:ascii="Times New Roman;Times;serif" w:hAnsi="Times New Roman;Times;serif"/>
                <w:b/>
                <w:sz w:val="12"/>
              </w:rPr>
              <w:t>(4)</w:t>
            </w:r>
          </w:p>
        </w:tc>
        <w:tc>
          <w:tcPr>
            <w:tcW w:w="326" w:type="dxa"/>
            <w:tcBorders/>
            <w:vAlign w:val="center"/>
          </w:tcPr>
          <w:p>
            <w:pPr>
              <w:pStyle w:val="TableContents"/>
              <w:bidi w:val="0"/>
              <w:spacing w:before="0" w:after="1"/>
              <w:ind w:left="0" w:right="0" w:hanging="0"/>
              <w:jc w:val="center"/>
              <w:rPr/>
            </w:pPr>
            <w:r>
              <w:rPr/>
              <w:t>​</w:t>
            </w:r>
          </w:p>
        </w:tc>
        <w:tc>
          <w:tcPr>
            <w:tcW w:w="171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(in US$ million)</w:t>
            </w:r>
            <w:r>
              <w:rPr>
                <w:rFonts w:ascii="Times New Roman;Times;serif" w:hAnsi="Times New Roman;Times;serif"/>
                <w:b/>
                <w:sz w:val="12"/>
              </w:rPr>
              <w:t>(4)</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2022</w:t>
            </w:r>
          </w:p>
        </w:tc>
        <w:tc>
          <w:tcPr>
            <w:tcW w:w="326"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7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7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2022</w:t>
            </w:r>
          </w:p>
        </w:tc>
        <w:tc>
          <w:tcPr>
            <w:tcW w:w="32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29,295</w:t>
            </w:r>
          </w:p>
        </w:tc>
        <w:tc>
          <w:tcPr>
            <w:tcW w:w="326" w:type="dxa"/>
            <w:tcBorders/>
            <w:vAlign w:val="center"/>
          </w:tcPr>
          <w:p>
            <w:pPr>
              <w:pStyle w:val="TableContents"/>
              <w:bidi w:val="0"/>
              <w:spacing w:before="0" w:after="1"/>
              <w:ind w:left="0" w:right="0" w:hanging="0"/>
              <w:jc w:val="left"/>
              <w:rPr/>
            </w:pPr>
            <w:r>
              <w:rPr/>
              <w:t> </w:t>
            </w:r>
          </w:p>
        </w:tc>
        <w:tc>
          <w:tcPr>
            <w:tcW w:w="17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27.83</w:t>
            </w:r>
          </w:p>
        </w:tc>
        <w:tc>
          <w:tcPr>
            <w:tcW w:w="32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29,295</w:t>
            </w:r>
          </w:p>
        </w:tc>
        <w:tc>
          <w:tcPr>
            <w:tcW w:w="326" w:type="dxa"/>
            <w:tcBorders/>
            <w:vAlign w:val="center"/>
          </w:tcPr>
          <w:p>
            <w:pPr>
              <w:pStyle w:val="TableContents"/>
              <w:bidi w:val="0"/>
              <w:spacing w:before="0" w:after="1"/>
              <w:ind w:left="0" w:right="0" w:hanging="0"/>
              <w:jc w:val="left"/>
              <w:rPr/>
            </w:pPr>
            <w:r>
              <w:rPr/>
              <w:t> </w:t>
            </w:r>
          </w:p>
        </w:tc>
        <w:tc>
          <w:tcPr>
            <w:tcW w:w="17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19.18</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2022</w:t>
            </w:r>
          </w:p>
        </w:tc>
        <w:tc>
          <w:tcPr>
            <w:tcW w:w="326"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240,765</w:t>
            </w:r>
          </w:p>
        </w:tc>
        <w:tc>
          <w:tcPr>
            <w:tcW w:w="326" w:type="dxa"/>
            <w:tcBorders/>
            <w:shd w:fill="CCEEFF" w:val="clear"/>
            <w:vAlign w:val="center"/>
          </w:tcPr>
          <w:p>
            <w:pPr>
              <w:pStyle w:val="TableContents"/>
              <w:bidi w:val="0"/>
              <w:spacing w:before="0" w:after="1"/>
              <w:ind w:left="0" w:right="0" w:hanging="0"/>
              <w:jc w:val="left"/>
              <w:rPr/>
            </w:pPr>
            <w:r>
              <w:rPr/>
              <w:t> </w:t>
            </w:r>
          </w:p>
        </w:tc>
        <w:tc>
          <w:tcPr>
            <w:tcW w:w="17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w:t>
            </w:r>
          </w:p>
        </w:tc>
        <w:tc>
          <w:tcPr>
            <w:tcW w:w="32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240,765</w:t>
            </w:r>
          </w:p>
        </w:tc>
        <w:tc>
          <w:tcPr>
            <w:tcW w:w="326" w:type="dxa"/>
            <w:tcBorders/>
            <w:shd w:fill="CCEEFF" w:val="clear"/>
            <w:vAlign w:val="center"/>
          </w:tcPr>
          <w:p>
            <w:pPr>
              <w:pStyle w:val="TableContents"/>
              <w:bidi w:val="0"/>
              <w:spacing w:before="0" w:after="1"/>
              <w:ind w:left="0" w:right="0" w:hanging="0"/>
              <w:jc w:val="left"/>
              <w:rPr/>
            </w:pPr>
            <w:r>
              <w:rPr/>
              <w:t> </w:t>
            </w:r>
          </w:p>
        </w:tc>
        <w:tc>
          <w:tcPr>
            <w:tcW w:w="17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2022</w:t>
            </w:r>
          </w:p>
        </w:tc>
        <w:tc>
          <w:tcPr>
            <w:tcW w:w="32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171,687</w:t>
            </w:r>
          </w:p>
        </w:tc>
        <w:tc>
          <w:tcPr>
            <w:tcW w:w="326" w:type="dxa"/>
            <w:tcBorders/>
            <w:vAlign w:val="center"/>
          </w:tcPr>
          <w:p>
            <w:pPr>
              <w:pStyle w:val="TableContents"/>
              <w:bidi w:val="0"/>
              <w:spacing w:before="0" w:after="1"/>
              <w:ind w:left="0" w:right="0" w:hanging="0"/>
              <w:jc w:val="left"/>
              <w:rPr/>
            </w:pPr>
            <w:r>
              <w:rPr/>
              <w:t> </w:t>
            </w:r>
          </w:p>
        </w:tc>
        <w:tc>
          <w:tcPr>
            <w:tcW w:w="17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w:t>
            </w:r>
          </w:p>
        </w:tc>
        <w:tc>
          <w:tcPr>
            <w:tcW w:w="32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171,687</w:t>
            </w:r>
          </w:p>
        </w:tc>
        <w:tc>
          <w:tcPr>
            <w:tcW w:w="326" w:type="dxa"/>
            <w:tcBorders/>
            <w:vAlign w:val="center"/>
          </w:tcPr>
          <w:p>
            <w:pPr>
              <w:pStyle w:val="TableContents"/>
              <w:bidi w:val="0"/>
              <w:spacing w:before="0" w:after="1"/>
              <w:ind w:left="0" w:right="0" w:hanging="0"/>
              <w:jc w:val="left"/>
              <w:rPr/>
            </w:pPr>
            <w:r>
              <w:rPr/>
              <w:t> </w:t>
            </w:r>
          </w:p>
        </w:tc>
        <w:tc>
          <w:tcPr>
            <w:tcW w:w="17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2022</w:t>
            </w:r>
          </w:p>
        </w:tc>
        <w:tc>
          <w:tcPr>
            <w:tcW w:w="326"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142,918</w:t>
            </w:r>
          </w:p>
        </w:tc>
        <w:tc>
          <w:tcPr>
            <w:tcW w:w="326" w:type="dxa"/>
            <w:tcBorders/>
            <w:shd w:fill="CCEEFF" w:val="clear"/>
            <w:vAlign w:val="center"/>
          </w:tcPr>
          <w:p>
            <w:pPr>
              <w:pStyle w:val="TableContents"/>
              <w:bidi w:val="0"/>
              <w:spacing w:before="0" w:after="1"/>
              <w:ind w:left="0" w:right="0" w:hanging="0"/>
              <w:jc w:val="left"/>
              <w:rPr/>
            </w:pPr>
            <w:r>
              <w:rPr/>
              <w:t> </w:t>
            </w:r>
          </w:p>
        </w:tc>
        <w:tc>
          <w:tcPr>
            <w:tcW w:w="17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w:t>
            </w:r>
          </w:p>
        </w:tc>
        <w:tc>
          <w:tcPr>
            <w:tcW w:w="32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142,918</w:t>
            </w:r>
          </w:p>
        </w:tc>
        <w:tc>
          <w:tcPr>
            <w:tcW w:w="326" w:type="dxa"/>
            <w:tcBorders/>
            <w:shd w:fill="CCEEFF" w:val="clear"/>
            <w:vAlign w:val="center"/>
          </w:tcPr>
          <w:p>
            <w:pPr>
              <w:pStyle w:val="TableContents"/>
              <w:bidi w:val="0"/>
              <w:spacing w:before="0" w:after="1"/>
              <w:ind w:left="0" w:right="0" w:hanging="0"/>
              <w:jc w:val="left"/>
              <w:rPr/>
            </w:pPr>
            <w:r>
              <w:rPr/>
              <w:t> </w:t>
            </w:r>
          </w:p>
        </w:tc>
        <w:tc>
          <w:tcPr>
            <w:tcW w:w="17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2022</w:t>
            </w:r>
          </w:p>
        </w:tc>
        <w:tc>
          <w:tcPr>
            <w:tcW w:w="32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7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7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July 2022</w:t>
            </w:r>
          </w:p>
        </w:tc>
        <w:tc>
          <w:tcPr>
            <w:tcW w:w="326"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7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7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August 2022</w:t>
            </w:r>
          </w:p>
        </w:tc>
        <w:tc>
          <w:tcPr>
            <w:tcW w:w="32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7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7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2022</w:t>
            </w:r>
          </w:p>
        </w:tc>
        <w:tc>
          <w:tcPr>
            <w:tcW w:w="326"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34,909</w:t>
            </w:r>
          </w:p>
        </w:tc>
        <w:tc>
          <w:tcPr>
            <w:tcW w:w="326" w:type="dxa"/>
            <w:tcBorders/>
            <w:shd w:fill="CCEEFF" w:val="clear"/>
            <w:vAlign w:val="center"/>
          </w:tcPr>
          <w:p>
            <w:pPr>
              <w:pStyle w:val="TableContents"/>
              <w:bidi w:val="0"/>
              <w:spacing w:before="0" w:after="1"/>
              <w:ind w:left="0" w:right="0" w:hanging="0"/>
              <w:jc w:val="left"/>
              <w:rPr/>
            </w:pPr>
            <w:r>
              <w:rPr/>
              <w:t> </w:t>
            </w:r>
          </w:p>
        </w:tc>
        <w:tc>
          <w:tcPr>
            <w:tcW w:w="17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34,909</w:t>
            </w:r>
          </w:p>
        </w:tc>
        <w:tc>
          <w:tcPr>
            <w:tcW w:w="326" w:type="dxa"/>
            <w:tcBorders/>
            <w:shd w:fill="CCEEFF" w:val="clear"/>
            <w:vAlign w:val="center"/>
          </w:tcPr>
          <w:p>
            <w:pPr>
              <w:pStyle w:val="TableContents"/>
              <w:bidi w:val="0"/>
              <w:spacing w:before="0" w:after="1"/>
              <w:ind w:left="0" w:right="0" w:hanging="0"/>
              <w:jc w:val="left"/>
              <w:rPr/>
            </w:pPr>
            <w:r>
              <w:rPr/>
              <w:t> </w:t>
            </w:r>
          </w:p>
        </w:tc>
        <w:tc>
          <w:tcPr>
            <w:tcW w:w="17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October 2022</w:t>
            </w:r>
          </w:p>
        </w:tc>
        <w:tc>
          <w:tcPr>
            <w:tcW w:w="32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3,610</w:t>
            </w:r>
          </w:p>
        </w:tc>
        <w:tc>
          <w:tcPr>
            <w:tcW w:w="326" w:type="dxa"/>
            <w:tcBorders/>
            <w:vAlign w:val="center"/>
          </w:tcPr>
          <w:p>
            <w:pPr>
              <w:pStyle w:val="TableContents"/>
              <w:bidi w:val="0"/>
              <w:spacing w:before="0" w:after="1"/>
              <w:ind w:left="0" w:right="0" w:hanging="0"/>
              <w:jc w:val="left"/>
              <w:rPr/>
            </w:pPr>
            <w:r>
              <w:rPr/>
              <w:t> </w:t>
            </w:r>
          </w:p>
        </w:tc>
        <w:tc>
          <w:tcPr>
            <w:tcW w:w="17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3,610</w:t>
            </w:r>
          </w:p>
        </w:tc>
        <w:tc>
          <w:tcPr>
            <w:tcW w:w="326" w:type="dxa"/>
            <w:tcBorders/>
            <w:vAlign w:val="center"/>
          </w:tcPr>
          <w:p>
            <w:pPr>
              <w:pStyle w:val="TableContents"/>
              <w:bidi w:val="0"/>
              <w:spacing w:before="0" w:after="1"/>
              <w:ind w:left="0" w:right="0" w:hanging="0"/>
              <w:jc w:val="left"/>
              <w:rPr/>
            </w:pPr>
            <w:r>
              <w:rPr/>
              <w:t> </w:t>
            </w:r>
          </w:p>
        </w:tc>
        <w:tc>
          <w:tcPr>
            <w:tcW w:w="17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November 2022</w:t>
            </w:r>
          </w:p>
        </w:tc>
        <w:tc>
          <w:tcPr>
            <w:tcW w:w="326"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87,717</w:t>
            </w:r>
          </w:p>
        </w:tc>
        <w:tc>
          <w:tcPr>
            <w:tcW w:w="326" w:type="dxa"/>
            <w:tcBorders/>
            <w:shd w:fill="CCEEFF" w:val="clear"/>
            <w:vAlign w:val="center"/>
          </w:tcPr>
          <w:p>
            <w:pPr>
              <w:pStyle w:val="TableContents"/>
              <w:bidi w:val="0"/>
              <w:spacing w:before="0" w:after="1"/>
              <w:ind w:left="0" w:right="0" w:hanging="0"/>
              <w:jc w:val="left"/>
              <w:rPr/>
            </w:pPr>
            <w:r>
              <w:rPr/>
              <w:t> </w:t>
            </w:r>
          </w:p>
        </w:tc>
        <w:tc>
          <w:tcPr>
            <w:tcW w:w="17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87,717</w:t>
            </w:r>
          </w:p>
        </w:tc>
        <w:tc>
          <w:tcPr>
            <w:tcW w:w="326" w:type="dxa"/>
            <w:tcBorders/>
            <w:shd w:fill="CCEEFF" w:val="clear"/>
            <w:vAlign w:val="center"/>
          </w:tcPr>
          <w:p>
            <w:pPr>
              <w:pStyle w:val="TableContents"/>
              <w:bidi w:val="0"/>
              <w:spacing w:before="0" w:after="1"/>
              <w:ind w:left="0" w:right="0" w:hanging="0"/>
              <w:jc w:val="left"/>
              <w:rPr/>
            </w:pPr>
            <w:r>
              <w:rPr/>
              <w:t> </w:t>
            </w:r>
          </w:p>
        </w:tc>
        <w:tc>
          <w:tcPr>
            <w:tcW w:w="17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2022</w:t>
            </w:r>
          </w:p>
        </w:tc>
        <w:tc>
          <w:tcPr>
            <w:tcW w:w="326" w:type="dxa"/>
            <w:tcBorders/>
            <w:vAlign w:val="center"/>
          </w:tcPr>
          <w:p>
            <w:pPr>
              <w:pStyle w:val="TableContents"/>
              <w:bidi w:val="0"/>
              <w:spacing w:before="0" w:after="1"/>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20,980</w:t>
            </w:r>
          </w:p>
        </w:tc>
        <w:tc>
          <w:tcPr>
            <w:tcW w:w="326" w:type="dxa"/>
            <w:tcBorders/>
            <w:vAlign w:val="center"/>
          </w:tcPr>
          <w:p>
            <w:pPr>
              <w:pStyle w:val="TableContents"/>
              <w:bidi w:val="0"/>
              <w:spacing w:before="0" w:after="1"/>
              <w:ind w:left="0" w:right="0" w:hanging="0"/>
              <w:jc w:val="left"/>
              <w:rPr/>
            </w:pPr>
            <w:r>
              <w:rPr/>
              <w:t> </w:t>
            </w:r>
          </w:p>
        </w:tc>
        <w:tc>
          <w:tcPr>
            <w:tcW w:w="17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vAlign w:val="center"/>
          </w:tcPr>
          <w:p>
            <w:pPr>
              <w:pStyle w:val="TableContents"/>
              <w:bidi w:val="0"/>
              <w:spacing w:before="0" w:after="1"/>
              <w:ind w:left="0" w:right="0" w:hanging="0"/>
              <w:jc w:val="left"/>
              <w:rPr/>
            </w:pPr>
            <w:r>
              <w:rPr/>
              <w:t> </w:t>
            </w:r>
          </w:p>
        </w:tc>
        <w:tc>
          <w:tcPr>
            <w:tcW w:w="14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20,980</w:t>
            </w:r>
          </w:p>
        </w:tc>
        <w:tc>
          <w:tcPr>
            <w:tcW w:w="326" w:type="dxa"/>
            <w:tcBorders/>
            <w:vAlign w:val="center"/>
          </w:tcPr>
          <w:p>
            <w:pPr>
              <w:pStyle w:val="TableContents"/>
              <w:bidi w:val="0"/>
              <w:spacing w:before="0" w:after="1"/>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15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731,881</w:t>
            </w:r>
          </w:p>
        </w:tc>
        <w:tc>
          <w:tcPr>
            <w:tcW w:w="326" w:type="dxa"/>
            <w:tcBorders/>
            <w:shd w:fill="CCEEFF" w:val="clear"/>
            <w:vAlign w:val="center"/>
          </w:tcPr>
          <w:p>
            <w:pPr>
              <w:pStyle w:val="TableContents"/>
              <w:bidi w:val="0"/>
              <w:spacing w:before="0" w:after="1"/>
              <w:ind w:left="0" w:right="0" w:hanging="0"/>
              <w:jc w:val="left"/>
              <w:rPr/>
            </w:pPr>
            <w:r>
              <w:rPr/>
              <w:t> </w:t>
            </w:r>
          </w:p>
        </w:tc>
        <w:tc>
          <w:tcPr>
            <w:tcW w:w="17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c>
          <w:tcPr>
            <w:tcW w:w="326" w:type="dxa"/>
            <w:tcBorders/>
            <w:shd w:fill="CCEEFF" w:val="clear"/>
            <w:vAlign w:val="center"/>
          </w:tcPr>
          <w:p>
            <w:pPr>
              <w:pStyle w:val="TableContents"/>
              <w:bidi w:val="0"/>
              <w:spacing w:before="0" w:after="1"/>
              <w:ind w:left="0" w:right="0" w:hanging="0"/>
              <w:jc w:val="left"/>
              <w:rPr/>
            </w:pPr>
            <w:r>
              <w:rPr/>
              <w:t> </w:t>
            </w:r>
          </w:p>
        </w:tc>
        <w:tc>
          <w:tcPr>
            <w:tcW w:w="14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731,881</w:t>
            </w:r>
          </w:p>
        </w:tc>
        <w:tc>
          <w:tcPr>
            <w:tcW w:w="326" w:type="dxa"/>
            <w:tcBorders/>
            <w:shd w:fill="CCEEFF" w:val="clear"/>
            <w:vAlign w:val="center"/>
          </w:tcPr>
          <w:p>
            <w:pPr>
              <w:pStyle w:val="TableContents"/>
              <w:bidi w:val="0"/>
              <w:spacing w:before="0" w:after="1"/>
              <w:ind w:left="0" w:right="0" w:hanging="0"/>
              <w:jc w:val="left"/>
              <w:rPr/>
            </w:pPr>
            <w:r>
              <w:rPr/>
              <w:t> </w:t>
            </w:r>
          </w:p>
        </w:tc>
        <w:tc>
          <w:tcPr>
            <w:tcW w:w="171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12.43</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ADS represent five Class A ordinary shares. The average price per ADS is calculated using the execution price for each repurchase excluding commissions paid to brokers.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2018, we announced a share repurchase program in which we may purchase our own ADSs with an aggregate value of up to US$10 million over the next 12-month period, ending November 27, 2019. On March 27, 2019, we entered into a trading plan with an authorized brokerage firm in the U.S. for the purpose of repurchasing our issued and outstanding ADSs in accordance with Rule 10b5-1 under the U.S. Securities Exchange Act of 1934, as amended, and has been established pursuant to, and as part of, the US$10 million share buyback program that was previously authorized by our board of directors on November 28, 2018.</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On January 15, 2020, we announced a share repurchase program in which we may purchase our own ADSs with an aggregate value of up to US$10 million over the 12-month period ending on December 29, 2020.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we deem appropriate. The share repurchase program does not obligate us to acquire any particular number of ADSs and may be suspended, terminated or extended at any time at our discretion without prior notice.</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2020, we further announced a share repurchase program in which we may purchase our own ADSs with an aggregate value of up to US$15 million from December 30, 2020 to December 31, 2021. On August 25, 2021, we announced the upsize of share repurchase program by US$10 million from US$15 million to US$25 million from December 30, 2020 to December 31, 2021.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we deem appropriate. The share repurchase program does not obligate us to acquire any particular number of ADSs and may be suspended, terminated or extended at any time at our discretion without prior notice.</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2021, we announced a share repurchase program in which we may purchase its own ADSs with an aggregate value of up to US$20 million from January 1, 2022 to December 31, 2022.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we deem appropriate. The share repurchase program does not obligate us to acquire any particular number of ADSs and may be suspended, terminated or extended at any time at our discretion without prior notice.</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2022, we announced a share repurchase program in which we may purchase its own ADSs with an aggregate value of up to US$5 million from January 1, 2023 to December 31, 2023.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we deem appropriate. The share repurchase program does not obligate us to acquire any particular number of ADSs and may be suspended, terminated or extended at any time at our discretion without prior notice.</w:t>
            </w:r>
          </w:p>
        </w:tc>
      </w:tr>
    </w:tbl>
    <w:p>
      <w:pPr>
        <w:pStyle w:val="TextBody"/>
        <w:bidi w:val="0"/>
        <w:spacing w:before="0" w:after="240"/>
        <w:ind w:left="0" w:right="0" w:hanging="0"/>
        <w:jc w:val="left"/>
        <w:rPr>
          <w:rFonts w:ascii="Times New Roman;Times;serif" w:hAnsi="Times New Roman;Times;serif"/>
          <w:b/>
          <w:sz w:val="20"/>
        </w:rPr>
      </w:pPr>
      <w:bookmarkStart w:id="83" w:name="ITEM16FCHANGEINREGISTRANTSCERTIFYINGACCO"/>
      <w:bookmarkStart w:id="84" w:name="_ITEM_16F._CHANGE"/>
      <w:bookmarkStart w:id="85" w:name="_6724be0b_354e_42c2_86c9_e35c76ae027e"/>
      <w:bookmarkEnd w:id="83"/>
      <w:bookmarkEnd w:id="84"/>
      <w:bookmarkEnd w:id="85"/>
      <w:r>
        <w:rPr>
          <w:rFonts w:ascii="Times New Roman;Times;serif" w:hAnsi="Times New Roman;Times;serif"/>
          <w:b/>
          <w:i w:val="false"/>
          <w:caps w:val="false"/>
          <w:smallCaps w:val="false"/>
          <w:sz w:val="20"/>
        </w:rPr>
        <w:t xml:space="preserve">ITEM 16F. </w:t>
      </w:r>
      <w:r>
        <w:rPr>
          <w:rFonts w:ascii="Times New Roman;Times;serif" w:hAnsi="Times New Roman;Times;serif"/>
          <w:b/>
          <w:sz w:val="20"/>
        </w:rPr>
        <w:t>CHANGE IN REGISTRANT’S CERTIFYING ACCOUNTANT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6" w:name="ITEM16GCORPORATEGOVERNANCE_215194"/>
      <w:bookmarkStart w:id="87" w:name="_ITEM_16G._CORPORATE"/>
      <w:bookmarkStart w:id="88" w:name="_37fc1258_8f09_439e_bc4c_9c9ca4e140d0"/>
      <w:bookmarkEnd w:id="86"/>
      <w:bookmarkEnd w:id="87"/>
      <w:bookmarkEnd w:id="88"/>
      <w:r>
        <w:rPr>
          <w:rFonts w:ascii="Times New Roman;Times;serif" w:hAnsi="Times New Roman;Times;serif"/>
          <w:b/>
          <w:i w:val="false"/>
          <w:caps w:val="false"/>
          <w:smallCaps w:val="false"/>
          <w:sz w:val="20"/>
        </w:rPr>
        <w:t>ITEM 16G.</w:t>
      </w:r>
      <w:r>
        <w:rPr>
          <w:rFonts w:ascii="Times New Roman;Times;serif" w:hAnsi="Times New Roman;Times;serif"/>
          <w:b/>
          <w:sz w:val="20"/>
        </w:rPr>
        <w:t xml:space="preserve"> 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approval for certain events, including the establishment or amendment of certain equity based compensation plans and arrangements and certain transactions involving issuances of a 20% or more interest in our company;</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 independent directors on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independent directors being involved in the selection of director nominees and determination of executive officer compensation; and</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regularly scheduled executive sessions of independent directors.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our reliance on the corporate governance exemptions available to foreign private issuers, you will not have the same protection afforded to shareholders of companies that are subject to all of Nasdaq’s corporate governance requirements. See “Item 3. Key Information—D. Risk Factors—Risks Related to Our American Depositary Shares—We are a foreign private issuer within the meaning of the rules under the Exchange Act, and as such we are exempt from certain provisions applicable to U.S. domestic public companies.”</w:t>
      </w:r>
    </w:p>
    <w:p>
      <w:pPr>
        <w:pStyle w:val="TextBody"/>
        <w:bidi w:val="0"/>
        <w:spacing w:before="0" w:after="240"/>
        <w:ind w:left="0" w:right="0" w:hanging="0"/>
        <w:jc w:val="left"/>
        <w:rPr>
          <w:rFonts w:ascii="Times New Roman;Times;serif" w:hAnsi="Times New Roman;Times;serif"/>
          <w:b/>
          <w:sz w:val="20"/>
        </w:rPr>
      </w:pPr>
      <w:bookmarkStart w:id="89" w:name="ITEM16HMINESAFETYDISCLOSURE_122527"/>
      <w:bookmarkStart w:id="90" w:name="_12fe9fba_071c_4224_bd5d_33ab35d18097"/>
      <w:bookmarkEnd w:id="89"/>
      <w:bookmarkEnd w:id="90"/>
      <w:r>
        <w:rPr>
          <w:rFonts w:ascii="Times New Roman;Times;serif" w:hAnsi="Times New Roman;Times;serif"/>
          <w:b/>
          <w:i w:val="false"/>
          <w:caps w:val="false"/>
          <w:smallCaps w:val="false"/>
          <w:sz w:val="20"/>
        </w:rPr>
        <w:t>ITEM 16H.</w:t>
      </w:r>
      <w:r>
        <w:rPr>
          <w:rFonts w:ascii="Times New Roman;Times;serif" w:hAnsi="Times New Roman;Times;serif"/>
          <w:b/>
          <w:sz w:val="20"/>
        </w:rPr>
        <w:t>MINE SAFETY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1" w:name="ITEM16IDISCLOSUREREGARDINGFOREIGNJURISDI"/>
      <w:bookmarkStart w:id="92" w:name="_d58caf3f_95e1_46ed_9caa_652d6fefa67e"/>
      <w:bookmarkEnd w:id="91"/>
      <w:bookmarkEnd w:id="92"/>
      <w:r>
        <w:rPr>
          <w:rFonts w:ascii="Times New Roman;Times;serif" w:hAnsi="Times New Roman;Times;serif"/>
          <w:b/>
          <w:i w:val="false"/>
          <w:caps w:val="false"/>
          <w:smallCaps w:val="false"/>
          <w:sz w:val="20"/>
        </w:rPr>
        <w:t>ITEM 16I.</w:t>
      </w:r>
      <w:r>
        <w:rPr>
          <w:rFonts w:ascii="Times New Roman;Times;serif" w:hAnsi="Times New Roman;Times;serif"/>
          <w:b/>
          <w:sz w:val="20"/>
        </w:rPr>
        <w:t>DISCLOSURE REGARDING FOREIGN JURISDICTIONS THAT PREVENT INSPECTIONS</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On June 1, 2022, we were conclusively listed by the SEC as a Commission-Identified Issuer under the HFCA Act following the filing of our annual report for the fiscal year ended December 31, 2021. Our auditor, a registered public accounting firm that the PCAOB was not able to inspect or investigate completely in 2021 according to the PCAOB’s December 16, 2021 determinations, issued the audit report for us for the fiscal year ended December 31, 2021. On December 15, 2022, the PCAOB issued a report that vacated its December 16, 2021 determinations and removed mainland China and Hong Kong form the list of jurisdictions where it is unable to completely inspect of investigate the registered public accounting firms. For this reason, we do not expect to be identified as a Commission-Identified Issuer under the HFCA Act after we file this annual report.</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As of the date of this annual report, to our best knowledge, (i) no governmental entities in the Cayman Islands or in China own shares of the Company, (ii) the governmental entities in China do not have a controlling financial interest in the Company, (iii) none of the members of the board of directors of the Company or its operating entities, including the VIE entities, is an official of the Chinese Communist Party, and (iv) none of the currently effective memorandum and articles of association (or equivalent organizing document) of the Company contains any charter of the Chinese Communist Party.</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93" w:name="ITEM16JINSIDERTRADINGPOLICIES_636013"/>
      <w:bookmarkStart w:id="94" w:name="_a96a8190_db00_4b3b_bbd2_a4c533e4c970"/>
      <w:bookmarkEnd w:id="93"/>
      <w:bookmarkEnd w:id="94"/>
      <w:r>
        <w:rPr>
          <w:rFonts w:ascii="Times New Roman;Times;serif" w:hAnsi="Times New Roman;Times;serif"/>
          <w:b/>
          <w:i w:val="false"/>
          <w:caps w:val="false"/>
          <w:smallCaps w:val="false"/>
          <w:sz w:val="20"/>
        </w:rPr>
        <w:t>ITEM 16J.</w:t>
      </w:r>
      <w:r>
        <w:rPr>
          <w:rFonts w:ascii="Times New Roman;Times;serif" w:hAnsi="Times New Roman;Times;serif"/>
          <w:b/>
          <w:sz w:val="20"/>
        </w:rPr>
        <w:t>INSIDER TRADING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5" w:name="PARTIII_621044"/>
      <w:bookmarkStart w:id="96" w:name="_0368b1a3_2d86_4bb6_92ec_33657a4ae1f7"/>
      <w:bookmarkEnd w:id="95"/>
      <w:bookmarkEnd w:id="96"/>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97" w:name="ITEM17FINANCIALSTATEMENTS_101347"/>
      <w:bookmarkEnd w:id="97"/>
      <w:r>
        <w:rPr>
          <w:rFonts w:ascii="Times New Roman;Times;serif" w:hAnsi="Times New Roman;Times;serif"/>
          <w:b/>
          <w:i w:val="false"/>
          <w:caps w:val="false"/>
          <w:smallCaps w:val="false"/>
          <w:sz w:val="20"/>
        </w:rPr>
        <w:t>ITEM 17.</w:t>
      </w:r>
      <w:r>
        <w:rPr>
          <w:rFonts w:ascii="Times New Roman;Times;serif" w:hAnsi="Times New Roman;Times;serif"/>
          <w:b/>
          <w:sz w:val="20"/>
        </w:rPr>
        <w:t>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elected to provide financial statements pursuant to “Item 18. Financial Statements.”.</w:t>
      </w:r>
    </w:p>
    <w:p>
      <w:pPr>
        <w:pStyle w:val="TextBody"/>
        <w:bidi w:val="0"/>
        <w:spacing w:before="0" w:after="240"/>
        <w:ind w:left="0" w:right="0" w:hanging="0"/>
        <w:jc w:val="left"/>
        <w:rPr>
          <w:rFonts w:ascii="Times New Roman;Times;serif" w:hAnsi="Times New Roman;Times;serif"/>
          <w:b/>
          <w:sz w:val="20"/>
        </w:rPr>
      </w:pPr>
      <w:bookmarkStart w:id="98" w:name="ITEM18FINANCIALSTATEMENTS_192552"/>
      <w:bookmarkStart w:id="99" w:name="_1d9d94d0_ae55_483c_9cd3_c18523aa19ae"/>
      <w:bookmarkEnd w:id="98"/>
      <w:bookmarkEnd w:id="99"/>
      <w:r>
        <w:rPr>
          <w:rFonts w:ascii="Times New Roman;Times;serif" w:hAnsi="Times New Roman;Times;serif"/>
          <w:b/>
          <w:i w:val="false"/>
          <w:caps w:val="false"/>
          <w:smallCaps w:val="false"/>
          <w:sz w:val="20"/>
        </w:rPr>
        <w:t>ITEM 18.</w:t>
      </w:r>
      <w:r>
        <w:rPr>
          <w:rFonts w:ascii="Times New Roman;Times;serif" w:hAnsi="Times New Roman;Times;serif"/>
          <w:b/>
          <w:sz w:val="20"/>
        </w:rPr>
        <w:t>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pages beginning on page F-1 in this annual report.</w:t>
      </w:r>
    </w:p>
    <w:p>
      <w:pPr>
        <w:pStyle w:val="TextBody"/>
        <w:bidi w:val="0"/>
        <w:spacing w:before="0" w:after="240"/>
        <w:ind w:left="0" w:right="0" w:hanging="0"/>
        <w:jc w:val="left"/>
        <w:rPr>
          <w:rFonts w:ascii="Times New Roman;Times;serif" w:hAnsi="Times New Roman;Times;serif"/>
          <w:b/>
          <w:sz w:val="20"/>
        </w:rPr>
      </w:pPr>
      <w:bookmarkStart w:id="100" w:name="ITEM19EXHIBITS_593267"/>
      <w:bookmarkStart w:id="101" w:name="_2272039e_92ea_4096_bfbd_8b3444bc0e69"/>
      <w:bookmarkEnd w:id="100"/>
      <w:bookmarkEnd w:id="101"/>
      <w:r>
        <w:rPr>
          <w:rFonts w:ascii="Times New Roman;Times;serif" w:hAnsi="Times New Roman;Times;serif"/>
          <w:b/>
          <w:i w:val="false"/>
          <w:caps w:val="false"/>
          <w:smallCaps w:val="false"/>
          <w:sz w:val="20"/>
        </w:rPr>
        <w:t>ITEM 19.</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706"/>
        <w:gridCol w:w="386"/>
        <w:gridCol w:w="9113"/>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48310" cy="350520"/>
                      <wp:effectExtent l="0" t="0" r="0" b="0"/>
                      <wp:wrapNone/>
                      <wp:docPr id="263" name="Frame256"/>
                      <a:graphic xmlns:a="http://schemas.openxmlformats.org/drawingml/2006/main">
                        <a:graphicData uri="http://schemas.microsoft.com/office/word/2010/wordprocessingShape">
                          <wps:wsp>
                            <wps:cNvSpPr txBox="1"/>
                            <wps:spPr>
                              <a:xfrm>
                                <a:off x="0" y="0"/>
                                <a:ext cx="448310" cy="35052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0"/>
              <w:ind w:left="0" w:right="0" w:hanging="0"/>
              <w:jc w:val="left"/>
              <w:rPr/>
            </w:pPr>
            <w:r>
              <w:rPr/>
              <w:t>    </w:t>
            </w:r>
          </w:p>
        </w:tc>
        <w:tc>
          <w:tcPr>
            <w:tcW w:w="9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786755" cy="29210"/>
                      <wp:effectExtent l="0" t="0" r="0" b="0"/>
                      <wp:wrapNone/>
                      <wp:docPr id="264" name="Frame257"/>
                      <a:graphic xmlns:a="http://schemas.openxmlformats.org/drawingml/2006/main">
                        <a:graphicData uri="http://schemas.microsoft.com/office/word/2010/wordprocessingShape">
                          <wps:wsp>
                            <wps:cNvSpPr txBox="1"/>
                            <wps:spPr>
                              <a:xfrm>
                                <a:off x="0" y="0"/>
                                <a:ext cx="57867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86" w:type="dxa"/>
            <w:tcBorders/>
            <w:vAlign w:val="center"/>
          </w:tcPr>
          <w:p>
            <w:pPr>
              <w:pStyle w:val="TableContents"/>
              <w:bidi w:val="0"/>
              <w:spacing w:before="0" w:after="0"/>
              <w:ind w:left="0" w:right="0" w:hanging="0"/>
              <w:jc w:val="left"/>
              <w:rPr/>
            </w:pPr>
            <w:r>
              <w:rPr/>
              <w:t>     </w:t>
            </w:r>
          </w:p>
        </w:tc>
        <w:tc>
          <w:tcPr>
            <w:tcW w:w="91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0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9113"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"https://www.sec.gov/Archives/edgar/data/1697818/000110465919023699/a19-3271_1ex1d1.htm" \l "Exhibit1_1_125728"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Ninth Amended and Restated Memorandum and Articles of Association, as currently in effect (incorporated by reference to Exhibit 1.1 of our annual report on Form 20-F (file No. 001-38313) filed with the Securities and Exchange Commission on April 25, 2019)</w:t>
            </w:r>
            <w:r>
              <w:rPr>
                <w:rStyle w:val="InternetLink"/>
                <w:smallCaps w:val="false"/>
                <w:caps w:val="false"/>
                <w:sz w:val="20"/>
                <w:i w:val="false"/>
                <w:b w:val="false"/>
                <w:rFonts w:ascii="Times New Roman;Times;serif" w:hAnsi="Times New Roman;Times;serif"/>
              </w:rPr>
              <w:fldChar w:fldCharType="end"/>
            </w:r>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Registrant’s Specimen American Depositary Receipt (included in Exhibit 2.3)</w:t>
              </w:r>
            </w:hyperlink>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Registrant’s Specimen Certificate for Class A Ordinary Shares (incorporated by reference to Exhibit 4.2 of our Registration Statement on Form F-1 (file No. 333-221034) filed with the Securities and Exchange Commission on October 20, 2017)</w:t>
              </w:r>
            </w:hyperlink>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Form of Amendment No. 1 to Deposit Agreement among the Registrant, the depositary and holders of the American Depositary Receipts (incorporated by reference to Exhibit (a)(2) to the Post-effective Amendment No. 1 to Form F-6 Registration Statement (file No. 333-221860) filed with the Securities and Exchange Commission on October 31, 2022)</w:t>
              </w:r>
            </w:hyperlink>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38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Post-effective Amendment No.1 to Form F-6 Registration Statement under the Securities Act of 1933 for Depositary Shares Evidenced by American Depositary Receipts (file No. 33-221860) filed with the Securities and Exchange Commission on October 31, 2022</w:t>
              </w:r>
            </w:hyperlink>
          </w:p>
        </w:tc>
      </w:tr>
      <w:tr>
        <w:trPr/>
        <w:tc>
          <w:tcPr>
            <w:tcW w:w="70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English translation of Exclusive Business Cooperation Agreement between iClick Beijing, OptAim Network and Zhiyunzhong dated November 1, 2021 (incorporated by reference to Exhibit 4.1 of our annual report on Form 20-F (file No. 001-38313) filed with the Securities and Exchange Commission on May 2, 2022)</w:t>
              </w:r>
            </w:hyperlink>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English translation of Third Amended and Restated Exclusive Call Option Agreement among iClick Beijing, OptAim Network and the shareholders of OptAim Network dated November 1, 2021 (incorporated by reference to Exhibit 4.2 of our annual report on Form 20-F (file No. 001-38313) filed with the Securities and Exchange Commission on May 2, 2022)</w:t>
              </w:r>
            </w:hyperlink>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English translation of Third Amended and Restated Equity Pledge Agreement among iClick Beijing, OptAim Network and the shareholders of OptAim Network dated November 1, 2021 (incorporated by reference to Exhibit 4.3 of our annual report on Form 20-F (file No. 001-38313) filed with the Securities and Exchange Commission on May 2, 2022)</w:t>
              </w:r>
            </w:hyperlink>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English translation of Irrevocable Power of Attorney granted by the Jian Tang dated November 1, 2021 (incorporated by reference to Exhibit 4.4 of our annual report on Form 20-F (file No. 001-38313) filed with the Securities and Exchange Commission on May 2, 2022)</w:t>
              </w:r>
            </w:hyperlink>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English translation of Spousal Consent granted by Xinyu Fan dated November 1, 2021 (incorporated by reference to Exhibit 4.5 of our annual report on Form 20-F (file No. 001-38313) filed with the Securities and Exchange Commission on May 2, 2022)</w:t>
              </w:r>
            </w:hyperlink>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2018 Share Incentive Plan (incorporated by reference to Exhibit 10.2 of our Registration Statement on Form S-8 (file No. 333-225568) filed with the Securities and Exchange Commission on June 12, 2018)</w:t>
              </w:r>
            </w:hyperlink>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113" w:type="dxa"/>
            <w:tcBorders/>
            <w:vAlign w:val="center"/>
          </w:tcPr>
          <w:p>
            <w:pPr>
              <w:pStyle w:val="TableContents"/>
              <w:bidi w:val="0"/>
              <w:spacing w:before="0" w:after="0"/>
              <w:ind w:left="0" w:right="0" w:hanging="0"/>
              <w:jc w:val="left"/>
              <w:rPr/>
            </w:pPr>
            <w:r>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tbl>
      <w:tblPr>
        <w:tblW w:w="11143" w:type="dxa"/>
        <w:jc w:val="left"/>
        <w:tblInd w:w="0" w:type="dxa"/>
        <w:tblLayout w:type="fixed"/>
        <w:tblCellMar>
          <w:top w:w="0" w:type="dxa"/>
          <w:left w:w="0" w:type="dxa"/>
          <w:bottom w:w="0" w:type="dxa"/>
          <w:right w:w="0" w:type="dxa"/>
        </w:tblCellMar>
      </w:tblPr>
      <w:tblGrid>
        <w:gridCol w:w="511"/>
        <w:gridCol w:w="146"/>
        <w:gridCol w:w="10486"/>
      </w:tblGrid>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486"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Form of Indemnification Agreement with Executive Officers and Directors (incorporated by reference to Exhibit 10.9 of our Registration Statement on Form F-1 (file No. 333-221034) filed with the Securities and Exchange Commission on October 20, 2017)</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486"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Form of Employment Agreement and One Way Non-disclosure Agreement with Executive Officers (incorporated by reference to Exhibit 10.10 of our Registration Statement on Form F-1 (file No. 333-221034) filed with the Securities and Exchange Commission on October 20, 2017)</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486"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Post-IPO Share Incentive Plan, as amended and restated on February 26, 2021 (incorporated by reference to Exhibit 10.1 of our Registration Statement on Form S-8 (file No. 333-253596) filed with the Securities and Exchange Commission on February 26, 2021)</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4.11</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Strategic Cooperation Framework Agreement, dated January 26, 2021, by and among the Registrant and Baozun Inc. (incorporated by reference to Exhibit 4.11 of our annual report on Form 20-F (file No. 001-38313) filed with the Securities and Exchange Commission on May 2, 2022)</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hyperlink w:anchor="iclk-20221231xex8d1.htm">
              <w:r>
                <w:rPr>
                  <w:rStyle w:val="InternetLink"/>
                  <w:rFonts w:ascii="Times New Roman;Times;serif" w:hAnsi="Times New Roman;Times;serif"/>
                  <w:b w:val="false"/>
                  <w:i w:val="false"/>
                  <w:caps w:val="false"/>
                  <w:smallCaps w:val="false"/>
                  <w:sz w:val="20"/>
                </w:rPr>
                <w:t>Subsidiaries of the Registrant</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Code of Business Conduct and Ethics of the Registrant (incorporated by reference to Exhibit 99.1 of our Registration Statement on Form F-1 (file No. 333-221034) filed with the Securities and Exchange Commission on October 20, 2017)</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hyperlink w:anchor="iclk-20221231xex12d1.htm">
              <w:r>
                <w:rPr>
                  <w:rStyle w:val="InternetLink"/>
                  <w:rFonts w:ascii="Times New Roman;Times;serif" w:hAnsi="Times New Roman;Times;serif"/>
                  <w:b w:val="false"/>
                  <w:i w:val="false"/>
                  <w:caps w:val="false"/>
                  <w:smallCaps w:val="false"/>
                  <w:sz w:val="20"/>
                </w:rPr>
                <w:t>CEO Certification Pursuant to Section 302 of the Sarbanes-Oxley Act of 2002</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hyperlink w:anchor="iclk-20221231xex12d2.htm">
              <w:r>
                <w:rPr>
                  <w:rStyle w:val="InternetLink"/>
                  <w:rFonts w:ascii="Times New Roman;Times;serif" w:hAnsi="Times New Roman;Times;serif"/>
                  <w:b w:val="false"/>
                  <w:i w:val="false"/>
                  <w:caps w:val="false"/>
                  <w:smallCaps w:val="false"/>
                  <w:sz w:val="20"/>
                </w:rPr>
                <w:t>CFO Certification Pursuant to Section 302 of the Sarbanes-Oxley Act of 2002</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13.1**</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hyperlink w:anchor="iclk-20221231xex13d1.htm">
              <w:r>
                <w:rPr>
                  <w:rStyle w:val="InternetLink"/>
                  <w:rFonts w:ascii="Times New Roman;Times;serif" w:hAnsi="Times New Roman;Times;serif"/>
                  <w:b w:val="false"/>
                  <w:i w:val="false"/>
                  <w:caps w:val="false"/>
                  <w:smallCaps w:val="false"/>
                  <w:sz w:val="20"/>
                </w:rPr>
                <w:t>CEO Certification Pursuant to Section 906 of the Sarbanes-Oxley Act of 2002</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13.2**</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hyperlink w:anchor="iclk-20221231xex13d2.htm">
              <w:r>
                <w:rPr>
                  <w:rStyle w:val="InternetLink"/>
                  <w:rFonts w:ascii="Times New Roman;Times;serif" w:hAnsi="Times New Roman;Times;serif"/>
                  <w:b w:val="false"/>
                  <w:i w:val="false"/>
                  <w:caps w:val="false"/>
                  <w:smallCaps w:val="false"/>
                  <w:sz w:val="20"/>
                </w:rPr>
                <w:t>CFO Certification Pursuant to Section 906 of the Sarbanes-Oxley Act of 2002</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15.1*</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hyperlink w:anchor="iclk-20221231xex15d1.htm">
              <w:r>
                <w:rPr>
                  <w:rStyle w:val="InternetLink"/>
                  <w:rFonts w:ascii="Times New Roman;Times;serif" w:hAnsi="Times New Roman;Times;serif"/>
                  <w:b w:val="false"/>
                  <w:i w:val="false"/>
                  <w:caps w:val="false"/>
                  <w:smallCaps w:val="false"/>
                  <w:sz w:val="20"/>
                </w:rPr>
                <w:t>Consent of Travers Thorp Alberga</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15.2*</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hyperlink w:anchor="iclk-20221231xex15d2.htm">
              <w:r>
                <w:rPr>
                  <w:rStyle w:val="InternetLink"/>
                  <w:rFonts w:ascii="Times New Roman;Times;serif" w:hAnsi="Times New Roman;Times;serif"/>
                  <w:b w:val="false"/>
                  <w:i w:val="false"/>
                  <w:caps w:val="false"/>
                  <w:smallCaps w:val="false"/>
                  <w:sz w:val="20"/>
                </w:rPr>
                <w:t>Consent of Jingtian &amp; Gongcheng</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15.3*</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hyperlink w:anchor="iclk-20221231xex15d3.htm">
              <w:r>
                <w:rPr>
                  <w:rStyle w:val="InternetLink"/>
                  <w:rFonts w:ascii="Times New Roman;Times;serif" w:hAnsi="Times New Roman;Times;serif"/>
                  <w:b w:val="false"/>
                  <w:i w:val="false"/>
                  <w:caps w:val="false"/>
                  <w:smallCaps w:val="false"/>
                  <w:sz w:val="20"/>
                </w:rPr>
                <w:t>Consent of PricewaterhouseCoopers</w:t>
              </w:r>
            </w:hyperlink>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Document—this instance document does not appear in the Interactive Data File because its XBRL tags are not embedded within the Inline XBRL document</w:t>
            </w:r>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pPr>
            <w:r>
              <w:rPr/>
              <w:t> </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 </w:t>
            </w:r>
          </w:p>
        </w:tc>
        <w:tc>
          <w:tcPr>
            <w:tcW w:w="10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tbl>
      <w:tblPr>
        <w:tblW w:w="3812" w:type="dxa"/>
        <w:jc w:val="left"/>
        <w:tblInd w:w="0" w:type="dxa"/>
        <w:tblLayout w:type="fixed"/>
        <w:tblCellMar>
          <w:top w:w="0" w:type="dxa"/>
          <w:left w:w="0" w:type="dxa"/>
          <w:bottom w:w="0" w:type="dxa"/>
          <w:right w:w="0" w:type="dxa"/>
        </w:tblCellMar>
      </w:tblPr>
      <w:tblGrid>
        <w:gridCol w:w="226"/>
        <w:gridCol w:w="3586"/>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35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Filed with this annual report on Form 20-F</w:t>
            </w:r>
          </w:p>
        </w:tc>
      </w:tr>
    </w:tbl>
    <w:tbl>
      <w:tblPr>
        <w:tblW w:w="4307" w:type="dxa"/>
        <w:jc w:val="left"/>
        <w:tblInd w:w="0" w:type="dxa"/>
        <w:tblLayout w:type="fixed"/>
        <w:tblCellMar>
          <w:top w:w="0" w:type="dxa"/>
          <w:left w:w="0" w:type="dxa"/>
          <w:bottom w:w="0" w:type="dxa"/>
          <w:right w:w="0" w:type="dxa"/>
        </w:tblCellMar>
      </w:tblPr>
      <w:tblGrid>
        <w:gridCol w:w="331"/>
        <w:gridCol w:w="3976"/>
      </w:tblGrid>
      <w:tr>
        <w:trPr/>
        <w:tc>
          <w:tcPr>
            <w:tcW w:w="3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39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with this annual report on Form 20-F</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00"/>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2" w:name="_eef1f8df_104e_4858_a607_aadff89f5c4a"/>
      <w:bookmarkEnd w:id="102"/>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this Form 20-F on its behalf.</w:t>
      </w:r>
    </w:p>
    <w:tbl>
      <w:tblPr>
        <w:tblW w:w="6378" w:type="dxa"/>
        <w:jc w:val="left"/>
        <w:tblInd w:w="0" w:type="dxa"/>
        <w:tblLayout w:type="fixed"/>
        <w:tblCellMar>
          <w:top w:w="0" w:type="dxa"/>
          <w:left w:w="0" w:type="dxa"/>
          <w:bottom w:w="0" w:type="dxa"/>
          <w:right w:w="0" w:type="dxa"/>
        </w:tblCellMar>
      </w:tblPr>
      <w:tblGrid>
        <w:gridCol w:w="1741"/>
        <w:gridCol w:w="631"/>
        <w:gridCol w:w="400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400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46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tc>
      </w:tr>
      <w:tr>
        <w:trPr/>
        <w:tc>
          <w:tcPr>
            <w:tcW w:w="174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4006"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Jian Tang</w:t>
            </w:r>
          </w:p>
        </w:tc>
      </w:tr>
      <w:tr>
        <w:trPr/>
        <w:tc>
          <w:tcPr>
            <w:tcW w:w="174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0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 Tang</w:t>
            </w:r>
          </w:p>
        </w:tc>
      </w:tr>
      <w:tr>
        <w:trPr/>
        <w:tc>
          <w:tcPr>
            <w:tcW w:w="174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Chief Executive Officer</w:t>
            </w:r>
          </w:p>
        </w:tc>
      </w:tr>
      <w:tr>
        <w:trPr/>
        <w:tc>
          <w:tcPr>
            <w:tcW w:w="174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4006"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tc>
        <w:tc>
          <w:tcPr>
            <w:tcW w:w="631" w:type="dxa"/>
            <w:tcBorders/>
            <w:vAlign w:val="center"/>
          </w:tcPr>
          <w:p>
            <w:pPr>
              <w:pStyle w:val="TableContents"/>
              <w:bidi w:val="0"/>
              <w:spacing w:before="0" w:after="0"/>
              <w:ind w:left="0" w:right="0" w:hanging="0"/>
              <w:jc w:val="left"/>
              <w:rPr/>
            </w:pPr>
            <w:r>
              <w:rPr/>
              <w:t> </w:t>
            </w:r>
          </w:p>
        </w:tc>
        <w:tc>
          <w:tcPr>
            <w:tcW w:w="4006"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4006"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3" w:name="_e8ab8e7b_2222_4e29_954f_17ef21415b43"/>
      <w:bookmarkEnd w:id="103"/>
      <w:r>
        <w:rPr>
          <w:rFonts w:ascii="Times New Roman;Times;serif" w:hAnsi="Times New Roman;Times;serif"/>
          <w:b/>
          <w:sz w:val="20"/>
        </w:rPr>
        <w:t>iCLICK INTERACTIVE ASIA GROUP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9136"/>
        <w:gridCol w:w="1069"/>
      </w:tblGrid>
      <w:tr>
        <w:trPr/>
        <w:tc>
          <w:tcPr>
            <w:tcW w:w="9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801360" cy="29210"/>
                      <wp:effectExtent l="0" t="0" r="0" b="0"/>
                      <wp:wrapNone/>
                      <wp:docPr id="265" name="Frame258"/>
                      <a:graphic xmlns:a="http://schemas.openxmlformats.org/drawingml/2006/main">
                        <a:graphicData uri="http://schemas.microsoft.com/office/word/2010/wordprocessingShape">
                          <wps:wsp>
                            <wps:cNvSpPr txBox="1"/>
                            <wps:spPr>
                              <a:xfrm>
                                <a:off x="0" y="0"/>
                                <a:ext cx="5801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78815" cy="29210"/>
                      <wp:effectExtent l="0" t="0" r="0" b="0"/>
                      <wp:wrapNone/>
                      <wp:docPr id="266" name="Frame259"/>
                      <a:graphic xmlns:a="http://schemas.openxmlformats.org/drawingml/2006/main">
                        <a:graphicData uri="http://schemas.microsoft.com/office/word/2010/wordprocessingShape">
                          <wps:wsp>
                            <wps:cNvSpPr txBox="1"/>
                            <wps:spPr>
                              <a:xfrm>
                                <a:off x="0" y="0"/>
                                <a:ext cx="6788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136" w:type="dxa"/>
            <w:tcBorders/>
            <w:vAlign w:val="center"/>
          </w:tcPr>
          <w:p>
            <w:pPr>
              <w:pStyle w:val="TableContents"/>
              <w:pBdr/>
              <w:bidi w:val="0"/>
              <w:spacing w:before="0" w:after="0"/>
              <w:ind w:left="0" w:right="0" w:hanging="0"/>
              <w:jc w:val="left"/>
              <w:rPr/>
            </w:pPr>
            <w:r>
              <w:rPr/>
              <w:t> </w:t>
            </w:r>
          </w:p>
        </w:tc>
        <w:tc>
          <w:tcPr>
            <w:tcW w:w="10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Pages</w:t>
            </w:r>
          </w:p>
        </w:tc>
      </w:tr>
      <w:tr>
        <w:trPr/>
        <w:tc>
          <w:tcPr>
            <w:tcW w:w="91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Audited Consolidated Financial Statements</w:t>
            </w:r>
          </w:p>
        </w:tc>
        <w:tc>
          <w:tcPr>
            <w:tcW w:w="1069" w:type="dxa"/>
            <w:tcBorders/>
            <w:shd w:fill="CCEEFF" w:val="clear"/>
            <w:vAlign w:val="center"/>
          </w:tcPr>
          <w:p>
            <w:pPr>
              <w:pStyle w:val="TableContents"/>
              <w:bidi w:val="0"/>
              <w:spacing w:before="0" w:after="0"/>
              <w:ind w:left="0" w:right="0" w:hanging="0"/>
              <w:jc w:val="right"/>
              <w:rPr/>
            </w:pPr>
            <w:r>
              <w:rPr/>
              <w:t> </w:t>
            </w:r>
          </w:p>
        </w:tc>
      </w:tr>
      <w:tr>
        <w:trPr/>
        <w:tc>
          <w:tcPr>
            <w:tcW w:w="9136"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(PCAOB ID:1389)</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 – F-4</w:t>
            </w:r>
          </w:p>
        </w:tc>
      </w:tr>
      <w:tr>
        <w:trPr/>
        <w:tc>
          <w:tcPr>
            <w:tcW w:w="9136" w:type="dxa"/>
            <w:tcBorders/>
            <w:shd w:fill="CCEEFF" w:val="clear"/>
            <w:vAlign w:val="center"/>
          </w:tcPr>
          <w:p>
            <w:pPr>
              <w:pStyle w:val="TableContents"/>
              <w:pBdr/>
              <w:bidi w:val="0"/>
              <w:spacing w:before="0" w:after="0"/>
              <w:ind w:left="0" w:right="0" w:hanging="0"/>
              <w:jc w:val="left"/>
              <w:rPr/>
            </w:pPr>
            <w:hyperlink w:anchor="CONSOLIDATEDBALANCESHEETS_892890">
              <w:r>
                <w:rPr>
                  <w:rStyle w:val="InternetLink"/>
                  <w:rFonts w:ascii="Times New Roman;Times;serif" w:hAnsi="Times New Roman;Times;serif"/>
                  <w:b w:val="false"/>
                  <w:i w:val="false"/>
                  <w:caps w:val="false"/>
                  <w:smallCaps w:val="false"/>
                  <w:sz w:val="20"/>
                </w:rPr>
                <w:t>Consolidated Balance Sheets as of December 31, 2021 and 2022</w:t>
              </w:r>
            </w:hyperlink>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 – F-7</w:t>
            </w:r>
          </w:p>
        </w:tc>
      </w:tr>
      <w:tr>
        <w:trPr/>
        <w:tc>
          <w:tcPr>
            <w:tcW w:w="9136" w:type="dxa"/>
            <w:tcBorders/>
            <w:vAlign w:val="center"/>
          </w:tcPr>
          <w:p>
            <w:pPr>
              <w:pStyle w:val="TableContents"/>
              <w:pBdr/>
              <w:bidi w:val="0"/>
              <w:spacing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Comprehensive Loss for the Years Ended December 31, 2020, 2021 and 2022</w:t>
              </w:r>
            </w:hyperlink>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136" w:type="dxa"/>
            <w:tcBorders/>
            <w:shd w:fill="CCEEFF" w:val="clear"/>
            <w:vAlign w:val="center"/>
          </w:tcPr>
          <w:p>
            <w:pPr>
              <w:pStyle w:val="TableContents"/>
              <w:pBdr/>
              <w:bidi w:val="0"/>
              <w:spacing w:before="0" w:after="0"/>
              <w:ind w:left="0" w:right="0" w:hanging="0"/>
              <w:jc w:val="left"/>
              <w:rPr/>
            </w:pPr>
            <w:hyperlink w:anchor="CONSOLIDATEDSTATEMENTSOFCHANGESINSHAREHO">
              <w:r>
                <w:rPr>
                  <w:rStyle w:val="InternetLink"/>
                  <w:rFonts w:ascii="Times New Roman;Times;serif" w:hAnsi="Times New Roman;Times;serif"/>
                  <w:b w:val="false"/>
                  <w:i w:val="false"/>
                  <w:caps w:val="false"/>
                  <w:smallCaps w:val="false"/>
                  <w:sz w:val="20"/>
                </w:rPr>
                <w:t>Consolidated Statements of Changes in Shareholders’ Equity for the Years Ended December 31, 2020, 2021 and 2022</w:t>
              </w:r>
            </w:hyperlink>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 – F-11</w:t>
            </w:r>
          </w:p>
        </w:tc>
      </w:tr>
      <w:tr>
        <w:trPr/>
        <w:tc>
          <w:tcPr>
            <w:tcW w:w="9136" w:type="dxa"/>
            <w:tcBorders/>
            <w:vAlign w:val="center"/>
          </w:tcPr>
          <w:p>
            <w:pPr>
              <w:pStyle w:val="TableContents"/>
              <w:pBdr/>
              <w:bidi w:val="0"/>
              <w:spacing w:before="0" w:after="0"/>
              <w:ind w:left="0" w:right="0" w:hanging="0"/>
              <w:jc w:val="left"/>
              <w:rPr/>
            </w:pPr>
            <w:hyperlink w:anchor="CONSOLIDATEDSTATEMENTSOFCASHFLOWS_958747">
              <w:r>
                <w:rPr>
                  <w:rStyle w:val="InternetLink"/>
                  <w:rFonts w:ascii="Times New Roman;Times;serif" w:hAnsi="Times New Roman;Times;serif"/>
                  <w:b w:val="false"/>
                  <w:i w:val="false"/>
                  <w:caps w:val="false"/>
                  <w:smallCaps w:val="false"/>
                  <w:sz w:val="20"/>
                </w:rPr>
                <w:t>Consolidated Statements of Cash Flows for the Years Ended December 31, 2020, 2021 and 2022</w:t>
              </w:r>
            </w:hyperlink>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F-12 – F-13</w:t>
            </w:r>
          </w:p>
        </w:tc>
      </w:tr>
      <w:tr>
        <w:trPr/>
        <w:tc>
          <w:tcPr>
            <w:tcW w:w="9136" w:type="dxa"/>
            <w:tcBorders/>
            <w:shd w:fill="CCEEFF" w:val="clear"/>
            <w:vAlign w:val="center"/>
          </w:tcPr>
          <w:p>
            <w:pPr>
              <w:pStyle w:val="TableContents"/>
              <w:pBdr/>
              <w:bidi w:val="0"/>
              <w:spacing w:before="0" w:after="0"/>
              <w:ind w:left="0" w:right="0" w:hanging="0"/>
              <w:jc w:val="left"/>
              <w:rPr/>
            </w:pPr>
            <w:hyperlink w:anchor="a1Organizationandprincipalactivities_248">
              <w:r>
                <w:rPr>
                  <w:rStyle w:val="InternetLink"/>
                  <w:rFonts w:ascii="Times New Roman;Times;serif" w:hAnsi="Times New Roman;Times;serif"/>
                  <w:b w:val="false"/>
                  <w:i w:val="false"/>
                  <w:caps w:val="false"/>
                  <w:smallCaps w:val="false"/>
                  <w:sz w:val="20"/>
                </w:rPr>
                <w:t>Notes to the Consolidated Financial Statements</w:t>
              </w:r>
            </w:hyperlink>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F-14 – F-85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4" w:name="ReportofIndependentRegisteredPublicAccou"/>
      <w:bookmarkStart w:id="105" w:name="_d21d6de4_1d33_4be2_95ed_37067eb1d85d"/>
      <w:bookmarkEnd w:id="104"/>
      <w:bookmarkEnd w:id="105"/>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Board of Directors and Shareholders of iClick Interactive Asia Group Limited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Opinion on the Financial Statements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iClick Interactive Asia Group Limited and its subsidiaries (the “Company”) as of December 31, 2022 and 2021, and the related consolidated statements of comprehensive loss, of changes in shareholders’ equity and of cash flows for each of the three years in the period ended December 31, 2022, including the related notes (collectively referred to as the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Change in Accounting Principle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in Note 2 to the consolidated financial statements, the Company changed the manner in which it accounts for credit losses on financial instruments in 2020.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Goodwill impairment assessment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described in Notes 2(q) and 13 to the consolidated financial statements, the Company’s consolidated goodwill balance was US$nil as of December 31, 2022 which included the effects of the goodwill impairment charge of US$80.1 million taken during the fiscal year. Management conducts a goodwill impairment test at the reporting unit level annually in the fourth quarter, or more frequently when events or circumstances occur indicating that the recorded goodwill may be impaired. The Company compared the fair value of each reporting unit to its carrying value, with an impairment charge recorded for the amount by which the carrying amount exceeded the reporting unit’s fair value up to a maximum amount of the goodwill balance for the reporting unit. For evaluation of reporting units using a quantitative assessment, the Company determined the fair values of both the Marketing Solutions reporting unit and the Enterprise Solutions reporting unit based on an income approach. Under the income approach, the Company estimated the fair value of the reporting units based on the discounted cash flow method derived from the reporting units’ long-term forecasts which included a five-year future cash flow projection and an estimated terminal value. Estimating fair value of individual reporting units requires the exercise of significant management judgment related to revenue growth rates, gross margin, estimated terminal value using a terminal year long-term future growth rate, and a discount rate.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the goodwill impairment assessments of the Marketing Solutions and Enterprise Solutions reporting units is a critical audit matter are (i) the significant judgements made by management when developing the fair value of the reporting units; (ii) a high degree of auditor judgment, subjectivity, and effort in performing procedures and evaluating management’s significant assumptions related to the revenue growth rates, gross margin, estimated terminal value using a terminal year long-term future growth rate and a discount rate for the reporting units; and (iii) the audit effort involved the use of professionals with specialized skill and knowledge.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among others (i) testing management’s process for estimating the fair value of the reporting units; (ii) evaluating the appropriateness of the income approach (discounted cash flow method); (iii) testing the completeness, accuracy and relevance of the underlying data used in the model in estimating the fair values of the reporting units; and (iv) evaluating the reasonableness of the significant assumptions used by management in the cash flow projections related to the revenue growth rates, gross margin, the estimated terminal value using a terminal year long-term future growth rate and the discount rate for the reporting units by considering the current and past performance of the reporting units; the consistency with external market and industry data; and whether these assumptions were consistent with evidence obtained in other areas of the audit. Professionals with specialized skill and knowledge were used to assist in evaluating (i) the appropriateness of the Company’s discounted cash flow method, and (ii) the reasonableness of significant assumptions related to the estimated terminal value using a terminal year long-term future growth rate and the discount rate, for the estimation of fair values of the reporting units.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Impairment assessments of long-lived assets that are held and used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described in Notes 2(r), 11, 12 and 14 to the consolidated financial statements, the Company’s consolidated long-lived assets balance was US$2.5 million as of December 31, 2022 and comprised property and equipment, net, intangible assets, net, and right-of-use assets of US$0.2 million, US$1.0 million and US$1.3 million, respectively. Long-lived assets which are held and used are reviewed for impairment when events or changes in circumstances indicate that the carrying value of an asset or asset group may no longer be recoverable. For an asset or asset group that is held and used, the asset or asset group represents the lowest level for which identifiable cash flows are largely independent of the cash flows of other assets or asset groups. Factors considered by the Company in its impairment assessments of long-lived assets that are held and used include, but are not limited to, significant underperformance relative to historical or projected operating results; significant changes in the manner of use of the assets or asset groups or the strategy for the overall business; and significant negative industry or economic trends. When the carrying value of a long-lived asset or asset group that is held and used may not be recoverable based upon the existence of one or more of the above indicators of impairment, the Company estimates the future undiscounted cash flows expected to result from the use of the asset or asset group and its eventual disposition. If the sum of the expected future undiscounted cash flows from use and eventual disposition is less than the carrying amount of the asset or asset group, the Company recognizes an impairment loss. An impairment loss is reflected as the amount by which the carrying amount of the asset or asset group exceeds the fair value of the asset or asset group, based on the fair value if available, or discounted cash flows, if fair value is not available. The discounted cash flow model on which the fair value of the asset or asset group as part of the Company’s impairment tests is based includes significant assumptions relating to revenue growth rates, gross margin, and other controllable expenses. The Company performed an impairment test and recognized impairment charges of US$1.2 million, US$49.8 million and US$2.4 million on property and equipment, intangible assets and right-of-use assets, respectively, for the year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impairment assessments of long-lived assets that are held and used for which management identified impairment indicators is a critical audit matter are (i) the significant judgment by management when developing the undiscounted future cash flows for the recoverability of the asset or asset group being tested for impairment; and (ii) a high degree of auditor judgment, subjectivity and effort in performing procedures and evaluating management’s significant assumptions related to the revenue growth rates, gross margin and other controllable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among others, (i) testing management’s process for determining the recoverable amount of the asset or asset group tested for impairment, (ii) evaluating the appropriateness of the undiscounted cash flow model, (iii) testing the completeness, accuracy and relevance of the underlying data used in the model in estimating the recoverable amount of the asset or asset group, and (iv) evaluating the reasonableness of the significant assumptions used by management in the cash flow projections related to revenue growth rates, gross margin and other controllable expenses by considering the current and past performance of the asset or asset group tested for impairment; management’s strategic plan; comparing market-related assumptions used in the model to external market and industry data; and whether these assumptions were consistent with evidence obtained in other areas of the audit.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/s/PricewaterhouseCoopers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May 11, 2023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2016.</w:t>
      </w:r>
    </w:p>
    <w:p>
      <w:pPr>
        <w:pStyle w:val="TextBody"/>
        <w:bidi w:val="0"/>
        <w:spacing w:before="0" w:after="240"/>
        <w:ind w:left="0" w:right="0" w:firstLine="720"/>
        <w:jc w:val="both"/>
        <w:rPr/>
      </w:pPr>
      <w:bookmarkStart w:id="106" w:name="Report_end"/>
      <w:bookmarkEnd w:id="106"/>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7" w:name="financialstatements_51281"/>
      <w:bookmarkStart w:id="108" w:name="_5fd68f07_330a_4372_8381_cb7da1ec2117"/>
      <w:bookmarkEnd w:id="107"/>
      <w:bookmarkEnd w:id="108"/>
      <w:r>
        <w:rPr>
          <w:rFonts w:ascii="Times New Roman;Times;serif" w:hAnsi="Times New Roman;Times;serif"/>
          <w:b/>
          <w:sz w:val="20"/>
        </w:rPr>
        <w:t>iCLICK INTERACTIVE ASIA GROUP LIMITED</w:t>
      </w:r>
    </w:p>
    <w:p>
      <w:pPr>
        <w:pStyle w:val="TextBody"/>
        <w:bidi w:val="0"/>
        <w:spacing w:before="0" w:after="0"/>
        <w:ind w:left="0" w:right="0" w:hanging="0"/>
        <w:jc w:val="left"/>
        <w:rPr>
          <w:rFonts w:ascii="Times New Roman;Times;serif" w:hAnsi="Times New Roman;Times;serif"/>
          <w:b/>
          <w:sz w:val="20"/>
        </w:rPr>
      </w:pPr>
      <w:bookmarkStart w:id="109" w:name="CONSOLIDATEDBALANCESHEETS_892890"/>
      <w:bookmarkEnd w:id="109"/>
      <w:r>
        <w:rPr>
          <w:rFonts w:ascii="Times New Roman;Times;serif" w:hAnsi="Times New Roman;Times;serif"/>
          <w:b/>
          <w:sz w:val="20"/>
        </w:rPr>
        <w:t>CONSOLIDATED BALANCE SHEETS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2021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10" w:name="Tc_Fry55HcZBkGIitmFIOdrJg_27_0"/>
      <w:bookmarkStart w:id="111" w:name="Tc_SBnNrDLogEq8RhL8p1qpDQ_25_0"/>
      <w:bookmarkStart w:id="112" w:name="Tc_5Rdovo9OQUWR3X5wI3rsOg_24_2"/>
      <w:bookmarkStart w:id="113" w:name="Tc_oyweXUrCu022DMcjUsry2g_24_0"/>
      <w:bookmarkStart w:id="114" w:name="Tc_1kv-RqY3fkSXlytl7zI10A_23_2"/>
      <w:bookmarkStart w:id="115" w:name="Tc_o80SR8IayUeZh2nOdsofgw_23_0"/>
      <w:bookmarkStart w:id="116" w:name="Tc_TZ87NqJ6n0OfaSUEBJaqDQ_22_6"/>
      <w:bookmarkStart w:id="117" w:name="Tc_iRV7Xe0hgkq2ktTiG_zWxQ_22_2"/>
      <w:bookmarkStart w:id="118" w:name="Tc_ORk6Yi16nEOrWx9ny8RinA_22_0"/>
      <w:bookmarkStart w:id="119" w:name="Tc_DU9VTSEgUkaZ7bCxjl1Kwg_21_2"/>
      <w:bookmarkStart w:id="120" w:name="Tc_D7S-MM7hekevySTyuhJ3vg_21_0"/>
      <w:bookmarkStart w:id="121" w:name="Tc_4l5Utguo0U2bzZkJKV2PkA_20_2"/>
      <w:bookmarkStart w:id="122" w:name="Tc_sgG-j0hKsUWLav2zCR_DAg_20_0"/>
      <w:bookmarkStart w:id="123" w:name="Tc_kUuCLI4870a6fkZX6GKFXg_19_2"/>
      <w:bookmarkStart w:id="124" w:name="Tc_T_xiQhfPQk2FZ5jF08ACyw_19_0"/>
      <w:bookmarkStart w:id="125" w:name="Tc_76Rp1i1eY0aKTAikSv8Jxw_18_2"/>
      <w:bookmarkStart w:id="126" w:name="Tc_lHqpSUeRokWCUr03dALUPw_18_0"/>
      <w:bookmarkStart w:id="127" w:name="Tc_lS1h78VNGEWAepPKVBdfng_17_2"/>
      <w:bookmarkStart w:id="128" w:name="Tc_IwoSE80qvkmIP3k1AslljQ_17_0"/>
      <w:bookmarkStart w:id="129" w:name="Tc_G75VvcxpwkO0VHuL4FMGXQ_16_0"/>
      <w:bookmarkStart w:id="130" w:name="Tc_JygsjoBOcEWMhRU1sKWqWg_14_0"/>
      <w:bookmarkStart w:id="131" w:name="Tc_w5KC4AdZd0WuptjBOGro6g_13_2"/>
      <w:bookmarkStart w:id="132" w:name="Tc_wDC-U2pbwk2HnFgTMCzJIA_13_0"/>
      <w:bookmarkStart w:id="133" w:name="Tc_Out9VyWWp02zisgBEa3Osg_12_0"/>
      <w:bookmarkStart w:id="134" w:name="Tc_zsHAX2MfLUm8IJyOXQx6Kw_11_0"/>
      <w:bookmarkStart w:id="135" w:name="Tc_Au6bG1fnr0SHMEdSXQZrkA_10_2"/>
      <w:bookmarkStart w:id="136" w:name="Tc_O9Z2tfHCLUykB6e5PnaX_A_10_0"/>
      <w:bookmarkStart w:id="137" w:name="Tc_8mXfgmJi5UKX_n1es7of4Q_9_2"/>
      <w:bookmarkStart w:id="138" w:name="Tc_6OWrmuA0OEC0yJlCBqBpoA_9_0"/>
      <w:bookmarkStart w:id="139" w:name="Tc_qIIQ2aeD50u3LcSLzuaNow_8_2"/>
      <w:bookmarkStart w:id="140" w:name="Tc_HLAvIxKNzEuP9s_avQstnw_8_0"/>
      <w:bookmarkStart w:id="141" w:name="Tc__lXFfg5_hkGfaYUKyD40ig_7_2"/>
      <w:bookmarkStart w:id="142" w:name="Tc_GqJbsJtIVUehbiR5_mDuDg_7_0"/>
      <w:bookmarkStart w:id="143" w:name="Tc_ZCkO0TwQp0yJW312IozDOQ_6_2"/>
      <w:bookmarkStart w:id="144" w:name="Tc_CccF83QE6UCuxRv0obJvKg_6_0"/>
      <w:bookmarkStart w:id="145" w:name="Tc_qjROU9c3w0iqfuz6Wf6Gqw_5_2"/>
      <w:bookmarkStart w:id="146" w:name="Tc_405uxi8MYEy-yYrnq2XXlw_5_0"/>
      <w:bookmarkStart w:id="147" w:name="Tc_E3AgSlkuoEupk2crq5zioQ_4_0"/>
      <w:bookmarkStart w:id="148" w:name="Tc_m0vF-N1MjEu58aQ9HiBiXg_3_0"/>
      <w:bookmarkStart w:id="149" w:name="Tc_OhSUTyT_gUqyRBnLitz7Gg_2_6"/>
      <w:bookmarkStart w:id="150" w:name="Tc_wzqgZ8rQhEyCtcNB8dY4hA_2_4"/>
      <w:bookmarkStart w:id="151" w:name="Tc_UiG1tC9Vx02K9Gq_4vNfPQ_2_2"/>
      <w:bookmarkStart w:id="152" w:name="Tc_8qDTU7wZi0mXJb0wzd3fZA_1_4"/>
      <w:bookmarkStart w:id="153" w:name="_2dab34c4_2f94_4111_9d55_fda05cdfd7d4"/>
      <w:bookmarkStart w:id="154" w:name="Tc_Fry55HcZBkGIitmFIOdrJg_27_0"/>
      <w:bookmarkStart w:id="155" w:name="Tc_SBnNrDLogEq8RhL8p1qpDQ_25_0"/>
      <w:bookmarkStart w:id="156" w:name="Tc_5Rdovo9OQUWR3X5wI3rsOg_24_2"/>
      <w:bookmarkStart w:id="157" w:name="Tc_oyweXUrCu022DMcjUsry2g_24_0"/>
      <w:bookmarkStart w:id="158" w:name="Tc_1kv-RqY3fkSXlytl7zI10A_23_2"/>
      <w:bookmarkStart w:id="159" w:name="Tc_o80SR8IayUeZh2nOdsofgw_23_0"/>
      <w:bookmarkStart w:id="160" w:name="Tc_TZ87NqJ6n0OfaSUEBJaqDQ_22_6"/>
      <w:bookmarkStart w:id="161" w:name="Tc_iRV7Xe0hgkq2ktTiG_zWxQ_22_2"/>
      <w:bookmarkStart w:id="162" w:name="Tc_ORk6Yi16nEOrWx9ny8RinA_22_0"/>
      <w:bookmarkStart w:id="163" w:name="Tc_DU9VTSEgUkaZ7bCxjl1Kwg_21_2"/>
      <w:bookmarkStart w:id="164" w:name="Tc_D7S-MM7hekevySTyuhJ3vg_21_0"/>
      <w:bookmarkStart w:id="165" w:name="Tc_4l5Utguo0U2bzZkJKV2PkA_20_2"/>
      <w:bookmarkStart w:id="166" w:name="Tc_sgG-j0hKsUWLav2zCR_DAg_20_0"/>
      <w:bookmarkStart w:id="167" w:name="Tc_kUuCLI4870a6fkZX6GKFXg_19_2"/>
      <w:bookmarkStart w:id="168" w:name="Tc_T_xiQhfPQk2FZ5jF08ACyw_19_0"/>
      <w:bookmarkStart w:id="169" w:name="Tc_76Rp1i1eY0aKTAikSv8Jxw_18_2"/>
      <w:bookmarkStart w:id="170" w:name="Tc_lHqpSUeRokWCUr03dALUPw_18_0"/>
      <w:bookmarkStart w:id="171" w:name="Tc_lS1h78VNGEWAepPKVBdfng_17_2"/>
      <w:bookmarkStart w:id="172" w:name="Tc_IwoSE80qvkmIP3k1AslljQ_17_0"/>
      <w:bookmarkStart w:id="173" w:name="Tc_G75VvcxpwkO0VHuL4FMGXQ_16_0"/>
      <w:bookmarkStart w:id="174" w:name="Tc_JygsjoBOcEWMhRU1sKWqWg_14_0"/>
      <w:bookmarkStart w:id="175" w:name="Tc_w5KC4AdZd0WuptjBOGro6g_13_2"/>
      <w:bookmarkStart w:id="176" w:name="Tc_wDC-U2pbwk2HnFgTMCzJIA_13_0"/>
      <w:bookmarkStart w:id="177" w:name="Tc_Out9VyWWp02zisgBEa3Osg_12_0"/>
      <w:bookmarkStart w:id="178" w:name="Tc_zsHAX2MfLUm8IJyOXQx6Kw_11_0"/>
      <w:bookmarkStart w:id="179" w:name="Tc_Au6bG1fnr0SHMEdSXQZrkA_10_2"/>
      <w:bookmarkStart w:id="180" w:name="Tc_O9Z2tfHCLUykB6e5PnaX_A_10_0"/>
      <w:bookmarkStart w:id="181" w:name="Tc_8mXfgmJi5UKX_n1es7of4Q_9_2"/>
      <w:bookmarkStart w:id="182" w:name="Tc_6OWrmuA0OEC0yJlCBqBpoA_9_0"/>
      <w:bookmarkStart w:id="183" w:name="Tc_qIIQ2aeD50u3LcSLzuaNow_8_2"/>
      <w:bookmarkStart w:id="184" w:name="Tc_HLAvIxKNzEuP9s_avQstnw_8_0"/>
      <w:bookmarkStart w:id="185" w:name="Tc__lXFfg5_hkGfaYUKyD40ig_7_2"/>
      <w:bookmarkStart w:id="186" w:name="Tc_GqJbsJtIVUehbiR5_mDuDg_7_0"/>
      <w:bookmarkStart w:id="187" w:name="Tc_ZCkO0TwQp0yJW312IozDOQ_6_2"/>
      <w:bookmarkStart w:id="188" w:name="Tc_CccF83QE6UCuxRv0obJvKg_6_0"/>
      <w:bookmarkStart w:id="189" w:name="Tc_qjROU9c3w0iqfuz6Wf6Gqw_5_2"/>
      <w:bookmarkStart w:id="190" w:name="Tc_405uxi8MYEy-yYrnq2XXlw_5_0"/>
      <w:bookmarkStart w:id="191" w:name="Tc_E3AgSlkuoEupk2crq5zioQ_4_0"/>
      <w:bookmarkStart w:id="192" w:name="Tc_m0vF-N1MjEu58aQ9HiBiXg_3_0"/>
      <w:bookmarkStart w:id="193" w:name="Tc_OhSUTyT_gUqyRBnLitz7Gg_2_6"/>
      <w:bookmarkStart w:id="194" w:name="Tc_wzqgZ8rQhEyCtcNB8dY4hA_2_4"/>
      <w:bookmarkStart w:id="195" w:name="Tc_UiG1tC9Vx02K9Gq_4vNfPQ_2_2"/>
      <w:bookmarkStart w:id="196" w:name="Tc_8qDTU7wZi0mXJb0wzd3fZA_1_4"/>
      <w:bookmarkStart w:id="197" w:name="_2dab34c4_2f94_4111_9d55_fda05cdfd7d4"/>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tbl>
      <w:tblPr>
        <w:tblW w:w="10205" w:type="dxa"/>
        <w:jc w:val="left"/>
        <w:tblInd w:w="0" w:type="dxa"/>
        <w:tblLayout w:type="fixed"/>
        <w:tblCellMar>
          <w:top w:w="0" w:type="dxa"/>
          <w:left w:w="0" w:type="dxa"/>
          <w:bottom w:w="0" w:type="dxa"/>
          <w:right w:w="0" w:type="dxa"/>
        </w:tblCellMar>
      </w:tblPr>
      <w:tblGrid>
        <w:gridCol w:w="7063"/>
        <w:gridCol w:w="326"/>
        <w:gridCol w:w="496"/>
        <w:gridCol w:w="326"/>
        <w:gridCol w:w="781"/>
        <w:gridCol w:w="326"/>
        <w:gridCol w:w="887"/>
      </w:tblGrid>
      <w:tr>
        <w:trPr/>
        <w:tc>
          <w:tcPr>
            <w:tcW w:w="7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485005" cy="175260"/>
                      <wp:effectExtent l="0" t="0" r="0" b="0"/>
                      <wp:wrapNone/>
                      <wp:docPr id="267" name="Frame260"/>
                      <a:graphic xmlns:a="http://schemas.openxmlformats.org/drawingml/2006/main">
                        <a:graphicData uri="http://schemas.microsoft.com/office/word/2010/wordprocessingShape">
                          <wps:wsp>
                            <wps:cNvSpPr txBox="1"/>
                            <wps:spPr>
                              <a:xfrm>
                                <a:off x="0" y="0"/>
                                <a:ext cx="448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68"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14960" cy="175260"/>
                      <wp:effectExtent l="0" t="0" r="0" b="0"/>
                      <wp:wrapNone/>
                      <wp:docPr id="269" name="Frame262"/>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0"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95935" cy="175260"/>
                      <wp:effectExtent l="0" t="0" r="0" b="0"/>
                      <wp:wrapNone/>
                      <wp:docPr id="271" name="Frame2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2"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63245" cy="175260"/>
                      <wp:effectExtent l="0" t="0" r="0" b="0"/>
                      <wp:wrapNone/>
                      <wp:docPr id="273" name="Frame26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9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99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70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06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r>
      <w:tr>
        <w:trPr/>
        <w:tc>
          <w:tcPr>
            <w:tcW w:w="706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r>
      <w:tr>
        <w:trPr/>
        <w:tc>
          <w:tcPr>
            <w:tcW w:w="706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41,443</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82,754</w:t>
            </w:r>
          </w:p>
        </w:tc>
      </w:tr>
      <w:tr>
        <w:trPr/>
        <w:tc>
          <w:tcPr>
            <w:tcW w:w="706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11,128</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06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36,146</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22,543</w:t>
            </w:r>
          </w:p>
        </w:tc>
      </w:tr>
      <w:tr>
        <w:trPr/>
        <w:tc>
          <w:tcPr>
            <w:tcW w:w="706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2(k)</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7,771</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7,011</w:t>
            </w:r>
          </w:p>
        </w:tc>
      </w:tr>
      <w:tr>
        <w:trPr/>
        <w:tc>
          <w:tcPr>
            <w:tcW w:w="706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due from an equity investee</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7(b)</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706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US$22,786 and US$37,215 as of December 31, 2021 and 2022, respectively</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187,261</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64,556</w:t>
            </w:r>
          </w:p>
        </w:tc>
      </w:tr>
      <w:tr>
        <w:trPr/>
        <w:tc>
          <w:tcPr>
            <w:tcW w:w="706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5,575</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r>
      <w:tr>
        <w:trPr/>
        <w:tc>
          <w:tcPr>
            <w:tcW w:w="706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media costs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36,709</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16,494</w:t>
            </w:r>
          </w:p>
        </w:tc>
      </w:tr>
      <w:tr>
        <w:trPr/>
        <w:tc>
          <w:tcPr>
            <w:tcW w:w="706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 net of allowance for credit losses of US$289 and US$nil as of December 31, 2021 and 2022,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24,957</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8,047</w:t>
            </w:r>
          </w:p>
        </w:tc>
      </w:tr>
      <w:tr>
        <w:trPr/>
        <w:tc>
          <w:tcPr>
            <w:tcW w:w="706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351,266</w:t>
            </w:r>
          </w:p>
        </w:tc>
        <w:tc>
          <w:tcPr>
            <w:tcW w:w="326" w:type="dxa"/>
            <w:tcBorders/>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204,660</w:t>
            </w:r>
          </w:p>
        </w:tc>
      </w:tr>
      <w:tr>
        <w:trPr/>
        <w:tc>
          <w:tcPr>
            <w:tcW w:w="706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r>
      <w:tr>
        <w:trPr/>
        <w:tc>
          <w:tcPr>
            <w:tcW w:w="706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r>
      <w:tr>
        <w:trPr/>
        <w:tc>
          <w:tcPr>
            <w:tcW w:w="706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23(e)</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r>
      <w:tr>
        <w:trPr/>
        <w:tc>
          <w:tcPr>
            <w:tcW w:w="706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706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an equity investee</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7(a)</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706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investments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12,114</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5,970</w:t>
            </w:r>
          </w:p>
        </w:tc>
      </w:tr>
      <w:tr>
        <w:trPr/>
        <w:tc>
          <w:tcPr>
            <w:tcW w:w="706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53,713</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r>
      <w:tr>
        <w:trPr/>
        <w:tc>
          <w:tcPr>
            <w:tcW w:w="706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81,674</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r>
      <w:tr>
        <w:trPr/>
        <w:tc>
          <w:tcPr>
            <w:tcW w:w="706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net</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r>
      <w:tr>
        <w:trPr/>
        <w:tc>
          <w:tcPr>
            <w:tcW w:w="706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net of allowance for credit losses of US$nil and US$4,043 as of December 31, 2021 and 2022, respectively</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326" w:type="dxa"/>
            <w:tcBorders/>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7,629</w:t>
            </w:r>
          </w:p>
        </w:tc>
      </w:tr>
      <w:tr>
        <w:trPr/>
        <w:tc>
          <w:tcPr>
            <w:tcW w:w="706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156,468</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17,122</w:t>
            </w:r>
          </w:p>
        </w:tc>
      </w:tr>
      <w:tr>
        <w:trPr/>
        <w:tc>
          <w:tcPr>
            <w:tcW w:w="70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r>
      <w:tr>
        <w:trPr/>
        <w:tc>
          <w:tcPr>
            <w:tcW w:w="706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507,734</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221,782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SHEETS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2021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98" w:name="Tc_yHZ2vMmOXUKRBIqReBmMeg_21_2"/>
      <w:bookmarkStart w:id="199" w:name="Tc_Pi81R2rZM0msaWWqUCiyAQ_21_0"/>
      <w:bookmarkStart w:id="200" w:name="Tc_oGABI-A2Wk62Ug4X0p8aXQ_19_0"/>
      <w:bookmarkStart w:id="201" w:name="Tc_etyw2LdRHE-XPfFUy4wq0g_17_0"/>
      <w:bookmarkStart w:id="202" w:name="Tc_u8gafXD1PUWbfXpZNoyB7A_16_2"/>
      <w:bookmarkStart w:id="203" w:name="Tc_rL8Qxsih4ES2vFlY0h7P5A_16_0"/>
      <w:bookmarkStart w:id="204" w:name="Tc_EJEVczvMMEmRmwr1YioC8w_15_2"/>
      <w:bookmarkStart w:id="205" w:name="Tc_FHsA_YxI7EazLg7292P8SA_15_0"/>
      <w:bookmarkStart w:id="206" w:name="Tc_1QAka3jic0W4rehmW2sBMg_14_2"/>
      <w:bookmarkStart w:id="207" w:name="Tc_z57W5PlfPUKzhlndmB01Eg_14_0"/>
      <w:bookmarkStart w:id="208" w:name="Tc_KFIOp3MYyUudYgG92C_Y-g_13_0"/>
      <w:bookmarkStart w:id="209" w:name="Tc_xECwQQ07oU6TSECTVbNKWQ_11_0"/>
      <w:bookmarkStart w:id="210" w:name="Tc_DZpJefKKtUaIVKlP-hOnhw_10_0"/>
      <w:bookmarkStart w:id="211" w:name="Tc_c00S_YiiFUyUnTT4AiD9SA_9_2"/>
      <w:bookmarkStart w:id="212" w:name="Tc_sR1gXrzQxUeBF8DRSXo59Q_9_0"/>
      <w:bookmarkStart w:id="213" w:name="Tc_0kBGWG6yN064Ux6w-48aLA_8_2"/>
      <w:bookmarkStart w:id="214" w:name="Tc_S4YphuG7l0KaEwwCv6wDHA_8_0"/>
      <w:bookmarkStart w:id="215" w:name="Tc_pJ2rAHAF2UCi7KxKr-POrw_7_2"/>
      <w:bookmarkStart w:id="216" w:name="Tc_TJ_etPAn0Uqla7CQfIgWxw_7_0"/>
      <w:bookmarkStart w:id="217" w:name="Tc_yQDUuQb_8kWfMi8Tppk3WA_6_2"/>
      <w:bookmarkStart w:id="218" w:name="Tc_H2VPTVsDEk6Z-6m_uDHSvA_6_0"/>
      <w:bookmarkStart w:id="219" w:name="Tc_Lf1e9jh990iumYWJrXAPXw_5_0"/>
      <w:bookmarkStart w:id="220" w:name="Tc__G2wXvQYFki84auoxPcYkA_4_0"/>
      <w:bookmarkStart w:id="221" w:name="Tc_mPsOr7evuUSuZUmtqjhw7Q_3_0"/>
      <w:bookmarkStart w:id="222" w:name="Tc_s-BBx6BW-0mwu2mL5IU9bQ_2_6"/>
      <w:bookmarkStart w:id="223" w:name="Tc_mhp9bI5WHUOHtPL4LPLByg_2_4"/>
      <w:bookmarkStart w:id="224" w:name="Tc_qcOvtXVNQE69lvqn2NhlIg_2_2"/>
      <w:bookmarkStart w:id="225" w:name="Tc_R78ZV_akeUWUm5hrw83aLA_1_4"/>
      <w:bookmarkStart w:id="226" w:name="_c671ec0c_04f4_4586_9ab1_6dc930c9ad99"/>
      <w:bookmarkStart w:id="227" w:name="Tc_yHZ2vMmOXUKRBIqReBmMeg_21_2"/>
      <w:bookmarkStart w:id="228" w:name="Tc_Pi81R2rZM0msaWWqUCiyAQ_21_0"/>
      <w:bookmarkStart w:id="229" w:name="Tc_oGABI-A2Wk62Ug4X0p8aXQ_19_0"/>
      <w:bookmarkStart w:id="230" w:name="Tc_etyw2LdRHE-XPfFUy4wq0g_17_0"/>
      <w:bookmarkStart w:id="231" w:name="Tc_u8gafXD1PUWbfXpZNoyB7A_16_2"/>
      <w:bookmarkStart w:id="232" w:name="Tc_rL8Qxsih4ES2vFlY0h7P5A_16_0"/>
      <w:bookmarkStart w:id="233" w:name="Tc_EJEVczvMMEmRmwr1YioC8w_15_2"/>
      <w:bookmarkStart w:id="234" w:name="Tc_FHsA_YxI7EazLg7292P8SA_15_0"/>
      <w:bookmarkStart w:id="235" w:name="Tc_1QAka3jic0W4rehmW2sBMg_14_2"/>
      <w:bookmarkStart w:id="236" w:name="Tc_z57W5PlfPUKzhlndmB01Eg_14_0"/>
      <w:bookmarkStart w:id="237" w:name="Tc_KFIOp3MYyUudYgG92C_Y-g_13_0"/>
      <w:bookmarkStart w:id="238" w:name="Tc_xECwQQ07oU6TSECTVbNKWQ_11_0"/>
      <w:bookmarkStart w:id="239" w:name="Tc_DZpJefKKtUaIVKlP-hOnhw_10_0"/>
      <w:bookmarkStart w:id="240" w:name="Tc_c00S_YiiFUyUnTT4AiD9SA_9_2"/>
      <w:bookmarkStart w:id="241" w:name="Tc_sR1gXrzQxUeBF8DRSXo59Q_9_0"/>
      <w:bookmarkStart w:id="242" w:name="Tc_0kBGWG6yN064Ux6w-48aLA_8_2"/>
      <w:bookmarkStart w:id="243" w:name="Tc_S4YphuG7l0KaEwwCv6wDHA_8_0"/>
      <w:bookmarkStart w:id="244" w:name="Tc_pJ2rAHAF2UCi7KxKr-POrw_7_2"/>
      <w:bookmarkStart w:id="245" w:name="Tc_TJ_etPAn0Uqla7CQfIgWxw_7_0"/>
      <w:bookmarkStart w:id="246" w:name="Tc_yQDUuQb_8kWfMi8Tppk3WA_6_2"/>
      <w:bookmarkStart w:id="247" w:name="Tc_H2VPTVsDEk6Z-6m_uDHSvA_6_0"/>
      <w:bookmarkStart w:id="248" w:name="Tc_Lf1e9jh990iumYWJrXAPXw_5_0"/>
      <w:bookmarkStart w:id="249" w:name="Tc__G2wXvQYFki84auoxPcYkA_4_0"/>
      <w:bookmarkStart w:id="250" w:name="Tc_mPsOr7evuUSuZUmtqjhw7Q_3_0"/>
      <w:bookmarkStart w:id="251" w:name="Tc_s-BBx6BW-0mwu2mL5IU9bQ_2_6"/>
      <w:bookmarkStart w:id="252" w:name="Tc_mhp9bI5WHUOHtPL4LPLByg_2_4"/>
      <w:bookmarkStart w:id="253" w:name="Tc_qcOvtXVNQE69lvqn2NhlIg_2_2"/>
      <w:bookmarkStart w:id="254" w:name="Tc_R78ZV_akeUWUm5hrw83aLA_1_4"/>
      <w:bookmarkStart w:id="255" w:name="_c671ec0c_04f4_4586_9ab1_6dc930c9ad99"/>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tbl>
      <w:tblPr>
        <w:tblW w:w="10205" w:type="dxa"/>
        <w:jc w:val="left"/>
        <w:tblInd w:w="0" w:type="dxa"/>
        <w:tblLayout w:type="fixed"/>
        <w:tblCellMar>
          <w:top w:w="0" w:type="dxa"/>
          <w:left w:w="0" w:type="dxa"/>
          <w:bottom w:w="0" w:type="dxa"/>
          <w:right w:w="0" w:type="dxa"/>
        </w:tblCellMar>
      </w:tblPr>
      <w:tblGrid>
        <w:gridCol w:w="7146"/>
        <w:gridCol w:w="326"/>
        <w:gridCol w:w="473"/>
        <w:gridCol w:w="326"/>
        <w:gridCol w:w="781"/>
        <w:gridCol w:w="326"/>
        <w:gridCol w:w="827"/>
      </w:tblGrid>
      <w:tr>
        <w:trPr/>
        <w:tc>
          <w:tcPr>
            <w:tcW w:w="7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537710" cy="175260"/>
                      <wp:effectExtent l="0" t="0" r="0" b="0"/>
                      <wp:wrapNone/>
                      <wp:docPr id="274" name="Frame267"/>
                      <a:graphic xmlns:a="http://schemas.openxmlformats.org/drawingml/2006/main">
                        <a:graphicData uri="http://schemas.microsoft.com/office/word/2010/wordprocessingShape">
                          <wps:wsp>
                            <wps:cNvSpPr txBox="1"/>
                            <wps:spPr>
                              <a:xfrm>
                                <a:off x="0" y="0"/>
                                <a:ext cx="453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5"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00355" cy="175260"/>
                      <wp:effectExtent l="0" t="0" r="0" b="0"/>
                      <wp:wrapNone/>
                      <wp:docPr id="276" name="Frame269"/>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77"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95935" cy="175260"/>
                      <wp:effectExtent l="0" t="0" r="0" b="0"/>
                      <wp:wrapNone/>
                      <wp:docPr id="278" name="Frame2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79"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25145" cy="175260"/>
                      <wp:effectExtent l="0" t="0" r="0" b="0"/>
                      <wp:wrapNone/>
                      <wp:docPr id="280" name="Frame273"/>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73"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93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71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1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t>  </w:t>
            </w:r>
          </w:p>
        </w:tc>
      </w:tr>
      <w:tr>
        <w:trPr/>
        <w:tc>
          <w:tcPr>
            <w:tcW w:w="71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pPr>
            <w:r>
              <w:rPr/>
              <w:t>  </w:t>
            </w:r>
          </w:p>
        </w:tc>
      </w:tr>
      <w:tr>
        <w:trPr/>
        <w:tc>
          <w:tcPr>
            <w:tcW w:w="71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(including accounts payable of the consolidated variable interest entity (“VIE”) and its subsidiaries without recourse to the Company of US$2,262 and US$2,008 as of December 31, 2021 and 2022,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66,587</w:t>
            </w:r>
          </w:p>
        </w:tc>
        <w:tc>
          <w:tcPr>
            <w:tcW w:w="32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41,728</w:t>
            </w:r>
          </w:p>
        </w:tc>
      </w:tr>
      <w:tr>
        <w:trPr/>
        <w:tc>
          <w:tcPr>
            <w:tcW w:w="7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(including deferred revenue of the consolidated VIE and its subsidiaries without recourse to the Company of US$88 and US$29 as of December 31, 2021 and 2022, respectively)</w:t>
            </w:r>
          </w:p>
        </w:tc>
        <w:tc>
          <w:tcPr>
            <w:tcW w:w="32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22,802</w:t>
            </w:r>
          </w:p>
        </w:tc>
        <w:tc>
          <w:tcPr>
            <w:tcW w:w="326"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16,975</w:t>
            </w:r>
          </w:p>
        </w:tc>
      </w:tr>
      <w:tr>
        <w:trPr/>
        <w:tc>
          <w:tcPr>
            <w:tcW w:w="71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 (including accrued liabilities and other current liabilities of the consolidated VIE and its subsidiaries without recourse to the Company of US$1,444 and US$861 as of December 31, 2021 and 2022,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29,735</w:t>
            </w:r>
          </w:p>
        </w:tc>
        <w:tc>
          <w:tcPr>
            <w:tcW w:w="32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30,539</w:t>
            </w:r>
          </w:p>
        </w:tc>
      </w:tr>
      <w:tr>
        <w:trPr/>
        <w:tc>
          <w:tcPr>
            <w:tcW w:w="7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(including lease liabilities of the consolidated VIE and its subsidiaries without recourse to the Company of US$295 and US$111 as of December 31, 2021 and 2022, respectively)</w:t>
            </w:r>
          </w:p>
        </w:tc>
        <w:tc>
          <w:tcPr>
            <w:tcW w:w="32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w:t>
            </w:r>
          </w:p>
        </w:tc>
        <w:tc>
          <w:tcPr>
            <w:tcW w:w="326"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w:t>
            </w:r>
          </w:p>
        </w:tc>
      </w:tr>
      <w:tr>
        <w:trPr/>
        <w:tc>
          <w:tcPr>
            <w:tcW w:w="71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borrowings (including bank borrowing of the consolidated VIE and its subsidiaries without recourse to the Company of US$1,889 and US$1,590 as of December 31, 2021 and 2022,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75,530</w:t>
            </w:r>
          </w:p>
        </w:tc>
        <w:tc>
          <w:tcPr>
            <w:tcW w:w="32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44,283</w:t>
            </w:r>
          </w:p>
        </w:tc>
      </w:tr>
      <w:tr>
        <w:trPr/>
        <w:tc>
          <w:tcPr>
            <w:tcW w:w="7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 (including income tax payable of the consolidated VIE and its subsidiaries without recourse to the Company of US$575 and US$501 as of December 31, 2021 and 2022, respectively)</w:t>
            </w:r>
          </w:p>
        </w:tc>
        <w:tc>
          <w:tcPr>
            <w:tcW w:w="32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4,050</w:t>
            </w:r>
          </w:p>
        </w:tc>
        <w:tc>
          <w:tcPr>
            <w:tcW w:w="326" w:type="dxa"/>
            <w:tcBorders/>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w:t>
            </w:r>
          </w:p>
        </w:tc>
      </w:tr>
      <w:tr>
        <w:trPr/>
        <w:tc>
          <w:tcPr>
            <w:tcW w:w="71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200,845</w:t>
            </w:r>
          </w:p>
        </w:tc>
        <w:tc>
          <w:tcPr>
            <w:tcW w:w="326" w:type="dxa"/>
            <w:tcBorders/>
            <w:shd w:fill="CCEEFF" w:val="cle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137,716</w:t>
            </w:r>
          </w:p>
        </w:tc>
      </w:tr>
      <w:tr>
        <w:trPr/>
        <w:tc>
          <w:tcPr>
            <w:tcW w:w="7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r>
      <w:tr>
        <w:trPr/>
        <w:tc>
          <w:tcPr>
            <w:tcW w:w="71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t>​</w:t>
            </w:r>
          </w:p>
        </w:tc>
      </w:tr>
      <w:tr>
        <w:trPr/>
        <w:tc>
          <w:tcPr>
            <w:tcW w:w="7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(including lease liabilities of the consolidated VIE and its subsidiaries without recourse to the Company of US$89 and US$24 as of December 31, 2021 and 2022, respectively)</w:t>
            </w:r>
          </w:p>
        </w:tc>
        <w:tc>
          <w:tcPr>
            <w:tcW w:w="32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c>
          <w:tcPr>
            <w:tcW w:w="326"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r>
      <w:tr>
        <w:trPr/>
        <w:tc>
          <w:tcPr>
            <w:tcW w:w="71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 (including deferred liabilities of the consolidated VIE and its subsidiaries without recourse to the Company of US$99 and US$64 as of December 31, 2021 and 2022,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23(e)</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13,378</w:t>
            </w:r>
          </w:p>
        </w:tc>
        <w:tc>
          <w:tcPr>
            <w:tcW w:w="32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w:t>
            </w:r>
          </w:p>
        </w:tc>
      </w:tr>
      <w:tr>
        <w:trPr/>
        <w:tc>
          <w:tcPr>
            <w:tcW w:w="7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liabilities</w:t>
            </w:r>
          </w:p>
        </w:tc>
        <w:tc>
          <w:tcPr>
            <w:tcW w:w="32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w:t>
            </w:r>
          </w:p>
        </w:tc>
      </w:tr>
      <w:tr>
        <w:trPr/>
        <w:tc>
          <w:tcPr>
            <w:tcW w:w="71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15,300</w:t>
            </w:r>
          </w:p>
        </w:tc>
        <w:tc>
          <w:tcPr>
            <w:tcW w:w="326" w:type="dxa"/>
            <w:tcBorders/>
            <w:shd w:fill="CCEEFF" w:val="cle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4,777</w:t>
            </w:r>
          </w:p>
        </w:tc>
      </w:tr>
      <w:tr>
        <w:trPr/>
        <w:tc>
          <w:tcPr>
            <w:tcW w:w="7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r>
      <w:tr>
        <w:trPr/>
        <w:tc>
          <w:tcPr>
            <w:tcW w:w="71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216,145</w:t>
            </w:r>
          </w:p>
        </w:tc>
        <w:tc>
          <w:tcPr>
            <w:tcW w:w="326" w:type="dxa"/>
            <w:tcBorders/>
            <w:shd w:fill="CCEEFF" w:val="cle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142,493</w:t>
            </w:r>
          </w:p>
        </w:tc>
      </w:tr>
      <w:tr>
        <w:trPr/>
        <w:tc>
          <w:tcPr>
            <w:tcW w:w="7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r>
      <w:tr>
        <w:trPr/>
        <w:tc>
          <w:tcPr>
            <w:tcW w:w="71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326"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both"/>
        <w:rPr/>
      </w:pPr>
      <w:bookmarkStart w:id="256" w:name="B_end"/>
      <w:bookmarkEnd w:id="256"/>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0" w:right="0" w:hanging="0"/>
        <w:jc w:val="left"/>
        <w:rPr>
          <w:rFonts w:ascii="Times New Roman;Times;serif" w:hAnsi="Times New Roman;Times;serif"/>
          <w:b/>
          <w:sz w:val="20"/>
        </w:rPr>
      </w:pPr>
      <w:bookmarkStart w:id="257" w:name="BALANCESHEETS_End"/>
      <w:bookmarkEnd w:id="257"/>
      <w:r>
        <w:rPr>
          <w:rFonts w:ascii="Times New Roman;Times;serif" w:hAnsi="Times New Roman;Times;serif"/>
          <w:b/>
          <w:sz w:val="20"/>
        </w:rPr>
        <w:t>CONSOLIDATED BALANCE SHEETS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2021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58" w:name="Tc_5DdQOZqBtUuBTRZveY2LDQ_15_0"/>
      <w:bookmarkStart w:id="259" w:name="Tc_J6lvHf1H0kOSFew2TkqEtQ_13_0"/>
      <w:bookmarkStart w:id="260" w:name="Tc_ZLPDfl5O3EWqR1YgwFDelA_12_0"/>
      <w:bookmarkStart w:id="261" w:name="Tc_UJYphgdh70qbAoeqw80Mqw_11_0"/>
      <w:bookmarkStart w:id="262" w:name="Tc_-jKDFeEFK0iIwkW-6Gz69A_10_0"/>
      <w:bookmarkStart w:id="263" w:name="Tc_lkfyH0Mc-Uuvs4yLZvrxjw_9_0"/>
      <w:bookmarkStart w:id="264" w:name="Tc_tV8jjnvqaUOm27GBn0Ax3Q_8_0"/>
      <w:bookmarkStart w:id="265" w:name="Tc_Z9BoDeYlq0e1plTPVLv27w_7_0"/>
      <w:bookmarkStart w:id="266" w:name="Tc_UuRZFcvizk26vWk3-SQJCg_6_2"/>
      <w:bookmarkStart w:id="267" w:name="Tc_rOvlzyG2XUS2nn03kWS2xg_6_0"/>
      <w:bookmarkStart w:id="268" w:name="Tc_8Gu3K5IJBEGM306R20-gqw_5_2"/>
      <w:bookmarkStart w:id="269" w:name="Tc_fpkg6yLXDEyuN5NyIvmAcg_5_0"/>
      <w:bookmarkStart w:id="270" w:name="Tc_yfZ_Qd8p4UGCBQ6CrmQEmQ_4_2"/>
      <w:bookmarkStart w:id="271" w:name="Tc_sopTHwo4QUaHuiaS__fScw_4_0"/>
      <w:bookmarkStart w:id="272" w:name="Tc_aunzY8YFK0C4ecwULtgs2Q_3_0"/>
      <w:bookmarkStart w:id="273" w:name="Tc_jKhMY801Yk6_NoVI9ZoLkg_2_6"/>
      <w:bookmarkStart w:id="274" w:name="Tc_s7CbBhBPnUOOnz0Wr1IHbg_2_4"/>
      <w:bookmarkStart w:id="275" w:name="Tc_Prrs9yU3WEGGRHtIAsmsbA_2_2"/>
      <w:bookmarkStart w:id="276" w:name="Tc_HCvYw1hAekCc6s8p3k7VGQ_1_4"/>
      <w:bookmarkStart w:id="277" w:name="_cfcfcb11_1d52_4441_9833_36b6d8a8cbbd"/>
      <w:bookmarkStart w:id="278" w:name="Tc_5DdQOZqBtUuBTRZveY2LDQ_15_0"/>
      <w:bookmarkStart w:id="279" w:name="Tc_J6lvHf1H0kOSFew2TkqEtQ_13_0"/>
      <w:bookmarkStart w:id="280" w:name="Tc_ZLPDfl5O3EWqR1YgwFDelA_12_0"/>
      <w:bookmarkStart w:id="281" w:name="Tc_UJYphgdh70qbAoeqw80Mqw_11_0"/>
      <w:bookmarkStart w:id="282" w:name="Tc_-jKDFeEFK0iIwkW-6Gz69A_10_0"/>
      <w:bookmarkStart w:id="283" w:name="Tc_lkfyH0Mc-Uuvs4yLZvrxjw_9_0"/>
      <w:bookmarkStart w:id="284" w:name="Tc_tV8jjnvqaUOm27GBn0Ax3Q_8_0"/>
      <w:bookmarkStart w:id="285" w:name="Tc_Z9BoDeYlq0e1plTPVLv27w_7_0"/>
      <w:bookmarkStart w:id="286" w:name="Tc_UuRZFcvizk26vWk3-SQJCg_6_2"/>
      <w:bookmarkStart w:id="287" w:name="Tc_rOvlzyG2XUS2nn03kWS2xg_6_0"/>
      <w:bookmarkStart w:id="288" w:name="Tc_8Gu3K5IJBEGM306R20-gqw_5_2"/>
      <w:bookmarkStart w:id="289" w:name="Tc_fpkg6yLXDEyuN5NyIvmAcg_5_0"/>
      <w:bookmarkStart w:id="290" w:name="Tc_yfZ_Qd8p4UGCBQ6CrmQEmQ_4_2"/>
      <w:bookmarkStart w:id="291" w:name="Tc_sopTHwo4QUaHuiaS__fScw_4_0"/>
      <w:bookmarkStart w:id="292" w:name="Tc_aunzY8YFK0C4ecwULtgs2Q_3_0"/>
      <w:bookmarkStart w:id="293" w:name="Tc_jKhMY801Yk6_NoVI9ZoLkg_2_6"/>
      <w:bookmarkStart w:id="294" w:name="Tc_s7CbBhBPnUOOnz0Wr1IHbg_2_4"/>
      <w:bookmarkStart w:id="295" w:name="Tc_Prrs9yU3WEGGRHtIAsmsbA_2_2"/>
      <w:bookmarkStart w:id="296" w:name="Tc_HCvYw1hAekCc6s8p3k7VGQ_1_4"/>
      <w:bookmarkStart w:id="297" w:name="_cfcfcb11_1d52_4441_9833_36b6d8a8cbbd"/>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tbl>
      <w:tblPr>
        <w:tblW w:w="10205" w:type="dxa"/>
        <w:jc w:val="left"/>
        <w:tblInd w:w="0" w:type="dxa"/>
        <w:tblLayout w:type="fixed"/>
        <w:tblCellMar>
          <w:top w:w="0" w:type="dxa"/>
          <w:left w:w="0" w:type="dxa"/>
          <w:bottom w:w="0" w:type="dxa"/>
          <w:right w:w="0" w:type="dxa"/>
        </w:tblCellMar>
      </w:tblPr>
      <w:tblGrid>
        <w:gridCol w:w="7007"/>
        <w:gridCol w:w="326"/>
        <w:gridCol w:w="451"/>
        <w:gridCol w:w="326"/>
        <w:gridCol w:w="861"/>
        <w:gridCol w:w="326"/>
        <w:gridCol w:w="908"/>
      </w:tblGrid>
      <w:tr>
        <w:trPr/>
        <w:tc>
          <w:tcPr>
            <w:tcW w:w="7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449445" cy="175260"/>
                      <wp:effectExtent l="0" t="0" r="0" b="0"/>
                      <wp:wrapNone/>
                      <wp:docPr id="281" name="Frame274"/>
                      <a:graphic xmlns:a="http://schemas.openxmlformats.org/drawingml/2006/main">
                        <a:graphicData uri="http://schemas.microsoft.com/office/word/2010/wordprocessingShape">
                          <wps:wsp>
                            <wps:cNvSpPr txBox="1"/>
                            <wps:spPr>
                              <a:xfrm>
                                <a:off x="0" y="0"/>
                                <a:ext cx="444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2"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86385" cy="175260"/>
                      <wp:effectExtent l="0" t="0" r="0" b="0"/>
                      <wp:wrapNone/>
                      <wp:docPr id="283" name="Frame276"/>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4"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46735" cy="175260"/>
                      <wp:effectExtent l="0" t="0" r="0" b="0"/>
                      <wp:wrapNone/>
                      <wp:docPr id="285" name="Frame278"/>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6"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76580" cy="175260"/>
                      <wp:effectExtent l="0" t="0" r="0" b="0"/>
                      <wp:wrapNone/>
                      <wp:docPr id="287" name="Frame280"/>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209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70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center"/>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  </w:t>
            </w:r>
          </w:p>
        </w:tc>
      </w:tr>
      <w:tr>
        <w:trPr/>
        <w:tc>
          <w:tcPr>
            <w:tcW w:w="700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Ordinary shares – Class A (80,000,000 shares authorized as of December 31, 2021 and 2022, respectively; 42,865,515 and 43,736,801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2021 and 2022, respectively)</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Ordinary shares – Class B (20,000,000 shares authorized as of December 31, 2021 and 2022, respectively; 5,034,427 and 5,034,427 shares issued and outstanding as of December 31, 2021 and 2022, respectively)</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00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shares (2,323,802 and 5,843,335 shares as of December 31, 2021 and 2022, respectively)</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(20,908)</w:t>
            </w:r>
          </w:p>
        </w:tc>
        <w:tc>
          <w:tcPr>
            <w:tcW w:w="32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(28,457)</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525,508</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529,455</w:t>
            </w:r>
          </w:p>
        </w:tc>
      </w:tr>
      <w:tr>
        <w:trPr/>
        <w:tc>
          <w:tcPr>
            <w:tcW w:w="700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reserves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income/(losses)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(4,086)</w:t>
            </w:r>
          </w:p>
        </w:tc>
      </w:tr>
      <w:tr>
        <w:trPr/>
        <w:tc>
          <w:tcPr>
            <w:tcW w:w="700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(221,237)</w:t>
            </w:r>
          </w:p>
        </w:tc>
        <w:tc>
          <w:tcPr>
            <w:tcW w:w="326" w:type="dxa"/>
            <w:tcBorders/>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(422,112)</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iClick Interactive Asia Group Limited shareholders’ equity</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284,352</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74,930</w:t>
            </w:r>
          </w:p>
        </w:tc>
      </w:tr>
      <w:tr>
        <w:trPr/>
        <w:tc>
          <w:tcPr>
            <w:tcW w:w="700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7,237</w:t>
            </w:r>
          </w:p>
        </w:tc>
        <w:tc>
          <w:tcPr>
            <w:tcW w:w="326" w:type="dxa"/>
            <w:tcBorders/>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4,359</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291,589</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79,289</w:t>
            </w:r>
          </w:p>
        </w:tc>
      </w:tr>
      <w:tr>
        <w:trPr/>
        <w:tc>
          <w:tcPr>
            <w:tcW w:w="7007"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left"/>
              <w:rPr/>
            </w:pPr>
            <w:r>
              <w:rPr/>
              <w:t>​</w:t>
            </w:r>
          </w:p>
        </w:tc>
      </w:tr>
      <w:tr>
        <w:trPr/>
        <w:tc>
          <w:tcPr>
            <w:tcW w:w="700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507,734</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221,782</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98" w:name="_c926ed4e_f271_4170_96d0_a2bf6a14a333"/>
      <w:bookmarkEnd w:id="298"/>
      <w:r>
        <w:rPr>
          <w:rFonts w:ascii="Times New Roman;Times;serif" w:hAnsi="Times New Roman;Times;serif"/>
          <w:b/>
          <w:sz w:val="20"/>
        </w:rPr>
        <w:t>iCLICK INTERACTIVE ASIA GROUP LIMITED</w:t>
      </w:r>
    </w:p>
    <w:p>
      <w:pPr>
        <w:pStyle w:val="TextBody"/>
        <w:bidi w:val="0"/>
        <w:spacing w:before="0" w:after="0"/>
        <w:ind w:left="0" w:right="0" w:hanging="0"/>
        <w:jc w:val="left"/>
        <w:rPr>
          <w:rFonts w:ascii="Times New Roman;Times;serif" w:hAnsi="Times New Roman;Times;serif"/>
          <w:b/>
          <w:sz w:val="20"/>
        </w:rPr>
      </w:pPr>
      <w:bookmarkStart w:id="299" w:name="CONSOLIDATEDSTATEMENTSOFCOMPREHENSIVELOS"/>
      <w:bookmarkEnd w:id="299"/>
      <w:r>
        <w:rPr>
          <w:rFonts w:ascii="Times New Roman;Times;serif" w:hAnsi="Times New Roman;Times;serif"/>
          <w:b/>
          <w:sz w:val="20"/>
        </w:rPr>
        <w:t>CONSOLIDATED STATEMENTS OF COMPREHENSIVE LOSS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2020, 2021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300" w:name="Tc_yOTN9A7wh0WSbSXSTsR2nw_36_2"/>
      <w:bookmarkStart w:id="301" w:name="Tc_cj5lpgaQNUqyY3MmivPuLA_36_0"/>
      <w:bookmarkStart w:id="302" w:name="Tc_F7QBVabQLUGFkkpn4qj7yg_35_2"/>
      <w:bookmarkStart w:id="303" w:name="Tc_pm2YpTkcOUqSGNKHT2fQkw_35_0"/>
      <w:bookmarkStart w:id="304" w:name="Tc_2rry2WKKvUW3coMPvB-W4w_34_0"/>
      <w:bookmarkStart w:id="305" w:name="Tc_aS12ZhiFL02oYjYRXHfKEQ_33_2"/>
      <w:bookmarkStart w:id="306" w:name="Tc_2VQQcG-o1EaAZIxDOZN6dg_33_0"/>
      <w:bookmarkStart w:id="307" w:name="Tc_AKljNqWl2E-AmuW5FVpOWQ_32_2"/>
      <w:bookmarkStart w:id="308" w:name="Tc_LOohsXFXrU6QzRQorwmVHg_32_0"/>
      <w:bookmarkStart w:id="309" w:name="Tc_i0rwY_31P0-ofuX4oL1ugg_31_0"/>
      <w:bookmarkStart w:id="310" w:name="Tc_aJ_85kCZKkGFPNy5GY2swQ_30_0"/>
      <w:bookmarkStart w:id="311" w:name="Tc_F8OTgPzjtUWxS2sTxM5LhQ_29_0"/>
      <w:bookmarkStart w:id="312" w:name="Tc_X_ZGGJ2LXkWKHt-bMPObfQ_28_0"/>
      <w:bookmarkStart w:id="313" w:name="Tc_XjOVXTSZGkq_oOEu91VVMw_27_0"/>
      <w:bookmarkStart w:id="314" w:name="Tc_ikfGI5ZWhk68MLlm0ecmcA_26_0"/>
      <w:bookmarkStart w:id="315" w:name="Tc_gshysmWaUUGpOEtVzQ_lsw_25_0"/>
      <w:bookmarkStart w:id="316" w:name="Tc_GoW2GMP16kybfJsboTWZWA_24_0"/>
      <w:bookmarkStart w:id="317" w:name="Tc_SYl_f9aQJEWyCGWoNeGgpw_23_0"/>
      <w:bookmarkStart w:id="318" w:name="Tc_2FM833LBfEWaZSGh6CBVPg_22_0"/>
      <w:bookmarkStart w:id="319" w:name="Tc_SdnCfPbIMkCmdMn0xPMwQw_21_2"/>
      <w:bookmarkStart w:id="320" w:name="Tc_Z1zHI4EmSESKAhq2-Mdp8g_21_0"/>
      <w:bookmarkStart w:id="321" w:name="Tc_BBUHiBqBiESmow3EXt_Skw_20_2"/>
      <w:bookmarkStart w:id="322" w:name="Tc_AWArJrYaP0-r3MKeS5wl_w_20_0"/>
      <w:bookmarkStart w:id="323" w:name="Tc_o5jdfso3Lk2gSNlUh7WEIA_19_0"/>
      <w:bookmarkStart w:id="324" w:name="Tc_mNeCsyFpxUq1B2W6iV1O7g_18_8"/>
      <w:bookmarkStart w:id="325" w:name="Tc_Gg8f3JTKMEOTCkJUiLl-tQ_18_6"/>
      <w:bookmarkStart w:id="326" w:name="Tc_Rn3QMvjA4UC5d5qD0_QAXA_18_2"/>
      <w:bookmarkStart w:id="327" w:name="Tc_mLeyD03PSkCAA5sDeLXZOA_18_0"/>
      <w:bookmarkStart w:id="328" w:name="Tc_XdpGpP82l0al27N6IBT09w_17_8"/>
      <w:bookmarkStart w:id="329" w:name="Tc_PmaQymtVsU2roKNOYiFdjw_17_6"/>
      <w:bookmarkStart w:id="330" w:name="Tc_XRBmLBDS2kS6ShSL2KMeGQ_17_2"/>
      <w:bookmarkStart w:id="331" w:name="Tc_au5WqjQ0mkmj2fed0junNg_17_0"/>
      <w:bookmarkStart w:id="332" w:name="Tc_ByKiYQegak6iTTrgiVDjzA_16_2"/>
      <w:bookmarkStart w:id="333" w:name="Tc_Cn1hquZdIE6ty0F0oRSmgA_16_0"/>
      <w:bookmarkStart w:id="334" w:name="Tc_8669L5aMFUmD9mwPMqohfw_15_0"/>
      <w:bookmarkStart w:id="335" w:name="Tc_ims_Y5QcxkC7SbL9q3tYng_14_0"/>
      <w:bookmarkStart w:id="336" w:name="Tc_IMIvTdJOx0GmR_R7oAglnA_13_0"/>
      <w:bookmarkStart w:id="337" w:name="Tc_GKPlY8Dmc0OwaqTjJqjqHg_12_0"/>
      <w:bookmarkStart w:id="338" w:name="Tc_ZkiB_ltVqUSXUlf88Jnh7Q_11_6"/>
      <w:bookmarkStart w:id="339" w:name="Tc_kHFWq_rPu0mOmvhOiRD5tg_11_4"/>
      <w:bookmarkStart w:id="340" w:name="Tc_4fbmu48JVk-j2ggA0NWHHg_11_0"/>
      <w:bookmarkStart w:id="341" w:name="Tc_jV9BxwjlD0SC_YNSBtePYQ_10_6"/>
      <w:bookmarkStart w:id="342" w:name="Tc_18vcyDKgikCVmk-JRgDBVQ_10_4"/>
      <w:bookmarkStart w:id="343" w:name="Tc_2ciik-XKTU2N3bIAMTvQPw_10_0"/>
      <w:bookmarkStart w:id="344" w:name="Tc__qpH6TxQoEi1yn7jnxfRWA_9_0"/>
      <w:bookmarkStart w:id="345" w:name="Tc_23GnSfd0PkSmFwuOooXCkw_8_0"/>
      <w:bookmarkStart w:id="346" w:name="Tc_BwATvA6zUkO6cS5oMRf97w_7_0"/>
      <w:bookmarkStart w:id="347" w:name="Tc_C-o-oBK6bEiFfcYjqJznKw_6_0"/>
      <w:bookmarkStart w:id="348" w:name="Tc_PKOnfL3h90OfLlup_7u3tg_5_0"/>
      <w:bookmarkStart w:id="349" w:name="Tc_6bCMm9ghlkmvE7EH09ozYA_4_0"/>
      <w:bookmarkStart w:id="350" w:name="Tc_cyT2F1MkcEC0v04gj2v16w_3_0"/>
      <w:bookmarkStart w:id="351" w:name="Tc_igdnW-hsvkiDmT1QPegstQ_2_8"/>
      <w:bookmarkStart w:id="352" w:name="Tc_zOuB7MvlvkmVAd3ZpQVKug_2_6"/>
      <w:bookmarkStart w:id="353" w:name="Tc_aBwEuW23hUCxXUvQG8lqGQ_2_4"/>
      <w:bookmarkStart w:id="354" w:name="Tc_1Ek2QMDCc0qjJ0HnZmAT3g_2_2"/>
      <w:bookmarkStart w:id="355" w:name="Tc_nZgbRDf1cE6u-tlG0MKLVA_1_4"/>
      <w:bookmarkStart w:id="356" w:name="_1838343b_d616_4f85_8261_5034b2325af6"/>
      <w:bookmarkStart w:id="357" w:name="Tc_yOTN9A7wh0WSbSXSTsR2nw_36_2"/>
      <w:bookmarkStart w:id="358" w:name="Tc_cj5lpgaQNUqyY3MmivPuLA_36_0"/>
      <w:bookmarkStart w:id="359" w:name="Tc_F7QBVabQLUGFkkpn4qj7yg_35_2"/>
      <w:bookmarkStart w:id="360" w:name="Tc_pm2YpTkcOUqSGNKHT2fQkw_35_0"/>
      <w:bookmarkStart w:id="361" w:name="Tc_2rry2WKKvUW3coMPvB-W4w_34_0"/>
      <w:bookmarkStart w:id="362" w:name="Tc_aS12ZhiFL02oYjYRXHfKEQ_33_2"/>
      <w:bookmarkStart w:id="363" w:name="Tc_2VQQcG-o1EaAZIxDOZN6dg_33_0"/>
      <w:bookmarkStart w:id="364" w:name="Tc_AKljNqWl2E-AmuW5FVpOWQ_32_2"/>
      <w:bookmarkStart w:id="365" w:name="Tc_LOohsXFXrU6QzRQorwmVHg_32_0"/>
      <w:bookmarkStart w:id="366" w:name="Tc_i0rwY_31P0-ofuX4oL1ugg_31_0"/>
      <w:bookmarkStart w:id="367" w:name="Tc_aJ_85kCZKkGFPNy5GY2swQ_30_0"/>
      <w:bookmarkStart w:id="368" w:name="Tc_F8OTgPzjtUWxS2sTxM5LhQ_29_0"/>
      <w:bookmarkStart w:id="369" w:name="Tc_X_ZGGJ2LXkWKHt-bMPObfQ_28_0"/>
      <w:bookmarkStart w:id="370" w:name="Tc_XjOVXTSZGkq_oOEu91VVMw_27_0"/>
      <w:bookmarkStart w:id="371" w:name="Tc_ikfGI5ZWhk68MLlm0ecmcA_26_0"/>
      <w:bookmarkStart w:id="372" w:name="Tc_gshysmWaUUGpOEtVzQ_lsw_25_0"/>
      <w:bookmarkStart w:id="373" w:name="Tc_GoW2GMP16kybfJsboTWZWA_24_0"/>
      <w:bookmarkStart w:id="374" w:name="Tc_SYl_f9aQJEWyCGWoNeGgpw_23_0"/>
      <w:bookmarkStart w:id="375" w:name="Tc_2FM833LBfEWaZSGh6CBVPg_22_0"/>
      <w:bookmarkStart w:id="376" w:name="Tc_SdnCfPbIMkCmdMn0xPMwQw_21_2"/>
      <w:bookmarkStart w:id="377" w:name="Tc_Z1zHI4EmSESKAhq2-Mdp8g_21_0"/>
      <w:bookmarkStart w:id="378" w:name="Tc_BBUHiBqBiESmow3EXt_Skw_20_2"/>
      <w:bookmarkStart w:id="379" w:name="Tc_AWArJrYaP0-r3MKeS5wl_w_20_0"/>
      <w:bookmarkStart w:id="380" w:name="Tc_o5jdfso3Lk2gSNlUh7WEIA_19_0"/>
      <w:bookmarkStart w:id="381" w:name="Tc_mNeCsyFpxUq1B2W6iV1O7g_18_8"/>
      <w:bookmarkStart w:id="382" w:name="Tc_Gg8f3JTKMEOTCkJUiLl-tQ_18_6"/>
      <w:bookmarkStart w:id="383" w:name="Tc_Rn3QMvjA4UC5d5qD0_QAXA_18_2"/>
      <w:bookmarkStart w:id="384" w:name="Tc_mLeyD03PSkCAA5sDeLXZOA_18_0"/>
      <w:bookmarkStart w:id="385" w:name="Tc_XdpGpP82l0al27N6IBT09w_17_8"/>
      <w:bookmarkStart w:id="386" w:name="Tc_PmaQymtVsU2roKNOYiFdjw_17_6"/>
      <w:bookmarkStart w:id="387" w:name="Tc_XRBmLBDS2kS6ShSL2KMeGQ_17_2"/>
      <w:bookmarkStart w:id="388" w:name="Tc_au5WqjQ0mkmj2fed0junNg_17_0"/>
      <w:bookmarkStart w:id="389" w:name="Tc_ByKiYQegak6iTTrgiVDjzA_16_2"/>
      <w:bookmarkStart w:id="390" w:name="Tc_Cn1hquZdIE6ty0F0oRSmgA_16_0"/>
      <w:bookmarkStart w:id="391" w:name="Tc_8669L5aMFUmD9mwPMqohfw_15_0"/>
      <w:bookmarkStart w:id="392" w:name="Tc_ims_Y5QcxkC7SbL9q3tYng_14_0"/>
      <w:bookmarkStart w:id="393" w:name="Tc_IMIvTdJOx0GmR_R7oAglnA_13_0"/>
      <w:bookmarkStart w:id="394" w:name="Tc_GKPlY8Dmc0OwaqTjJqjqHg_12_0"/>
      <w:bookmarkStart w:id="395" w:name="Tc_ZkiB_ltVqUSXUlf88Jnh7Q_11_6"/>
      <w:bookmarkStart w:id="396" w:name="Tc_kHFWq_rPu0mOmvhOiRD5tg_11_4"/>
      <w:bookmarkStart w:id="397" w:name="Tc_4fbmu48JVk-j2ggA0NWHHg_11_0"/>
      <w:bookmarkStart w:id="398" w:name="Tc_jV9BxwjlD0SC_YNSBtePYQ_10_6"/>
      <w:bookmarkStart w:id="399" w:name="Tc_18vcyDKgikCVmk-JRgDBVQ_10_4"/>
      <w:bookmarkStart w:id="400" w:name="Tc_2ciik-XKTU2N3bIAMTvQPw_10_0"/>
      <w:bookmarkStart w:id="401" w:name="Tc__qpH6TxQoEi1yn7jnxfRWA_9_0"/>
      <w:bookmarkStart w:id="402" w:name="Tc_23GnSfd0PkSmFwuOooXCkw_8_0"/>
      <w:bookmarkStart w:id="403" w:name="Tc_BwATvA6zUkO6cS5oMRf97w_7_0"/>
      <w:bookmarkStart w:id="404" w:name="Tc_C-o-oBK6bEiFfcYjqJznKw_6_0"/>
      <w:bookmarkStart w:id="405" w:name="Tc_PKOnfL3h90OfLlup_7u3tg_5_0"/>
      <w:bookmarkStart w:id="406" w:name="Tc_6bCMm9ghlkmvE7EH09ozYA_4_0"/>
      <w:bookmarkStart w:id="407" w:name="Tc_cyT2F1MkcEC0v04gj2v16w_3_0"/>
      <w:bookmarkStart w:id="408" w:name="Tc_igdnW-hsvkiDmT1QPegstQ_2_8"/>
      <w:bookmarkStart w:id="409" w:name="Tc_zOuB7MvlvkmVAd3ZpQVKug_2_6"/>
      <w:bookmarkStart w:id="410" w:name="Tc_aBwEuW23hUCxXUvQG8lqGQ_2_4"/>
      <w:bookmarkStart w:id="411" w:name="Tc_1Ek2QMDCc0qjJ0HnZmAT3g_2_2"/>
      <w:bookmarkStart w:id="412" w:name="Tc_nZgbRDf1cE6u-tlG0MKLVA_1_4"/>
      <w:bookmarkStart w:id="413" w:name="_1838343b_d616_4f85_8261_5034b2325af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tbl>
      <w:tblPr>
        <w:tblW w:w="10205" w:type="dxa"/>
        <w:jc w:val="left"/>
        <w:tblInd w:w="0" w:type="dxa"/>
        <w:tblLayout w:type="fixed"/>
        <w:tblCellMar>
          <w:top w:w="0" w:type="dxa"/>
          <w:left w:w="0" w:type="dxa"/>
          <w:bottom w:w="0" w:type="dxa"/>
          <w:right w:w="0" w:type="dxa"/>
        </w:tblCellMar>
      </w:tblPr>
      <w:tblGrid>
        <w:gridCol w:w="5237"/>
        <w:gridCol w:w="326"/>
        <w:gridCol w:w="451"/>
        <w:gridCol w:w="326"/>
        <w:gridCol w:w="1036"/>
        <w:gridCol w:w="326"/>
        <w:gridCol w:w="1036"/>
        <w:gridCol w:w="326"/>
        <w:gridCol w:w="1141"/>
      </w:tblGrid>
      <w:tr>
        <w:trPr/>
        <w:tc>
          <w:tcPr>
            <w:tcW w:w="5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325495" cy="175260"/>
                      <wp:effectExtent l="0" t="0" r="0" b="0"/>
                      <wp:wrapNone/>
                      <wp:docPr id="288" name="Frame281"/>
                      <a:graphic xmlns:a="http://schemas.openxmlformats.org/drawingml/2006/main">
                        <a:graphicData uri="http://schemas.microsoft.com/office/word/2010/wordprocessingShape">
                          <wps:wsp>
                            <wps:cNvSpPr txBox="1"/>
                            <wps:spPr>
                              <a:xfrm>
                                <a:off x="0" y="0"/>
                                <a:ext cx="3325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89"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86385" cy="175260"/>
                      <wp:effectExtent l="0" t="0" r="0" b="0"/>
                      <wp:wrapNone/>
                      <wp:docPr id="290" name="Frame28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1"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57860" cy="175260"/>
                      <wp:effectExtent l="0" t="0" r="0" b="0"/>
                      <wp:wrapNone/>
                      <wp:docPr id="292" name="Frame28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3"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57860" cy="175260"/>
                      <wp:effectExtent l="0" t="0" r="0" b="0"/>
                      <wp:wrapNone/>
                      <wp:docPr id="294" name="Frame28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5"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724535" cy="175260"/>
                      <wp:effectExtent l="0" t="0" r="0" b="0"/>
                      <wp:wrapNone/>
                      <wp:docPr id="296" name="Frame28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3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3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523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254,745</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307,702</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169,080</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(181,482)</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(218,549)</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(173,212)</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profit/(loss)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73,263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89,153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(38,028)</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(52,872)</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(44,613)</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(51,668)</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(80,137)</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(75,025)</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(102,042)</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(190,037)</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(12,889)</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(194,169)</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gains/(losses), net</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(19,165)</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losses on derivative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(11,466)</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losses on convertible notes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share of loss from an equity investee and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(13,951)</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(213,913)</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 from an equity investee</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7(a)</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(expense)/credit</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(14,906)</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(16,598)</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(202,806)</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iClick Interactive Asia Group Limited’s ordinary shareholders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(12,618)</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(13,631)</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(14,906)</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(16,598)</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(202,806)</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income/(loss):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 net of US$nil tax</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(5,060)</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(13,114)</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(207,866)</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 attributable to iClick Interactive Asia Group Limited</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(7,617)</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(10,291)</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(205,821)</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per share attributable to iClick Interactive Asia Group Limited</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Basic</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Diluted</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Weighted average number of ordinary shares used in per</w:t>
            </w:r>
            <w:r>
              <w:rPr>
                <w:rFonts w:ascii="Times New Roman;Times;serif" w:hAnsi="Times New Roman;Times;serif"/>
                <w:sz w:val="20"/>
              </w:rPr>
              <w:t xml:space="preserve"> </w:t>
            </w:r>
            <w:r>
              <w:rPr>
                <w:rFonts w:ascii="Times New Roman;Times;serif" w:hAnsi="Times New Roman;Times;serif"/>
                <w:b/>
                <w:sz w:val="20"/>
              </w:rPr>
              <w:t>share calculation:</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523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Basic</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39,368,436</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48,187,235</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50,420,225</w:t>
            </w:r>
          </w:p>
        </w:tc>
      </w:tr>
      <w:tr>
        <w:trPr/>
        <w:tc>
          <w:tcPr>
            <w:tcW w:w="523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Diluted</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39,368,436</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48,187,235</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50,420,225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14" w:name="_156b225d_5877_45a6_b40c_18e33c73add8"/>
      <w:bookmarkEnd w:id="414"/>
      <w:r>
        <w:rPr>
          <w:rFonts w:ascii="Times New Roman;Times;serif" w:hAnsi="Times New Roman;Times;serif"/>
          <w:b/>
          <w:sz w:val="20"/>
        </w:rPr>
        <w:t>iCLICK INTERACTIVE ASIA GROUP LIMITED</w:t>
      </w:r>
    </w:p>
    <w:p>
      <w:pPr>
        <w:pStyle w:val="TextBody"/>
        <w:bidi w:val="0"/>
        <w:spacing w:before="0" w:after="0"/>
        <w:ind w:left="0" w:right="0" w:hanging="0"/>
        <w:jc w:val="left"/>
        <w:rPr>
          <w:rFonts w:ascii="Times New Roman;Times;serif" w:hAnsi="Times New Roman;Times;serif"/>
          <w:b/>
          <w:sz w:val="20"/>
        </w:rPr>
      </w:pPr>
      <w:bookmarkStart w:id="415" w:name="CONSOLIDATEDSTATEMENTSOFCHANGESINSHAREHO"/>
      <w:bookmarkEnd w:id="415"/>
      <w:r>
        <w:rPr>
          <w:rFonts w:ascii="Times New Roman;Times;serif" w:hAnsi="Times New Roman;Times;serif"/>
          <w:b/>
          <w:sz w:val="20"/>
        </w:rPr>
        <w:t>CONSOLIDATED STATEMENTS OF CHANGES IN SHAREHOLDERS’ EQUITY</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2020, 2021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416" w:name="Tc_yluEhVae4kWGczSjN6UAtA_23_0"/>
      <w:bookmarkStart w:id="417" w:name="Tc_X8NuljgSJkOyurVJZykBEw_22_14"/>
      <w:bookmarkStart w:id="418" w:name="Tc_a8bJ8o54xk2Fh1GXvBX4mQ_22_12"/>
      <w:bookmarkStart w:id="419" w:name="Tc_8YTL_xVR5E2MdcCAoCtYEw_22_10"/>
      <w:bookmarkStart w:id="420" w:name="Tc_XEfyef9ZPUOSoT-fzhoOSQ_22_8"/>
      <w:bookmarkStart w:id="421" w:name="Tc_xFW__RTVt0KMmaRsYfd7-w_22_6"/>
      <w:bookmarkStart w:id="422" w:name="Tc_6rjdMzOmgEqr5dP7yVTQ2Q_22_4"/>
      <w:bookmarkStart w:id="423" w:name="Tc_Alp7B2hzAEuKQimEpOYDyA_22_2"/>
      <w:bookmarkStart w:id="424" w:name="Tc_b4JCC61GqE-RpJjhJrq0Gw_22_0"/>
      <w:bookmarkStart w:id="425" w:name="Tc_8fWuLbnV1k25nhfcOj6ygA_21_16"/>
      <w:bookmarkStart w:id="426" w:name="Tc_rvVttDo6g0uCDJgtqkKZYg_21_14"/>
      <w:bookmarkStart w:id="427" w:name="Tc_upQGn1CAxUiuSpVA42Qeiw_21_10"/>
      <w:bookmarkStart w:id="428" w:name="Tc_p4CDL2Fch0CQWk-xXhAnYg_21_8"/>
      <w:bookmarkStart w:id="429" w:name="Tc_5q9UQlcuoUm_ZnfHCJIpYg_21_6"/>
      <w:bookmarkStart w:id="430" w:name="Tc_j2tHyMrlmUq6erK9gDNRKw_21_4"/>
      <w:bookmarkStart w:id="431" w:name="Tc_C4UgIEiAWUSy5zBCMKmNmQ_21_2"/>
      <w:bookmarkStart w:id="432" w:name="Tc_-sgltbyzXU-LF8As7oTtqA_21_0"/>
      <w:bookmarkStart w:id="433" w:name="Tc_qPVpLcOXuUWEZ5TcNlyCvg_20_18"/>
      <w:bookmarkStart w:id="434" w:name="Tc_1bf2mVk4LEuEUMYIvNJ7hg_20_16"/>
      <w:bookmarkStart w:id="435" w:name="Tc_kzJtyCoVJEe9_tTVA5e1uQ_20_14"/>
      <w:bookmarkStart w:id="436" w:name="Tc_6zVtMBwdTEqzS9T_LoIOIw_20_12"/>
      <w:bookmarkStart w:id="437" w:name="Tc_NWrcNRDxzUO89o7pwxH29g_20_10"/>
      <w:bookmarkStart w:id="438" w:name="Tc_Qjb34zXAA0GnoRuU_wICjA_20_8"/>
      <w:bookmarkStart w:id="439" w:name="Tc_T3th9fed1kyO8gcee4suQA_20_6"/>
      <w:bookmarkStart w:id="440" w:name="Tc__9FbM7XF7EidbaBszRrfrQ_20_4"/>
      <w:bookmarkStart w:id="441" w:name="Tc_gXeGgjVJ4EuhsygVcDAdVQ_20_2"/>
      <w:bookmarkStart w:id="442" w:name="Tc_RwOnw4N7KE6iBIpV539iHw_20_0"/>
      <w:bookmarkStart w:id="443" w:name="Tc_7svqVQAi5Ui87WpDKXHATA_19_16"/>
      <w:bookmarkStart w:id="444" w:name="Tc_1MYe44VbT0qrKGu3F1VDOQ_19_14"/>
      <w:bookmarkStart w:id="445" w:name="Tc_WvuoH5D39UeBI5zhuBZUzw_19_12"/>
      <w:bookmarkStart w:id="446" w:name="Tc_IS5A1YVqK02EBHHRCkZq8A_19_8"/>
      <w:bookmarkStart w:id="447" w:name="Tc_llzYgiTq4kGZrkd_oaMjzA_19_6"/>
      <w:bookmarkStart w:id="448" w:name="Tc_OI7qr5O2aEOP_Ko4ztcx9g_19_0"/>
      <w:bookmarkStart w:id="449" w:name="Tc_0kU-Hc00ZESHJy4ly12nUw_18_20"/>
      <w:bookmarkStart w:id="450" w:name="Tc_jg2yQD10C0idY1rkQPimyA_18_16"/>
      <w:bookmarkStart w:id="451" w:name="Tc_sX76h_qqOEqm-fNZTr8JaA_18_14"/>
      <w:bookmarkStart w:id="452" w:name="Tc_NyrfxSxBykq9scDNsRIrHA_18_12"/>
      <w:bookmarkStart w:id="453" w:name="Tc_iY323LFZtU-asLoYVq5YlA_18_8"/>
      <w:bookmarkStart w:id="454" w:name="Tc_lbj93KGF10WHdkF8SiANJg_18_6"/>
      <w:bookmarkStart w:id="455" w:name="Tc_NRHCBcywpU-zmM2hvg0g7g_18_0"/>
      <w:bookmarkStart w:id="456" w:name="Tc_OhE45K0jY0S0zIV-WnNkjg_17_20"/>
      <w:bookmarkStart w:id="457" w:name="Tc_ACyeLu0Wl02IGgD8Xp6uSA_17_16"/>
      <w:bookmarkStart w:id="458" w:name="Tc_OAU0Bgur_U6FhPwkkKNz4A_17_14"/>
      <w:bookmarkStart w:id="459" w:name="Tc_ZwKRtQSzRUORt9r2TrN6Pg_17_12"/>
      <w:bookmarkStart w:id="460" w:name="Tc_GLTUOP0qMEKFUigJDxSXlw_17_8"/>
      <w:bookmarkStart w:id="461" w:name="Tc_61dax52s-kG07uzR4C8uFA_17_6"/>
      <w:bookmarkStart w:id="462" w:name="Tc_y3kiAl9orUiNzXpGiJ-haA_17_0"/>
      <w:bookmarkStart w:id="463" w:name="Tc_XW8la2JF5UKNFC0Zu1W-qQ_16_16"/>
      <w:bookmarkStart w:id="464" w:name="Tc_BPXzEqCuJUOsPeUbl-EMeA_16_14"/>
      <w:bookmarkStart w:id="465" w:name="Tc_nSa81NRcAUqUzSnCEJyzFQ_16_12"/>
      <w:bookmarkStart w:id="466" w:name="Tc_vQaEOgjAo02ynTFWoNRG0Q_16_8"/>
      <w:bookmarkStart w:id="467" w:name="Tc_2L-QeBRVoUS5PX3YJbFf1w_16_6"/>
      <w:bookmarkStart w:id="468" w:name="Tc_8YDdbDcwIkqKr6EbBjDgUQ_16_4"/>
      <w:bookmarkStart w:id="469" w:name="Tc_7wTQh0uWkUO18dDP1r0MqQ_16_0"/>
      <w:bookmarkStart w:id="470" w:name="Tc_vC7YmDd_x02t3H7QVik4Xw_15_22"/>
      <w:bookmarkStart w:id="471" w:name="Tc_KiTZSH-GGkOpmmeTmih8uw_15_16"/>
      <w:bookmarkStart w:id="472" w:name="Tc_FJ04oQpGaUG0zmYqe_nrmg_15_14"/>
      <w:bookmarkStart w:id="473" w:name="Tc_GoaE-019TUikH7H7OXdGrA_15_12"/>
      <w:bookmarkStart w:id="474" w:name="Tc_B-6YXF2Uf0qCGqGe-uLHJg_15_8"/>
      <w:bookmarkStart w:id="475" w:name="Tc_XTak7tkZGU2YnzJ4IDONiQ_15_6"/>
      <w:bookmarkStart w:id="476" w:name="Tc_NvKw-bRVvUGr4Cd_LBJG6w_15_4"/>
      <w:bookmarkStart w:id="477" w:name="Tc_6wm55cZqnEyZ6hGW5PLPNw_15_2"/>
      <w:bookmarkStart w:id="478" w:name="Tc_btYb0ogAMEmQW4XKwfoijw_15_0"/>
      <w:bookmarkStart w:id="479" w:name="Tc_DvYdJ0A4CUqDwfByYNIKyA_14_22"/>
      <w:bookmarkStart w:id="480" w:name="Tc_Maj5M-ld0EekgvLaRXfXMQ_14_20"/>
      <w:bookmarkStart w:id="481" w:name="Tc_z_IMessjUkyEJBxkUo6AtA_14_18"/>
      <w:bookmarkStart w:id="482" w:name="Tc_IwUGJui-30qCudR2KnYeeQ_14_16"/>
      <w:bookmarkStart w:id="483" w:name="Tc_qUJXCgBmEkSg7G0CLZK0bA_14_14"/>
      <w:bookmarkStart w:id="484" w:name="Tc_gxpSSSQEVESSpLdKdsq5Pg_14_12"/>
      <w:bookmarkStart w:id="485" w:name="Tc_rEqPh9o3qEOHyv4faOKARw_14_10"/>
      <w:bookmarkStart w:id="486" w:name="Tc_JN5FbQF2hUK7Tz8eeRzaKg_14_8"/>
      <w:bookmarkStart w:id="487" w:name="Tc_PRPJdlPtL0KCoxPo2-aw8A_14_4"/>
      <w:bookmarkStart w:id="488" w:name="Tc_5nM9zp6oyka8vEgVsQJneA_14_2"/>
      <w:bookmarkStart w:id="489" w:name="Tc_rtAUSXyffE-17ZY8hqm3xA_14_0"/>
      <w:bookmarkStart w:id="490" w:name="Tc_si-IkD7Ni0uin0MZHk2fGQ_13_20"/>
      <w:bookmarkStart w:id="491" w:name="Tc_44qzPcfS1UCBuX5TBNgw1A_13_16"/>
      <w:bookmarkStart w:id="492" w:name="Tc_j7gQ7Ea9wECPoqdnIojSHw_13_14"/>
      <w:bookmarkStart w:id="493" w:name="Tc_dXD6ZWPcOEC7MJ2mJQJGRQ_13_12"/>
      <w:bookmarkStart w:id="494" w:name="Tc_nXL-mWiqzEGCv6nzaMURpw_13_10"/>
      <w:bookmarkStart w:id="495" w:name="Tc_EF4EtfGLBkWbZWaKOcuq6w_13_4"/>
      <w:bookmarkStart w:id="496" w:name="Tc_bsbnqlZhrkKrWKVqE6EtBQ_13_2"/>
      <w:bookmarkStart w:id="497" w:name="Tc_HRWRtxb2FkWj2xPsYuNTTQ_13_0"/>
      <w:bookmarkStart w:id="498" w:name="Tc__BV4m0ESEEiiRGiOsbWF8A_12_22"/>
      <w:bookmarkStart w:id="499" w:name="Tc_bTBRxY2i20u4AXU8co-01Q_12_20"/>
      <w:bookmarkStart w:id="500" w:name="Tc_LsFDZVS0eEeNoVjUuUIWkg_12_18"/>
      <w:bookmarkStart w:id="501" w:name="Tc_b0fueLxSKEeHCQTXfKJ6Fw_12_16"/>
      <w:bookmarkStart w:id="502" w:name="Tc_dl8g6NbZJUmz9FmKL658DQ_12_14"/>
      <w:bookmarkStart w:id="503" w:name="Tc_59X0WVUpykqgYuEPwE7eDg_12_12"/>
      <w:bookmarkStart w:id="504" w:name="Tc_yNMkB5henEmDmetrTyYc3g_12_10"/>
      <w:bookmarkStart w:id="505" w:name="Tc_kP7NTWXe4kaiW0lVeWov8A_12_8"/>
      <w:bookmarkStart w:id="506" w:name="Tc_DfR5b7e2NEGew93ca3_Q8w_12_6"/>
      <w:bookmarkStart w:id="507" w:name="Tc_9Zoz2PSomEa1LIxiS1dz_Q_12_4"/>
      <w:bookmarkStart w:id="508" w:name="Tc_KkBuAc_Op0CBGL5UotMAJg_12_0"/>
      <w:bookmarkStart w:id="509" w:name="Tc_NHfwqXZWVUC_akT3_sFN7A_11_20"/>
      <w:bookmarkStart w:id="510" w:name="Tc_5FRGZdcs6UWAMAp-Y4R5yg_11_16"/>
      <w:bookmarkStart w:id="511" w:name="Tc_jtsMe1ue70S-HlCQXzogJw_11_14"/>
      <w:bookmarkStart w:id="512" w:name="Tc_m-P4oD7pU0yTUpNjsmbEGw_11_12"/>
      <w:bookmarkStart w:id="513" w:name="Tc_qG0j2GC0SkuwhjTmcwFI8Q_11_8"/>
      <w:bookmarkStart w:id="514" w:name="Tc__lY66hR970CgbjI_ho3aSA_11_6"/>
      <w:bookmarkStart w:id="515" w:name="Tc_eogpYEXpcEKtP9Ehdn0nUw_11_4"/>
      <w:bookmarkStart w:id="516" w:name="Tc_nV2-Al6h5U2mT7ALVcvPfg_11_2"/>
      <w:bookmarkStart w:id="517" w:name="Tc_gCkPMBYow0ODXt7jKYS52w_11_0"/>
      <w:bookmarkStart w:id="518" w:name="Tc_iGh2d_NJD0SXG38xeutEag_10_20"/>
      <w:bookmarkStart w:id="519" w:name="Tc_enCMG5Wkv0KGrnw7Q7BHXQ_10_16"/>
      <w:bookmarkStart w:id="520" w:name="Tc_miX-YivtUUmqouLHjiNevQ_10_14"/>
      <w:bookmarkStart w:id="521" w:name="Tc_lZ51vcasuEmCmQRWudO4zg_10_12"/>
      <w:bookmarkStart w:id="522" w:name="Tc_WmhxIcs4Lk-lbw_y7u17nw_10_0"/>
      <w:bookmarkStart w:id="523" w:name="Tc_vDX6vrT79kCxSFIsF6kjKg_9_20"/>
      <w:bookmarkStart w:id="524" w:name="Tc_DB5D-K9H8Uin73AvDobJkg_9_16"/>
      <w:bookmarkStart w:id="525" w:name="Tc_Jkl3QApZkkaKUwOpm4BxzQ_9_14"/>
      <w:bookmarkStart w:id="526" w:name="Tc_fh6F4Ki0Q0qd9xf86tlVSw_9_10"/>
      <w:bookmarkStart w:id="527" w:name="Tc_gLefIYBYQk-qZv9UrNI-TA_9_8"/>
      <w:bookmarkStart w:id="528" w:name="Tc_zZHSCswvmk2yxjpHpFa6QA_9_6"/>
      <w:bookmarkStart w:id="529" w:name="Tc_y0BbXxsuuUCqgGQeHEiTqg_9_4"/>
      <w:bookmarkStart w:id="530" w:name="Tc_--EhrQ1-v0ivRUEfjpEFrw_9_2"/>
      <w:bookmarkStart w:id="531" w:name="Tc_WdDd24n-9UK_-opKkC7j-w_9_0"/>
      <w:bookmarkStart w:id="532" w:name="Tc_2bsgA-N0h0CSSZ0_5MHRnw_8_0"/>
      <w:bookmarkStart w:id="533" w:name="Tc_TVCbWUdCW0eC4zF-NfgM9A_7_22"/>
      <w:bookmarkStart w:id="534" w:name="Tc_hcSylBB_l0OvBS6uvmTUGQ_7_20"/>
      <w:bookmarkStart w:id="535" w:name="Tc_1_ClajREVkalGd5ekk8NOw_7_18"/>
      <w:bookmarkStart w:id="536" w:name="Tc_jpHD-znVEEyV2gEFDf8p3A_7_16"/>
      <w:bookmarkStart w:id="537" w:name="Tc_S55HfYAEdkiaSsIBJsNv6Q_7_14"/>
      <w:bookmarkStart w:id="538" w:name="Tc_hTIKFpqAJky9P6D4N9913Q_7_12"/>
      <w:bookmarkStart w:id="539" w:name="Tc_uq7W_gNMCESw8enPR0FyQQ_7_10"/>
      <w:bookmarkStart w:id="540" w:name="Tc_UuHV7C02tEe1YqnlB1l19g_7_8"/>
      <w:bookmarkStart w:id="541" w:name="Tc_TWAWtwnJS0qmfbH3KxqSYQ_7_6"/>
      <w:bookmarkStart w:id="542" w:name="Tc_mzS9m1Q6rEy9uRx8Fpn9vg_7_4"/>
      <w:bookmarkStart w:id="543" w:name="Tc_jdZWPdM17ESFtpqoxb5wNg_7_2"/>
      <w:bookmarkStart w:id="544" w:name="Tc_GjECcUIm602RC1Kmkhqckg_6_22"/>
      <w:bookmarkStart w:id="545" w:name="Tc_uSf9shiW6Eyt35HjRzRjhA_6_20"/>
      <w:bookmarkStart w:id="546" w:name="Tc_wFTaotJGVUGVgaKmQW0CAw_6_18"/>
      <w:bookmarkStart w:id="547" w:name="Tc_AJs3ETfPm0O205k8n-56Ew_6_16"/>
      <w:bookmarkStart w:id="548" w:name="Tc_8u3y1p6syUKNX04Z807oEw_6_14"/>
      <w:bookmarkStart w:id="549" w:name="Tc_3W7WlmywZU2jhs_7JCd5ew_6_12"/>
      <w:bookmarkStart w:id="550" w:name="Tc_NKk5JII-2U6S-b4hEVN0qw_6_10"/>
      <w:bookmarkStart w:id="551" w:name="Tc_UhKi9rWAaUm2rkCZxqzeAQ_6_6"/>
      <w:bookmarkStart w:id="552" w:name="Tc_4-giVhXuoU6EThGlBGGqUw_6_2"/>
      <w:bookmarkStart w:id="553" w:name="Tc__97Lxb4d1EevhYj8GcwrmA_5_20"/>
      <w:bookmarkStart w:id="554" w:name="Tc_vURsBBNFk0KhjKrffb-vSw_5_18"/>
      <w:bookmarkStart w:id="555" w:name="Tc_BSqSxYkobkyi0q-VL_AYQA_5_16"/>
      <w:bookmarkStart w:id="556" w:name="Tc_k8A49owptku0nVB0GLD2RQ_5_10"/>
      <w:bookmarkStart w:id="557" w:name="Tc_bX83GAB9xU6IfL22ypbt2w_5_6"/>
      <w:bookmarkStart w:id="558" w:name="Tc_Spz9At5TqkKOa96Cm__k5Q_5_2"/>
      <w:bookmarkStart w:id="559" w:name="Tc_SZJqXyLgp0mi188RQAlUcw_4_18"/>
      <w:bookmarkStart w:id="560" w:name="Tc_Gdg_hogdFkuQ219k41M7cA_4_16"/>
      <w:bookmarkStart w:id="561" w:name="Tc_2JSDKZYPxUaRnafIcdhCfg_3_18"/>
      <w:bookmarkStart w:id="562" w:name="Tc_uERAhnNw7EWdRG7jfatGGQ_2_18"/>
      <w:bookmarkStart w:id="563" w:name="Tc_A9Vh6G9lyE6XABVdFqRY_Q_1_6"/>
      <w:bookmarkStart w:id="564" w:name="Tc_7pubgD8y90yKJCCot76YhQ_1_2"/>
      <w:bookmarkStart w:id="565" w:name="_580bda55_34b9_4188_89dd_aa43852ceecc"/>
      <w:bookmarkStart w:id="566" w:name="Tc_yluEhVae4kWGczSjN6UAtA_23_0"/>
      <w:bookmarkStart w:id="567" w:name="Tc_X8NuljgSJkOyurVJZykBEw_22_14"/>
      <w:bookmarkStart w:id="568" w:name="Tc_a8bJ8o54xk2Fh1GXvBX4mQ_22_12"/>
      <w:bookmarkStart w:id="569" w:name="Tc_8YTL_xVR5E2MdcCAoCtYEw_22_10"/>
      <w:bookmarkStart w:id="570" w:name="Tc_XEfyef9ZPUOSoT-fzhoOSQ_22_8"/>
      <w:bookmarkStart w:id="571" w:name="Tc_xFW__RTVt0KMmaRsYfd7-w_22_6"/>
      <w:bookmarkStart w:id="572" w:name="Tc_6rjdMzOmgEqr5dP7yVTQ2Q_22_4"/>
      <w:bookmarkStart w:id="573" w:name="Tc_Alp7B2hzAEuKQimEpOYDyA_22_2"/>
      <w:bookmarkStart w:id="574" w:name="Tc_b4JCC61GqE-RpJjhJrq0Gw_22_0"/>
      <w:bookmarkStart w:id="575" w:name="Tc_8fWuLbnV1k25nhfcOj6ygA_21_16"/>
      <w:bookmarkStart w:id="576" w:name="Tc_rvVttDo6g0uCDJgtqkKZYg_21_14"/>
      <w:bookmarkStart w:id="577" w:name="Tc_upQGn1CAxUiuSpVA42Qeiw_21_10"/>
      <w:bookmarkStart w:id="578" w:name="Tc_p4CDL2Fch0CQWk-xXhAnYg_21_8"/>
      <w:bookmarkStart w:id="579" w:name="Tc_5q9UQlcuoUm_ZnfHCJIpYg_21_6"/>
      <w:bookmarkStart w:id="580" w:name="Tc_j2tHyMrlmUq6erK9gDNRKw_21_4"/>
      <w:bookmarkStart w:id="581" w:name="Tc_C4UgIEiAWUSy5zBCMKmNmQ_21_2"/>
      <w:bookmarkStart w:id="582" w:name="Tc_-sgltbyzXU-LF8As7oTtqA_21_0"/>
      <w:bookmarkStart w:id="583" w:name="Tc_qPVpLcOXuUWEZ5TcNlyCvg_20_18"/>
      <w:bookmarkStart w:id="584" w:name="Tc_1bf2mVk4LEuEUMYIvNJ7hg_20_16"/>
      <w:bookmarkStart w:id="585" w:name="Tc_kzJtyCoVJEe9_tTVA5e1uQ_20_14"/>
      <w:bookmarkStart w:id="586" w:name="Tc_6zVtMBwdTEqzS9T_LoIOIw_20_12"/>
      <w:bookmarkStart w:id="587" w:name="Tc_NWrcNRDxzUO89o7pwxH29g_20_10"/>
      <w:bookmarkStart w:id="588" w:name="Tc_Qjb34zXAA0GnoRuU_wICjA_20_8"/>
      <w:bookmarkStart w:id="589" w:name="Tc_T3th9fed1kyO8gcee4suQA_20_6"/>
      <w:bookmarkStart w:id="590" w:name="Tc__9FbM7XF7EidbaBszRrfrQ_20_4"/>
      <w:bookmarkStart w:id="591" w:name="Tc_gXeGgjVJ4EuhsygVcDAdVQ_20_2"/>
      <w:bookmarkStart w:id="592" w:name="Tc_RwOnw4N7KE6iBIpV539iHw_20_0"/>
      <w:bookmarkStart w:id="593" w:name="Tc_7svqVQAi5Ui87WpDKXHATA_19_16"/>
      <w:bookmarkStart w:id="594" w:name="Tc_1MYe44VbT0qrKGu3F1VDOQ_19_14"/>
      <w:bookmarkStart w:id="595" w:name="Tc_WvuoH5D39UeBI5zhuBZUzw_19_12"/>
      <w:bookmarkStart w:id="596" w:name="Tc_IS5A1YVqK02EBHHRCkZq8A_19_8"/>
      <w:bookmarkStart w:id="597" w:name="Tc_llzYgiTq4kGZrkd_oaMjzA_19_6"/>
      <w:bookmarkStart w:id="598" w:name="Tc_OI7qr5O2aEOP_Ko4ztcx9g_19_0"/>
      <w:bookmarkStart w:id="599" w:name="Tc_0kU-Hc00ZESHJy4ly12nUw_18_20"/>
      <w:bookmarkStart w:id="600" w:name="Tc_jg2yQD10C0idY1rkQPimyA_18_16"/>
      <w:bookmarkStart w:id="601" w:name="Tc_sX76h_qqOEqm-fNZTr8JaA_18_14"/>
      <w:bookmarkStart w:id="602" w:name="Tc_NyrfxSxBykq9scDNsRIrHA_18_12"/>
      <w:bookmarkStart w:id="603" w:name="Tc_iY323LFZtU-asLoYVq5YlA_18_8"/>
      <w:bookmarkStart w:id="604" w:name="Tc_lbj93KGF10WHdkF8SiANJg_18_6"/>
      <w:bookmarkStart w:id="605" w:name="Tc_NRHCBcywpU-zmM2hvg0g7g_18_0"/>
      <w:bookmarkStart w:id="606" w:name="Tc_OhE45K0jY0S0zIV-WnNkjg_17_20"/>
      <w:bookmarkStart w:id="607" w:name="Tc_ACyeLu0Wl02IGgD8Xp6uSA_17_16"/>
      <w:bookmarkStart w:id="608" w:name="Tc_OAU0Bgur_U6FhPwkkKNz4A_17_14"/>
      <w:bookmarkStart w:id="609" w:name="Tc_ZwKRtQSzRUORt9r2TrN6Pg_17_12"/>
      <w:bookmarkStart w:id="610" w:name="Tc_GLTUOP0qMEKFUigJDxSXlw_17_8"/>
      <w:bookmarkStart w:id="611" w:name="Tc_61dax52s-kG07uzR4C8uFA_17_6"/>
      <w:bookmarkStart w:id="612" w:name="Tc_y3kiAl9orUiNzXpGiJ-haA_17_0"/>
      <w:bookmarkStart w:id="613" w:name="Tc_XW8la2JF5UKNFC0Zu1W-qQ_16_16"/>
      <w:bookmarkStart w:id="614" w:name="Tc_BPXzEqCuJUOsPeUbl-EMeA_16_14"/>
      <w:bookmarkStart w:id="615" w:name="Tc_nSa81NRcAUqUzSnCEJyzFQ_16_12"/>
      <w:bookmarkStart w:id="616" w:name="Tc_vQaEOgjAo02ynTFWoNRG0Q_16_8"/>
      <w:bookmarkStart w:id="617" w:name="Tc_2L-QeBRVoUS5PX3YJbFf1w_16_6"/>
      <w:bookmarkStart w:id="618" w:name="Tc_8YDdbDcwIkqKr6EbBjDgUQ_16_4"/>
      <w:bookmarkStart w:id="619" w:name="Tc_7wTQh0uWkUO18dDP1r0MqQ_16_0"/>
      <w:bookmarkStart w:id="620" w:name="Tc_vC7YmDd_x02t3H7QVik4Xw_15_22"/>
      <w:bookmarkStart w:id="621" w:name="Tc_KiTZSH-GGkOpmmeTmih8uw_15_16"/>
      <w:bookmarkStart w:id="622" w:name="Tc_FJ04oQpGaUG0zmYqe_nrmg_15_14"/>
      <w:bookmarkStart w:id="623" w:name="Tc_GoaE-019TUikH7H7OXdGrA_15_12"/>
      <w:bookmarkStart w:id="624" w:name="Tc_B-6YXF2Uf0qCGqGe-uLHJg_15_8"/>
      <w:bookmarkStart w:id="625" w:name="Tc_XTak7tkZGU2YnzJ4IDONiQ_15_6"/>
      <w:bookmarkStart w:id="626" w:name="Tc_NvKw-bRVvUGr4Cd_LBJG6w_15_4"/>
      <w:bookmarkStart w:id="627" w:name="Tc_6wm55cZqnEyZ6hGW5PLPNw_15_2"/>
      <w:bookmarkStart w:id="628" w:name="Tc_btYb0ogAMEmQW4XKwfoijw_15_0"/>
      <w:bookmarkStart w:id="629" w:name="Tc_DvYdJ0A4CUqDwfByYNIKyA_14_22"/>
      <w:bookmarkStart w:id="630" w:name="Tc_Maj5M-ld0EekgvLaRXfXMQ_14_20"/>
      <w:bookmarkStart w:id="631" w:name="Tc_z_IMessjUkyEJBxkUo6AtA_14_18"/>
      <w:bookmarkStart w:id="632" w:name="Tc_IwUGJui-30qCudR2KnYeeQ_14_16"/>
      <w:bookmarkStart w:id="633" w:name="Tc_qUJXCgBmEkSg7G0CLZK0bA_14_14"/>
      <w:bookmarkStart w:id="634" w:name="Tc_gxpSSSQEVESSpLdKdsq5Pg_14_12"/>
      <w:bookmarkStart w:id="635" w:name="Tc_rEqPh9o3qEOHyv4faOKARw_14_10"/>
      <w:bookmarkStart w:id="636" w:name="Tc_JN5FbQF2hUK7Tz8eeRzaKg_14_8"/>
      <w:bookmarkStart w:id="637" w:name="Tc_PRPJdlPtL0KCoxPo2-aw8A_14_4"/>
      <w:bookmarkStart w:id="638" w:name="Tc_5nM9zp6oyka8vEgVsQJneA_14_2"/>
      <w:bookmarkStart w:id="639" w:name="Tc_rtAUSXyffE-17ZY8hqm3xA_14_0"/>
      <w:bookmarkStart w:id="640" w:name="Tc_si-IkD7Ni0uin0MZHk2fGQ_13_20"/>
      <w:bookmarkStart w:id="641" w:name="Tc_44qzPcfS1UCBuX5TBNgw1A_13_16"/>
      <w:bookmarkStart w:id="642" w:name="Tc_j7gQ7Ea9wECPoqdnIojSHw_13_14"/>
      <w:bookmarkStart w:id="643" w:name="Tc_dXD6ZWPcOEC7MJ2mJQJGRQ_13_12"/>
      <w:bookmarkStart w:id="644" w:name="Tc_nXL-mWiqzEGCv6nzaMURpw_13_10"/>
      <w:bookmarkStart w:id="645" w:name="Tc_EF4EtfGLBkWbZWaKOcuq6w_13_4"/>
      <w:bookmarkStart w:id="646" w:name="Tc_bsbnqlZhrkKrWKVqE6EtBQ_13_2"/>
      <w:bookmarkStart w:id="647" w:name="Tc_HRWRtxb2FkWj2xPsYuNTTQ_13_0"/>
      <w:bookmarkStart w:id="648" w:name="Tc__BV4m0ESEEiiRGiOsbWF8A_12_22"/>
      <w:bookmarkStart w:id="649" w:name="Tc_bTBRxY2i20u4AXU8co-01Q_12_20"/>
      <w:bookmarkStart w:id="650" w:name="Tc_LsFDZVS0eEeNoVjUuUIWkg_12_18"/>
      <w:bookmarkStart w:id="651" w:name="Tc_b0fueLxSKEeHCQTXfKJ6Fw_12_16"/>
      <w:bookmarkStart w:id="652" w:name="Tc_dl8g6NbZJUmz9FmKL658DQ_12_14"/>
      <w:bookmarkStart w:id="653" w:name="Tc_59X0WVUpykqgYuEPwE7eDg_12_12"/>
      <w:bookmarkStart w:id="654" w:name="Tc_yNMkB5henEmDmetrTyYc3g_12_10"/>
      <w:bookmarkStart w:id="655" w:name="Tc_kP7NTWXe4kaiW0lVeWov8A_12_8"/>
      <w:bookmarkStart w:id="656" w:name="Tc_DfR5b7e2NEGew93ca3_Q8w_12_6"/>
      <w:bookmarkStart w:id="657" w:name="Tc_9Zoz2PSomEa1LIxiS1dz_Q_12_4"/>
      <w:bookmarkStart w:id="658" w:name="Tc_KkBuAc_Op0CBGL5UotMAJg_12_0"/>
      <w:bookmarkStart w:id="659" w:name="Tc_NHfwqXZWVUC_akT3_sFN7A_11_20"/>
      <w:bookmarkStart w:id="660" w:name="Tc_5FRGZdcs6UWAMAp-Y4R5yg_11_16"/>
      <w:bookmarkStart w:id="661" w:name="Tc_jtsMe1ue70S-HlCQXzogJw_11_14"/>
      <w:bookmarkStart w:id="662" w:name="Tc_m-P4oD7pU0yTUpNjsmbEGw_11_12"/>
      <w:bookmarkStart w:id="663" w:name="Tc_qG0j2GC0SkuwhjTmcwFI8Q_11_8"/>
      <w:bookmarkStart w:id="664" w:name="Tc__lY66hR970CgbjI_ho3aSA_11_6"/>
      <w:bookmarkStart w:id="665" w:name="Tc_eogpYEXpcEKtP9Ehdn0nUw_11_4"/>
      <w:bookmarkStart w:id="666" w:name="Tc_nV2-Al6h5U2mT7ALVcvPfg_11_2"/>
      <w:bookmarkStart w:id="667" w:name="Tc_gCkPMBYow0ODXt7jKYS52w_11_0"/>
      <w:bookmarkStart w:id="668" w:name="Tc_iGh2d_NJD0SXG38xeutEag_10_20"/>
      <w:bookmarkStart w:id="669" w:name="Tc_enCMG5Wkv0KGrnw7Q7BHXQ_10_16"/>
      <w:bookmarkStart w:id="670" w:name="Tc_miX-YivtUUmqouLHjiNevQ_10_14"/>
      <w:bookmarkStart w:id="671" w:name="Tc_lZ51vcasuEmCmQRWudO4zg_10_12"/>
      <w:bookmarkStart w:id="672" w:name="Tc_WmhxIcs4Lk-lbw_y7u17nw_10_0"/>
      <w:bookmarkStart w:id="673" w:name="Tc_vDX6vrT79kCxSFIsF6kjKg_9_20"/>
      <w:bookmarkStart w:id="674" w:name="Tc_DB5D-K9H8Uin73AvDobJkg_9_16"/>
      <w:bookmarkStart w:id="675" w:name="Tc_Jkl3QApZkkaKUwOpm4BxzQ_9_14"/>
      <w:bookmarkStart w:id="676" w:name="Tc_fh6F4Ki0Q0qd9xf86tlVSw_9_10"/>
      <w:bookmarkStart w:id="677" w:name="Tc_gLefIYBYQk-qZv9UrNI-TA_9_8"/>
      <w:bookmarkStart w:id="678" w:name="Tc_zZHSCswvmk2yxjpHpFa6QA_9_6"/>
      <w:bookmarkStart w:id="679" w:name="Tc_y0BbXxsuuUCqgGQeHEiTqg_9_4"/>
      <w:bookmarkStart w:id="680" w:name="Tc_--EhrQ1-v0ivRUEfjpEFrw_9_2"/>
      <w:bookmarkStart w:id="681" w:name="Tc_WdDd24n-9UK_-opKkC7j-w_9_0"/>
      <w:bookmarkStart w:id="682" w:name="Tc_2bsgA-N0h0CSSZ0_5MHRnw_8_0"/>
      <w:bookmarkStart w:id="683" w:name="Tc_TVCbWUdCW0eC4zF-NfgM9A_7_22"/>
      <w:bookmarkStart w:id="684" w:name="Tc_hcSylBB_l0OvBS6uvmTUGQ_7_20"/>
      <w:bookmarkStart w:id="685" w:name="Tc_1_ClajREVkalGd5ekk8NOw_7_18"/>
      <w:bookmarkStart w:id="686" w:name="Tc_jpHD-znVEEyV2gEFDf8p3A_7_16"/>
      <w:bookmarkStart w:id="687" w:name="Tc_S55HfYAEdkiaSsIBJsNv6Q_7_14"/>
      <w:bookmarkStart w:id="688" w:name="Tc_hTIKFpqAJky9P6D4N9913Q_7_12"/>
      <w:bookmarkStart w:id="689" w:name="Tc_uq7W_gNMCESw8enPR0FyQQ_7_10"/>
      <w:bookmarkStart w:id="690" w:name="Tc_UuHV7C02tEe1YqnlB1l19g_7_8"/>
      <w:bookmarkStart w:id="691" w:name="Tc_TWAWtwnJS0qmfbH3KxqSYQ_7_6"/>
      <w:bookmarkStart w:id="692" w:name="Tc_mzS9m1Q6rEy9uRx8Fpn9vg_7_4"/>
      <w:bookmarkStart w:id="693" w:name="Tc_jdZWPdM17ESFtpqoxb5wNg_7_2"/>
      <w:bookmarkStart w:id="694" w:name="Tc_GjECcUIm602RC1Kmkhqckg_6_22"/>
      <w:bookmarkStart w:id="695" w:name="Tc_uSf9shiW6Eyt35HjRzRjhA_6_20"/>
      <w:bookmarkStart w:id="696" w:name="Tc_wFTaotJGVUGVgaKmQW0CAw_6_18"/>
      <w:bookmarkStart w:id="697" w:name="Tc_AJs3ETfPm0O205k8n-56Ew_6_16"/>
      <w:bookmarkStart w:id="698" w:name="Tc_8u3y1p6syUKNX04Z807oEw_6_14"/>
      <w:bookmarkStart w:id="699" w:name="Tc_3W7WlmywZU2jhs_7JCd5ew_6_12"/>
      <w:bookmarkStart w:id="700" w:name="Tc_NKk5JII-2U6S-b4hEVN0qw_6_10"/>
      <w:bookmarkStart w:id="701" w:name="Tc_UhKi9rWAaUm2rkCZxqzeAQ_6_6"/>
      <w:bookmarkStart w:id="702" w:name="Tc_4-giVhXuoU6EThGlBGGqUw_6_2"/>
      <w:bookmarkStart w:id="703" w:name="Tc__97Lxb4d1EevhYj8GcwrmA_5_20"/>
      <w:bookmarkStart w:id="704" w:name="Tc_vURsBBNFk0KhjKrffb-vSw_5_18"/>
      <w:bookmarkStart w:id="705" w:name="Tc_BSqSxYkobkyi0q-VL_AYQA_5_16"/>
      <w:bookmarkStart w:id="706" w:name="Tc_k8A49owptku0nVB0GLD2RQ_5_10"/>
      <w:bookmarkStart w:id="707" w:name="Tc_bX83GAB9xU6IfL22ypbt2w_5_6"/>
      <w:bookmarkStart w:id="708" w:name="Tc_Spz9At5TqkKOa96Cm__k5Q_5_2"/>
      <w:bookmarkStart w:id="709" w:name="Tc_SZJqXyLgp0mi188RQAlUcw_4_18"/>
      <w:bookmarkStart w:id="710" w:name="Tc_Gdg_hogdFkuQ219k41M7cA_4_16"/>
      <w:bookmarkStart w:id="711" w:name="Tc_2JSDKZYPxUaRnafIcdhCfg_3_18"/>
      <w:bookmarkStart w:id="712" w:name="Tc_uERAhnNw7EWdRG7jfatGGQ_2_18"/>
      <w:bookmarkStart w:id="713" w:name="Tc_A9Vh6G9lyE6XABVdFqRY_Q_1_6"/>
      <w:bookmarkStart w:id="714" w:name="Tc_7pubgD8y90yKJCCot76YhQ_1_2"/>
      <w:bookmarkStart w:id="715" w:name="_580bda55_34b9_4188_89dd_aa43852ceecc"/>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tbl>
      <w:tblPr>
        <w:tblW w:w="14548" w:type="dxa"/>
        <w:jc w:val="left"/>
        <w:tblInd w:w="0" w:type="dxa"/>
        <w:tblLayout w:type="fixed"/>
        <w:tblCellMar>
          <w:top w:w="0" w:type="dxa"/>
          <w:left w:w="0" w:type="dxa"/>
          <w:bottom w:w="0" w:type="dxa"/>
          <w:right w:w="0" w:type="dxa"/>
        </w:tblCellMar>
      </w:tblPr>
      <w:tblGrid>
        <w:gridCol w:w="1216"/>
        <w:gridCol w:w="326"/>
        <w:gridCol w:w="916"/>
        <w:gridCol w:w="326"/>
        <w:gridCol w:w="691"/>
        <w:gridCol w:w="326"/>
        <w:gridCol w:w="826"/>
        <w:gridCol w:w="326"/>
        <w:gridCol w:w="691"/>
        <w:gridCol w:w="326"/>
        <w:gridCol w:w="871"/>
        <w:gridCol w:w="326"/>
        <w:gridCol w:w="1051"/>
        <w:gridCol w:w="326"/>
        <w:gridCol w:w="811"/>
        <w:gridCol w:w="326"/>
        <w:gridCol w:w="1171"/>
        <w:gridCol w:w="326"/>
        <w:gridCol w:w="1021"/>
        <w:gridCol w:w="326"/>
        <w:gridCol w:w="901"/>
        <w:gridCol w:w="326"/>
        <w:gridCol w:w="79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772160" cy="175260"/>
                      <wp:effectExtent l="0" t="0" r="0" b="0"/>
                      <wp:wrapNone/>
                      <wp:docPr id="297" name="Frame290"/>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298"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81660" cy="175260"/>
                      <wp:effectExtent l="0" t="0" r="0" b="0"/>
                      <wp:wrapNone/>
                      <wp:docPr id="299" name="Frame29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0"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38785" cy="175260"/>
                      <wp:effectExtent l="0" t="0" r="0" b="0"/>
                      <wp:wrapNone/>
                      <wp:docPr id="301" name="Frame2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2"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24510" cy="175260"/>
                      <wp:effectExtent l="0" t="0" r="0" b="0"/>
                      <wp:wrapNone/>
                      <wp:docPr id="303" name="Frame29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4"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38785" cy="175260"/>
                      <wp:effectExtent l="0" t="0" r="0" b="0"/>
                      <wp:wrapNone/>
                      <wp:docPr id="305" name="Frame2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6"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53085" cy="175260"/>
                      <wp:effectExtent l="0" t="0" r="0" b="0"/>
                      <wp:wrapNone/>
                      <wp:docPr id="307" name="Frame30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08"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67385" cy="175260"/>
                      <wp:effectExtent l="0" t="0" r="0" b="0"/>
                      <wp:wrapNone/>
                      <wp:docPr id="309" name="Frame30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0"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14985" cy="175260"/>
                      <wp:effectExtent l="0" t="0" r="0" b="0"/>
                      <wp:wrapNone/>
                      <wp:docPr id="311" name="Frame30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2"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43585" cy="175260"/>
                      <wp:effectExtent l="0" t="0" r="0" b="0"/>
                      <wp:wrapNone/>
                      <wp:docPr id="313" name="Frame30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4"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335" cy="175260"/>
                      <wp:effectExtent l="0" t="0" r="0" b="0"/>
                      <wp:wrapNone/>
                      <wp:docPr id="315" name="Frame30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6"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72135" cy="175260"/>
                      <wp:effectExtent l="0" t="0" r="0" b="0"/>
                      <wp:wrapNone/>
                      <wp:docPr id="317" name="Frame31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18"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05460" cy="175260"/>
                      <wp:effectExtent l="0" t="0" r="0" b="0"/>
                      <wp:wrapNone/>
                      <wp:docPr id="319" name="Frame31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0"/>
              <w:ind w:left="0" w:right="0" w:hanging="0"/>
              <w:jc w:val="center"/>
              <w:rPr/>
            </w:pPr>
            <w:r>
              <w:rPr/>
              <w:t>    </w:t>
            </w:r>
          </w:p>
        </w:tc>
        <w:tc>
          <w:tcPr>
            <w:tcW w:w="18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17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02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r>
      <w:tr>
        <w:trPr/>
        <w:tc>
          <w:tcPr>
            <w:tcW w:w="12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iClick</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Interactive</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Asia Group</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Limited</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December 31, 2019</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28,690,635</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1,744,873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(4,858)</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305,344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(191,016)</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(7,479)</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102,101</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12,455</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114,556</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Cumulative effect of adoption of new accounting standard (Note 2(j))</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(3,972)</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(3,972)</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(3,972)</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Reissuance of treasury shares upon exercise of employee share options and vesting of RSUs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546,340</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(546,340)</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1,110</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1,305</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1,305</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6,249</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6,249</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6,249</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shares upon vesting of RSUs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171,932</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ordinary shares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397,839</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(5,677)</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(5,677)</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(5,677)</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ordinary shares but held as treasury shares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800,000</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injection in a subsidiary (Note 1(a)(iv))</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1,716</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1,716</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(1,716)</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interests in subsidiaries from non- controlling interests (Notes 1(a)(iv), (v))</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313,011</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2,795</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2,795</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(9,798)</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(7,003)</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ordinary shares upon share offerings (Note 1(c))</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5,546,007</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71,912</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71,917</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71,917</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ordinary shares pursuant to convertible notes conversion (Note 21(c))</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6,776,204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68,888</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68,895</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68,895</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Business combinations (Note 4(c)(d))</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3,772,694</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34,386</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34,390</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7,987</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42,377</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Contribution from non-controlling interests (Note 1(a)(iii))</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for the year</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(12,618)</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(12,618)</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(2,288)</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(14,906)</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5,001</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5,001</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5,274</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December 31, 2020</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45,816,823</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2,396,372</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(10,341)</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492,400</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(207,606)</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(2,478)</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272,102</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6,986</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279,088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CHANGES IN SHAREHOLDERS’ EQUITY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2020, 2021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716" w:name="Tc_sqgsfz9EKkuI_xrSd4X84Q_18_0"/>
      <w:bookmarkStart w:id="717" w:name="Tc_9XzFiyCg40GH4C4N0soG7w_17_14"/>
      <w:bookmarkStart w:id="718" w:name="Tc_pZaQ5Y7cZESKJDwxisK0HA_17_12"/>
      <w:bookmarkStart w:id="719" w:name="Tc_0lGd8efP4UmLkTLvSSlnUw_17_10"/>
      <w:bookmarkStart w:id="720" w:name="Tc_1z4R9U7JFUa7Ztd01kk9Cg_17_8"/>
      <w:bookmarkStart w:id="721" w:name="Tc_GLEHsGDyfE2sRqcS37tk2w_17_6"/>
      <w:bookmarkStart w:id="722" w:name="Tc_BJOsFIU0qUKy7eYN5M-VOg_17_4"/>
      <w:bookmarkStart w:id="723" w:name="Tc_TXT2iBVmn0qtsG3Nt_BDfw_17_2"/>
      <w:bookmarkStart w:id="724" w:name="Tc_mqMiFVjNN06m5Jafe-BsXA_17_0"/>
      <w:bookmarkStart w:id="725" w:name="Tc_fRHcJ-s2QUGPPbTDcGUzNg_16_16"/>
      <w:bookmarkStart w:id="726" w:name="Tc_zn3cASsq_k6AcprfznCypA_16_14"/>
      <w:bookmarkStart w:id="727" w:name="Tc_Shjktifsq0O2_0l4zhfuAQ_16_10"/>
      <w:bookmarkStart w:id="728" w:name="Tc_FYWTP71LlU6RfaXBentmjg_16_8"/>
      <w:bookmarkStart w:id="729" w:name="Tc_CtmqOCyQS0mUZsnmxRba5Q_16_6"/>
      <w:bookmarkStart w:id="730" w:name="Tc_AruDAM0kg0ugaDVWx0q1Xw_16_4"/>
      <w:bookmarkStart w:id="731" w:name="Tc_1e8C77cZg0KmMDR3K2UOuQ_16_2"/>
      <w:bookmarkStart w:id="732" w:name="Tc_1e7BonJ0kkmL0swBrUQ7jQ_16_0"/>
      <w:bookmarkStart w:id="733" w:name="Tc_ehc0WtY9u0Wn1aXil2qahg_15_18"/>
      <w:bookmarkStart w:id="734" w:name="Tc_vNw1VFNATEu5ECPoDMf4tA_15_16"/>
      <w:bookmarkStart w:id="735" w:name="Tc_NodNLuYbkkCd_eu8o2e6bg_15_14"/>
      <w:bookmarkStart w:id="736" w:name="Tc_tIbmMqlJYUSrdcScySC2ww_15_12"/>
      <w:bookmarkStart w:id="737" w:name="Tc_n9swR8QENECmrJyOPNpTcg_15_10"/>
      <w:bookmarkStart w:id="738" w:name="Tc_VCTTMmUwvUWMjLqFiDqX7A_15_8"/>
      <w:bookmarkStart w:id="739" w:name="Tc_pT_mI_2JA06fFD9VCEEfaQ_15_6"/>
      <w:bookmarkStart w:id="740" w:name="Tc_g7KFKNQuGUmfhP4mhjgUnQ_15_4"/>
      <w:bookmarkStart w:id="741" w:name="Tc_eqi78D9Z-E2kYKjs7ZNemQ_15_2"/>
      <w:bookmarkStart w:id="742" w:name="Tc_lRSaa3td4EKF5rr9WPFawg_15_0"/>
      <w:bookmarkStart w:id="743" w:name="Tc_tDBFxLJa_UCEjP-qOdMLrw_14_20"/>
      <w:bookmarkStart w:id="744" w:name="Tc_K7uswclruE681g4MT3gXdA_14_16"/>
      <w:bookmarkStart w:id="745" w:name="Tc_35G0QUlqU0eTwwQyMg2VXg_14_14"/>
      <w:bookmarkStart w:id="746" w:name="Tc_CR_LHBqEa0G8AdF6DtTHsA_14_12"/>
      <w:bookmarkStart w:id="747" w:name="Tc_I32f0KyJuEWMnZRpMAFEmA_14_8"/>
      <w:bookmarkStart w:id="748" w:name="Tc_DQy9I93iYkWyOygadyBIOQ_14_6"/>
      <w:bookmarkStart w:id="749" w:name="Tc_unYjJKa1n0SM_jjsybFnPg_14_4"/>
      <w:bookmarkStart w:id="750" w:name="Tc_0aCKtG4MdkauhVLzZJt2Ow_14_0"/>
      <w:bookmarkStart w:id="751" w:name="Tc_6X7ep6wmREWK9a4_K6AIZQ_13_20"/>
      <w:bookmarkStart w:id="752" w:name="Tc_31WoFigdT0aUMxho7gi0Fw_13_16"/>
      <w:bookmarkStart w:id="753" w:name="Tc_zZT6TGkqtkq5_amOFfvxSg_13_14"/>
      <w:bookmarkStart w:id="754" w:name="Tc_QPk0xRvmE0y9JdSoX0SO4g_13_12"/>
      <w:bookmarkStart w:id="755" w:name="Tc_RFE90TMVykWTcbJp71L5xA_13_8"/>
      <w:bookmarkStart w:id="756" w:name="Tc_boSUQC5Wt0aa_gZogvWp6g_13_6"/>
      <w:bookmarkStart w:id="757" w:name="Tc_YbfTCyfg9ESkbv89crPb3Q_13_0"/>
      <w:bookmarkStart w:id="758" w:name="Tc_x3Q18q3loUCsd0vm4fF3SA_12_20"/>
      <w:bookmarkStart w:id="759" w:name="Tc_S6aJ-8jS40CaXijM_y30hw_12_16"/>
      <w:bookmarkStart w:id="760" w:name="Tc_dAeBa2IWqEWjijmmGN0cKg_12_14"/>
      <w:bookmarkStart w:id="761" w:name="Tc_hVsrg0tkbEe2nxcizN5E-A_12_12"/>
      <w:bookmarkStart w:id="762" w:name="Tc_RkC7iQGibkCvJt5Oz8cyHA_12_10"/>
      <w:bookmarkStart w:id="763" w:name="Tc_1b-YHT6ijkaXcGkV_m55_w_12_4"/>
      <w:bookmarkStart w:id="764" w:name="Tc_s88XAheXF0O2iST16195Aw_12_2"/>
      <w:bookmarkStart w:id="765" w:name="Tc_TMRkisaWQEiPhxrBT9sRyA_12_0"/>
      <w:bookmarkStart w:id="766" w:name="Tc_2X5iTLlmVUCisg9ZQdOL5g_11_22"/>
      <w:bookmarkStart w:id="767" w:name="Tc_c9g00iBFwU2Qbm41WFpnfQ_11_20"/>
      <w:bookmarkStart w:id="768" w:name="Tc_R6QXcBG82UWhUMvHkmZKQQ_11_18"/>
      <w:bookmarkStart w:id="769" w:name="Tc__yucuWxtzk65vVDnisRbqA_11_16"/>
      <w:bookmarkStart w:id="770" w:name="Tc_GwuF7hPFpEGTIU1mL6fSTw_11_14"/>
      <w:bookmarkStart w:id="771" w:name="Tc_1P9okCoDYk6SOwQJrR38Kg_11_12"/>
      <w:bookmarkStart w:id="772" w:name="Tc_AaLQ1bewukOxNp-idThf6Q_11_10"/>
      <w:bookmarkStart w:id="773" w:name="Tc_kTZlHpFlvEiZmnpE45VnpQ_11_8"/>
      <w:bookmarkStart w:id="774" w:name="Tc_qzHlVe9NQESs_r2usRHUpQ_11_6"/>
      <w:bookmarkStart w:id="775" w:name="Tc_qRKjtPOCx0qilzBvIRjPBA_11_4"/>
      <w:bookmarkStart w:id="776" w:name="Tc_QSb_CVTLyUanR4HXO6eAqQ_11_0"/>
      <w:bookmarkStart w:id="777" w:name="Tc_il1kztx42E68qaqSDofFmw_10_20"/>
      <w:bookmarkStart w:id="778" w:name="Tc_xJWRbeDunkKD0PIo2mXqhw_10_16"/>
      <w:bookmarkStart w:id="779" w:name="Tc_3RRN-zcan0mZrV7aQ2m3qQ_10_14"/>
      <w:bookmarkStart w:id="780" w:name="Tc_k9Wf5sBVQUaaugR9U6EZrQ_10_12"/>
      <w:bookmarkStart w:id="781" w:name="Tc_--RRmAP1hEuNg7xcRfQ0BA_10_8"/>
      <w:bookmarkStart w:id="782" w:name="Tc_noXA5lkT30u6zOYalkBA4Q_10_6"/>
      <w:bookmarkStart w:id="783" w:name="Tc_h_BIYXCiw0mgvtaWeGK5OA_10_4"/>
      <w:bookmarkStart w:id="784" w:name="Tc__Ks-Ms19pk2fe0p41G3W4g_10_2"/>
      <w:bookmarkStart w:id="785" w:name="Tc_kyW7xS0hfU6Tn4kS0hSxdg_10_0"/>
      <w:bookmarkStart w:id="786" w:name="Tc_-NNFyg4Q9kuhxBXsMnCLEQ_9_20"/>
      <w:bookmarkStart w:id="787" w:name="Tc_qcQP1wZGeUWz-2_B-nIlyg_9_16"/>
      <w:bookmarkStart w:id="788" w:name="Tc_sdjuKRQSPU2KkNIlwMfKbg_9_14"/>
      <w:bookmarkStart w:id="789" w:name="Tc_MTcZFyUY1EmF64eKzzPBsA_9_12"/>
      <w:bookmarkStart w:id="790" w:name="Tc_xx8I0dXG9EyywD8LpCIAdw_9_0"/>
      <w:bookmarkStart w:id="791" w:name="Tc_0p-GOZZOCUauqrLb7sQe8w_8_0"/>
      <w:bookmarkStart w:id="792" w:name="Tc_zQUqEKkyiEaWb51kIkT5pQ_7_22"/>
      <w:bookmarkStart w:id="793" w:name="Tc_sEl3sEL3LUm8kiWo35Stzg_7_20"/>
      <w:bookmarkStart w:id="794" w:name="Tc_RLCMVZQNX0SEKFfqCF6NgQ_7_18"/>
      <w:bookmarkStart w:id="795" w:name="Tc_zKuuRedvq0uv0UO-o3tE3Q_7_16"/>
      <w:bookmarkStart w:id="796" w:name="Tc_PP1jtddHOEG8-fFto3rJVQ_7_14"/>
      <w:bookmarkStart w:id="797" w:name="Tc_1RDIYRQ1EE6amJon5BD9qw_7_12"/>
      <w:bookmarkStart w:id="798" w:name="Tc_5sZ2yJ1FzES3nZAV_thz5Q_7_10"/>
      <w:bookmarkStart w:id="799" w:name="Tc_HL-FAvzJyEKjKnZmkTVd6A_7_8"/>
      <w:bookmarkStart w:id="800" w:name="Tc_bySVOl_R70mgQCTnnmK57A_7_6"/>
      <w:bookmarkStart w:id="801" w:name="Tc_kkQpZ17koEqb9zb7Im0mNw_7_4"/>
      <w:bookmarkStart w:id="802" w:name="Tc_-GapHbRN-0ql_KcfE-PBiA_7_2"/>
      <w:bookmarkStart w:id="803" w:name="Tc_8-wWNsUtQEW1eLjvIqA66w_6_22"/>
      <w:bookmarkStart w:id="804" w:name="Tc__KfYRnkOLEu-7vekcJgPJw_6_20"/>
      <w:bookmarkStart w:id="805" w:name="Tc_4OFmoZF9zUi0NjzFIPcDyw_6_18"/>
      <w:bookmarkStart w:id="806" w:name="Tc_v6ql2-4yTEidJovSQ2bstw_6_16"/>
      <w:bookmarkStart w:id="807" w:name="Tc_zy996gPo7U2cRs_pRkE1Pw_6_14"/>
      <w:bookmarkStart w:id="808" w:name="Tc_-tKYv5ONd06zMR6ZrG92-Q_6_12"/>
      <w:bookmarkStart w:id="809" w:name="Tc_z7WVSEu6ZkKnNUYysTkQuQ_6_10"/>
      <w:bookmarkStart w:id="810" w:name="Tc_144Y83KMlEGplnOlnrDKKA_6_6"/>
      <w:bookmarkStart w:id="811" w:name="Tc_dtJ8ncKMA0KtBO2ldkS15A_6_2"/>
      <w:bookmarkStart w:id="812" w:name="Tc_OrJpDjMjt0SLsaFdQPbZ8Q_5_20"/>
      <w:bookmarkStart w:id="813" w:name="Tc_x6haFVlFj02qh6VXBKIIXw_5_18"/>
      <w:bookmarkStart w:id="814" w:name="Tc_2DmU69XeeEecSogkopdD7A_5_16"/>
      <w:bookmarkStart w:id="815" w:name="Tc_RdJzuOIA2EG3SvTYyLUY3A_5_10"/>
      <w:bookmarkStart w:id="816" w:name="Tc_rIM0TnM0pE2KAk6NYTXOBw_5_6"/>
      <w:bookmarkStart w:id="817" w:name="Tc_4GiGuAhbOEuSgozoPBn35g_5_2"/>
      <w:bookmarkStart w:id="818" w:name="Tc_uh9EiQjd8EK1_UkKCe7Ecw_4_18"/>
      <w:bookmarkStart w:id="819" w:name="Tc_PAi_CpaYPEitRLt46KeGWg_4_16"/>
      <w:bookmarkStart w:id="820" w:name="Tc_-xsDqeJR70awTfLLHyK5dQ_3_18"/>
      <w:bookmarkStart w:id="821" w:name="Tc_Ku33im6kSUqQfTV_ICs8Wg_2_18"/>
      <w:bookmarkStart w:id="822" w:name="Tc_OBjoe7If2UWKzBVHzlhCQg_1_6"/>
      <w:bookmarkStart w:id="823" w:name="Tc_Ruwjqd52C0mXMl67tgYBgw_1_2"/>
      <w:bookmarkStart w:id="824" w:name="_d217db16_1c40_42c5_8f64_27a149427fd9"/>
      <w:bookmarkStart w:id="825" w:name="Tc_sqgsfz9EKkuI_xrSd4X84Q_18_0"/>
      <w:bookmarkStart w:id="826" w:name="Tc_9XzFiyCg40GH4C4N0soG7w_17_14"/>
      <w:bookmarkStart w:id="827" w:name="Tc_pZaQ5Y7cZESKJDwxisK0HA_17_12"/>
      <w:bookmarkStart w:id="828" w:name="Tc_0lGd8efP4UmLkTLvSSlnUw_17_10"/>
      <w:bookmarkStart w:id="829" w:name="Tc_1z4R9U7JFUa7Ztd01kk9Cg_17_8"/>
      <w:bookmarkStart w:id="830" w:name="Tc_GLEHsGDyfE2sRqcS37tk2w_17_6"/>
      <w:bookmarkStart w:id="831" w:name="Tc_BJOsFIU0qUKy7eYN5M-VOg_17_4"/>
      <w:bookmarkStart w:id="832" w:name="Tc_TXT2iBVmn0qtsG3Nt_BDfw_17_2"/>
      <w:bookmarkStart w:id="833" w:name="Tc_mqMiFVjNN06m5Jafe-BsXA_17_0"/>
      <w:bookmarkStart w:id="834" w:name="Tc_fRHcJ-s2QUGPPbTDcGUzNg_16_16"/>
      <w:bookmarkStart w:id="835" w:name="Tc_zn3cASsq_k6AcprfznCypA_16_14"/>
      <w:bookmarkStart w:id="836" w:name="Tc_Shjktifsq0O2_0l4zhfuAQ_16_10"/>
      <w:bookmarkStart w:id="837" w:name="Tc_FYWTP71LlU6RfaXBentmjg_16_8"/>
      <w:bookmarkStart w:id="838" w:name="Tc_CtmqOCyQS0mUZsnmxRba5Q_16_6"/>
      <w:bookmarkStart w:id="839" w:name="Tc_AruDAM0kg0ugaDVWx0q1Xw_16_4"/>
      <w:bookmarkStart w:id="840" w:name="Tc_1e8C77cZg0KmMDR3K2UOuQ_16_2"/>
      <w:bookmarkStart w:id="841" w:name="Tc_1e7BonJ0kkmL0swBrUQ7jQ_16_0"/>
      <w:bookmarkStart w:id="842" w:name="Tc_ehc0WtY9u0Wn1aXil2qahg_15_18"/>
      <w:bookmarkStart w:id="843" w:name="Tc_vNw1VFNATEu5ECPoDMf4tA_15_16"/>
      <w:bookmarkStart w:id="844" w:name="Tc_NodNLuYbkkCd_eu8o2e6bg_15_14"/>
      <w:bookmarkStart w:id="845" w:name="Tc_tIbmMqlJYUSrdcScySC2ww_15_12"/>
      <w:bookmarkStart w:id="846" w:name="Tc_n9swR8QENECmrJyOPNpTcg_15_10"/>
      <w:bookmarkStart w:id="847" w:name="Tc_VCTTMmUwvUWMjLqFiDqX7A_15_8"/>
      <w:bookmarkStart w:id="848" w:name="Tc_pT_mI_2JA06fFD9VCEEfaQ_15_6"/>
      <w:bookmarkStart w:id="849" w:name="Tc_g7KFKNQuGUmfhP4mhjgUnQ_15_4"/>
      <w:bookmarkStart w:id="850" w:name="Tc_eqi78D9Z-E2kYKjs7ZNemQ_15_2"/>
      <w:bookmarkStart w:id="851" w:name="Tc_lRSaa3td4EKF5rr9WPFawg_15_0"/>
      <w:bookmarkStart w:id="852" w:name="Tc_tDBFxLJa_UCEjP-qOdMLrw_14_20"/>
      <w:bookmarkStart w:id="853" w:name="Tc_K7uswclruE681g4MT3gXdA_14_16"/>
      <w:bookmarkStart w:id="854" w:name="Tc_35G0QUlqU0eTwwQyMg2VXg_14_14"/>
      <w:bookmarkStart w:id="855" w:name="Tc_CR_LHBqEa0G8AdF6DtTHsA_14_12"/>
      <w:bookmarkStart w:id="856" w:name="Tc_I32f0KyJuEWMnZRpMAFEmA_14_8"/>
      <w:bookmarkStart w:id="857" w:name="Tc_DQy9I93iYkWyOygadyBIOQ_14_6"/>
      <w:bookmarkStart w:id="858" w:name="Tc_unYjJKa1n0SM_jjsybFnPg_14_4"/>
      <w:bookmarkStart w:id="859" w:name="Tc_0aCKtG4MdkauhVLzZJt2Ow_14_0"/>
      <w:bookmarkStart w:id="860" w:name="Tc_6X7ep6wmREWK9a4_K6AIZQ_13_20"/>
      <w:bookmarkStart w:id="861" w:name="Tc_31WoFigdT0aUMxho7gi0Fw_13_16"/>
      <w:bookmarkStart w:id="862" w:name="Tc_zZT6TGkqtkq5_amOFfvxSg_13_14"/>
      <w:bookmarkStart w:id="863" w:name="Tc_QPk0xRvmE0y9JdSoX0SO4g_13_12"/>
      <w:bookmarkStart w:id="864" w:name="Tc_RFE90TMVykWTcbJp71L5xA_13_8"/>
      <w:bookmarkStart w:id="865" w:name="Tc_boSUQC5Wt0aa_gZogvWp6g_13_6"/>
      <w:bookmarkStart w:id="866" w:name="Tc_YbfTCyfg9ESkbv89crPb3Q_13_0"/>
      <w:bookmarkStart w:id="867" w:name="Tc_x3Q18q3loUCsd0vm4fF3SA_12_20"/>
      <w:bookmarkStart w:id="868" w:name="Tc_S6aJ-8jS40CaXijM_y30hw_12_16"/>
      <w:bookmarkStart w:id="869" w:name="Tc_dAeBa2IWqEWjijmmGN0cKg_12_14"/>
      <w:bookmarkStart w:id="870" w:name="Tc_hVsrg0tkbEe2nxcizN5E-A_12_12"/>
      <w:bookmarkStart w:id="871" w:name="Tc_RkC7iQGibkCvJt5Oz8cyHA_12_10"/>
      <w:bookmarkStart w:id="872" w:name="Tc_1b-YHT6ijkaXcGkV_m55_w_12_4"/>
      <w:bookmarkStart w:id="873" w:name="Tc_s88XAheXF0O2iST16195Aw_12_2"/>
      <w:bookmarkStart w:id="874" w:name="Tc_TMRkisaWQEiPhxrBT9sRyA_12_0"/>
      <w:bookmarkStart w:id="875" w:name="Tc_2X5iTLlmVUCisg9ZQdOL5g_11_22"/>
      <w:bookmarkStart w:id="876" w:name="Tc_c9g00iBFwU2Qbm41WFpnfQ_11_20"/>
      <w:bookmarkStart w:id="877" w:name="Tc_R6QXcBG82UWhUMvHkmZKQQ_11_18"/>
      <w:bookmarkStart w:id="878" w:name="Tc__yucuWxtzk65vVDnisRbqA_11_16"/>
      <w:bookmarkStart w:id="879" w:name="Tc_GwuF7hPFpEGTIU1mL6fSTw_11_14"/>
      <w:bookmarkStart w:id="880" w:name="Tc_1P9okCoDYk6SOwQJrR38Kg_11_12"/>
      <w:bookmarkStart w:id="881" w:name="Tc_AaLQ1bewukOxNp-idThf6Q_11_10"/>
      <w:bookmarkStart w:id="882" w:name="Tc_kTZlHpFlvEiZmnpE45VnpQ_11_8"/>
      <w:bookmarkStart w:id="883" w:name="Tc_qzHlVe9NQESs_r2usRHUpQ_11_6"/>
      <w:bookmarkStart w:id="884" w:name="Tc_qRKjtPOCx0qilzBvIRjPBA_11_4"/>
      <w:bookmarkStart w:id="885" w:name="Tc_QSb_CVTLyUanR4HXO6eAqQ_11_0"/>
      <w:bookmarkStart w:id="886" w:name="Tc_il1kztx42E68qaqSDofFmw_10_20"/>
      <w:bookmarkStart w:id="887" w:name="Tc_xJWRbeDunkKD0PIo2mXqhw_10_16"/>
      <w:bookmarkStart w:id="888" w:name="Tc_3RRN-zcan0mZrV7aQ2m3qQ_10_14"/>
      <w:bookmarkStart w:id="889" w:name="Tc_k9Wf5sBVQUaaugR9U6EZrQ_10_12"/>
      <w:bookmarkStart w:id="890" w:name="Tc_--RRmAP1hEuNg7xcRfQ0BA_10_8"/>
      <w:bookmarkStart w:id="891" w:name="Tc_noXA5lkT30u6zOYalkBA4Q_10_6"/>
      <w:bookmarkStart w:id="892" w:name="Tc_h_BIYXCiw0mgvtaWeGK5OA_10_4"/>
      <w:bookmarkStart w:id="893" w:name="Tc__Ks-Ms19pk2fe0p41G3W4g_10_2"/>
      <w:bookmarkStart w:id="894" w:name="Tc_kyW7xS0hfU6Tn4kS0hSxdg_10_0"/>
      <w:bookmarkStart w:id="895" w:name="Tc_-NNFyg4Q9kuhxBXsMnCLEQ_9_20"/>
      <w:bookmarkStart w:id="896" w:name="Tc_qcQP1wZGeUWz-2_B-nIlyg_9_16"/>
      <w:bookmarkStart w:id="897" w:name="Tc_sdjuKRQSPU2KkNIlwMfKbg_9_14"/>
      <w:bookmarkStart w:id="898" w:name="Tc_MTcZFyUY1EmF64eKzzPBsA_9_12"/>
      <w:bookmarkStart w:id="899" w:name="Tc_xx8I0dXG9EyywD8LpCIAdw_9_0"/>
      <w:bookmarkStart w:id="900" w:name="Tc_0p-GOZZOCUauqrLb7sQe8w_8_0"/>
      <w:bookmarkStart w:id="901" w:name="Tc_zQUqEKkyiEaWb51kIkT5pQ_7_22"/>
      <w:bookmarkStart w:id="902" w:name="Tc_sEl3sEL3LUm8kiWo35Stzg_7_20"/>
      <w:bookmarkStart w:id="903" w:name="Tc_RLCMVZQNX0SEKFfqCF6NgQ_7_18"/>
      <w:bookmarkStart w:id="904" w:name="Tc_zKuuRedvq0uv0UO-o3tE3Q_7_16"/>
      <w:bookmarkStart w:id="905" w:name="Tc_PP1jtddHOEG8-fFto3rJVQ_7_14"/>
      <w:bookmarkStart w:id="906" w:name="Tc_1RDIYRQ1EE6amJon5BD9qw_7_12"/>
      <w:bookmarkStart w:id="907" w:name="Tc_5sZ2yJ1FzES3nZAV_thz5Q_7_10"/>
      <w:bookmarkStart w:id="908" w:name="Tc_HL-FAvzJyEKjKnZmkTVd6A_7_8"/>
      <w:bookmarkStart w:id="909" w:name="Tc_bySVOl_R70mgQCTnnmK57A_7_6"/>
      <w:bookmarkStart w:id="910" w:name="Tc_kkQpZ17koEqb9zb7Im0mNw_7_4"/>
      <w:bookmarkStart w:id="911" w:name="Tc_-GapHbRN-0ql_KcfE-PBiA_7_2"/>
      <w:bookmarkStart w:id="912" w:name="Tc_8-wWNsUtQEW1eLjvIqA66w_6_22"/>
      <w:bookmarkStart w:id="913" w:name="Tc__KfYRnkOLEu-7vekcJgPJw_6_20"/>
      <w:bookmarkStart w:id="914" w:name="Tc_4OFmoZF9zUi0NjzFIPcDyw_6_18"/>
      <w:bookmarkStart w:id="915" w:name="Tc_v6ql2-4yTEidJovSQ2bstw_6_16"/>
      <w:bookmarkStart w:id="916" w:name="Tc_zy996gPo7U2cRs_pRkE1Pw_6_14"/>
      <w:bookmarkStart w:id="917" w:name="Tc_-tKYv5ONd06zMR6ZrG92-Q_6_12"/>
      <w:bookmarkStart w:id="918" w:name="Tc_z7WVSEu6ZkKnNUYysTkQuQ_6_10"/>
      <w:bookmarkStart w:id="919" w:name="Tc_144Y83KMlEGplnOlnrDKKA_6_6"/>
      <w:bookmarkStart w:id="920" w:name="Tc_dtJ8ncKMA0KtBO2ldkS15A_6_2"/>
      <w:bookmarkStart w:id="921" w:name="Tc_OrJpDjMjt0SLsaFdQPbZ8Q_5_20"/>
      <w:bookmarkStart w:id="922" w:name="Tc_x6haFVlFj02qh6VXBKIIXw_5_18"/>
      <w:bookmarkStart w:id="923" w:name="Tc_2DmU69XeeEecSogkopdD7A_5_16"/>
      <w:bookmarkStart w:id="924" w:name="Tc_RdJzuOIA2EG3SvTYyLUY3A_5_10"/>
      <w:bookmarkStart w:id="925" w:name="Tc_rIM0TnM0pE2KAk6NYTXOBw_5_6"/>
      <w:bookmarkStart w:id="926" w:name="Tc_4GiGuAhbOEuSgozoPBn35g_5_2"/>
      <w:bookmarkStart w:id="927" w:name="Tc_uh9EiQjd8EK1_UkKCe7Ecw_4_18"/>
      <w:bookmarkStart w:id="928" w:name="Tc_PAi_CpaYPEitRLt46KeGWg_4_16"/>
      <w:bookmarkStart w:id="929" w:name="Tc_-xsDqeJR70awTfLLHyK5dQ_3_18"/>
      <w:bookmarkStart w:id="930" w:name="Tc_Ku33im6kSUqQfTV_ICs8Wg_2_18"/>
      <w:bookmarkStart w:id="931" w:name="Tc_OBjoe7If2UWKzBVHzlhCQg_1_6"/>
      <w:bookmarkStart w:id="932" w:name="Tc_Ruwjqd52C0mXMl67tgYBgw_1_2"/>
      <w:bookmarkStart w:id="933" w:name="_d217db16_1c40_42c5_8f64_27a149427fd9"/>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tbl>
      <w:tblPr>
        <w:tblW w:w="14953" w:type="dxa"/>
        <w:jc w:val="left"/>
        <w:tblInd w:w="0" w:type="dxa"/>
        <w:tblLayout w:type="fixed"/>
        <w:tblCellMar>
          <w:top w:w="0" w:type="dxa"/>
          <w:left w:w="0" w:type="dxa"/>
          <w:bottom w:w="0" w:type="dxa"/>
          <w:right w:w="0" w:type="dxa"/>
        </w:tblCellMar>
      </w:tblPr>
      <w:tblGrid>
        <w:gridCol w:w="1261"/>
        <w:gridCol w:w="326"/>
        <w:gridCol w:w="1036"/>
        <w:gridCol w:w="326"/>
        <w:gridCol w:w="691"/>
        <w:gridCol w:w="326"/>
        <w:gridCol w:w="931"/>
        <w:gridCol w:w="326"/>
        <w:gridCol w:w="736"/>
        <w:gridCol w:w="326"/>
        <w:gridCol w:w="871"/>
        <w:gridCol w:w="326"/>
        <w:gridCol w:w="1051"/>
        <w:gridCol w:w="326"/>
        <w:gridCol w:w="811"/>
        <w:gridCol w:w="326"/>
        <w:gridCol w:w="1171"/>
        <w:gridCol w:w="326"/>
        <w:gridCol w:w="1021"/>
        <w:gridCol w:w="326"/>
        <w:gridCol w:w="901"/>
        <w:gridCol w:w="326"/>
        <w:gridCol w:w="88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800735" cy="175260"/>
                      <wp:effectExtent l="0" t="0" r="0" b="0"/>
                      <wp:wrapNone/>
                      <wp:docPr id="320" name="Frame313"/>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1"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57860" cy="175260"/>
                      <wp:effectExtent l="0" t="0" r="0" b="0"/>
                      <wp:wrapNone/>
                      <wp:docPr id="322" name="Frame3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3"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38785" cy="175260"/>
                      <wp:effectExtent l="0" t="0" r="0" b="0"/>
                      <wp:wrapNone/>
                      <wp:docPr id="324" name="Frame3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5"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91185" cy="175260"/>
                      <wp:effectExtent l="0" t="0" r="0" b="0"/>
                      <wp:wrapNone/>
                      <wp:docPr id="326" name="Frame3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27"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67360" cy="175260"/>
                      <wp:effectExtent l="0" t="0" r="0" b="0"/>
                      <wp:wrapNone/>
                      <wp:docPr id="328" name="Frame32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29"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53085" cy="175260"/>
                      <wp:effectExtent l="0" t="0" r="0" b="0"/>
                      <wp:wrapNone/>
                      <wp:docPr id="330" name="Frame32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1"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67385" cy="175260"/>
                      <wp:effectExtent l="0" t="0" r="0" b="0"/>
                      <wp:wrapNone/>
                      <wp:docPr id="332" name="Frame32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3"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14985" cy="175260"/>
                      <wp:effectExtent l="0" t="0" r="0" b="0"/>
                      <wp:wrapNone/>
                      <wp:docPr id="334" name="Frame32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5"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743585" cy="175260"/>
                      <wp:effectExtent l="0" t="0" r="0" b="0"/>
                      <wp:wrapNone/>
                      <wp:docPr id="336" name="Frame329"/>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37"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335" cy="175260"/>
                      <wp:effectExtent l="0" t="0" r="0" b="0"/>
                      <wp:wrapNone/>
                      <wp:docPr id="338" name="Frame331"/>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39"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72135" cy="175260"/>
                      <wp:effectExtent l="0" t="0" r="0" b="0"/>
                      <wp:wrapNone/>
                      <wp:docPr id="340" name="Frame33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1"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62610" cy="175260"/>
                      <wp:effectExtent l="0" t="0" r="0" b="0"/>
                      <wp:wrapNone/>
                      <wp:docPr id="342" name="Frame33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0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0"/>
              <w:ind w:left="0" w:right="0" w:hanging="0"/>
              <w:jc w:val="center"/>
              <w:rPr/>
            </w:pPr>
            <w:r>
              <w:rPr/>
              <w:t>    </w:t>
            </w:r>
          </w:p>
        </w:tc>
        <w:tc>
          <w:tcPr>
            <w:tcW w:w="19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17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02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iClick</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2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Interactive</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2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Asia Group</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2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Limited</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2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(losses)/income</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45,816,823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2,396,372</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(10,341)</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492,400</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(207,606)</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272,102</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279,088</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Reissuance of treasury shares upon exercise of employee share options and vesting of RSUs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677,530</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(677,530)</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11,969</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11,969</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11,969</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upon vesting of RSUs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572,500</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ordinary shares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604,960</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(10,687)</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(10,687)</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(10,687)</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ordinary shares upon subscription from Baozun Inc. (Notes 1(d) and 21(d))</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649,349</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18,539</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18,540</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18,540</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Issuance of ordinary shares upon settlement for contingent consideration payable (Note 4(b))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183,740</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combination (Note 4(c))</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(13,631)</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(13,631)</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(16,598)</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3,338</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3,338</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47,899,942</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2,323,802</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(20,908)</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525,508</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(221,237)</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284,352</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291,589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CHANGES IN SHAREHOLDERS’ EQUITY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2020, 2021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934" w:name="Tc_WqY3BcEYCkK0-FaXQEV5iw_16_0"/>
      <w:bookmarkStart w:id="935" w:name="Tc_Xbi6NXfbyUqCZ32KJKS33w_15_14"/>
      <w:bookmarkStart w:id="936" w:name="Tc_ChiwilV-80OlX-uJULGN1Q_15_12"/>
      <w:bookmarkStart w:id="937" w:name="Tc_DVL2FK7lq0eHsyYPhPIEsw_15_10"/>
      <w:bookmarkStart w:id="938" w:name="Tc_bqERBQk1tESAOFIn4wT9kQ_15_8"/>
      <w:bookmarkStart w:id="939" w:name="Tc_BI_hiE9JT0OcyGoiwMfqXA_15_6"/>
      <w:bookmarkStart w:id="940" w:name="Tc__aDa56jVckm877g4luguhQ_15_4"/>
      <w:bookmarkStart w:id="941" w:name="Tc_94VcQRx_m0yYOQxOuZ2kjw_15_2"/>
      <w:bookmarkStart w:id="942" w:name="Tc_-R1e-xeXt0WDC8zy69Qbxg_15_0"/>
      <w:bookmarkStart w:id="943" w:name="Tc_90HFS7hMP0OQ9b2R7va2kA_14_16"/>
      <w:bookmarkStart w:id="944" w:name="Tc_k4TwK4XTkEOLmKGkDUH5kQ_14_14"/>
      <w:bookmarkStart w:id="945" w:name="Tc_wCNdRNExXkSpQZ9m6CLaSw_14_10"/>
      <w:bookmarkStart w:id="946" w:name="Tc_iJgEszDbEkCp4iQdgPjVNQ_14_8"/>
      <w:bookmarkStart w:id="947" w:name="Tc_C0glZstyBEKtEoU3MJU5MQ_14_6"/>
      <w:bookmarkStart w:id="948" w:name="Tc_lmT95cX7bEaG2RE57hxKAg_14_4"/>
      <w:bookmarkStart w:id="949" w:name="Tc_qEm_iI8rgEqY1HyT7Cxahg_14_2"/>
      <w:bookmarkStart w:id="950" w:name="Tc_m_yGNCiYlUWwuRGIZRaHNg_14_0"/>
      <w:bookmarkStart w:id="951" w:name="Tc_JtU93MPF1E2ZOExO3xmZ_Q_13_16"/>
      <w:bookmarkStart w:id="952" w:name="Tc_07iM6UTUaE2uIGpIt_LUww_13_14"/>
      <w:bookmarkStart w:id="953" w:name="Tc_tD9vXOTyEESgG4HLLEJHJg_13_12"/>
      <w:bookmarkStart w:id="954" w:name="Tc_SGA9tdCGm0aLEdhMILWnfA_13_8"/>
      <w:bookmarkStart w:id="955" w:name="Tc_JS7eTc1JDEuPeF_YggC4WQ_13_6"/>
      <w:bookmarkStart w:id="956" w:name="Tc_JKu5iEW9MEaK_UO49preig_13_0"/>
      <w:bookmarkStart w:id="957" w:name="Tc_hgnATXAX_UKzqc0hBd-7xg_12_20"/>
      <w:bookmarkStart w:id="958" w:name="Tc_62zxTpVEFkOO3_z1zWR2VQ_12_16"/>
      <w:bookmarkStart w:id="959" w:name="Tc_MuuYCQqrOkC7Avlc6V9-xQ_12_14"/>
      <w:bookmarkStart w:id="960" w:name="Tc_mwAaTwUV202i5xbXJWbYSA_12_12"/>
      <w:bookmarkStart w:id="961" w:name="Tc_zQcMCGF7F0OnSHPciTibkw_12_10"/>
      <w:bookmarkStart w:id="962" w:name="Tc_LRwUPuZ3-0mGYBmq41RWJw_12_4"/>
      <w:bookmarkStart w:id="963" w:name="Tc_UYvMYgr-GUmaUQA9UBma8A_12_2"/>
      <w:bookmarkStart w:id="964" w:name="Tc_6y37Iy99C0GxqZHVvaQ5Ng_12_0"/>
      <w:bookmarkStart w:id="965" w:name="Tc_11m2ciw_rEOdelN4tLAkhA_11_22"/>
      <w:bookmarkStart w:id="966" w:name="Tc_6pIxFPJDDkeHAtSYPlGNqw_11_20"/>
      <w:bookmarkStart w:id="967" w:name="Tc_t2AUAsZ0cEqzGCgzVipkXQ_11_18"/>
      <w:bookmarkStart w:id="968" w:name="Tc_bLPs_fxmXU2p_bgLrGpnSQ_11_16"/>
      <w:bookmarkStart w:id="969" w:name="Tc_531SuwXj0k2olZiNioPSAA_11_14"/>
      <w:bookmarkStart w:id="970" w:name="Tc_IVNrj_5CiEW5XzwFVsnFtw_11_12"/>
      <w:bookmarkStart w:id="971" w:name="Tc_Bij63J9uhEKrdXru3_XW8Q_11_10"/>
      <w:bookmarkStart w:id="972" w:name="Tc__9ukVAyAAESw3_DD-Lz4qQ_11_8"/>
      <w:bookmarkStart w:id="973" w:name="Tc_JSQq256XwESlKsQSqru5MA_11_6"/>
      <w:bookmarkStart w:id="974" w:name="Tc_w7Y1ucU710iLAAPd6jRe9g_11_4"/>
      <w:bookmarkStart w:id="975" w:name="Tc_OrvflfqEk0-BZTvbQcDP9Q_11_0"/>
      <w:bookmarkStart w:id="976" w:name="Tc_4xLMiT-Q9UaU4W7_0y87zg_10_20"/>
      <w:bookmarkStart w:id="977" w:name="Tc_dmggv-g2_UilLhTP610I3A_10_16"/>
      <w:bookmarkStart w:id="978" w:name="Tc_jJtibjm8lUW-jmTFbyr0Ng_10_14"/>
      <w:bookmarkStart w:id="979" w:name="Tc_-njX_Q2N-kmw7yJYqnDANA_10_12"/>
      <w:bookmarkStart w:id="980" w:name="Tc_PJAkX1HQuUGtcIlUZdj3Ug_10_8"/>
      <w:bookmarkStart w:id="981" w:name="Tc_lSzp3fVGdUq8E8Sns0UcmQ_10_6"/>
      <w:bookmarkStart w:id="982" w:name="Tc_WZ2ILb68W0OYSDzTsumkjA_10_4"/>
      <w:bookmarkStart w:id="983" w:name="Tc_wQXEP0vXXEy3WS9F7m7FnQ_10_2"/>
      <w:bookmarkStart w:id="984" w:name="Tc_1IEM1DAxlkipSouZEn9D5A_10_0"/>
      <w:bookmarkStart w:id="985" w:name="Tc_ypDEG1-YSkKdGtvs7ie1Cw_9_20"/>
      <w:bookmarkStart w:id="986" w:name="Tc_rCLwHmJsGEWmvMHXY3cB-g_9_16"/>
      <w:bookmarkStart w:id="987" w:name="Tc_2YfYXXCDKE2lkVRRd_fFhA_9_14"/>
      <w:bookmarkStart w:id="988" w:name="Tc_AAXdfp8NcEaoVrN2g8wwKA_9_12"/>
      <w:bookmarkStart w:id="989" w:name="Tc_u3z-KuNSEkefHPQwZstZSA_9_4"/>
      <w:bookmarkStart w:id="990" w:name="Tc_fV7WXoq6DE-Gkx8QkrFa6A_9_0"/>
      <w:bookmarkStart w:id="991" w:name="Tc_NJy2qWl80keZQre1mQCx5A_8_0"/>
      <w:bookmarkStart w:id="992" w:name="Tc_Em8wRKTtk0-4iSKGYmzhlA_7_22"/>
      <w:bookmarkStart w:id="993" w:name="Tc_uzSciv2bB0a8GcS2wK9plA_7_20"/>
      <w:bookmarkStart w:id="994" w:name="Tc_VNkyu3w39UarDv34Ie42WQ_7_18"/>
      <w:bookmarkStart w:id="995" w:name="Tc_EFErofIGQUywK98OjQskCA_7_16"/>
      <w:bookmarkStart w:id="996" w:name="Tc_4Jl64F2pwE6DTpl3gWv2jg_7_14"/>
      <w:bookmarkStart w:id="997" w:name="Tc_K_BiKmLiz0G2oUagZlmpBg_7_12"/>
      <w:bookmarkStart w:id="998" w:name="Tc_T2-dBWZsUkyfweUc_Otz9A_7_10"/>
      <w:bookmarkStart w:id="999" w:name="Tc_Zh4RTG-4mkK3qSsNt8E9rg_7_8"/>
      <w:bookmarkStart w:id="1000" w:name="Tc_EzPYJGED60OUR2CoDJLVCQ_7_6"/>
      <w:bookmarkStart w:id="1001" w:name="Tc_QHWEanZK20KSdVzP8gO0Cg_7_4"/>
      <w:bookmarkStart w:id="1002" w:name="Tc_ctdEfzAaWkuDmVJ_OIAL4g_7_2"/>
      <w:bookmarkStart w:id="1003" w:name="Tc_6fb1rPSlN0W5TssOulMPUA_6_22"/>
      <w:bookmarkStart w:id="1004" w:name="Tc_ISed_4QitUiHg6Ow_1ThhQ_6_20"/>
      <w:bookmarkStart w:id="1005" w:name="Tc_P5SJq6S67kK4TeA8bmy3sA_6_18"/>
      <w:bookmarkStart w:id="1006" w:name="Tc_Ef3U4qRMHUGqCXjc2lE1jw_6_16"/>
      <w:bookmarkStart w:id="1007" w:name="Tc_8QwX7LXd-Eu78tSv6VS3Jw_6_14"/>
      <w:bookmarkStart w:id="1008" w:name="Tc_PwUmN5dykk6j7GxOee4URQ_6_12"/>
      <w:bookmarkStart w:id="1009" w:name="Tc_btlAvPPQYU-xXPdILu23EQ_6_10"/>
      <w:bookmarkStart w:id="1010" w:name="Tc_zBvtOB0-bUm5ZcXNhAgP7w_6_6"/>
      <w:bookmarkStart w:id="1011" w:name="Tc_F322HxJrxUCGX7jffUBcOA_6_2"/>
      <w:bookmarkStart w:id="1012" w:name="Tc_CTmpAhsXzE-KTNhfU-MMAQ_5_20"/>
      <w:bookmarkStart w:id="1013" w:name="Tc_aKbPYd1JzECqQWeDjhp1cA_5_18"/>
      <w:bookmarkStart w:id="1014" w:name="Tc_K7kTNc4fvkmC3t9vWiNAHw_5_16"/>
      <w:bookmarkStart w:id="1015" w:name="Tc_MJRMVQqxy0GAAS2ZeROS0g_5_10"/>
      <w:bookmarkStart w:id="1016" w:name="Tc_0bkxbbmklk-rS6aWoccNtQ_5_6"/>
      <w:bookmarkStart w:id="1017" w:name="Tc_K5lNtsP8n0mzY6ebovS7hA_5_2"/>
      <w:bookmarkStart w:id="1018" w:name="Tc_3jw7I_leZE-JtdhPHlp7mQ_4_18"/>
      <w:bookmarkStart w:id="1019" w:name="Tc_dOpOCwlKb06tkTcz8Kq5wQ_4_16"/>
      <w:bookmarkStart w:id="1020" w:name="Tc_RMzQ--atQk6V6Te734gKLQ_3_18"/>
      <w:bookmarkStart w:id="1021" w:name="Tc_vHKwMCCjWEauwypokVccDw_2_18"/>
      <w:bookmarkStart w:id="1022" w:name="Tc_fz9vqKClbkS3Dq1KTpBr_g_1_6"/>
      <w:bookmarkStart w:id="1023" w:name="Tc_JJJIGCkpJEa_-MpNbJ8egg_1_2"/>
      <w:bookmarkStart w:id="1024" w:name="EquityEND"/>
      <w:bookmarkStart w:id="1025" w:name="_9edd96b2_4272_4d97_9d59_46670e3b29cb"/>
      <w:bookmarkStart w:id="1026" w:name="Tc_WqY3BcEYCkK0-FaXQEV5iw_16_0"/>
      <w:bookmarkStart w:id="1027" w:name="Tc_Xbi6NXfbyUqCZ32KJKS33w_15_14"/>
      <w:bookmarkStart w:id="1028" w:name="Tc_ChiwilV-80OlX-uJULGN1Q_15_12"/>
      <w:bookmarkStart w:id="1029" w:name="Tc_DVL2FK7lq0eHsyYPhPIEsw_15_10"/>
      <w:bookmarkStart w:id="1030" w:name="Tc_bqERBQk1tESAOFIn4wT9kQ_15_8"/>
      <w:bookmarkStart w:id="1031" w:name="Tc_BI_hiE9JT0OcyGoiwMfqXA_15_6"/>
      <w:bookmarkStart w:id="1032" w:name="Tc__aDa56jVckm877g4luguhQ_15_4"/>
      <w:bookmarkStart w:id="1033" w:name="Tc_94VcQRx_m0yYOQxOuZ2kjw_15_2"/>
      <w:bookmarkStart w:id="1034" w:name="Tc_-R1e-xeXt0WDC8zy69Qbxg_15_0"/>
      <w:bookmarkStart w:id="1035" w:name="Tc_90HFS7hMP0OQ9b2R7va2kA_14_16"/>
      <w:bookmarkStart w:id="1036" w:name="Tc_k4TwK4XTkEOLmKGkDUH5kQ_14_14"/>
      <w:bookmarkStart w:id="1037" w:name="Tc_wCNdRNExXkSpQZ9m6CLaSw_14_10"/>
      <w:bookmarkStart w:id="1038" w:name="Tc_iJgEszDbEkCp4iQdgPjVNQ_14_8"/>
      <w:bookmarkStart w:id="1039" w:name="Tc_C0glZstyBEKtEoU3MJU5MQ_14_6"/>
      <w:bookmarkStart w:id="1040" w:name="Tc_lmT95cX7bEaG2RE57hxKAg_14_4"/>
      <w:bookmarkStart w:id="1041" w:name="Tc_qEm_iI8rgEqY1HyT7Cxahg_14_2"/>
      <w:bookmarkStart w:id="1042" w:name="Tc_m_yGNCiYlUWwuRGIZRaHNg_14_0"/>
      <w:bookmarkStart w:id="1043" w:name="Tc_JtU93MPF1E2ZOExO3xmZ_Q_13_16"/>
      <w:bookmarkStart w:id="1044" w:name="Tc_07iM6UTUaE2uIGpIt_LUww_13_14"/>
      <w:bookmarkStart w:id="1045" w:name="Tc_tD9vXOTyEESgG4HLLEJHJg_13_12"/>
      <w:bookmarkStart w:id="1046" w:name="Tc_SGA9tdCGm0aLEdhMILWnfA_13_8"/>
      <w:bookmarkStart w:id="1047" w:name="Tc_JS7eTc1JDEuPeF_YggC4WQ_13_6"/>
      <w:bookmarkStart w:id="1048" w:name="Tc_JKu5iEW9MEaK_UO49preig_13_0"/>
      <w:bookmarkStart w:id="1049" w:name="Tc_hgnATXAX_UKzqc0hBd-7xg_12_20"/>
      <w:bookmarkStart w:id="1050" w:name="Tc_62zxTpVEFkOO3_z1zWR2VQ_12_16"/>
      <w:bookmarkStart w:id="1051" w:name="Tc_MuuYCQqrOkC7Avlc6V9-xQ_12_14"/>
      <w:bookmarkStart w:id="1052" w:name="Tc_mwAaTwUV202i5xbXJWbYSA_12_12"/>
      <w:bookmarkStart w:id="1053" w:name="Tc_zQcMCGF7F0OnSHPciTibkw_12_10"/>
      <w:bookmarkStart w:id="1054" w:name="Tc_LRwUPuZ3-0mGYBmq41RWJw_12_4"/>
      <w:bookmarkStart w:id="1055" w:name="Tc_UYvMYgr-GUmaUQA9UBma8A_12_2"/>
      <w:bookmarkStart w:id="1056" w:name="Tc_6y37Iy99C0GxqZHVvaQ5Ng_12_0"/>
      <w:bookmarkStart w:id="1057" w:name="Tc_11m2ciw_rEOdelN4tLAkhA_11_22"/>
      <w:bookmarkStart w:id="1058" w:name="Tc_6pIxFPJDDkeHAtSYPlGNqw_11_20"/>
      <w:bookmarkStart w:id="1059" w:name="Tc_t2AUAsZ0cEqzGCgzVipkXQ_11_18"/>
      <w:bookmarkStart w:id="1060" w:name="Tc_bLPs_fxmXU2p_bgLrGpnSQ_11_16"/>
      <w:bookmarkStart w:id="1061" w:name="Tc_531SuwXj0k2olZiNioPSAA_11_14"/>
      <w:bookmarkStart w:id="1062" w:name="Tc_IVNrj_5CiEW5XzwFVsnFtw_11_12"/>
      <w:bookmarkStart w:id="1063" w:name="Tc_Bij63J9uhEKrdXru3_XW8Q_11_10"/>
      <w:bookmarkStart w:id="1064" w:name="Tc__9ukVAyAAESw3_DD-Lz4qQ_11_8"/>
      <w:bookmarkStart w:id="1065" w:name="Tc_JSQq256XwESlKsQSqru5MA_11_6"/>
      <w:bookmarkStart w:id="1066" w:name="Tc_w7Y1ucU710iLAAPd6jRe9g_11_4"/>
      <w:bookmarkStart w:id="1067" w:name="Tc_OrvflfqEk0-BZTvbQcDP9Q_11_0"/>
      <w:bookmarkStart w:id="1068" w:name="Tc_4xLMiT-Q9UaU4W7_0y87zg_10_20"/>
      <w:bookmarkStart w:id="1069" w:name="Tc_dmggv-g2_UilLhTP610I3A_10_16"/>
      <w:bookmarkStart w:id="1070" w:name="Tc_jJtibjm8lUW-jmTFbyr0Ng_10_14"/>
      <w:bookmarkStart w:id="1071" w:name="Tc_-njX_Q2N-kmw7yJYqnDANA_10_12"/>
      <w:bookmarkStart w:id="1072" w:name="Tc_PJAkX1HQuUGtcIlUZdj3Ug_10_8"/>
      <w:bookmarkStart w:id="1073" w:name="Tc_lSzp3fVGdUq8E8Sns0UcmQ_10_6"/>
      <w:bookmarkStart w:id="1074" w:name="Tc_WZ2ILb68W0OYSDzTsumkjA_10_4"/>
      <w:bookmarkStart w:id="1075" w:name="Tc_wQXEP0vXXEy3WS9F7m7FnQ_10_2"/>
      <w:bookmarkStart w:id="1076" w:name="Tc_1IEM1DAxlkipSouZEn9D5A_10_0"/>
      <w:bookmarkStart w:id="1077" w:name="Tc_ypDEG1-YSkKdGtvs7ie1Cw_9_20"/>
      <w:bookmarkStart w:id="1078" w:name="Tc_rCLwHmJsGEWmvMHXY3cB-g_9_16"/>
      <w:bookmarkStart w:id="1079" w:name="Tc_2YfYXXCDKE2lkVRRd_fFhA_9_14"/>
      <w:bookmarkStart w:id="1080" w:name="Tc_AAXdfp8NcEaoVrN2g8wwKA_9_12"/>
      <w:bookmarkStart w:id="1081" w:name="Tc_u3z-KuNSEkefHPQwZstZSA_9_4"/>
      <w:bookmarkStart w:id="1082" w:name="Tc_fV7WXoq6DE-Gkx8QkrFa6A_9_0"/>
      <w:bookmarkStart w:id="1083" w:name="Tc_NJy2qWl80keZQre1mQCx5A_8_0"/>
      <w:bookmarkStart w:id="1084" w:name="Tc_Em8wRKTtk0-4iSKGYmzhlA_7_22"/>
      <w:bookmarkStart w:id="1085" w:name="Tc_uzSciv2bB0a8GcS2wK9plA_7_20"/>
      <w:bookmarkStart w:id="1086" w:name="Tc_VNkyu3w39UarDv34Ie42WQ_7_18"/>
      <w:bookmarkStart w:id="1087" w:name="Tc_EFErofIGQUywK98OjQskCA_7_16"/>
      <w:bookmarkStart w:id="1088" w:name="Tc_4Jl64F2pwE6DTpl3gWv2jg_7_14"/>
      <w:bookmarkStart w:id="1089" w:name="Tc_K_BiKmLiz0G2oUagZlmpBg_7_12"/>
      <w:bookmarkStart w:id="1090" w:name="Tc_T2-dBWZsUkyfweUc_Otz9A_7_10"/>
      <w:bookmarkStart w:id="1091" w:name="Tc_Zh4RTG-4mkK3qSsNt8E9rg_7_8"/>
      <w:bookmarkStart w:id="1092" w:name="Tc_EzPYJGED60OUR2CoDJLVCQ_7_6"/>
      <w:bookmarkStart w:id="1093" w:name="Tc_QHWEanZK20KSdVzP8gO0Cg_7_4"/>
      <w:bookmarkStart w:id="1094" w:name="Tc_ctdEfzAaWkuDmVJ_OIAL4g_7_2"/>
      <w:bookmarkStart w:id="1095" w:name="Tc_6fb1rPSlN0W5TssOulMPUA_6_22"/>
      <w:bookmarkStart w:id="1096" w:name="Tc_ISed_4QitUiHg6Ow_1ThhQ_6_20"/>
      <w:bookmarkStart w:id="1097" w:name="Tc_P5SJq6S67kK4TeA8bmy3sA_6_18"/>
      <w:bookmarkStart w:id="1098" w:name="Tc_Ef3U4qRMHUGqCXjc2lE1jw_6_16"/>
      <w:bookmarkStart w:id="1099" w:name="Tc_8QwX7LXd-Eu78tSv6VS3Jw_6_14"/>
      <w:bookmarkStart w:id="1100" w:name="Tc_PwUmN5dykk6j7GxOee4URQ_6_12"/>
      <w:bookmarkStart w:id="1101" w:name="Tc_btlAvPPQYU-xXPdILu23EQ_6_10"/>
      <w:bookmarkStart w:id="1102" w:name="Tc_zBvtOB0-bUm5ZcXNhAgP7w_6_6"/>
      <w:bookmarkStart w:id="1103" w:name="Tc_F322HxJrxUCGX7jffUBcOA_6_2"/>
      <w:bookmarkStart w:id="1104" w:name="Tc_CTmpAhsXzE-KTNhfU-MMAQ_5_20"/>
      <w:bookmarkStart w:id="1105" w:name="Tc_aKbPYd1JzECqQWeDjhp1cA_5_18"/>
      <w:bookmarkStart w:id="1106" w:name="Tc_K7kTNc4fvkmC3t9vWiNAHw_5_16"/>
      <w:bookmarkStart w:id="1107" w:name="Tc_MJRMVQqxy0GAAS2ZeROS0g_5_10"/>
      <w:bookmarkStart w:id="1108" w:name="Tc_0bkxbbmklk-rS6aWoccNtQ_5_6"/>
      <w:bookmarkStart w:id="1109" w:name="Tc_K5lNtsP8n0mzY6ebovS7hA_5_2"/>
      <w:bookmarkStart w:id="1110" w:name="Tc_3jw7I_leZE-JtdhPHlp7mQ_4_18"/>
      <w:bookmarkStart w:id="1111" w:name="Tc_dOpOCwlKb06tkTcz8Kq5wQ_4_16"/>
      <w:bookmarkStart w:id="1112" w:name="Tc_RMzQ--atQk6V6Te734gKLQ_3_18"/>
      <w:bookmarkStart w:id="1113" w:name="Tc_vHKwMCCjWEauwypokVccDw_2_18"/>
      <w:bookmarkStart w:id="1114" w:name="Tc_fz9vqKClbkS3Dq1KTpBr_g_1_6"/>
      <w:bookmarkStart w:id="1115" w:name="Tc_JJJIGCkpJEa_-MpNbJ8egg_1_2"/>
      <w:bookmarkStart w:id="1116" w:name="EquityEND"/>
      <w:bookmarkStart w:id="1117" w:name="_9edd96b2_4272_4d97_9d59_46670e3b29cb"/>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p>
    <w:tbl>
      <w:tblPr>
        <w:tblW w:w="15103" w:type="dxa"/>
        <w:jc w:val="left"/>
        <w:tblInd w:w="0" w:type="dxa"/>
        <w:tblLayout w:type="fixed"/>
        <w:tblCellMar>
          <w:top w:w="0" w:type="dxa"/>
          <w:left w:w="0" w:type="dxa"/>
          <w:bottom w:w="0" w:type="dxa"/>
          <w:right w:w="0" w:type="dxa"/>
        </w:tblCellMar>
      </w:tblPr>
      <w:tblGrid>
        <w:gridCol w:w="1411"/>
        <w:gridCol w:w="326"/>
        <w:gridCol w:w="1036"/>
        <w:gridCol w:w="326"/>
        <w:gridCol w:w="691"/>
        <w:gridCol w:w="326"/>
        <w:gridCol w:w="931"/>
        <w:gridCol w:w="326"/>
        <w:gridCol w:w="736"/>
        <w:gridCol w:w="326"/>
        <w:gridCol w:w="871"/>
        <w:gridCol w:w="326"/>
        <w:gridCol w:w="1051"/>
        <w:gridCol w:w="326"/>
        <w:gridCol w:w="811"/>
        <w:gridCol w:w="326"/>
        <w:gridCol w:w="1171"/>
        <w:gridCol w:w="326"/>
        <w:gridCol w:w="1021"/>
        <w:gridCol w:w="326"/>
        <w:gridCol w:w="901"/>
        <w:gridCol w:w="326"/>
        <w:gridCol w:w="886"/>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895985" cy="175260"/>
                      <wp:effectExtent l="0" t="0" r="0" b="0"/>
                      <wp:wrapNone/>
                      <wp:docPr id="343" name="Frame336"/>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4"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57860" cy="175260"/>
                      <wp:effectExtent l="0" t="0" r="0" b="0"/>
                      <wp:wrapNone/>
                      <wp:docPr id="345" name="Frame33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6"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38785" cy="175260"/>
                      <wp:effectExtent l="0" t="0" r="0" b="0"/>
                      <wp:wrapNone/>
                      <wp:docPr id="347" name="Frame3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48"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91185" cy="175260"/>
                      <wp:effectExtent l="0" t="0" r="0" b="0"/>
                      <wp:wrapNone/>
                      <wp:docPr id="349" name="Frame3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0"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67360" cy="175260"/>
                      <wp:effectExtent l="0" t="0" r="0" b="0"/>
                      <wp:wrapNone/>
                      <wp:docPr id="351" name="Frame3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2"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53085" cy="175260"/>
                      <wp:effectExtent l="0" t="0" r="0" b="0"/>
                      <wp:wrapNone/>
                      <wp:docPr id="353" name="Frame34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4"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67385" cy="175260"/>
                      <wp:effectExtent l="0" t="0" r="0" b="0"/>
                      <wp:wrapNone/>
                      <wp:docPr id="355" name="Frame34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6"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14985" cy="175260"/>
                      <wp:effectExtent l="0" t="0" r="0" b="0"/>
                      <wp:wrapNone/>
                      <wp:docPr id="357" name="Frame35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58"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743585" cy="175260"/>
                      <wp:effectExtent l="0" t="0" r="0" b="0"/>
                      <wp:wrapNone/>
                      <wp:docPr id="359" name="Frame35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0"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335" cy="175260"/>
                      <wp:effectExtent l="0" t="0" r="0" b="0"/>
                      <wp:wrapNone/>
                      <wp:docPr id="361" name="Frame35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2"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72135" cy="175260"/>
                      <wp:effectExtent l="0" t="0" r="0" b="0"/>
                      <wp:wrapNone/>
                      <wp:docPr id="363" name="Frame35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4"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62610" cy="175260"/>
                      <wp:effectExtent l="0" t="0" r="0" b="0"/>
                      <wp:wrapNone/>
                      <wp:docPr id="365" name="Frame35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0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0"/>
              <w:ind w:left="0" w:right="0" w:hanging="0"/>
              <w:jc w:val="center"/>
              <w:rPr/>
            </w:pPr>
            <w:r>
              <w:rPr/>
              <w:t>    </w:t>
            </w:r>
          </w:p>
        </w:tc>
        <w:tc>
          <w:tcPr>
            <w:tcW w:w="19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17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02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iClick</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Interactive</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Asia Group</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Limited</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income/(losses)</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47,899,942</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2,323,802</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(20,908)</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525,508</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(221,237)</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284,352</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291,589</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Reissuance of treasury shares upon exercise of employee share options and vesting of RSUs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139,871</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(139,871)</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upon vesting of RSUs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345,000</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ordinary shares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3,659,404</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(7,574)</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(7,574)</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(7,574)</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interest in a subsidiary from non-controlling interests (Note 1(a)(iv))</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386,415</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(202,806)</w:t>
            </w:r>
          </w:p>
        </w:tc>
      </w:tr>
      <w:tr>
        <w:trPr/>
        <w:tc>
          <w:tcPr>
            <w:tcW w:w="14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(4,946)</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(4,946)</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(5,060)</w:t>
            </w:r>
          </w:p>
        </w:tc>
      </w:tr>
      <w:tr>
        <w:trPr/>
        <w:tc>
          <w:tcPr>
            <w:tcW w:w="14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48,771,228</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5,843,335</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(28,457)</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529,455</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(422,112)</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74,930</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4,359</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79,289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18" w:name="_6b43555f_97ae_4f22_82aa_3f9c2a76ac75"/>
      <w:bookmarkEnd w:id="1118"/>
      <w:r>
        <w:rPr>
          <w:rFonts w:ascii="Times New Roman;Times;serif" w:hAnsi="Times New Roman;Times;serif"/>
          <w:b/>
          <w:sz w:val="20"/>
        </w:rPr>
        <w:t>iCLICK INTERACTIVE ASIA GROUP LIMITED</w:t>
      </w:r>
    </w:p>
    <w:p>
      <w:pPr>
        <w:pStyle w:val="TextBody"/>
        <w:bidi w:val="0"/>
        <w:spacing w:before="0" w:after="0"/>
        <w:ind w:left="0" w:right="0" w:hanging="0"/>
        <w:jc w:val="left"/>
        <w:rPr>
          <w:rFonts w:ascii="Times New Roman;Times;serif" w:hAnsi="Times New Roman;Times;serif"/>
          <w:b/>
          <w:sz w:val="20"/>
        </w:rPr>
      </w:pPr>
      <w:bookmarkStart w:id="1119" w:name="CONSOLIDATEDSTATEMENTSOFCASHFLOWS_958747"/>
      <w:bookmarkEnd w:id="1119"/>
      <w:r>
        <w:rPr>
          <w:rFonts w:ascii="Times New Roman;Times;serif" w:hAnsi="Times New Roman;Times;serif"/>
          <w:b/>
          <w:sz w:val="20"/>
        </w:rPr>
        <w:t>CONSOLIDATED STATEMENTS OF CASH FLOWS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2020, 2021 AND 2022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120" w:name="Tc_yb1-cqW2YEKbKQUk-VqWWA_54_0"/>
      <w:bookmarkStart w:id="1121" w:name="Tc_wjieIyytKE6od_sRPRAQww_53_2"/>
      <w:bookmarkStart w:id="1122" w:name="Tc_v0k2YlNl6kCcf0_34eQTHQ_53_0"/>
      <w:bookmarkStart w:id="1123" w:name="Tc_Qlh58oh6kE60yUK5rG6cnw_52_2"/>
      <w:bookmarkStart w:id="1124" w:name="Tc_hEkYekyy4E60y5Q4ZK_0Hw_52_0"/>
      <w:bookmarkStart w:id="1125" w:name="Tc_JxV6oUjqrUq7NY4sLRvGLQ_51_6"/>
      <w:bookmarkStart w:id="1126" w:name="Tc_HU5t20TgFkmQ472mh-xrkA_51_0"/>
      <w:bookmarkStart w:id="1127" w:name="Tc_fMKP8wWe50eXqM4MMiTJug_50_4"/>
      <w:bookmarkStart w:id="1128" w:name="Tc_CnH0XFrXf0uUW_nA82Yjuw_50_2"/>
      <w:bookmarkStart w:id="1129" w:name="Tc_uIYLHcwv_USva4E77Sbs1A_50_0"/>
      <w:bookmarkStart w:id="1130" w:name="Tc_ksRhvs_NlUO8fBEMPybsWg_49_0"/>
      <w:bookmarkStart w:id="1131" w:name="Tc_K8HmpdnmKkiklD25p1qlxA_48_0"/>
      <w:bookmarkStart w:id="1132" w:name="Tc_hXP0RP2YJk-MQbNB9jQDdQ_47_6"/>
      <w:bookmarkStart w:id="1133" w:name="Tc_OhK3XrejJUaeeTnerhq4qA_47_0"/>
      <w:bookmarkStart w:id="1134" w:name="Tc_96cFsmd4FEqaIXWDpTzlWQ_46_0"/>
      <w:bookmarkStart w:id="1135" w:name="Tc_B58AvcI1dU-9GQRl8_4IVw_45_6"/>
      <w:bookmarkStart w:id="1136" w:name="Tc_vrAoZNkAiUyKwazCPUfEyA_45_4"/>
      <w:bookmarkStart w:id="1137" w:name="Tc_z6RpLNPSlUaqy5IBuNUJ2Q_45_0"/>
      <w:bookmarkStart w:id="1138" w:name="Tc_azLTs-hJeUeQ9PmTfjxaKw_44_0"/>
      <w:bookmarkStart w:id="1139" w:name="Tc_q7dcwgoJp02XhCD9FtpIWA_43_6"/>
      <w:bookmarkStart w:id="1140" w:name="Tc_A-DespDrAE-UXFVdpWDDXw_43_0"/>
      <w:bookmarkStart w:id="1141" w:name="Tc_eJ2ObmFvKEaAsxRBbTgazw_42_0"/>
      <w:bookmarkStart w:id="1142" w:name="Tc_VN1v-AqgXkWwGpyjOLgSNA_41_0"/>
      <w:bookmarkStart w:id="1143" w:name="Tc_SNmmWrgcyEuBEZpCbb_hYQ_39_0"/>
      <w:bookmarkStart w:id="1144" w:name="Tc_-p4_E6ZgKUyNTEfge-wDpg_38_0"/>
      <w:bookmarkStart w:id="1145" w:name="Tc_bavyTrO76kigUtopC8TIgA_37_0"/>
      <w:bookmarkStart w:id="1146" w:name="Tc_1kSJTgZX8Eaggxe0qnPBmQ_36_0"/>
      <w:bookmarkStart w:id="1147" w:name="Tc_YIvlhFFWxUSSUyJfYz0dLw_35_0"/>
      <w:bookmarkStart w:id="1148" w:name="Tc_Yt2qyTPlREqMmH7_OMXUyg_34_0"/>
      <w:bookmarkStart w:id="1149" w:name="Tc_bBLr5A8XFE2js4iTqVDCDw_33_0"/>
      <w:bookmarkStart w:id="1150" w:name="Tc_C9LaE7IUgEmi2lhAZ5wqaA_32_0"/>
      <w:bookmarkStart w:id="1151" w:name="Tc_sW32VL_8tkmMeJYGp7Ortg_31_0"/>
      <w:bookmarkStart w:id="1152" w:name="Tc_9DDuheG27U2xccH5fr_J4A_30_0"/>
      <w:bookmarkStart w:id="1153" w:name="Tc_6YC2_t1b0UaUqibEiC_PDQ_29_0"/>
      <w:bookmarkStart w:id="1154" w:name="Tc_uv8HihTqjUSB3l0-McBgmA_28_0"/>
      <w:bookmarkStart w:id="1155" w:name="Tc_evJOCUbuQ0WpiBZohh8h3Q_27_0"/>
      <w:bookmarkStart w:id="1156" w:name="Tc_1H0vKAdFsUOxxedSl9F84w_26_0"/>
      <w:bookmarkStart w:id="1157" w:name="Tc_KXD4i9GuiUC9Tc2MEoWXBw_25_0"/>
      <w:bookmarkStart w:id="1158" w:name="Tc_2FahyfZHT0CsPFQXdfs0Cg_24_2"/>
      <w:bookmarkStart w:id="1159" w:name="Tc_BX7LV427bketfoeLMknKeA_24_0"/>
      <w:bookmarkStart w:id="1160" w:name="Tc_HeZ4As6l3Eqok4SaZS2hXA_23_4"/>
      <w:bookmarkStart w:id="1161" w:name="Tc_lLZnpbdeW0u4OUQh1S3gFg_23_2"/>
      <w:bookmarkStart w:id="1162" w:name="Tc_63JWA8aAQkCxZxcvTHBKcg_23_0"/>
      <w:bookmarkStart w:id="1163" w:name="Tc_SFCWLsJdfU2pzATnB1iZeA_22_4"/>
      <w:bookmarkStart w:id="1164" w:name="Tc_0ROioxFc_Uy2doutWtlW9Q_22_2"/>
      <w:bookmarkStart w:id="1165" w:name="Tc_OuI3fwCQ1UGvHWLH9JFdsg_22_0"/>
      <w:bookmarkStart w:id="1166" w:name="Tc_w331GXjoC0K6Ww31wX6m2w_21_2"/>
      <w:bookmarkStart w:id="1167" w:name="Tc_E3Gpq81_X0WbqCW0AIlKcA_21_0"/>
      <w:bookmarkStart w:id="1168" w:name="Tc_gHqm8sg8E0edDiXbJ_uTow_20_4"/>
      <w:bookmarkStart w:id="1169" w:name="Tc_mojcDFTndUSI7dPKDZ_EiA_20_2"/>
      <w:bookmarkStart w:id="1170" w:name="Tc_NDHiQblIGkq6fI3KCQabAA_20_0"/>
      <w:bookmarkStart w:id="1171" w:name="Tc_sEAQ562q1EiAWZ2xaLzi2g_19_4"/>
      <w:bookmarkStart w:id="1172" w:name="Tc_ljfQhcPQqUWJGnwUYv3KOg_19_2"/>
      <w:bookmarkStart w:id="1173" w:name="Tc_3G6extAWpE-YAQSOMjKS8g_19_0"/>
      <w:bookmarkStart w:id="1174" w:name="Tc_MoNn_gwLzkeYd9z1VkafaA_18_0"/>
      <w:bookmarkStart w:id="1175" w:name="Tc_oIphmEyfH0-U0-fGjpOWiQ_17_6"/>
      <w:bookmarkStart w:id="1176" w:name="Tc_B9EW5ZHWBEe7FARygKCZVA_17_4"/>
      <w:bookmarkStart w:id="1177" w:name="Tc_df4AT0loeEuu3rzC83tvuA_17_0"/>
      <w:bookmarkStart w:id="1178" w:name="Tc_vxXzo456ZkeISz9b-cARLQ_16_6"/>
      <w:bookmarkStart w:id="1179" w:name="Tc_CJdxlRTA7k20u-GMmilJfQ_16_4"/>
      <w:bookmarkStart w:id="1180" w:name="Tc_jwiPWVx8xUKeqyAI2rBQ2g_16_0"/>
      <w:bookmarkStart w:id="1181" w:name="Tc_X99h2Vj1sEWD7NK9fiTA9g_15_0"/>
      <w:bookmarkStart w:id="1182" w:name="Tc_LjfW0m30zEaA8ceSx5KHUQ_14_6"/>
      <w:bookmarkStart w:id="1183" w:name="Tc_W07BPnc-g0eoNg6azd0N2A_14_2"/>
      <w:bookmarkStart w:id="1184" w:name="Tc_imLQUvaBqUKlwBM2pn642g_14_0"/>
      <w:bookmarkStart w:id="1185" w:name="Tc_7AbS7u3FQUS8sLvQEsEs0w_13_4"/>
      <w:bookmarkStart w:id="1186" w:name="Tc_dXZ4xWmXIEe3XmwscvOZHw_13_2"/>
      <w:bookmarkStart w:id="1187" w:name="Tc_489jLoZMSk2-c6V-BXqrew_13_0"/>
      <w:bookmarkStart w:id="1188" w:name="Tc_hXhTlr_HU0SA2bjKQnJuwA_12_2"/>
      <w:bookmarkStart w:id="1189" w:name="Tc_qEzJYpVGhUWHorcnccNPXA_12_0"/>
      <w:bookmarkStart w:id="1190" w:name="Tc_gsO7JS24d0uZVbihXhTsaQ_11_0"/>
      <w:bookmarkStart w:id="1191" w:name="Tc_qiPS6MQKvEu-549EycMxvQ_10_0"/>
      <w:bookmarkStart w:id="1192" w:name="Tc_NQ1a2OGVZUSd-IoH5FhfMA_9_0"/>
      <w:bookmarkStart w:id="1193" w:name="Tc_hHKqHwRvgkiYyQGwiwHgeQ_8_0"/>
      <w:bookmarkStart w:id="1194" w:name="Tc_IMb7JNM1U0iddB1OHr6BMA_7_0"/>
      <w:bookmarkStart w:id="1195" w:name="Tc_6CuW1khzZU-YAiLmleectg_6_0"/>
      <w:bookmarkStart w:id="1196" w:name="Tc_bdmAsTUwJUmmxB5UngK72Q_5_0"/>
      <w:bookmarkStart w:id="1197" w:name="Tc_B9bZ9uAYcUWZ2wrgyQhZNw_4_0"/>
      <w:bookmarkStart w:id="1198" w:name="Tc_qLq0v2ALIEOAZuVPaXNmfA_3_0"/>
      <w:bookmarkStart w:id="1199" w:name="Tc_CAFSyyTS0UmsYs8K0-qa8g_2_6"/>
      <w:bookmarkStart w:id="1200" w:name="Tc_J5lKe0aNuUSohPmPRwOzlA_2_4"/>
      <w:bookmarkStart w:id="1201" w:name="Tc_X6M1UZRg30yuwF3E6xQO5g_2_2"/>
      <w:bookmarkStart w:id="1202" w:name="Tc_RTnysE09GE-6nbQhyCoofA_1_2"/>
      <w:bookmarkStart w:id="1203" w:name="_07f0efa3_3f94_4fde_aa6c_9cf14394b151"/>
      <w:bookmarkStart w:id="1204" w:name="Tc_yb1-cqW2YEKbKQUk-VqWWA_54_0"/>
      <w:bookmarkStart w:id="1205" w:name="Tc_wjieIyytKE6od_sRPRAQww_53_2"/>
      <w:bookmarkStart w:id="1206" w:name="Tc_v0k2YlNl6kCcf0_34eQTHQ_53_0"/>
      <w:bookmarkStart w:id="1207" w:name="Tc_Qlh58oh6kE60yUK5rG6cnw_52_2"/>
      <w:bookmarkStart w:id="1208" w:name="Tc_hEkYekyy4E60y5Q4ZK_0Hw_52_0"/>
      <w:bookmarkStart w:id="1209" w:name="Tc_JxV6oUjqrUq7NY4sLRvGLQ_51_6"/>
      <w:bookmarkStart w:id="1210" w:name="Tc_HU5t20TgFkmQ472mh-xrkA_51_0"/>
      <w:bookmarkStart w:id="1211" w:name="Tc_fMKP8wWe50eXqM4MMiTJug_50_4"/>
      <w:bookmarkStart w:id="1212" w:name="Tc_CnH0XFrXf0uUW_nA82Yjuw_50_2"/>
      <w:bookmarkStart w:id="1213" w:name="Tc_uIYLHcwv_USva4E77Sbs1A_50_0"/>
      <w:bookmarkStart w:id="1214" w:name="Tc_ksRhvs_NlUO8fBEMPybsWg_49_0"/>
      <w:bookmarkStart w:id="1215" w:name="Tc_K8HmpdnmKkiklD25p1qlxA_48_0"/>
      <w:bookmarkStart w:id="1216" w:name="Tc_hXP0RP2YJk-MQbNB9jQDdQ_47_6"/>
      <w:bookmarkStart w:id="1217" w:name="Tc_OhK3XrejJUaeeTnerhq4qA_47_0"/>
      <w:bookmarkStart w:id="1218" w:name="Tc_96cFsmd4FEqaIXWDpTzlWQ_46_0"/>
      <w:bookmarkStart w:id="1219" w:name="Tc_B58AvcI1dU-9GQRl8_4IVw_45_6"/>
      <w:bookmarkStart w:id="1220" w:name="Tc_vrAoZNkAiUyKwazCPUfEyA_45_4"/>
      <w:bookmarkStart w:id="1221" w:name="Tc_z6RpLNPSlUaqy5IBuNUJ2Q_45_0"/>
      <w:bookmarkStart w:id="1222" w:name="Tc_azLTs-hJeUeQ9PmTfjxaKw_44_0"/>
      <w:bookmarkStart w:id="1223" w:name="Tc_q7dcwgoJp02XhCD9FtpIWA_43_6"/>
      <w:bookmarkStart w:id="1224" w:name="Tc_A-DespDrAE-UXFVdpWDDXw_43_0"/>
      <w:bookmarkStart w:id="1225" w:name="Tc_eJ2ObmFvKEaAsxRBbTgazw_42_0"/>
      <w:bookmarkStart w:id="1226" w:name="Tc_VN1v-AqgXkWwGpyjOLgSNA_41_0"/>
      <w:bookmarkStart w:id="1227" w:name="Tc_SNmmWrgcyEuBEZpCbb_hYQ_39_0"/>
      <w:bookmarkStart w:id="1228" w:name="Tc_-p4_E6ZgKUyNTEfge-wDpg_38_0"/>
      <w:bookmarkStart w:id="1229" w:name="Tc_bavyTrO76kigUtopC8TIgA_37_0"/>
      <w:bookmarkStart w:id="1230" w:name="Tc_1kSJTgZX8Eaggxe0qnPBmQ_36_0"/>
      <w:bookmarkStart w:id="1231" w:name="Tc_YIvlhFFWxUSSUyJfYz0dLw_35_0"/>
      <w:bookmarkStart w:id="1232" w:name="Tc_Yt2qyTPlREqMmH7_OMXUyg_34_0"/>
      <w:bookmarkStart w:id="1233" w:name="Tc_bBLr5A8XFE2js4iTqVDCDw_33_0"/>
      <w:bookmarkStart w:id="1234" w:name="Tc_C9LaE7IUgEmi2lhAZ5wqaA_32_0"/>
      <w:bookmarkStart w:id="1235" w:name="Tc_sW32VL_8tkmMeJYGp7Ortg_31_0"/>
      <w:bookmarkStart w:id="1236" w:name="Tc_9DDuheG27U2xccH5fr_J4A_30_0"/>
      <w:bookmarkStart w:id="1237" w:name="Tc_6YC2_t1b0UaUqibEiC_PDQ_29_0"/>
      <w:bookmarkStart w:id="1238" w:name="Tc_uv8HihTqjUSB3l0-McBgmA_28_0"/>
      <w:bookmarkStart w:id="1239" w:name="Tc_evJOCUbuQ0WpiBZohh8h3Q_27_0"/>
      <w:bookmarkStart w:id="1240" w:name="Tc_1H0vKAdFsUOxxedSl9F84w_26_0"/>
      <w:bookmarkStart w:id="1241" w:name="Tc_KXD4i9GuiUC9Tc2MEoWXBw_25_0"/>
      <w:bookmarkStart w:id="1242" w:name="Tc_2FahyfZHT0CsPFQXdfs0Cg_24_2"/>
      <w:bookmarkStart w:id="1243" w:name="Tc_BX7LV427bketfoeLMknKeA_24_0"/>
      <w:bookmarkStart w:id="1244" w:name="Tc_HeZ4As6l3Eqok4SaZS2hXA_23_4"/>
      <w:bookmarkStart w:id="1245" w:name="Tc_lLZnpbdeW0u4OUQh1S3gFg_23_2"/>
      <w:bookmarkStart w:id="1246" w:name="Tc_63JWA8aAQkCxZxcvTHBKcg_23_0"/>
      <w:bookmarkStart w:id="1247" w:name="Tc_SFCWLsJdfU2pzATnB1iZeA_22_4"/>
      <w:bookmarkStart w:id="1248" w:name="Tc_0ROioxFc_Uy2doutWtlW9Q_22_2"/>
      <w:bookmarkStart w:id="1249" w:name="Tc_OuI3fwCQ1UGvHWLH9JFdsg_22_0"/>
      <w:bookmarkStart w:id="1250" w:name="Tc_w331GXjoC0K6Ww31wX6m2w_21_2"/>
      <w:bookmarkStart w:id="1251" w:name="Tc_E3Gpq81_X0WbqCW0AIlKcA_21_0"/>
      <w:bookmarkStart w:id="1252" w:name="Tc_gHqm8sg8E0edDiXbJ_uTow_20_4"/>
      <w:bookmarkStart w:id="1253" w:name="Tc_mojcDFTndUSI7dPKDZ_EiA_20_2"/>
      <w:bookmarkStart w:id="1254" w:name="Tc_NDHiQblIGkq6fI3KCQabAA_20_0"/>
      <w:bookmarkStart w:id="1255" w:name="Tc_sEAQ562q1EiAWZ2xaLzi2g_19_4"/>
      <w:bookmarkStart w:id="1256" w:name="Tc_ljfQhcPQqUWJGnwUYv3KOg_19_2"/>
      <w:bookmarkStart w:id="1257" w:name="Tc_3G6extAWpE-YAQSOMjKS8g_19_0"/>
      <w:bookmarkStart w:id="1258" w:name="Tc_MoNn_gwLzkeYd9z1VkafaA_18_0"/>
      <w:bookmarkStart w:id="1259" w:name="Tc_oIphmEyfH0-U0-fGjpOWiQ_17_6"/>
      <w:bookmarkStart w:id="1260" w:name="Tc_B9EW5ZHWBEe7FARygKCZVA_17_4"/>
      <w:bookmarkStart w:id="1261" w:name="Tc_df4AT0loeEuu3rzC83tvuA_17_0"/>
      <w:bookmarkStart w:id="1262" w:name="Tc_vxXzo456ZkeISz9b-cARLQ_16_6"/>
      <w:bookmarkStart w:id="1263" w:name="Tc_CJdxlRTA7k20u-GMmilJfQ_16_4"/>
      <w:bookmarkStart w:id="1264" w:name="Tc_jwiPWVx8xUKeqyAI2rBQ2g_16_0"/>
      <w:bookmarkStart w:id="1265" w:name="Tc_X99h2Vj1sEWD7NK9fiTA9g_15_0"/>
      <w:bookmarkStart w:id="1266" w:name="Tc_LjfW0m30zEaA8ceSx5KHUQ_14_6"/>
      <w:bookmarkStart w:id="1267" w:name="Tc_W07BPnc-g0eoNg6azd0N2A_14_2"/>
      <w:bookmarkStart w:id="1268" w:name="Tc_imLQUvaBqUKlwBM2pn642g_14_0"/>
      <w:bookmarkStart w:id="1269" w:name="Tc_7AbS7u3FQUS8sLvQEsEs0w_13_4"/>
      <w:bookmarkStart w:id="1270" w:name="Tc_dXZ4xWmXIEe3XmwscvOZHw_13_2"/>
      <w:bookmarkStart w:id="1271" w:name="Tc_489jLoZMSk2-c6V-BXqrew_13_0"/>
      <w:bookmarkStart w:id="1272" w:name="Tc_hXhTlr_HU0SA2bjKQnJuwA_12_2"/>
      <w:bookmarkStart w:id="1273" w:name="Tc_qEzJYpVGhUWHorcnccNPXA_12_0"/>
      <w:bookmarkStart w:id="1274" w:name="Tc_gsO7JS24d0uZVbihXhTsaQ_11_0"/>
      <w:bookmarkStart w:id="1275" w:name="Tc_qiPS6MQKvEu-549EycMxvQ_10_0"/>
      <w:bookmarkStart w:id="1276" w:name="Tc_NQ1a2OGVZUSd-IoH5FhfMA_9_0"/>
      <w:bookmarkStart w:id="1277" w:name="Tc_hHKqHwRvgkiYyQGwiwHgeQ_8_0"/>
      <w:bookmarkStart w:id="1278" w:name="Tc_IMb7JNM1U0iddB1OHr6BMA_7_0"/>
      <w:bookmarkStart w:id="1279" w:name="Tc_6CuW1khzZU-YAiLmleectg_6_0"/>
      <w:bookmarkStart w:id="1280" w:name="Tc_bdmAsTUwJUmmxB5UngK72Q_5_0"/>
      <w:bookmarkStart w:id="1281" w:name="Tc_B9bZ9uAYcUWZ2wrgyQhZNw_4_0"/>
      <w:bookmarkStart w:id="1282" w:name="Tc_qLq0v2ALIEOAZuVPaXNmfA_3_0"/>
      <w:bookmarkStart w:id="1283" w:name="Tc_CAFSyyTS0UmsYs8K0-qa8g_2_6"/>
      <w:bookmarkStart w:id="1284" w:name="Tc_J5lKe0aNuUSohPmPRwOzlA_2_4"/>
      <w:bookmarkStart w:id="1285" w:name="Tc_X6M1UZRg30yuwF3E6xQO5g_2_2"/>
      <w:bookmarkStart w:id="1286" w:name="Tc_RTnysE09GE-6nbQhyCoofA_1_2"/>
      <w:bookmarkStart w:id="1287" w:name="_07f0efa3_3f94_4fde_aa6c_9cf14394b151"/>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p>
    <w:tbl>
      <w:tblPr>
        <w:tblW w:w="10205" w:type="dxa"/>
        <w:jc w:val="left"/>
        <w:tblInd w:w="0" w:type="dxa"/>
        <w:tblLayout w:type="fixed"/>
        <w:tblCellMar>
          <w:top w:w="0" w:type="dxa"/>
          <w:left w:w="0" w:type="dxa"/>
          <w:bottom w:w="0" w:type="dxa"/>
          <w:right w:w="0" w:type="dxa"/>
        </w:tblCellMar>
      </w:tblPr>
      <w:tblGrid>
        <w:gridCol w:w="6949"/>
        <w:gridCol w:w="326"/>
        <w:gridCol w:w="714"/>
        <w:gridCol w:w="326"/>
        <w:gridCol w:w="714"/>
        <w:gridCol w:w="326"/>
        <w:gridCol w:w="850"/>
      </w:tblGrid>
      <w:tr>
        <w:trPr/>
        <w:tc>
          <w:tcPr>
            <w:tcW w:w="6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412615" cy="175260"/>
                      <wp:effectExtent l="0" t="0" r="0" b="0"/>
                      <wp:wrapNone/>
                      <wp:docPr id="366" name="Frame359"/>
                      <a:graphic xmlns:a="http://schemas.openxmlformats.org/drawingml/2006/main">
                        <a:graphicData uri="http://schemas.microsoft.com/office/word/2010/wordprocessingShape">
                          <wps:wsp>
                            <wps:cNvSpPr txBox="1"/>
                            <wps:spPr>
                              <a:xfrm>
                                <a:off x="0" y="0"/>
                                <a:ext cx="441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67"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53390" cy="175260"/>
                      <wp:effectExtent l="0" t="0" r="0" b="0"/>
                      <wp:wrapNone/>
                      <wp:docPr id="368" name="Frame361"/>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69"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53390" cy="175260"/>
                      <wp:effectExtent l="0" t="0" r="0" b="0"/>
                      <wp:wrapNone/>
                      <wp:docPr id="370" name="Frame363"/>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1"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39750" cy="175260"/>
                      <wp:effectExtent l="0" t="0" r="0" b="0"/>
                      <wp:wrapNone/>
                      <wp:docPr id="372" name="Frame365"/>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4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9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94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center"/>
              <w:rPr/>
            </w:pPr>
            <w:r>
              <w:rPr/>
              <w:t>    </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  </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(14,906)</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(16,598)</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(202,806)</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of property and equipment</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842</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4,189</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3,238</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2,990</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right-of-use assets</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1,930</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2,785</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2,650</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Losses/(gains) on disposals of property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 on accounts receivable</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6,587</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12,424</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18,542</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written off</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(2,621)</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(1,669)</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(1,978)</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 on loans and interest receivable</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3,661</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receivable written off</w:t>
            </w:r>
          </w:p>
        </w:tc>
        <w:tc>
          <w:tcPr>
            <w:tcW w:w="326"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7,566</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expenses in relation to the to ordinary shares upon subscription from Baozun Inc.</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1,530</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share-based compensation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6,249</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11,969</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3,794</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losses on derivative liabilities</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11,466</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losses on convertible notes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4,433</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(gains)/losses on short-term investments</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(1,404)</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2,368</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goodwill</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80,137</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intangible assets</w:t>
            </w:r>
          </w:p>
        </w:tc>
        <w:tc>
          <w:tcPr>
            <w:tcW w:w="326"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49,778</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long-term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4,038</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10,805</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property and equipment</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1,206</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2,365</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 changes on contingent consideration payables</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8,396</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(1,151)</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(11,557)</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of losses from an equity investee</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 net</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(58,615)</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104,006</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Prepayments and other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(1,426)</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3,333</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912</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Rebates receivables</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(4,987)</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5,626</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2,642</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media costs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(8,383)</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(1,463)</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17,515</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(23,345)</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23,447</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(24,859)</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 and other 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3,392</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(1,504)</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3,999</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(5,323)</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(6,935)</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(1,839)</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recoverable</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(2,173)</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(2,781)</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(2,776)</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 due from an equity investee</w:t>
            </w:r>
          </w:p>
        </w:tc>
        <w:tc>
          <w:tcPr>
            <w:tcW w:w="326" w:type="dxa"/>
            <w:tcBorders/>
            <w:vAlign w:val="center"/>
          </w:tcPr>
          <w:p>
            <w:pPr>
              <w:pStyle w:val="TableContents"/>
              <w:bidi w:val="0"/>
              <w:spacing w:before="0" w:after="0"/>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326" w:type="dxa"/>
            <w:tcBorders/>
            <w:vAlign w:val="center"/>
          </w:tcPr>
          <w:p>
            <w:pPr>
              <w:pStyle w:val="TableContents"/>
              <w:bidi w:val="0"/>
              <w:spacing w:before="0" w:after="0"/>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w:t>
            </w:r>
          </w:p>
        </w:tc>
        <w:tc>
          <w:tcPr>
            <w:tcW w:w="326" w:type="dxa"/>
            <w:tcBorders/>
            <w:vAlign w:val="center"/>
          </w:tcPr>
          <w:p>
            <w:pPr>
              <w:pStyle w:val="TableContents"/>
              <w:bidi w:val="0"/>
              <w:spacing w:before="0" w:after="0"/>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in)/provided by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(19,633)</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(19,673)</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71,104</w:t>
            </w:r>
          </w:p>
        </w:tc>
      </w:tr>
      <w:tr>
        <w:trPr/>
        <w:tc>
          <w:tcPr>
            <w:tcW w:w="6949"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(1,386)</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(Purchase)/redemption of short-term investments</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(22,267)</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15,633</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in an equity investee</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other long-term investments</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(7,129)</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(4,108)</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(6,500)</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Prepayment for long-term investment costs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(1,901)</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Redemption/(purchase) of time deposits</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(11,039)</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11,118</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Disposal/(acquisition) of businesses, net of cash received</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6,226</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(10,007)</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(7,742)</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interest in a subsidiary from non-controlling interests</w:t>
            </w:r>
          </w:p>
        </w:tc>
        <w:tc>
          <w:tcPr>
            <w:tcW w:w="326"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to third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(1,400)</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(17,303)</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 of loan from third parties</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6,400</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w:t>
            </w:r>
          </w:p>
        </w:tc>
      </w:tr>
      <w:tr>
        <w:trPr/>
        <w:tc>
          <w:tcPr>
            <w:tcW w:w="69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disposals of property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r>
      <w:tr>
        <w:trPr/>
        <w:tc>
          <w:tcPr>
            <w:tcW w:w="69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vAlign w:val="center"/>
          </w:tcPr>
          <w:p>
            <w:pPr>
              <w:pStyle w:val="TableContents"/>
              <w:bidi w:val="0"/>
              <w:spacing w:before="0" w:after="0"/>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(27,693)</w:t>
            </w:r>
          </w:p>
        </w:tc>
        <w:tc>
          <w:tcPr>
            <w:tcW w:w="326" w:type="dxa"/>
            <w:tcBorders/>
            <w:vAlign w:val="center"/>
          </w:tcPr>
          <w:p>
            <w:pPr>
              <w:pStyle w:val="TableContents"/>
              <w:bidi w:val="0"/>
              <w:spacing w:before="0" w:after="0"/>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(22,390)</w:t>
            </w:r>
          </w:p>
        </w:tc>
        <w:tc>
          <w:tcPr>
            <w:tcW w:w="326" w:type="dxa"/>
            <w:tcBorders/>
            <w:vAlign w:val="center"/>
          </w:tcPr>
          <w:p>
            <w:pPr>
              <w:pStyle w:val="TableContents"/>
              <w:bidi w:val="0"/>
              <w:spacing w:before="0" w:after="0"/>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2020, 2021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288" w:name="Tc_MPfbfnLQ6EywXuDUDlzvww_37_6"/>
      <w:bookmarkStart w:id="1289" w:name="Tc_9jRbxF0Tvk2ajA0ffgb53w_37_2"/>
      <w:bookmarkStart w:id="1290" w:name="Tc_hM78hSl82UCj6DdZw1SzSQ_37_0"/>
      <w:bookmarkStart w:id="1291" w:name="Tc_YV29eO6e4EC_Cm9_6TF-jw_36_6"/>
      <w:bookmarkStart w:id="1292" w:name="Tc_ww0AsJ3cY0ORq8vWHe8LBg_36_2"/>
      <w:bookmarkStart w:id="1293" w:name="Tc_humAVbmHuEqKyldmdSkwKQ_36_0"/>
      <w:bookmarkStart w:id="1294" w:name="Tc_GLslOIYlVEeWsGcMvnnu5g_35_4"/>
      <w:bookmarkStart w:id="1295" w:name="Tc_qL81GC0EY0ys297n2wb3PQ_35_2"/>
      <w:bookmarkStart w:id="1296" w:name="Tc_gHmZsyI3okOrDkatMLNN7g_35_0"/>
      <w:bookmarkStart w:id="1297" w:name="Tc_qS9a-dxX3kSP4bm9vEFEpg_34_6"/>
      <w:bookmarkStart w:id="1298" w:name="Tc_IqovPAR-0Uiy2V3EYN33Jw_34_4"/>
      <w:bookmarkStart w:id="1299" w:name="Tc_ycE46gXnSEyX-oCAfqubNg_34_0"/>
      <w:bookmarkStart w:id="1300" w:name="Tc_0kXralTLL0CDkOFrGMGQRQ_33_6"/>
      <w:bookmarkStart w:id="1301" w:name="Tc_D3aA51KUxEmGF4XKL_taLw_33_4"/>
      <w:bookmarkStart w:id="1302" w:name="Tc_tta_HdGXSEeqLVq-R2veyQ_33_0"/>
      <w:bookmarkStart w:id="1303" w:name="Tc_CycfMkhNB0Gnnqmu4TJ4QQ_32_6"/>
      <w:bookmarkStart w:id="1304" w:name="Tc_L4pHMwdQm0i9UGp0zCxSdA_32_4"/>
      <w:bookmarkStart w:id="1305" w:name="Tc_-uokOEvx9kKd5ccwLOR2Yg_32_0"/>
      <w:bookmarkStart w:id="1306" w:name="Tc_wUckGiTA0EyEvW2qnTPfpA_31_6"/>
      <w:bookmarkStart w:id="1307" w:name="Tc_lFvC6rKSDkakgXeV5Ru0rw_31_4"/>
      <w:bookmarkStart w:id="1308" w:name="Tc_YERVp8wcCUaF7makNI58Mg_31_0"/>
      <w:bookmarkStart w:id="1309" w:name="Tc_rsVd2z1BnUa9bJB48ZPAHg_30_6"/>
      <w:bookmarkStart w:id="1310" w:name="Tc_DZ7jVjkUT0KDbXwsTrGqDQ_30_4"/>
      <w:bookmarkStart w:id="1311" w:name="Tc_wNBuFWplQky3Qgn7oEuRfA_30_0"/>
      <w:bookmarkStart w:id="1312" w:name="Tc_LFuOImTjkEuwM5CkZUBEUw_29_0"/>
      <w:bookmarkStart w:id="1313" w:name="Tc_VjOA29aBV0OUFlAPFrpZNQ_27_0"/>
      <w:bookmarkStart w:id="1314" w:name="Tc_MyNtUid_DkKIu6ESUtEm7Q_26_0"/>
      <w:bookmarkStart w:id="1315" w:name="Tc_aLQbdj7G3kGYfHjuuIflPg_25_0"/>
      <w:bookmarkStart w:id="1316" w:name="Tc_PEygMNNaI0OOxG6r_vR8cA_22_0"/>
      <w:bookmarkStart w:id="1317" w:name="Tc_zwjfwd5zqEO1CmrpU2MSgw_21_0"/>
      <w:bookmarkStart w:id="1318" w:name="Tc_l_ejR0Tpb0WKyG-J_MZqQg_20_0"/>
      <w:bookmarkStart w:id="1319" w:name="Tc_B4TavXer8kSRNBntr68-Hg_19_0"/>
      <w:bookmarkStart w:id="1320" w:name="Tc_Hr3Psp3QTUW9092iy7aNvA_18_0"/>
      <w:bookmarkStart w:id="1321" w:name="Tc_aivfxB7fsUCw0SMssQ3BQQ_17_0"/>
      <w:bookmarkStart w:id="1322" w:name="Tc_57IWWN88Z0-f-KYjyYCmJg_16_0"/>
      <w:bookmarkStart w:id="1323" w:name="Tc_MYqMjBXBZU6EbTIpAOUaiQ_14_0"/>
      <w:bookmarkStart w:id="1324" w:name="Tc_7Z3UCn9JpESC9fKCrPinqw_13_6"/>
      <w:bookmarkStart w:id="1325" w:name="Tc_mN2UPCITXEWlCZtoBvsGxQ_13_4"/>
      <w:bookmarkStart w:id="1326" w:name="Tc_KhieRe7gv0auknPz_fZ3Hw_13_0"/>
      <w:bookmarkStart w:id="1327" w:name="Tc_5Ua0DnnaDUWv8aUow_Le-Q_12_6"/>
      <w:bookmarkStart w:id="1328" w:name="Tc_PN0g3RGwV0-KqGbsrfit_Q_12_2"/>
      <w:bookmarkStart w:id="1329" w:name="Tc_1awcEFulakOK1Vc66G1Msg_12_0"/>
      <w:bookmarkStart w:id="1330" w:name="Tc_EXBxy5EVEUWvgtSWTY8XGg_11_6"/>
      <w:bookmarkStart w:id="1331" w:name="Tc_mSF9KF7uLka7Qx7TWap1_g_11_4"/>
      <w:bookmarkStart w:id="1332" w:name="Tc_2FDBPaW9E0G30sfFZDAetw_11_0"/>
      <w:bookmarkStart w:id="1333" w:name="Tc_yGdJD6YTl0WGZQO4JQuCWw_10_0"/>
      <w:bookmarkStart w:id="1334" w:name="Tc_zUzpH_vJx0ihfQe_et4IrQ_9_6"/>
      <w:bookmarkStart w:id="1335" w:name="Tc_i3QSbu9SXkOHdPls_Xnpfg_9_4"/>
      <w:bookmarkStart w:id="1336" w:name="Tc_2NVjHgMn4k2LqLSoprWa3Q_9_0"/>
      <w:bookmarkStart w:id="1337" w:name="Tc_3Tfr61pPekS4FEMrNiwiMg_8_6"/>
      <w:bookmarkStart w:id="1338" w:name="Tc_01J0yHc9X0ue_-Q7FOvKAQ_8_4"/>
      <w:bookmarkStart w:id="1339" w:name="Tc_wiQ0k52YvUKExpFrY72KEg_8_0"/>
      <w:bookmarkStart w:id="1340" w:name="Tc_V2xUgbqhIkiZKsw0hJeAqw_7_6"/>
      <w:bookmarkStart w:id="1341" w:name="Tc_Vc89fKFGTkOS5SU_bqzTvA_7_4"/>
      <w:bookmarkStart w:id="1342" w:name="Tc_Qsy6jIh37U6Y_IzdnMtaIg_7_0"/>
      <w:bookmarkStart w:id="1343" w:name="Tc_kuMQUJchXEW9V44JCHY0aQ_6_0"/>
      <w:bookmarkStart w:id="1344" w:name="Tc_Id42bgbFWEyzYvyR-bF-qw_5_0"/>
      <w:bookmarkStart w:id="1345" w:name="Tc_YHSFz730CkK_d1jaNxHh4A_4_0"/>
      <w:bookmarkStart w:id="1346" w:name="Tc__9rVsfTFVEGBfcjpogEC_A_3_0"/>
      <w:bookmarkStart w:id="1347" w:name="Tc_lxhk7PMZRUK-SQgV3KyYTA_2_6"/>
      <w:bookmarkStart w:id="1348" w:name="Tc_tUOAeMy470uwnXPyg22JlA_2_4"/>
      <w:bookmarkStart w:id="1349" w:name="Tc_bUS4X2DCtUyBGayUqQcNVA_2_2"/>
      <w:bookmarkStart w:id="1350" w:name="Tc_pPXcGgwjok-6gzEk4ayoFA_1_2"/>
      <w:bookmarkStart w:id="1351" w:name="CashEND"/>
      <w:bookmarkStart w:id="1352" w:name="_dc08e9ff_9937_4ed5_b518_c62dc09d1eb2"/>
      <w:bookmarkStart w:id="1353" w:name="Tc_MPfbfnLQ6EywXuDUDlzvww_37_6"/>
      <w:bookmarkStart w:id="1354" w:name="Tc_9jRbxF0Tvk2ajA0ffgb53w_37_2"/>
      <w:bookmarkStart w:id="1355" w:name="Tc_hM78hSl82UCj6DdZw1SzSQ_37_0"/>
      <w:bookmarkStart w:id="1356" w:name="Tc_YV29eO6e4EC_Cm9_6TF-jw_36_6"/>
      <w:bookmarkStart w:id="1357" w:name="Tc_ww0AsJ3cY0ORq8vWHe8LBg_36_2"/>
      <w:bookmarkStart w:id="1358" w:name="Tc_humAVbmHuEqKyldmdSkwKQ_36_0"/>
      <w:bookmarkStart w:id="1359" w:name="Tc_GLslOIYlVEeWsGcMvnnu5g_35_4"/>
      <w:bookmarkStart w:id="1360" w:name="Tc_qL81GC0EY0ys297n2wb3PQ_35_2"/>
      <w:bookmarkStart w:id="1361" w:name="Tc_gHmZsyI3okOrDkatMLNN7g_35_0"/>
      <w:bookmarkStart w:id="1362" w:name="Tc_qS9a-dxX3kSP4bm9vEFEpg_34_6"/>
      <w:bookmarkStart w:id="1363" w:name="Tc_IqovPAR-0Uiy2V3EYN33Jw_34_4"/>
      <w:bookmarkStart w:id="1364" w:name="Tc_ycE46gXnSEyX-oCAfqubNg_34_0"/>
      <w:bookmarkStart w:id="1365" w:name="Tc_0kXralTLL0CDkOFrGMGQRQ_33_6"/>
      <w:bookmarkStart w:id="1366" w:name="Tc_D3aA51KUxEmGF4XKL_taLw_33_4"/>
      <w:bookmarkStart w:id="1367" w:name="Tc_tta_HdGXSEeqLVq-R2veyQ_33_0"/>
      <w:bookmarkStart w:id="1368" w:name="Tc_CycfMkhNB0Gnnqmu4TJ4QQ_32_6"/>
      <w:bookmarkStart w:id="1369" w:name="Tc_L4pHMwdQm0i9UGp0zCxSdA_32_4"/>
      <w:bookmarkStart w:id="1370" w:name="Tc_-uokOEvx9kKd5ccwLOR2Yg_32_0"/>
      <w:bookmarkStart w:id="1371" w:name="Tc_wUckGiTA0EyEvW2qnTPfpA_31_6"/>
      <w:bookmarkStart w:id="1372" w:name="Tc_lFvC6rKSDkakgXeV5Ru0rw_31_4"/>
      <w:bookmarkStart w:id="1373" w:name="Tc_YERVp8wcCUaF7makNI58Mg_31_0"/>
      <w:bookmarkStart w:id="1374" w:name="Tc_rsVd2z1BnUa9bJB48ZPAHg_30_6"/>
      <w:bookmarkStart w:id="1375" w:name="Tc_DZ7jVjkUT0KDbXwsTrGqDQ_30_4"/>
      <w:bookmarkStart w:id="1376" w:name="Tc_wNBuFWplQky3Qgn7oEuRfA_30_0"/>
      <w:bookmarkStart w:id="1377" w:name="Tc_LFuOImTjkEuwM5CkZUBEUw_29_0"/>
      <w:bookmarkStart w:id="1378" w:name="Tc_VjOA29aBV0OUFlAPFrpZNQ_27_0"/>
      <w:bookmarkStart w:id="1379" w:name="Tc_MyNtUid_DkKIu6ESUtEm7Q_26_0"/>
      <w:bookmarkStart w:id="1380" w:name="Tc_aLQbdj7G3kGYfHjuuIflPg_25_0"/>
      <w:bookmarkStart w:id="1381" w:name="Tc_PEygMNNaI0OOxG6r_vR8cA_22_0"/>
      <w:bookmarkStart w:id="1382" w:name="Tc_zwjfwd5zqEO1CmrpU2MSgw_21_0"/>
      <w:bookmarkStart w:id="1383" w:name="Tc_l_ejR0Tpb0WKyG-J_MZqQg_20_0"/>
      <w:bookmarkStart w:id="1384" w:name="Tc_B4TavXer8kSRNBntr68-Hg_19_0"/>
      <w:bookmarkStart w:id="1385" w:name="Tc_Hr3Psp3QTUW9092iy7aNvA_18_0"/>
      <w:bookmarkStart w:id="1386" w:name="Tc_aivfxB7fsUCw0SMssQ3BQQ_17_0"/>
      <w:bookmarkStart w:id="1387" w:name="Tc_57IWWN88Z0-f-KYjyYCmJg_16_0"/>
      <w:bookmarkStart w:id="1388" w:name="Tc_MYqMjBXBZU6EbTIpAOUaiQ_14_0"/>
      <w:bookmarkStart w:id="1389" w:name="Tc_7Z3UCn9JpESC9fKCrPinqw_13_6"/>
      <w:bookmarkStart w:id="1390" w:name="Tc_mN2UPCITXEWlCZtoBvsGxQ_13_4"/>
      <w:bookmarkStart w:id="1391" w:name="Tc_KhieRe7gv0auknPz_fZ3Hw_13_0"/>
      <w:bookmarkStart w:id="1392" w:name="Tc_5Ua0DnnaDUWv8aUow_Le-Q_12_6"/>
      <w:bookmarkStart w:id="1393" w:name="Tc_PN0g3RGwV0-KqGbsrfit_Q_12_2"/>
      <w:bookmarkStart w:id="1394" w:name="Tc_1awcEFulakOK1Vc66G1Msg_12_0"/>
      <w:bookmarkStart w:id="1395" w:name="Tc_EXBxy5EVEUWvgtSWTY8XGg_11_6"/>
      <w:bookmarkStart w:id="1396" w:name="Tc_mSF9KF7uLka7Qx7TWap1_g_11_4"/>
      <w:bookmarkStart w:id="1397" w:name="Tc_2FDBPaW9E0G30sfFZDAetw_11_0"/>
      <w:bookmarkStart w:id="1398" w:name="Tc_yGdJD6YTl0WGZQO4JQuCWw_10_0"/>
      <w:bookmarkStart w:id="1399" w:name="Tc_zUzpH_vJx0ihfQe_et4IrQ_9_6"/>
      <w:bookmarkStart w:id="1400" w:name="Tc_i3QSbu9SXkOHdPls_Xnpfg_9_4"/>
      <w:bookmarkStart w:id="1401" w:name="Tc_2NVjHgMn4k2LqLSoprWa3Q_9_0"/>
      <w:bookmarkStart w:id="1402" w:name="Tc_3Tfr61pPekS4FEMrNiwiMg_8_6"/>
      <w:bookmarkStart w:id="1403" w:name="Tc_01J0yHc9X0ue_-Q7FOvKAQ_8_4"/>
      <w:bookmarkStart w:id="1404" w:name="Tc_wiQ0k52YvUKExpFrY72KEg_8_0"/>
      <w:bookmarkStart w:id="1405" w:name="Tc_V2xUgbqhIkiZKsw0hJeAqw_7_6"/>
      <w:bookmarkStart w:id="1406" w:name="Tc_Vc89fKFGTkOS5SU_bqzTvA_7_4"/>
      <w:bookmarkStart w:id="1407" w:name="Tc_Qsy6jIh37U6Y_IzdnMtaIg_7_0"/>
      <w:bookmarkStart w:id="1408" w:name="Tc_kuMQUJchXEW9V44JCHY0aQ_6_0"/>
      <w:bookmarkStart w:id="1409" w:name="Tc_Id42bgbFWEyzYvyR-bF-qw_5_0"/>
      <w:bookmarkStart w:id="1410" w:name="Tc_YHSFz730CkK_d1jaNxHh4A_4_0"/>
      <w:bookmarkStart w:id="1411" w:name="Tc__9rVsfTFVEGBfcjpogEC_A_3_0"/>
      <w:bookmarkStart w:id="1412" w:name="Tc_lxhk7PMZRUK-SQgV3KyYTA_2_6"/>
      <w:bookmarkStart w:id="1413" w:name="Tc_tUOAeMy470uwnXPyg22JlA_2_4"/>
      <w:bookmarkStart w:id="1414" w:name="Tc_bUS4X2DCtUyBGayUqQcNVA_2_2"/>
      <w:bookmarkStart w:id="1415" w:name="Tc_pPXcGgwjok-6gzEk4ayoFA_1_2"/>
      <w:bookmarkStart w:id="1416" w:name="CashEND"/>
      <w:bookmarkStart w:id="1417" w:name="_dc08e9ff_9937_4ed5_b518_c62dc09d1eb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p>
    <w:tbl>
      <w:tblPr>
        <w:tblW w:w="10205" w:type="dxa"/>
        <w:jc w:val="left"/>
        <w:tblInd w:w="0" w:type="dxa"/>
        <w:tblLayout w:type="fixed"/>
        <w:tblCellMar>
          <w:top w:w="0" w:type="dxa"/>
          <w:left w:w="0" w:type="dxa"/>
          <w:bottom w:w="0" w:type="dxa"/>
          <w:right w:w="0" w:type="dxa"/>
        </w:tblCellMar>
      </w:tblPr>
      <w:tblGrid>
        <w:gridCol w:w="6589"/>
        <w:gridCol w:w="326"/>
        <w:gridCol w:w="864"/>
        <w:gridCol w:w="326"/>
        <w:gridCol w:w="864"/>
        <w:gridCol w:w="326"/>
        <w:gridCol w:w="910"/>
      </w:tblGrid>
      <w:tr>
        <w:trPr/>
        <w:tc>
          <w:tcPr>
            <w:tcW w:w="6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184015" cy="175260"/>
                      <wp:effectExtent l="0" t="0" r="0" b="0"/>
                      <wp:wrapNone/>
                      <wp:docPr id="373" name="Frame366"/>
                      <a:graphic xmlns:a="http://schemas.openxmlformats.org/drawingml/2006/main">
                        <a:graphicData uri="http://schemas.microsoft.com/office/word/2010/wordprocessingShape">
                          <wps:wsp>
                            <wps:cNvSpPr txBox="1"/>
                            <wps:spPr>
                              <a:xfrm>
                                <a:off x="0" y="0"/>
                                <a:ext cx="418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4"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48640" cy="175260"/>
                      <wp:effectExtent l="0" t="0" r="0" b="0"/>
                      <wp:wrapNone/>
                      <wp:docPr id="375" name="Frame368"/>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6"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48640" cy="175260"/>
                      <wp:effectExtent l="0" t="0" r="0" b="0"/>
                      <wp:wrapNone/>
                      <wp:docPr id="377" name="Frame370"/>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78"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77850" cy="175260"/>
                      <wp:effectExtent l="0" t="0" r="0" b="0"/>
                      <wp:wrapNone/>
                      <wp:docPr id="379" name="Frame372"/>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8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2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58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center"/>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pPr>
            <w:r>
              <w:rPr/>
              <w:t>  </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share options</w:t>
            </w:r>
          </w:p>
        </w:tc>
        <w:tc>
          <w:tcPr>
            <w:tcW w:w="32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2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bank borrowings</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180,511</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248,784</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180,006</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bank borrowings</w:t>
            </w:r>
          </w:p>
        </w:tc>
        <w:tc>
          <w:tcPr>
            <w:tcW w:w="32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(165,131)</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(231,025)</w:t>
            </w:r>
          </w:p>
        </w:tc>
        <w:tc>
          <w:tcPr>
            <w:tcW w:w="32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(209,789)</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convertible notes, net of transaction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19,184</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pPr>
            <w:r>
              <w:rPr/>
              <w:t>—</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Redemption of convertible notes</w:t>
            </w:r>
          </w:p>
        </w:tc>
        <w:tc>
          <w:tcPr>
            <w:tcW w:w="32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pPr>
            <w:r>
              <w:rPr/>
              <w:t>—</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 from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pPr>
            <w:r>
              <w:rPr/>
              <w:t>—</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ordinary shares</w:t>
            </w:r>
          </w:p>
        </w:tc>
        <w:tc>
          <w:tcPr>
            <w:tcW w:w="32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(5,677)</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(10,687)</w:t>
            </w:r>
          </w:p>
        </w:tc>
        <w:tc>
          <w:tcPr>
            <w:tcW w:w="32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(7,574)</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issuance of ordinary shares upon share offerings</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71,917</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pPr>
            <w:r>
              <w:rPr/>
              <w:t>—</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issuance of ordinary shares upon subscription from Baozun Inc.</w:t>
            </w:r>
          </w:p>
        </w:tc>
        <w:tc>
          <w:tcPr>
            <w:tcW w:w="32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17,010</w:t>
            </w:r>
          </w:p>
        </w:tc>
        <w:tc>
          <w:tcPr>
            <w:tcW w:w="32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pPr>
            <w:r>
              <w:rPr/>
              <w:t>—</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interests in subsidiaries from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financing activities</w:t>
            </w:r>
          </w:p>
        </w:tc>
        <w:tc>
          <w:tcPr>
            <w:tcW w:w="326" w:type="dxa"/>
            <w:tcBorders/>
            <w:vAlign w:val="center"/>
          </w:tcPr>
          <w:p>
            <w:pPr>
              <w:pStyle w:val="TableContents"/>
              <w:bidi w:val="0"/>
              <w:spacing w:before="0" w:after="0"/>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79,983</w:t>
            </w:r>
          </w:p>
        </w:tc>
        <w:tc>
          <w:tcPr>
            <w:tcW w:w="326" w:type="dxa"/>
            <w:tcBorders/>
            <w:vAlign w:val="center"/>
          </w:tcPr>
          <w:p>
            <w:pPr>
              <w:pStyle w:val="TableContents"/>
              <w:bidi w:val="0"/>
              <w:spacing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24,743</w:t>
            </w:r>
          </w:p>
        </w:tc>
        <w:tc>
          <w:tcPr>
            <w:tcW w:w="326" w:type="dxa"/>
            <w:tcBorders/>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(37,289)</w:t>
            </w:r>
          </w:p>
        </w:tc>
      </w:tr>
      <w:tr>
        <w:trPr/>
        <w:tc>
          <w:tcPr>
            <w:tcW w:w="6589" w:type="dxa"/>
            <w:tcBorders/>
            <w:shd w:fill="CCEEFF" w:val="clear"/>
            <w:vAlign w:val="center"/>
          </w:tcPr>
          <w:p>
            <w:pPr>
              <w:pStyle w:val="TableContents"/>
              <w:pBdr/>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increase/(decrease) in cash and cash equivalents and restricted cash</w:t>
            </w:r>
          </w:p>
        </w:tc>
        <w:tc>
          <w:tcPr>
            <w:tcW w:w="32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32,657</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(17,320)</w:t>
            </w:r>
          </w:p>
        </w:tc>
        <w:tc>
          <w:tcPr>
            <w:tcW w:w="32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29,838</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at the 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60,706</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94,377</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77,589</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on exchange rate changes on cash and cash equivalents and restricted cash</w:t>
            </w:r>
          </w:p>
        </w:tc>
        <w:tc>
          <w:tcPr>
            <w:tcW w:w="326" w:type="dxa"/>
            <w:tcBorders/>
            <w:vAlign w:val="center"/>
          </w:tcPr>
          <w:p>
            <w:pPr>
              <w:pStyle w:val="TableContents"/>
              <w:bidi w:val="0"/>
              <w:spacing w:before="0" w:after="0"/>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326" w:type="dxa"/>
            <w:tcBorders/>
            <w:vAlign w:val="center"/>
          </w:tcPr>
          <w:p>
            <w:pPr>
              <w:pStyle w:val="TableContents"/>
              <w:bidi w:val="0"/>
              <w:spacing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26" w:type="dxa"/>
            <w:tcBorders/>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and restricted cash at the end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94,377</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77,589</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105,297</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cash and cash equivalents and restricted cash within the consolidated balance sheets to the amounts shown in the consolidated statements of cash flows above:</w:t>
            </w:r>
          </w:p>
        </w:tc>
        <w:tc>
          <w:tcPr>
            <w:tcW w:w="32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pPr>
            <w:r>
              <w:rPr/>
              <w:t>​</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52,232</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41,443</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82,754</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current</w:t>
            </w:r>
          </w:p>
        </w:tc>
        <w:tc>
          <w:tcPr>
            <w:tcW w:w="326" w:type="dxa"/>
            <w:tcBorders/>
            <w:vAlign w:val="center"/>
          </w:tcPr>
          <w:p>
            <w:pPr>
              <w:pStyle w:val="TableContents"/>
              <w:bidi w:val="0"/>
              <w:spacing w:before="0" w:after="0"/>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42,145</w:t>
            </w:r>
          </w:p>
        </w:tc>
        <w:tc>
          <w:tcPr>
            <w:tcW w:w="326" w:type="dxa"/>
            <w:tcBorders/>
            <w:vAlign w:val="center"/>
          </w:tcPr>
          <w:p>
            <w:pPr>
              <w:pStyle w:val="TableContents"/>
              <w:bidi w:val="0"/>
              <w:spacing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36,146</w:t>
            </w:r>
          </w:p>
        </w:tc>
        <w:tc>
          <w:tcPr>
            <w:tcW w:w="326" w:type="dxa"/>
            <w:tcBorders/>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22,543</w:t>
            </w:r>
          </w:p>
        </w:tc>
      </w:tr>
      <w:tr>
        <w:trPr/>
        <w:tc>
          <w:tcPr>
            <w:tcW w:w="6589" w:type="dxa"/>
            <w:tcBorders/>
            <w:shd w:fill="CCEEFF" w:val="clear"/>
            <w:vAlign w:val="center"/>
          </w:tcPr>
          <w:p>
            <w:pPr>
              <w:pStyle w:val="TableContents"/>
              <w:pBdr/>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94,377</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77,589</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105,297</w:t>
            </w:r>
          </w:p>
        </w:tc>
      </w:tr>
      <w:tr>
        <w:trPr/>
        <w:tc>
          <w:tcPr>
            <w:tcW w:w="6589"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pPr>
            <w:r>
              <w:rPr/>
              <w:t>​</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Interests paid</w:t>
            </w:r>
          </w:p>
        </w:tc>
        <w:tc>
          <w:tcPr>
            <w:tcW w:w="32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(3,922)</w:t>
            </w:r>
          </w:p>
        </w:tc>
        <w:tc>
          <w:tcPr>
            <w:tcW w:w="32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(3,677)</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w:t>
            </w:r>
          </w:p>
        </w:tc>
      </w:tr>
      <w:tr>
        <w:trPr/>
        <w:tc>
          <w:tcPr>
            <w:tcW w:w="6589"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schedule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pPr>
            <w:r>
              <w:rPr/>
              <w:t>​</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losses on convertible notes</w:t>
            </w:r>
          </w:p>
        </w:tc>
        <w:tc>
          <w:tcPr>
            <w:tcW w:w="32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pPr>
            <w:r>
              <w:rPr/>
              <w:t>—</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losses on derivative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11,466</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pPr>
            <w:r>
              <w:rPr/>
              <w:t>—</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ordinary shares upon conversion of convertible notes</w:t>
            </w:r>
          </w:p>
        </w:tc>
        <w:tc>
          <w:tcPr>
            <w:tcW w:w="32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68,895</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pPr>
            <w:r>
              <w:rPr/>
              <w:t>—</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ordinary shares upon acquisition of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42,377</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pPr>
            <w:r>
              <w:rPr/>
              <w:t>—</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convertible notes upon exercise of call option</w:t>
            </w:r>
          </w:p>
        </w:tc>
        <w:tc>
          <w:tcPr>
            <w:tcW w:w="32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11,466</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pPr>
            <w:r>
              <w:rPr/>
              <w:t>—</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ordinary shares upon acquisition of interest in a subsidiary from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w:t>
            </w:r>
          </w:p>
        </w:tc>
      </w:tr>
      <w:tr>
        <w:trPr/>
        <w:tc>
          <w:tcPr>
            <w:tcW w:w="65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ordinary shares upon settlement for contingent consideration payable</w:t>
            </w:r>
          </w:p>
        </w:tc>
        <w:tc>
          <w:tcPr>
            <w:tcW w:w="32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w:t>
            </w:r>
          </w:p>
        </w:tc>
        <w:tc>
          <w:tcPr>
            <w:tcW w:w="32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pPr>
            <w:r>
              <w:rPr/>
              <w:t>—</w:t>
            </w:r>
          </w:p>
        </w:tc>
      </w:tr>
      <w:tr>
        <w:trPr/>
        <w:tc>
          <w:tcPr>
            <w:tcW w:w="65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of prepayments for long-term investments to other long-term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7,023</w:t>
            </w:r>
          </w:p>
        </w:tc>
        <w:tc>
          <w:tcPr>
            <w:tcW w:w="32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24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00"/>
        <w:ind w:left="0" w:right="0" w:firstLine="72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418" w:name="Tc_iuGN_KzL_Ee6odGRCMDoQg_17_11"/>
      <w:bookmarkStart w:id="1419" w:name="Tc_0IDb6O2iQkSHYpMsSnZp5A_17_9"/>
      <w:bookmarkStart w:id="1420" w:name="Tc_Zc7rvyaRWk-J9yBbscf5DQ_17_7"/>
      <w:bookmarkStart w:id="1421" w:name="Tc__yBOD3oXt0eN_0ow1urm4w_17_5"/>
      <w:bookmarkStart w:id="1422" w:name="Tc_B0DAyK5A1UCVvU2LtInleg_17_2"/>
      <w:bookmarkStart w:id="1423" w:name="Tc_WaSnQFyAZ06o0R_ftzJXLw_17_0"/>
      <w:bookmarkStart w:id="1424" w:name="Tc_UxohHUgmrEmhMyVGfOZ83w_16_11"/>
      <w:bookmarkStart w:id="1425" w:name="Tc_ohJ0bjeUg0mxwzVXGL-3Dw_16_9"/>
      <w:bookmarkStart w:id="1426" w:name="Tc_AmI4IOUXlU6k3hQ4O_qQCQ_16_7"/>
      <w:bookmarkStart w:id="1427" w:name="Tc_zPjDRCCcZkW4mzWZ-C_JVw_16_5"/>
      <w:bookmarkStart w:id="1428" w:name="Tc_572unYRLrkeOXDa2fYTX6g_16_2"/>
      <w:bookmarkStart w:id="1429" w:name="Tc_iPT3wR_RyEy25zOoO7uvYw_16_0"/>
      <w:bookmarkStart w:id="1430" w:name="Tc_SfH1WAaf-UK4v1VPHmp2BA_15_11"/>
      <w:bookmarkStart w:id="1431" w:name="Tc_cAEPWfm8RkqQ_GG6vAcEYg_15_9"/>
      <w:bookmarkStart w:id="1432" w:name="Tc_4ng29mMBKUecZuFBHma_ZA_15_7"/>
      <w:bookmarkStart w:id="1433" w:name="Tc_wA47OI-mBUe_6udPKsMt3w_15_5"/>
      <w:bookmarkStart w:id="1434" w:name="Tc_Lg7E35RHIEqxmPTrfX4inw_15_2"/>
      <w:bookmarkStart w:id="1435" w:name="Tc_9wGCWLE2QUe0BpwpKe517w_15_0"/>
      <w:bookmarkStart w:id="1436" w:name="Tc_2_a2QB1xtk6ilunAWC-jRA_14_11"/>
      <w:bookmarkStart w:id="1437" w:name="Tc_gVQbqsZhFUSE6_XZ78X4Kg_14_9"/>
      <w:bookmarkStart w:id="1438" w:name="Tc_v2r0dxroVkSssARLtkKLSw_14_7"/>
      <w:bookmarkStart w:id="1439" w:name="Tc_J29M0Y_mgkaUXH9BMkTaWA_14_5"/>
      <w:bookmarkStart w:id="1440" w:name="Tc_ccI_PYyx2EmB8wdAv_DEUA_14_2"/>
      <w:bookmarkStart w:id="1441" w:name="Tc_pXK1IPkH-Uqy1i4w9S4Few_14_0"/>
      <w:bookmarkStart w:id="1442" w:name="Tc_g5Sif4-AfEColqpfA4mjLQ_13_11"/>
      <w:bookmarkStart w:id="1443" w:name="Tc_P_KUrZZCZ06Xcip-Zk6h9A_13_9"/>
      <w:bookmarkStart w:id="1444" w:name="Tc_iBVcpyw3b0y-3u5La1No0Q_13_7"/>
      <w:bookmarkStart w:id="1445" w:name="Tc_z7buiH9OvEyj6RgxBCycoQ_13_5"/>
      <w:bookmarkStart w:id="1446" w:name="Tc_Ar37glKeA0yeDgBtgtseGw_13_2"/>
      <w:bookmarkStart w:id="1447" w:name="Tc_TbpaVNbMRky1s1lK2zYL0g_13_0"/>
      <w:bookmarkStart w:id="1448" w:name="Tc_VTL-6VEb30CESzZMTDqx9Q_12_11"/>
      <w:bookmarkStart w:id="1449" w:name="Tc_kTozQyP8AEaSi-hhNvLd3w_12_9"/>
      <w:bookmarkStart w:id="1450" w:name="Tc_SebklRwhnU25mCMUCkXdBQ_12_7"/>
      <w:bookmarkStart w:id="1451" w:name="Tc_UGyIBo_O_EemkzAluMa79A_12_5"/>
      <w:bookmarkStart w:id="1452" w:name="Tc_P7Hu8smdYkqgOhSw5bbBuA_12_2"/>
      <w:bookmarkStart w:id="1453" w:name="Tc_7hFX9QZdGEqU4BzeCVOd_g_12_0"/>
      <w:bookmarkStart w:id="1454" w:name="Tc_c8Gei_QyVEO8guPB0B8BmQ_11_11"/>
      <w:bookmarkStart w:id="1455" w:name="Tc_AxBnzLgkxEusgnsq-T6U5Q_11_9"/>
      <w:bookmarkStart w:id="1456" w:name="Tc_2Qaf5SZdrEqR2iEoHepHcw_11_7"/>
      <w:bookmarkStart w:id="1457" w:name="Tc_xLUMD_RKAU-2LlXf723URQ_11_5"/>
      <w:bookmarkStart w:id="1458" w:name="Tc_OwqitlAoK0iu33870KVKPw_11_2"/>
      <w:bookmarkStart w:id="1459" w:name="Tc_-4SKbxPtkEaEquhcoN1Mlg_11_0"/>
      <w:bookmarkStart w:id="1460" w:name="Tc_gwnRuthky06UO31Ppq0kMg_10_11"/>
      <w:bookmarkStart w:id="1461" w:name="Tc_Bl5QaX5RCU--HjMe3C4ECw_10_9"/>
      <w:bookmarkStart w:id="1462" w:name="Tc_uBNXUBfoOEmbq4LKV17woQ_10_7"/>
      <w:bookmarkStart w:id="1463" w:name="Tc_nEoiF9VCF0W2_Ws6r0iEEw_10_5"/>
      <w:bookmarkStart w:id="1464" w:name="Tc_LSExBVEX5kmGsKO1X4lHjQ_10_2"/>
      <w:bookmarkStart w:id="1465" w:name="Tc_X25SOHJIFUm9wsKALeAarA_10_0"/>
      <w:bookmarkStart w:id="1466" w:name="Tc_HHtZbf5fjU2ZsJWGDLl4zw_9_11"/>
      <w:bookmarkStart w:id="1467" w:name="Tc_Ex2JfS0BQ0Gs3-rqa07mPg_9_9"/>
      <w:bookmarkStart w:id="1468" w:name="Tc_wxInz1dzSkGvnTYh_7zm-Q_9_7"/>
      <w:bookmarkStart w:id="1469" w:name="Tc_-Tfs2PP25EKWDZYpry5Lcw_9_5"/>
      <w:bookmarkStart w:id="1470" w:name="Tc_xTK6KpMIhUe4p77QPc4kHA_9_2"/>
      <w:bookmarkStart w:id="1471" w:name="Tc_9vfrI7ivnUqDbirtEals6Q_9_0"/>
      <w:bookmarkStart w:id="1472" w:name="Tc_AwMIZpfGNEOEx9MVgN3crA_8_11"/>
      <w:bookmarkStart w:id="1473" w:name="Tc_7GJ3vfHESEmvyRGbApi0mQ_8_9"/>
      <w:bookmarkStart w:id="1474" w:name="Tc_L2WYx6TewU2NoprIhkFCtg_8_7"/>
      <w:bookmarkStart w:id="1475" w:name="Tc_lgbkNwoV_kyKU8tEDT2FhQ_8_5"/>
      <w:bookmarkStart w:id="1476" w:name="Tc_L3cMKJZNzU-pJmIcqqxi8A_8_2"/>
      <w:bookmarkStart w:id="1477" w:name="Tc_1JOTrqvSmEKTfc7XXgJloA_8_0"/>
      <w:bookmarkStart w:id="1478" w:name="Tc_BsGjVr-HOkSpqEoksmrIwA_7_11"/>
      <w:bookmarkStart w:id="1479" w:name="Tc_SLMAroZOAk-jC3jfkWqjhQ_7_9"/>
      <w:bookmarkStart w:id="1480" w:name="Tc_y6TjeapN3UKIU_q1EiGN7g_7_7"/>
      <w:bookmarkStart w:id="1481" w:name="Tc_DqnoIr2Z3UuwThreyKySSA_7_5"/>
      <w:bookmarkStart w:id="1482" w:name="Tc_zFShPXLhaUe05ZmTqg2G1Q_7_2"/>
      <w:bookmarkStart w:id="1483" w:name="Tc_BATW3i5Elkuns2ZjV0f71w_7_0"/>
      <w:bookmarkStart w:id="1484" w:name="Tc_QLGucQZI302DHni1kh_ESw_6_11"/>
      <w:bookmarkStart w:id="1485" w:name="Tc_LuC8NuCQZUiwaxMb2plb5A_6_9"/>
      <w:bookmarkStart w:id="1486" w:name="Tc_8T6T12OB7ESY_cBch5sY5g_6_7"/>
      <w:bookmarkStart w:id="1487" w:name="Tc_b1_16STHVkSndMSVTgn7Vg_6_5"/>
      <w:bookmarkStart w:id="1488" w:name="Tc_adid04UInE2d9_fuX2akzA_6_2"/>
      <w:bookmarkStart w:id="1489" w:name="Tc_raIeJhuokUeGhcjqXrVfmA_6_0"/>
      <w:bookmarkStart w:id="1490" w:name="Tc_PhQRjvSpEk6Vupahc11XxQ_5_11"/>
      <w:bookmarkStart w:id="1491" w:name="Tc_xfIb_99Vz02v5Qj01IQH9Q_5_9"/>
      <w:bookmarkStart w:id="1492" w:name="Tc_2Z3iyvEcvEi-bk4BqgcGlw_5_7"/>
      <w:bookmarkStart w:id="1493" w:name="Tc_qCef9LWphUeU7xAknycxCg_5_4"/>
      <w:bookmarkStart w:id="1494" w:name="Tc_ftEmu6btHUS0o9-xRp8LPg_5_2"/>
      <w:bookmarkStart w:id="1495" w:name="Tc_88r6XZygmk6hTN5Ggkr0dw_5_0"/>
      <w:bookmarkStart w:id="1496" w:name="Tc__D_dI8uapku0zWW03TxYRA_4_9"/>
      <w:bookmarkStart w:id="1497" w:name="Tc_YtvKnF_wF0ejP5AKK7pR3A_4_7"/>
      <w:bookmarkStart w:id="1498" w:name="Tc_9Hw6CVXqoEC5-w2z6LCHsA_4_4"/>
      <w:bookmarkStart w:id="1499" w:name="Tc_rvDPgCtffkqUAT7tJ1DtEw_3_9"/>
      <w:bookmarkStart w:id="1500" w:name="Tc_8IygXMEA40WvpQWI4eMdaQ_3_7"/>
      <w:bookmarkStart w:id="1501" w:name="Tc_5_7rRMH7ZUO7BLmfaIvRPQ_3_4"/>
      <w:bookmarkStart w:id="1502" w:name="Tc_zAt52RHCCUyQJdsUyS_WTw_2_4"/>
      <w:bookmarkStart w:id="1503" w:name="Tc_RJ5qjoPZ6kWbWSy_A6oLaQ_1_4"/>
      <w:bookmarkStart w:id="1504" w:name="a1Organizationandprincipalactivities_248"/>
      <w:bookmarkStart w:id="1505" w:name="Tc_iuGN_KzL_Ee6odGRCMDoQg_17_11"/>
      <w:bookmarkStart w:id="1506" w:name="Tc_0IDb6O2iQkSHYpMsSnZp5A_17_9"/>
      <w:bookmarkStart w:id="1507" w:name="Tc_Zc7rvyaRWk-J9yBbscf5DQ_17_7"/>
      <w:bookmarkStart w:id="1508" w:name="Tc__yBOD3oXt0eN_0ow1urm4w_17_5"/>
      <w:bookmarkStart w:id="1509" w:name="Tc_B0DAyK5A1UCVvU2LtInleg_17_2"/>
      <w:bookmarkStart w:id="1510" w:name="Tc_WaSnQFyAZ06o0R_ftzJXLw_17_0"/>
      <w:bookmarkStart w:id="1511" w:name="Tc_UxohHUgmrEmhMyVGfOZ83w_16_11"/>
      <w:bookmarkStart w:id="1512" w:name="Tc_ohJ0bjeUg0mxwzVXGL-3Dw_16_9"/>
      <w:bookmarkStart w:id="1513" w:name="Tc_AmI4IOUXlU6k3hQ4O_qQCQ_16_7"/>
      <w:bookmarkStart w:id="1514" w:name="Tc_zPjDRCCcZkW4mzWZ-C_JVw_16_5"/>
      <w:bookmarkStart w:id="1515" w:name="Tc_572unYRLrkeOXDa2fYTX6g_16_2"/>
      <w:bookmarkStart w:id="1516" w:name="Tc_iPT3wR_RyEy25zOoO7uvYw_16_0"/>
      <w:bookmarkStart w:id="1517" w:name="Tc_SfH1WAaf-UK4v1VPHmp2BA_15_11"/>
      <w:bookmarkStart w:id="1518" w:name="Tc_cAEPWfm8RkqQ_GG6vAcEYg_15_9"/>
      <w:bookmarkStart w:id="1519" w:name="Tc_4ng29mMBKUecZuFBHma_ZA_15_7"/>
      <w:bookmarkStart w:id="1520" w:name="Tc_wA47OI-mBUe_6udPKsMt3w_15_5"/>
      <w:bookmarkStart w:id="1521" w:name="Tc_Lg7E35RHIEqxmPTrfX4inw_15_2"/>
      <w:bookmarkStart w:id="1522" w:name="Tc_9wGCWLE2QUe0BpwpKe517w_15_0"/>
      <w:bookmarkStart w:id="1523" w:name="Tc_2_a2QB1xtk6ilunAWC-jRA_14_11"/>
      <w:bookmarkStart w:id="1524" w:name="Tc_gVQbqsZhFUSE6_XZ78X4Kg_14_9"/>
      <w:bookmarkStart w:id="1525" w:name="Tc_v2r0dxroVkSssARLtkKLSw_14_7"/>
      <w:bookmarkStart w:id="1526" w:name="Tc_J29M0Y_mgkaUXH9BMkTaWA_14_5"/>
      <w:bookmarkStart w:id="1527" w:name="Tc_ccI_PYyx2EmB8wdAv_DEUA_14_2"/>
      <w:bookmarkStart w:id="1528" w:name="Tc_pXK1IPkH-Uqy1i4w9S4Few_14_0"/>
      <w:bookmarkStart w:id="1529" w:name="Tc_g5Sif4-AfEColqpfA4mjLQ_13_11"/>
      <w:bookmarkStart w:id="1530" w:name="Tc_P_KUrZZCZ06Xcip-Zk6h9A_13_9"/>
      <w:bookmarkStart w:id="1531" w:name="Tc_iBVcpyw3b0y-3u5La1No0Q_13_7"/>
      <w:bookmarkStart w:id="1532" w:name="Tc_z7buiH9OvEyj6RgxBCycoQ_13_5"/>
      <w:bookmarkStart w:id="1533" w:name="Tc_Ar37glKeA0yeDgBtgtseGw_13_2"/>
      <w:bookmarkStart w:id="1534" w:name="Tc_TbpaVNbMRky1s1lK2zYL0g_13_0"/>
      <w:bookmarkStart w:id="1535" w:name="Tc_VTL-6VEb30CESzZMTDqx9Q_12_11"/>
      <w:bookmarkStart w:id="1536" w:name="Tc_kTozQyP8AEaSi-hhNvLd3w_12_9"/>
      <w:bookmarkStart w:id="1537" w:name="Tc_SebklRwhnU25mCMUCkXdBQ_12_7"/>
      <w:bookmarkStart w:id="1538" w:name="Tc_UGyIBo_O_EemkzAluMa79A_12_5"/>
      <w:bookmarkStart w:id="1539" w:name="Tc_P7Hu8smdYkqgOhSw5bbBuA_12_2"/>
      <w:bookmarkStart w:id="1540" w:name="Tc_7hFX9QZdGEqU4BzeCVOd_g_12_0"/>
      <w:bookmarkStart w:id="1541" w:name="Tc_c8Gei_QyVEO8guPB0B8BmQ_11_11"/>
      <w:bookmarkStart w:id="1542" w:name="Tc_AxBnzLgkxEusgnsq-T6U5Q_11_9"/>
      <w:bookmarkStart w:id="1543" w:name="Tc_2Qaf5SZdrEqR2iEoHepHcw_11_7"/>
      <w:bookmarkStart w:id="1544" w:name="Tc_xLUMD_RKAU-2LlXf723URQ_11_5"/>
      <w:bookmarkStart w:id="1545" w:name="Tc_OwqitlAoK0iu33870KVKPw_11_2"/>
      <w:bookmarkStart w:id="1546" w:name="Tc_-4SKbxPtkEaEquhcoN1Mlg_11_0"/>
      <w:bookmarkStart w:id="1547" w:name="Tc_gwnRuthky06UO31Ppq0kMg_10_11"/>
      <w:bookmarkStart w:id="1548" w:name="Tc_Bl5QaX5RCU--HjMe3C4ECw_10_9"/>
      <w:bookmarkStart w:id="1549" w:name="Tc_uBNXUBfoOEmbq4LKV17woQ_10_7"/>
      <w:bookmarkStart w:id="1550" w:name="Tc_nEoiF9VCF0W2_Ws6r0iEEw_10_5"/>
      <w:bookmarkStart w:id="1551" w:name="Tc_LSExBVEX5kmGsKO1X4lHjQ_10_2"/>
      <w:bookmarkStart w:id="1552" w:name="Tc_X25SOHJIFUm9wsKALeAarA_10_0"/>
      <w:bookmarkStart w:id="1553" w:name="Tc_HHtZbf5fjU2ZsJWGDLl4zw_9_11"/>
      <w:bookmarkStart w:id="1554" w:name="Tc_Ex2JfS0BQ0Gs3-rqa07mPg_9_9"/>
      <w:bookmarkStart w:id="1555" w:name="Tc_wxInz1dzSkGvnTYh_7zm-Q_9_7"/>
      <w:bookmarkStart w:id="1556" w:name="Tc_-Tfs2PP25EKWDZYpry5Lcw_9_5"/>
      <w:bookmarkStart w:id="1557" w:name="Tc_xTK6KpMIhUe4p77QPc4kHA_9_2"/>
      <w:bookmarkStart w:id="1558" w:name="Tc_9vfrI7ivnUqDbirtEals6Q_9_0"/>
      <w:bookmarkStart w:id="1559" w:name="Tc_AwMIZpfGNEOEx9MVgN3crA_8_11"/>
      <w:bookmarkStart w:id="1560" w:name="Tc_7GJ3vfHESEmvyRGbApi0mQ_8_9"/>
      <w:bookmarkStart w:id="1561" w:name="Tc_L2WYx6TewU2NoprIhkFCtg_8_7"/>
      <w:bookmarkStart w:id="1562" w:name="Tc_lgbkNwoV_kyKU8tEDT2FhQ_8_5"/>
      <w:bookmarkStart w:id="1563" w:name="Tc_L3cMKJZNzU-pJmIcqqxi8A_8_2"/>
      <w:bookmarkStart w:id="1564" w:name="Tc_1JOTrqvSmEKTfc7XXgJloA_8_0"/>
      <w:bookmarkStart w:id="1565" w:name="Tc_BsGjVr-HOkSpqEoksmrIwA_7_11"/>
      <w:bookmarkStart w:id="1566" w:name="Tc_SLMAroZOAk-jC3jfkWqjhQ_7_9"/>
      <w:bookmarkStart w:id="1567" w:name="Tc_y6TjeapN3UKIU_q1EiGN7g_7_7"/>
      <w:bookmarkStart w:id="1568" w:name="Tc_DqnoIr2Z3UuwThreyKySSA_7_5"/>
      <w:bookmarkStart w:id="1569" w:name="Tc_zFShPXLhaUe05ZmTqg2G1Q_7_2"/>
      <w:bookmarkStart w:id="1570" w:name="Tc_BATW3i5Elkuns2ZjV0f71w_7_0"/>
      <w:bookmarkStart w:id="1571" w:name="Tc_QLGucQZI302DHni1kh_ESw_6_11"/>
      <w:bookmarkStart w:id="1572" w:name="Tc_LuC8NuCQZUiwaxMb2plb5A_6_9"/>
      <w:bookmarkStart w:id="1573" w:name="Tc_8T6T12OB7ESY_cBch5sY5g_6_7"/>
      <w:bookmarkStart w:id="1574" w:name="Tc_b1_16STHVkSndMSVTgn7Vg_6_5"/>
      <w:bookmarkStart w:id="1575" w:name="Tc_adid04UInE2d9_fuX2akzA_6_2"/>
      <w:bookmarkStart w:id="1576" w:name="Tc_raIeJhuokUeGhcjqXrVfmA_6_0"/>
      <w:bookmarkStart w:id="1577" w:name="Tc_PhQRjvSpEk6Vupahc11XxQ_5_11"/>
      <w:bookmarkStart w:id="1578" w:name="Tc_xfIb_99Vz02v5Qj01IQH9Q_5_9"/>
      <w:bookmarkStart w:id="1579" w:name="Tc_2Z3iyvEcvEi-bk4BqgcGlw_5_7"/>
      <w:bookmarkStart w:id="1580" w:name="Tc_qCef9LWphUeU7xAknycxCg_5_4"/>
      <w:bookmarkStart w:id="1581" w:name="Tc_ftEmu6btHUS0o9-xRp8LPg_5_2"/>
      <w:bookmarkStart w:id="1582" w:name="Tc_88r6XZygmk6hTN5Ggkr0dw_5_0"/>
      <w:bookmarkStart w:id="1583" w:name="Tc__D_dI8uapku0zWW03TxYRA_4_9"/>
      <w:bookmarkStart w:id="1584" w:name="Tc_YtvKnF_wF0ejP5AKK7pR3A_4_7"/>
      <w:bookmarkStart w:id="1585" w:name="Tc_9Hw6CVXqoEC5-w2z6LCHsA_4_4"/>
      <w:bookmarkStart w:id="1586" w:name="Tc_rvDPgCtffkqUAT7tJ1DtEw_3_9"/>
      <w:bookmarkStart w:id="1587" w:name="Tc_8IygXMEA40WvpQWI4eMdaQ_3_7"/>
      <w:bookmarkStart w:id="1588" w:name="Tc_5_7rRMH7ZUO7BLmfaIvRPQ_3_4"/>
      <w:bookmarkStart w:id="1589" w:name="Tc_zAt52RHCCUyQJdsUyS_WTw_2_4"/>
      <w:bookmarkStart w:id="1590" w:name="Tc_RJ5qjoPZ6kWbWSy_A6oLaQ_1_4"/>
      <w:bookmarkStart w:id="1591" w:name="a1Organizationandprincipalactivities_248"/>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p>
    <w:tbl>
      <w:tblPr>
        <w:tblW w:w="3512" w:type="dxa"/>
        <w:jc w:val="left"/>
        <w:tblInd w:w="0" w:type="dxa"/>
        <w:tblLayout w:type="fixed"/>
        <w:tblCellMar>
          <w:top w:w="0" w:type="dxa"/>
          <w:left w:w="0" w:type="dxa"/>
          <w:bottom w:w="0" w:type="dxa"/>
          <w:right w:w="0" w:type="dxa"/>
        </w:tblCellMar>
      </w:tblPr>
      <w:tblGrid>
        <w:gridCol w:w="226"/>
        <w:gridCol w:w="328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3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w:t>
            </w:r>
          </w:p>
        </w:tc>
      </w:tr>
    </w:tbl>
    <w:tbl>
      <w:tblPr>
        <w:tblW w:w="3677" w:type="dxa"/>
        <w:jc w:val="left"/>
        <w:tblInd w:w="0" w:type="dxa"/>
        <w:tblLayout w:type="fixed"/>
        <w:tblCellMar>
          <w:top w:w="0" w:type="dxa"/>
          <w:left w:w="0" w:type="dxa"/>
          <w:bottom w:w="0" w:type="dxa"/>
          <w:right w:w="0" w:type="dxa"/>
        </w:tblCellMar>
      </w:tblPr>
      <w:tblGrid>
        <w:gridCol w:w="346"/>
        <w:gridCol w:w="333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3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nature of operation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iClick Interactive Asia Group Limited (the “Company”) and its subsidiaries are collectively referred to as the Group. The Company was incorporated under the law of Cayman Islands as a limited company on February 3, 2010. The Group is principally engaged in (i) the provision of online advertising services (“Marketing Solutions”) and (ii) the provision of software and data analytical tool licenses, customer relationship management solutions, and digitalized operational solutions (“Enterprise Solutions”). The Group’s principal operations and geographic market are in Greater China and have offices in Hong Kong and The People’s Republic of China (“the PRC”). There are also sales teams in Singapore and the United Kingdom.</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include the financial statements of the Company, its principal subsidiaries and consolidated VIE and the VIE’s subsidiaries (defined in Note 1(b))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59"/>
        <w:gridCol w:w="326"/>
        <w:gridCol w:w="1006"/>
        <w:gridCol w:w="326"/>
        <w:gridCol w:w="1771"/>
        <w:gridCol w:w="241"/>
        <w:gridCol w:w="326"/>
        <w:gridCol w:w="1129"/>
        <w:gridCol w:w="326"/>
        <w:gridCol w:w="1117"/>
        <w:gridCol w:w="326"/>
        <w:gridCol w:w="1752"/>
      </w:tblGrid>
      <w:tr>
        <w:trPr/>
        <w:tc>
          <w:tcPr>
            <w:tcW w:w="1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989965" cy="175260"/>
                      <wp:effectExtent l="0" t="0" r="0" b="0"/>
                      <wp:wrapNone/>
                      <wp:docPr id="380" name="Frame373"/>
                      <a:graphic xmlns:a="http://schemas.openxmlformats.org/drawingml/2006/main">
                        <a:graphicData uri="http://schemas.microsoft.com/office/word/2010/wordprocessingShape">
                          <wps:wsp>
                            <wps:cNvSpPr txBox="1"/>
                            <wps:spPr>
                              <a:xfrm>
                                <a:off x="0" y="0"/>
                                <a:ext cx="989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1"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38810" cy="175260"/>
                      <wp:effectExtent l="0" t="0" r="0" b="0"/>
                      <wp:wrapNone/>
                      <wp:docPr id="382" name="Frame37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3"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124585" cy="175260"/>
                      <wp:effectExtent l="0" t="0" r="0" b="0"/>
                      <wp:wrapNone/>
                      <wp:docPr id="384" name="Frame377"/>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53035" cy="175260"/>
                      <wp:effectExtent l="0" t="0" r="0" b="0"/>
                      <wp:wrapNone/>
                      <wp:docPr id="385" name="Frame37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6"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716915" cy="175260"/>
                      <wp:effectExtent l="0" t="0" r="0" b="0"/>
                      <wp:wrapNone/>
                      <wp:docPr id="387" name="Frame380"/>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88"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709295" cy="175260"/>
                      <wp:effectExtent l="0" t="0" r="0" b="0"/>
                      <wp:wrapNone/>
                      <wp:docPr id="389" name="Frame382"/>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0"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112520" cy="175260"/>
                      <wp:effectExtent l="0" t="0" r="0" b="0"/>
                      <wp:wrapNone/>
                      <wp:docPr id="391" name="Frame384"/>
                      <a:graphic xmlns:a="http://schemas.openxmlformats.org/drawingml/2006/main">
                        <a:graphicData uri="http://schemas.microsoft.com/office/word/2010/wordprocessingShape">
                          <wps:wsp>
                            <wps:cNvSpPr txBox="1"/>
                            <wps:spPr>
                              <a:xfrm>
                                <a:off x="0" y="0"/>
                                <a:ext cx="1112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5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 interest held</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1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752" w:type="dxa"/>
            <w:tcBorders/>
            <w:vAlign w:val="center"/>
          </w:tcPr>
          <w:p>
            <w:pPr>
              <w:pStyle w:val="TableContents"/>
              <w:bidi w:val="0"/>
              <w:spacing w:before="0" w:after="0"/>
              <w:ind w:left="0" w:right="0" w:hanging="0"/>
              <w:jc w:val="center"/>
              <w:rPr/>
            </w:pPr>
            <w:r>
              <w:rPr/>
              <w:t>​</w:t>
            </w:r>
          </w:p>
        </w:tc>
      </w:tr>
      <w:tr>
        <w:trPr/>
        <w:tc>
          <w:tcPr>
            <w:tcW w:w="155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through equity</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52" w:type="dxa"/>
            <w:tcBorders/>
            <w:vAlign w:val="center"/>
          </w:tcPr>
          <w:p>
            <w:pPr>
              <w:pStyle w:val="TableContents"/>
              <w:bidi w:val="0"/>
              <w:spacing w:before="0" w:after="0"/>
              <w:ind w:left="0" w:right="0" w:hanging="0"/>
              <w:jc w:val="center"/>
              <w:rPr/>
            </w:pPr>
            <w:r>
              <w:rPr/>
              <w:t>​</w:t>
            </w:r>
          </w:p>
        </w:tc>
      </w:tr>
      <w:tr>
        <w:trPr/>
        <w:tc>
          <w:tcPr>
            <w:tcW w:w="155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 contractual</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26" w:type="dxa"/>
            <w:tcBorders/>
            <w:vAlign w:val="center"/>
          </w:tcPr>
          <w:p>
            <w:pPr>
              <w:pStyle w:val="TableContents"/>
              <w:bidi w:val="0"/>
              <w:spacing w:before="0" w:after="0"/>
              <w:ind w:left="0" w:right="0" w:hanging="0"/>
              <w:jc w:val="center"/>
              <w:rPr/>
            </w:pPr>
            <w:r>
              <w:rPr/>
              <w:t>​</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of</w:t>
            </w:r>
          </w:p>
        </w:tc>
        <w:tc>
          <w:tcPr>
            <w:tcW w:w="326" w:type="dxa"/>
            <w:tcBorders/>
            <w:vAlign w:val="center"/>
          </w:tcPr>
          <w:p>
            <w:pPr>
              <w:pStyle w:val="TableContents"/>
              <w:bidi w:val="0"/>
              <w:spacing w:before="0" w:after="0"/>
              <w:ind w:left="0" w:right="0" w:hanging="0"/>
              <w:jc w:val="center"/>
              <w:rPr/>
            </w:pPr>
            <w:r>
              <w:rPr/>
              <w:t>​</w:t>
            </w:r>
          </w:p>
        </w:tc>
        <w:tc>
          <w:tcPr>
            <w:tcW w:w="1752" w:type="dxa"/>
            <w:tcBorders/>
            <w:vAlign w:val="center"/>
          </w:tcPr>
          <w:p>
            <w:pPr>
              <w:pStyle w:val="TableContents"/>
              <w:bidi w:val="0"/>
              <w:spacing w:before="0" w:after="0"/>
              <w:ind w:left="0" w:right="0" w:hanging="0"/>
              <w:jc w:val="center"/>
              <w:rPr/>
            </w:pPr>
            <w:r>
              <w:rPr/>
              <w:t>​</w:t>
            </w:r>
          </w:p>
        </w:tc>
      </w:tr>
      <w:tr>
        <w:trPr/>
        <w:tc>
          <w:tcPr>
            <w:tcW w:w="155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arrangements</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26" w:type="dxa"/>
            <w:tcBorders/>
            <w:vAlign w:val="center"/>
          </w:tcPr>
          <w:p>
            <w:pPr>
              <w:pStyle w:val="TableContents"/>
              <w:bidi w:val="0"/>
              <w:spacing w:before="0" w:after="0"/>
              <w:ind w:left="0" w:right="0" w:hanging="0"/>
              <w:jc w:val="center"/>
              <w:rPr/>
            </w:pPr>
            <w:r>
              <w:rPr/>
              <w:t>​</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26" w:type="dxa"/>
            <w:tcBorders/>
            <w:vAlign w:val="center"/>
          </w:tcPr>
          <w:p>
            <w:pPr>
              <w:pStyle w:val="TableContents"/>
              <w:bidi w:val="0"/>
              <w:spacing w:before="0" w:after="0"/>
              <w:ind w:left="0" w:right="0" w:hanging="0"/>
              <w:jc w:val="center"/>
              <w:rPr/>
            </w:pPr>
            <w:r>
              <w:rPr/>
              <w:t>​</w:t>
            </w:r>
          </w:p>
        </w:tc>
        <w:tc>
          <w:tcPr>
            <w:tcW w:w="1752" w:type="dxa"/>
            <w:tcBorders/>
            <w:vAlign w:val="center"/>
          </w:tcPr>
          <w:p>
            <w:pPr>
              <w:pStyle w:val="TableContents"/>
              <w:bidi w:val="0"/>
              <w:spacing w:before="0" w:after="0"/>
              <w:ind w:left="0" w:right="0" w:hanging="0"/>
              <w:jc w:val="center"/>
              <w:rPr/>
            </w:pPr>
            <w:r>
              <w:rPr/>
              <w:t>​</w:t>
            </w:r>
          </w:p>
        </w:tc>
      </w:tr>
      <w:tr>
        <w:trPr/>
        <w:tc>
          <w:tcPr>
            <w:tcW w:w="15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Relationship</w:t>
            </w:r>
          </w:p>
        </w:tc>
        <w:tc>
          <w:tcPr>
            <w:tcW w:w="326" w:type="dxa"/>
            <w:tcBorders/>
            <w:vAlign w:val="center"/>
          </w:tcPr>
          <w:p>
            <w:pPr>
              <w:pStyle w:val="TableContents"/>
              <w:bidi w:val="0"/>
              <w:spacing w:before="0" w:after="0"/>
              <w:ind w:left="0" w:right="0" w:hanging="0"/>
              <w:jc w:val="center"/>
              <w:rPr/>
            </w:pPr>
            <w:r>
              <w:rPr/>
              <w:t>​</w:t>
            </w:r>
          </w:p>
        </w:tc>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(i))</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establishment</w:t>
            </w:r>
          </w:p>
        </w:tc>
        <w:tc>
          <w:tcPr>
            <w:tcW w:w="326" w:type="dxa"/>
            <w:tcBorders/>
            <w:vAlign w:val="center"/>
          </w:tcPr>
          <w:p>
            <w:pPr>
              <w:pStyle w:val="TableContents"/>
              <w:bidi w:val="0"/>
              <w:spacing w:before="0" w:after="0"/>
              <w:ind w:left="0" w:right="0" w:hanging="0"/>
              <w:jc w:val="center"/>
              <w:rPr/>
            </w:pPr>
            <w:r>
              <w:rPr/>
              <w:t>​</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establishment</w:t>
            </w:r>
          </w:p>
        </w:tc>
        <w:tc>
          <w:tcPr>
            <w:tcW w:w="326" w:type="dxa"/>
            <w:tcBorders/>
            <w:vAlign w:val="center"/>
          </w:tcPr>
          <w:p>
            <w:pPr>
              <w:pStyle w:val="TableContents"/>
              <w:bidi w:val="0"/>
              <w:spacing w:before="0" w:after="0"/>
              <w:ind w:left="0" w:right="0" w:hanging="0"/>
              <w:jc w:val="center"/>
              <w:rPr/>
            </w:pPr>
            <w:r>
              <w:rPr/>
              <w:t>​</w:t>
            </w:r>
          </w:p>
        </w:tc>
        <w:tc>
          <w:tcPr>
            <w:tcW w:w="17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r>
      <w:tr>
        <w:trPr/>
        <w:tc>
          <w:tcPr>
            <w:tcW w:w="15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Tetris Media Limited</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July 2007</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Hong Kong</w:t>
            </w:r>
          </w:p>
        </w:tc>
        <w:tc>
          <w:tcPr>
            <w:tcW w:w="326" w:type="dxa"/>
            <w:tcBorders/>
            <w:shd w:fill="CCEEFF" w:val="clear"/>
            <w:vAlign w:val="center"/>
          </w:tcPr>
          <w:p>
            <w:pPr>
              <w:pStyle w:val="TableContents"/>
              <w:bidi w:val="0"/>
              <w:spacing w:before="0" w:after="0"/>
              <w:ind w:left="0" w:right="0" w:hanging="0"/>
              <w:jc w:val="left"/>
              <w:rPr/>
            </w:pPr>
            <w:r>
              <w:rPr/>
              <w:t> </w:t>
            </w:r>
          </w:p>
        </w:tc>
        <w:tc>
          <w:tcPr>
            <w:tcW w:w="17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holding</w:t>
            </w:r>
          </w:p>
        </w:tc>
      </w:tr>
      <w:tr>
        <w:trPr/>
        <w:tc>
          <w:tcPr>
            <w:tcW w:w="15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iClick Interactive Asia Limited</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26" w:type="dxa"/>
            <w:tcBorders/>
            <w:vAlign w:val="center"/>
          </w:tcPr>
          <w:p>
            <w:pPr>
              <w:pStyle w:val="TableContents"/>
              <w:bidi w:val="0"/>
              <w:spacing w:before="0" w:after="0"/>
              <w:ind w:left="0" w:right="0" w:hanging="0"/>
              <w:jc w:val="left"/>
              <w:rPr/>
            </w:pPr>
            <w:r>
              <w:rPr/>
              <w:t> </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December 2008</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Hong Kong</w:t>
            </w:r>
          </w:p>
        </w:tc>
        <w:tc>
          <w:tcPr>
            <w:tcW w:w="326" w:type="dxa"/>
            <w:tcBorders/>
            <w:vAlign w:val="center"/>
          </w:tcPr>
          <w:p>
            <w:pPr>
              <w:pStyle w:val="TableContents"/>
              <w:bidi w:val="0"/>
              <w:spacing w:before="0" w:after="0"/>
              <w:ind w:left="0" w:right="0" w:hanging="0"/>
              <w:jc w:val="left"/>
              <w:rPr/>
            </w:pPr>
            <w:r>
              <w:rPr/>
              <w:t> </w:t>
            </w:r>
          </w:p>
        </w:tc>
        <w:tc>
          <w:tcPr>
            <w:tcW w:w="17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Online advertising, SaaS products and services</w:t>
            </w:r>
          </w:p>
        </w:tc>
      </w:tr>
      <w:tr>
        <w:trPr/>
        <w:tc>
          <w:tcPr>
            <w:tcW w:w="15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China Search (Asia) Limited</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2010</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Hong Kong</w:t>
            </w:r>
          </w:p>
        </w:tc>
        <w:tc>
          <w:tcPr>
            <w:tcW w:w="326" w:type="dxa"/>
            <w:tcBorders/>
            <w:shd w:fill="CCEEFF" w:val="clear"/>
            <w:vAlign w:val="center"/>
          </w:tcPr>
          <w:p>
            <w:pPr>
              <w:pStyle w:val="TableContents"/>
              <w:bidi w:val="0"/>
              <w:spacing w:before="0" w:after="0"/>
              <w:ind w:left="0" w:right="0" w:hanging="0"/>
              <w:jc w:val="left"/>
              <w:rPr/>
            </w:pPr>
            <w:r>
              <w:rPr/>
              <w:t> </w:t>
            </w:r>
          </w:p>
        </w:tc>
        <w:tc>
          <w:tcPr>
            <w:tcW w:w="17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Online advertising</w:t>
            </w:r>
          </w:p>
        </w:tc>
      </w:tr>
      <w:tr>
        <w:trPr/>
        <w:tc>
          <w:tcPr>
            <w:tcW w:w="15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iClick Interactive (Singapore) Pte. Ltd.</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26" w:type="dxa"/>
            <w:tcBorders/>
            <w:vAlign w:val="center"/>
          </w:tcPr>
          <w:p>
            <w:pPr>
              <w:pStyle w:val="TableContents"/>
              <w:bidi w:val="0"/>
              <w:spacing w:before="0" w:after="0"/>
              <w:ind w:left="0" w:right="0" w:hanging="0"/>
              <w:jc w:val="left"/>
              <w:rPr/>
            </w:pPr>
            <w:r>
              <w:rPr/>
              <w:t> </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2011</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Singapore</w:t>
            </w:r>
          </w:p>
        </w:tc>
        <w:tc>
          <w:tcPr>
            <w:tcW w:w="326" w:type="dxa"/>
            <w:tcBorders/>
            <w:vAlign w:val="center"/>
          </w:tcPr>
          <w:p>
            <w:pPr>
              <w:pStyle w:val="TableContents"/>
              <w:bidi w:val="0"/>
              <w:spacing w:before="0" w:after="0"/>
              <w:ind w:left="0" w:right="0" w:hanging="0"/>
              <w:jc w:val="left"/>
              <w:rPr/>
            </w:pPr>
            <w:r>
              <w:rPr/>
              <w:t> </w:t>
            </w:r>
          </w:p>
        </w:tc>
        <w:tc>
          <w:tcPr>
            <w:tcW w:w="17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Online advertising</w:t>
            </w:r>
          </w:p>
        </w:tc>
      </w:tr>
      <w:tr>
        <w:trPr/>
        <w:tc>
          <w:tcPr>
            <w:tcW w:w="15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iClick Data Technology (Beijing) Limited (“Beijing WFOE”)</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2011</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 PRC</w:t>
            </w:r>
          </w:p>
        </w:tc>
        <w:tc>
          <w:tcPr>
            <w:tcW w:w="326" w:type="dxa"/>
            <w:tcBorders/>
            <w:shd w:fill="CCEEFF" w:val="clear"/>
            <w:vAlign w:val="center"/>
          </w:tcPr>
          <w:p>
            <w:pPr>
              <w:pStyle w:val="TableContents"/>
              <w:bidi w:val="0"/>
              <w:spacing w:before="0" w:after="0"/>
              <w:ind w:left="0" w:right="0" w:hanging="0"/>
              <w:jc w:val="left"/>
              <w:rPr/>
            </w:pPr>
            <w:r>
              <w:rPr/>
              <w:t> </w:t>
            </w:r>
          </w:p>
        </w:tc>
        <w:tc>
          <w:tcPr>
            <w:tcW w:w="17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Online advertising, SaaS products and services</w:t>
            </w:r>
          </w:p>
        </w:tc>
      </w:tr>
      <w:tr>
        <w:trPr/>
        <w:tc>
          <w:tcPr>
            <w:tcW w:w="15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Search Asia Technology (Shenzhen) Co., Ltd.</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26" w:type="dxa"/>
            <w:tcBorders/>
            <w:vAlign w:val="center"/>
          </w:tcPr>
          <w:p>
            <w:pPr>
              <w:pStyle w:val="TableContents"/>
              <w:bidi w:val="0"/>
              <w:spacing w:before="0" w:after="0"/>
              <w:ind w:left="0" w:right="0" w:hanging="0"/>
              <w:jc w:val="left"/>
              <w:rPr/>
            </w:pPr>
            <w:r>
              <w:rPr/>
              <w:t> </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2011</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 PRC</w:t>
            </w:r>
          </w:p>
        </w:tc>
        <w:tc>
          <w:tcPr>
            <w:tcW w:w="326" w:type="dxa"/>
            <w:tcBorders/>
            <w:vAlign w:val="center"/>
          </w:tcPr>
          <w:p>
            <w:pPr>
              <w:pStyle w:val="TableContents"/>
              <w:bidi w:val="0"/>
              <w:spacing w:before="0" w:after="0"/>
              <w:ind w:left="0" w:right="0" w:hanging="0"/>
              <w:jc w:val="left"/>
              <w:rPr/>
            </w:pPr>
            <w:r>
              <w:rPr/>
              <w:t> </w:t>
            </w:r>
          </w:p>
        </w:tc>
        <w:tc>
          <w:tcPr>
            <w:tcW w:w="17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Online advertising</w:t>
            </w:r>
          </w:p>
        </w:tc>
      </w:tr>
      <w:tr>
        <w:trPr/>
        <w:tc>
          <w:tcPr>
            <w:tcW w:w="15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Performance Media Group Limited</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2013</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Hong Kong</w:t>
            </w:r>
          </w:p>
        </w:tc>
        <w:tc>
          <w:tcPr>
            <w:tcW w:w="326" w:type="dxa"/>
            <w:tcBorders/>
            <w:shd w:fill="CCEEFF" w:val="clear"/>
            <w:vAlign w:val="center"/>
          </w:tcPr>
          <w:p>
            <w:pPr>
              <w:pStyle w:val="TableContents"/>
              <w:bidi w:val="0"/>
              <w:spacing w:before="0" w:after="0"/>
              <w:ind w:left="0" w:right="0" w:hanging="0"/>
              <w:jc w:val="left"/>
              <w:rPr/>
            </w:pPr>
            <w:r>
              <w:rPr/>
              <w:t> </w:t>
            </w:r>
          </w:p>
        </w:tc>
        <w:tc>
          <w:tcPr>
            <w:tcW w:w="17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Online advertising</w:t>
            </w:r>
          </w:p>
        </w:tc>
      </w:tr>
      <w:tr>
        <w:trPr/>
        <w:tc>
          <w:tcPr>
            <w:tcW w:w="15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CMRS Digital Solutions Limited</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26" w:type="dxa"/>
            <w:tcBorders/>
            <w:vAlign w:val="center"/>
          </w:tcPr>
          <w:p>
            <w:pPr>
              <w:pStyle w:val="TableContents"/>
              <w:bidi w:val="0"/>
              <w:spacing w:before="0" w:after="0"/>
              <w:ind w:left="0" w:right="0" w:hanging="0"/>
              <w:jc w:val="left"/>
              <w:rPr/>
            </w:pPr>
            <w:r>
              <w:rPr/>
              <w:t> </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2008</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Hong Kong</w:t>
            </w:r>
          </w:p>
        </w:tc>
        <w:tc>
          <w:tcPr>
            <w:tcW w:w="326" w:type="dxa"/>
            <w:tcBorders/>
            <w:vAlign w:val="center"/>
          </w:tcPr>
          <w:p>
            <w:pPr>
              <w:pStyle w:val="TableContents"/>
              <w:bidi w:val="0"/>
              <w:spacing w:before="0" w:after="0"/>
              <w:ind w:left="0" w:right="0" w:hanging="0"/>
              <w:jc w:val="left"/>
              <w:rPr/>
            </w:pPr>
            <w:r>
              <w:rPr/>
              <w:t> </w:t>
            </w:r>
          </w:p>
        </w:tc>
        <w:tc>
          <w:tcPr>
            <w:tcW w:w="17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Online advertising, SaaS products and services</w:t>
            </w:r>
          </w:p>
        </w:tc>
      </w:tr>
      <w:tr>
        <w:trPr/>
        <w:tc>
          <w:tcPr>
            <w:tcW w:w="15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Beyond Digital Solutions Limited</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2010</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Hong Kong</w:t>
            </w:r>
          </w:p>
        </w:tc>
        <w:tc>
          <w:tcPr>
            <w:tcW w:w="326" w:type="dxa"/>
            <w:tcBorders/>
            <w:shd w:fill="CCEEFF" w:val="clear"/>
            <w:vAlign w:val="center"/>
          </w:tcPr>
          <w:p>
            <w:pPr>
              <w:pStyle w:val="TableContents"/>
              <w:bidi w:val="0"/>
              <w:spacing w:before="0" w:after="0"/>
              <w:ind w:left="0" w:right="0" w:hanging="0"/>
              <w:jc w:val="left"/>
              <w:rPr/>
            </w:pPr>
            <w:r>
              <w:rPr/>
              <w:t> </w:t>
            </w:r>
          </w:p>
        </w:tc>
        <w:tc>
          <w:tcPr>
            <w:tcW w:w="17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Online advertising, SaaS products and services</w:t>
            </w:r>
          </w:p>
        </w:tc>
      </w:tr>
      <w:tr>
        <w:trPr/>
        <w:tc>
          <w:tcPr>
            <w:tcW w:w="15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CruiSo Digital Solutions Limited</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26" w:type="dxa"/>
            <w:tcBorders/>
            <w:vAlign w:val="center"/>
          </w:tcPr>
          <w:p>
            <w:pPr>
              <w:pStyle w:val="TableContents"/>
              <w:bidi w:val="0"/>
              <w:spacing w:before="0" w:after="0"/>
              <w:ind w:left="0" w:right="0" w:hanging="0"/>
              <w:jc w:val="left"/>
              <w:rPr/>
            </w:pPr>
            <w:r>
              <w:rPr/>
              <w:t> </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2011</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Hong Kong</w:t>
            </w:r>
          </w:p>
        </w:tc>
        <w:tc>
          <w:tcPr>
            <w:tcW w:w="326" w:type="dxa"/>
            <w:tcBorders/>
            <w:vAlign w:val="center"/>
          </w:tcPr>
          <w:p>
            <w:pPr>
              <w:pStyle w:val="TableContents"/>
              <w:bidi w:val="0"/>
              <w:spacing w:before="0" w:after="0"/>
              <w:ind w:left="0" w:right="0" w:hanging="0"/>
              <w:jc w:val="left"/>
              <w:rPr/>
            </w:pPr>
            <w:r>
              <w:rPr/>
              <w:t> </w:t>
            </w:r>
          </w:p>
        </w:tc>
        <w:tc>
          <w:tcPr>
            <w:tcW w:w="17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Online advertising, SaaS products and services</w:t>
            </w:r>
          </w:p>
        </w:tc>
      </w:tr>
      <w:tr>
        <w:trPr/>
        <w:tc>
          <w:tcPr>
            <w:tcW w:w="15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Tetris Information Technology (Shanghai) Co., Ltd.</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2008</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 PRC</w:t>
            </w:r>
          </w:p>
        </w:tc>
        <w:tc>
          <w:tcPr>
            <w:tcW w:w="326" w:type="dxa"/>
            <w:tcBorders/>
            <w:shd w:fill="CCEEFF" w:val="clear"/>
            <w:vAlign w:val="center"/>
          </w:tcPr>
          <w:p>
            <w:pPr>
              <w:pStyle w:val="TableContents"/>
              <w:bidi w:val="0"/>
              <w:spacing w:before="0" w:after="0"/>
              <w:ind w:left="0" w:right="0" w:hanging="0"/>
              <w:jc w:val="left"/>
              <w:rPr/>
            </w:pPr>
            <w:r>
              <w:rPr/>
              <w:t> </w:t>
            </w:r>
          </w:p>
        </w:tc>
        <w:tc>
          <w:tcPr>
            <w:tcW w:w="17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Online advertising, SaaS products and services</w:t>
            </w:r>
          </w:p>
        </w:tc>
      </w:tr>
      <w:tr>
        <w:trPr/>
        <w:tc>
          <w:tcPr>
            <w:tcW w:w="15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OptAim (Beijing) Information Technology Co., Ltd. (“OptAim WFOE”)</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26" w:type="dxa"/>
            <w:tcBorders/>
            <w:vAlign w:val="center"/>
          </w:tcPr>
          <w:p>
            <w:pPr>
              <w:pStyle w:val="TableContents"/>
              <w:bidi w:val="0"/>
              <w:spacing w:before="0" w:after="0"/>
              <w:ind w:left="0" w:right="0" w:hanging="0"/>
              <w:jc w:val="left"/>
              <w:rPr/>
            </w:pPr>
            <w:r>
              <w:rPr/>
              <w:t> </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2014</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 PRC</w:t>
            </w:r>
          </w:p>
        </w:tc>
        <w:tc>
          <w:tcPr>
            <w:tcW w:w="326" w:type="dxa"/>
            <w:tcBorders/>
            <w:vAlign w:val="center"/>
          </w:tcPr>
          <w:p>
            <w:pPr>
              <w:pStyle w:val="TableContents"/>
              <w:bidi w:val="0"/>
              <w:spacing w:before="0" w:after="0"/>
              <w:ind w:left="0" w:right="0" w:hanging="0"/>
              <w:jc w:val="left"/>
              <w:rPr/>
            </w:pPr>
            <w:r>
              <w:rPr/>
              <w:t> </w:t>
            </w:r>
          </w:p>
        </w:tc>
        <w:tc>
          <w:tcPr>
            <w:tcW w:w="17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Online advertising, SaaS products and services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0"/>
        <w:ind w:left="0" w:right="0" w:hanging="0"/>
        <w:jc w:val="left"/>
        <w:rPr/>
      </w:pPr>
      <w:r>
        <w:rPr/>
        <w:t>​</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16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592" w:name="Tc_f9PVzq4k7kaBNtPPoAPyVw_15_10"/>
      <w:bookmarkStart w:id="1593" w:name="Tc_p48rcu-xCUCtX0e-SSHfHQ_15_8"/>
      <w:bookmarkStart w:id="1594" w:name="Tc_waUp7auw60SGp3cUwtv5Eg_15_6"/>
      <w:bookmarkStart w:id="1595" w:name="Tc_FGJnczIXYUScgMgZ8abWwQ_15_5"/>
      <w:bookmarkStart w:id="1596" w:name="Tc_GulEaQGkD0qaB9jFW__kIg_15_2"/>
      <w:bookmarkStart w:id="1597" w:name="Tc_GNCXD2SYckmJaNdWuCFvkQ_15_0"/>
      <w:bookmarkStart w:id="1598" w:name="Tc_V3EFjkDAfkqMmEsojM01cg_14_10"/>
      <w:bookmarkStart w:id="1599" w:name="Tc_K0pVJmE9OkG5G2OUlnFS9g_14_8"/>
      <w:bookmarkStart w:id="1600" w:name="Tc_HFkJp-0qEkqMHktSSbAqtw_14_6"/>
      <w:bookmarkStart w:id="1601" w:name="Tc_kdvNdf2a_UyVVVBlbtyAzA_14_5"/>
      <w:bookmarkStart w:id="1602" w:name="Tc_uVkgstJ_JUqCsoGtUHKirA_14_2"/>
      <w:bookmarkStart w:id="1603" w:name="Tc_MqDr8rW_CkiwEyCLLFSY5g_14_0"/>
      <w:bookmarkStart w:id="1604" w:name="Tc_1ADemAeC0UarxncnoNICKA_13_10"/>
      <w:bookmarkStart w:id="1605" w:name="Tc_oSUWkED-skWwJuiBHw0yvw_13_8"/>
      <w:bookmarkStart w:id="1606" w:name="Tc_dNGFCThCQkutIWguDNzk_A_13_6"/>
      <w:bookmarkStart w:id="1607" w:name="Tc_Ld6a5b-DVk-4JxESklzg6w_13_5"/>
      <w:bookmarkStart w:id="1608" w:name="Tc_VhfZPfLdZ06BwO0qhaby9Q_13_2"/>
      <w:bookmarkStart w:id="1609" w:name="Tc_Kj4JWGNJqUGqkz0wnnp6QA_13_0"/>
      <w:bookmarkStart w:id="1610" w:name="Tc_Tg_YBl6MmkefC2D7dXmNgA_12_10"/>
      <w:bookmarkStart w:id="1611" w:name="Tc_U4V8Xi1M3E2--VkgFiwrnQ_12_8"/>
      <w:bookmarkStart w:id="1612" w:name="Tc_giXrAo3CKk2S38C6dmzkZw_12_6"/>
      <w:bookmarkStart w:id="1613" w:name="Tc__i00or4WTUCgIxe3681HRg_12_5"/>
      <w:bookmarkStart w:id="1614" w:name="Tc_g7z8MmzHZki2GRlp8_62vQ_12_2"/>
      <w:bookmarkStart w:id="1615" w:name="Tc_038Sd43g7EiNErVKju1twA_12_0"/>
      <w:bookmarkStart w:id="1616" w:name="Tc_2iNqXcXFpkWVGLIv911NzQ_11_10"/>
      <w:bookmarkStart w:id="1617" w:name="Tc_e_plQvOBGEW0jpB52g5rXw_11_8"/>
      <w:bookmarkStart w:id="1618" w:name="Tc_lDZ6qZGTnUC1AN3IGle8HA_11_6"/>
      <w:bookmarkStart w:id="1619" w:name="Tc_hwLtbNsTaUiqNmSmtjyxxw_11_5"/>
      <w:bookmarkStart w:id="1620" w:name="Tc_0wLsKs8myECF3ZmEvapYRQ_11_2"/>
      <w:bookmarkStart w:id="1621" w:name="Tc_Yy-hfpHOlEmHuU5zPac1RQ_11_0"/>
      <w:bookmarkStart w:id="1622" w:name="Tc_K8KgKmqTDkWCTBq8yLa2Bg_10_10"/>
      <w:bookmarkStart w:id="1623" w:name="Tc_TWccG1-1AkecULol0gB_LA_10_8"/>
      <w:bookmarkStart w:id="1624" w:name="Tc_4VjGCLX1jk-D0bJv3AQYDw_10_6"/>
      <w:bookmarkStart w:id="1625" w:name="Tc_ePnd5-bEV0CACtTJwiwJTw_10_5"/>
      <w:bookmarkStart w:id="1626" w:name="Tc_b9aL20dKcEinQVJax9sD7w_10_2"/>
      <w:bookmarkStart w:id="1627" w:name="Tc_WobjzrZvb0mN3GGFfl6nFw_10_0"/>
      <w:bookmarkStart w:id="1628" w:name="Tc_lAhEchlUIkSYUuFqfEXgBQ_9_10"/>
      <w:bookmarkStart w:id="1629" w:name="Tc_PZDwGzatHUK5HAiDxePUXw_9_8"/>
      <w:bookmarkStart w:id="1630" w:name="Tc_gFAy45J-tE6q9UtGvOOQtw_9_6"/>
      <w:bookmarkStart w:id="1631" w:name="Tc_nbvSGXwXQk2CBwmLM1bCxA_9_5"/>
      <w:bookmarkStart w:id="1632" w:name="Tc_ddDcBrZOVk2MQmRpOG-tgA_9_2"/>
      <w:bookmarkStart w:id="1633" w:name="Tc_cz4uWjYnHE-AQBC2qfiRhw_9_0"/>
      <w:bookmarkStart w:id="1634" w:name="Tc_cQTQqpslcESzlhn-yEny5g_8_10"/>
      <w:bookmarkStart w:id="1635" w:name="Tc_r4Mha4cHG02_hx7Lzl5gVg_8_8"/>
      <w:bookmarkStart w:id="1636" w:name="Tc_9Hsdx0yxmE-5oBcoFagKow_8_6"/>
      <w:bookmarkStart w:id="1637" w:name="Tc_1XJwDSAgVUGRpFyXKINbag_8_5"/>
      <w:bookmarkStart w:id="1638" w:name="Tc_1mD986moBECQRT_ASP7bKA_8_2"/>
      <w:bookmarkStart w:id="1639" w:name="Tc_pFVZRrFRW0aL9h_hoe4l8A_8_0"/>
      <w:bookmarkStart w:id="1640" w:name="Tc_sxjQIjDmg0i7_KrFzzjOVA_7_10"/>
      <w:bookmarkStart w:id="1641" w:name="Tc_-SQj05OboEC645iBdjTyTA_7_8"/>
      <w:bookmarkStart w:id="1642" w:name="Tc_qV_GNs-AEUylYChTjt5XTQ_7_6"/>
      <w:bookmarkStart w:id="1643" w:name="Tc_aV3KS0QJ-kOaUHAddqHBzA_7_5"/>
      <w:bookmarkStart w:id="1644" w:name="Tc_Qj59n5fAPEmihQF2uVQImA_7_2"/>
      <w:bookmarkStart w:id="1645" w:name="Tc_sMIqOeTus0asz0mR1idytA_7_0"/>
      <w:bookmarkStart w:id="1646" w:name="Tc_UbXxpQit-U6NZ8GMxU-r4Q_6_10"/>
      <w:bookmarkStart w:id="1647" w:name="Tc_TqElKjty9kOxM10ByRwq2g_6_8"/>
      <w:bookmarkStart w:id="1648" w:name="Tc_nWVbDHBMDEqKNZ6bcdzjhg_6_6"/>
      <w:bookmarkStart w:id="1649" w:name="Tc_Hra3Q5xfUk-vlLbCANsmjg_6_4"/>
      <w:bookmarkStart w:id="1650" w:name="Tc_XafGEZR810uYwjRe_559Lw_6_2"/>
      <w:bookmarkStart w:id="1651" w:name="Tc_y0yj7gc3VkC07WPNhRjm-Q_6_0"/>
      <w:bookmarkStart w:id="1652" w:name="Tc_ysYj2JKpE0yJnuGJpEkpdQ_5_8"/>
      <w:bookmarkStart w:id="1653" w:name="Tc_3cD8nPa8CECe4xYDWxSjcQ_5_6"/>
      <w:bookmarkStart w:id="1654" w:name="Tc_Up9W3oEZaU-ZuOQJfPPGTQ_5_4"/>
      <w:bookmarkStart w:id="1655" w:name="Tc_3Rmx3zT9dUaMG1Od2T96hA_4_8"/>
      <w:bookmarkStart w:id="1656" w:name="Tc_l3zg-Ud17UuVE8oZvjbGDg_4_6"/>
      <w:bookmarkStart w:id="1657" w:name="Tc_t79jpauTMUyE9a3TZDI60A_4_4"/>
      <w:bookmarkStart w:id="1658" w:name="Tc_XwautS33bUaAw0ZIB2dNng_3_4"/>
      <w:bookmarkStart w:id="1659" w:name="Tc_4nq0JmPsnUyQZFYe4LKvPA_2_4"/>
      <w:bookmarkStart w:id="1660" w:name="Tc_uDVyhoWp50W5_RPPLISP4Q_1_4"/>
      <w:bookmarkStart w:id="1661" w:name="_acbbb035_7a10_41ad_9ea0_d058582c6ed7"/>
      <w:bookmarkStart w:id="1662" w:name="Tc_f9PVzq4k7kaBNtPPoAPyVw_15_10"/>
      <w:bookmarkStart w:id="1663" w:name="Tc_p48rcu-xCUCtX0e-SSHfHQ_15_8"/>
      <w:bookmarkStart w:id="1664" w:name="Tc_waUp7auw60SGp3cUwtv5Eg_15_6"/>
      <w:bookmarkStart w:id="1665" w:name="Tc_FGJnczIXYUScgMgZ8abWwQ_15_5"/>
      <w:bookmarkStart w:id="1666" w:name="Tc_GulEaQGkD0qaB9jFW__kIg_15_2"/>
      <w:bookmarkStart w:id="1667" w:name="Tc_GNCXD2SYckmJaNdWuCFvkQ_15_0"/>
      <w:bookmarkStart w:id="1668" w:name="Tc_V3EFjkDAfkqMmEsojM01cg_14_10"/>
      <w:bookmarkStart w:id="1669" w:name="Tc_K0pVJmE9OkG5G2OUlnFS9g_14_8"/>
      <w:bookmarkStart w:id="1670" w:name="Tc_HFkJp-0qEkqMHktSSbAqtw_14_6"/>
      <w:bookmarkStart w:id="1671" w:name="Tc_kdvNdf2a_UyVVVBlbtyAzA_14_5"/>
      <w:bookmarkStart w:id="1672" w:name="Tc_uVkgstJ_JUqCsoGtUHKirA_14_2"/>
      <w:bookmarkStart w:id="1673" w:name="Tc_MqDr8rW_CkiwEyCLLFSY5g_14_0"/>
      <w:bookmarkStart w:id="1674" w:name="Tc_1ADemAeC0UarxncnoNICKA_13_10"/>
      <w:bookmarkStart w:id="1675" w:name="Tc_oSUWkED-skWwJuiBHw0yvw_13_8"/>
      <w:bookmarkStart w:id="1676" w:name="Tc_dNGFCThCQkutIWguDNzk_A_13_6"/>
      <w:bookmarkStart w:id="1677" w:name="Tc_Ld6a5b-DVk-4JxESklzg6w_13_5"/>
      <w:bookmarkStart w:id="1678" w:name="Tc_VhfZPfLdZ06BwO0qhaby9Q_13_2"/>
      <w:bookmarkStart w:id="1679" w:name="Tc_Kj4JWGNJqUGqkz0wnnp6QA_13_0"/>
      <w:bookmarkStart w:id="1680" w:name="Tc_Tg_YBl6MmkefC2D7dXmNgA_12_10"/>
      <w:bookmarkStart w:id="1681" w:name="Tc_U4V8Xi1M3E2--VkgFiwrnQ_12_8"/>
      <w:bookmarkStart w:id="1682" w:name="Tc_giXrAo3CKk2S38C6dmzkZw_12_6"/>
      <w:bookmarkStart w:id="1683" w:name="Tc__i00or4WTUCgIxe3681HRg_12_5"/>
      <w:bookmarkStart w:id="1684" w:name="Tc_g7z8MmzHZki2GRlp8_62vQ_12_2"/>
      <w:bookmarkStart w:id="1685" w:name="Tc_038Sd43g7EiNErVKju1twA_12_0"/>
      <w:bookmarkStart w:id="1686" w:name="Tc_2iNqXcXFpkWVGLIv911NzQ_11_10"/>
      <w:bookmarkStart w:id="1687" w:name="Tc_e_plQvOBGEW0jpB52g5rXw_11_8"/>
      <w:bookmarkStart w:id="1688" w:name="Tc_lDZ6qZGTnUC1AN3IGle8HA_11_6"/>
      <w:bookmarkStart w:id="1689" w:name="Tc_hwLtbNsTaUiqNmSmtjyxxw_11_5"/>
      <w:bookmarkStart w:id="1690" w:name="Tc_0wLsKs8myECF3ZmEvapYRQ_11_2"/>
      <w:bookmarkStart w:id="1691" w:name="Tc_Yy-hfpHOlEmHuU5zPac1RQ_11_0"/>
      <w:bookmarkStart w:id="1692" w:name="Tc_K8KgKmqTDkWCTBq8yLa2Bg_10_10"/>
      <w:bookmarkStart w:id="1693" w:name="Tc_TWccG1-1AkecULol0gB_LA_10_8"/>
      <w:bookmarkStart w:id="1694" w:name="Tc_4VjGCLX1jk-D0bJv3AQYDw_10_6"/>
      <w:bookmarkStart w:id="1695" w:name="Tc_ePnd5-bEV0CACtTJwiwJTw_10_5"/>
      <w:bookmarkStart w:id="1696" w:name="Tc_b9aL20dKcEinQVJax9sD7w_10_2"/>
      <w:bookmarkStart w:id="1697" w:name="Tc_WobjzrZvb0mN3GGFfl6nFw_10_0"/>
      <w:bookmarkStart w:id="1698" w:name="Tc_lAhEchlUIkSYUuFqfEXgBQ_9_10"/>
      <w:bookmarkStart w:id="1699" w:name="Tc_PZDwGzatHUK5HAiDxePUXw_9_8"/>
      <w:bookmarkStart w:id="1700" w:name="Tc_gFAy45J-tE6q9UtGvOOQtw_9_6"/>
      <w:bookmarkStart w:id="1701" w:name="Tc_nbvSGXwXQk2CBwmLM1bCxA_9_5"/>
      <w:bookmarkStart w:id="1702" w:name="Tc_ddDcBrZOVk2MQmRpOG-tgA_9_2"/>
      <w:bookmarkStart w:id="1703" w:name="Tc_cz4uWjYnHE-AQBC2qfiRhw_9_0"/>
      <w:bookmarkStart w:id="1704" w:name="Tc_cQTQqpslcESzlhn-yEny5g_8_10"/>
      <w:bookmarkStart w:id="1705" w:name="Tc_r4Mha4cHG02_hx7Lzl5gVg_8_8"/>
      <w:bookmarkStart w:id="1706" w:name="Tc_9Hsdx0yxmE-5oBcoFagKow_8_6"/>
      <w:bookmarkStart w:id="1707" w:name="Tc_1XJwDSAgVUGRpFyXKINbag_8_5"/>
      <w:bookmarkStart w:id="1708" w:name="Tc_1mD986moBECQRT_ASP7bKA_8_2"/>
      <w:bookmarkStart w:id="1709" w:name="Tc_pFVZRrFRW0aL9h_hoe4l8A_8_0"/>
      <w:bookmarkStart w:id="1710" w:name="Tc_sxjQIjDmg0i7_KrFzzjOVA_7_10"/>
      <w:bookmarkStart w:id="1711" w:name="Tc_-SQj05OboEC645iBdjTyTA_7_8"/>
      <w:bookmarkStart w:id="1712" w:name="Tc_qV_GNs-AEUylYChTjt5XTQ_7_6"/>
      <w:bookmarkStart w:id="1713" w:name="Tc_aV3KS0QJ-kOaUHAddqHBzA_7_5"/>
      <w:bookmarkStart w:id="1714" w:name="Tc_Qj59n5fAPEmihQF2uVQImA_7_2"/>
      <w:bookmarkStart w:id="1715" w:name="Tc_sMIqOeTus0asz0mR1idytA_7_0"/>
      <w:bookmarkStart w:id="1716" w:name="Tc_UbXxpQit-U6NZ8GMxU-r4Q_6_10"/>
      <w:bookmarkStart w:id="1717" w:name="Tc_TqElKjty9kOxM10ByRwq2g_6_8"/>
      <w:bookmarkStart w:id="1718" w:name="Tc_nWVbDHBMDEqKNZ6bcdzjhg_6_6"/>
      <w:bookmarkStart w:id="1719" w:name="Tc_Hra3Q5xfUk-vlLbCANsmjg_6_4"/>
      <w:bookmarkStart w:id="1720" w:name="Tc_XafGEZR810uYwjRe_559Lw_6_2"/>
      <w:bookmarkStart w:id="1721" w:name="Tc_y0yj7gc3VkC07WPNhRjm-Q_6_0"/>
      <w:bookmarkStart w:id="1722" w:name="Tc_ysYj2JKpE0yJnuGJpEkpdQ_5_8"/>
      <w:bookmarkStart w:id="1723" w:name="Tc_3cD8nPa8CECe4xYDWxSjcQ_5_6"/>
      <w:bookmarkStart w:id="1724" w:name="Tc_Up9W3oEZaU-ZuOQJfPPGTQ_5_4"/>
      <w:bookmarkStart w:id="1725" w:name="Tc_3Rmx3zT9dUaMG1Od2T96hA_4_8"/>
      <w:bookmarkStart w:id="1726" w:name="Tc_l3zg-Ud17UuVE8oZvjbGDg_4_6"/>
      <w:bookmarkStart w:id="1727" w:name="Tc_t79jpauTMUyE9a3TZDI60A_4_4"/>
      <w:bookmarkStart w:id="1728" w:name="Tc_XwautS33bUaAw0ZIB2dNng_3_4"/>
      <w:bookmarkStart w:id="1729" w:name="Tc_4nq0JmPsnUyQZFYe4LKvPA_2_4"/>
      <w:bookmarkStart w:id="1730" w:name="Tc_uDVyhoWp50W5_RPPLISP4Q_1_4"/>
      <w:bookmarkStart w:id="1731" w:name="_acbbb035_7a10_41ad_9ea0_d058582c6ed7"/>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p>
    <w:tbl>
      <w:tblPr>
        <w:tblW w:w="4547" w:type="dxa"/>
        <w:jc w:val="left"/>
        <w:tblInd w:w="0" w:type="dxa"/>
        <w:tblLayout w:type="fixed"/>
        <w:tblCellMar>
          <w:top w:w="0" w:type="dxa"/>
          <w:left w:w="0" w:type="dxa"/>
          <w:bottom w:w="0" w:type="dxa"/>
          <w:right w:w="0" w:type="dxa"/>
        </w:tblCellMar>
      </w:tblPr>
      <w:tblGrid>
        <w:gridCol w:w="226"/>
        <w:gridCol w:w="43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tbl>
      <w:tblPr>
        <w:tblW w:w="4712" w:type="dxa"/>
        <w:jc w:val="left"/>
        <w:tblInd w:w="0" w:type="dxa"/>
        <w:tblLayout w:type="fixed"/>
        <w:tblCellMar>
          <w:top w:w="0" w:type="dxa"/>
          <w:left w:w="0" w:type="dxa"/>
          <w:bottom w:w="0" w:type="dxa"/>
          <w:right w:w="0" w:type="dxa"/>
        </w:tblCellMar>
      </w:tblPr>
      <w:tblGrid>
        <w:gridCol w:w="346"/>
        <w:gridCol w:w="43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43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nature of operation (Continued)</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include the financial statements of the Company, its principal subsidiaries and consolidated VIE and the VIE’s subsidiaries (defined in Note 1(b)) as follows: (Continued)</w:t>
      </w:r>
    </w:p>
    <w:p>
      <w:pPr>
        <w:pStyle w:val="TextBody"/>
        <w:bidi w:val="0"/>
        <w:spacing w:before="0" w:after="24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11"/>
        <w:gridCol w:w="326"/>
        <w:gridCol w:w="1008"/>
        <w:gridCol w:w="326"/>
        <w:gridCol w:w="1194"/>
        <w:gridCol w:w="326"/>
        <w:gridCol w:w="1029"/>
        <w:gridCol w:w="326"/>
        <w:gridCol w:w="1010"/>
        <w:gridCol w:w="326"/>
        <w:gridCol w:w="1823"/>
      </w:tblGrid>
      <w:tr>
        <w:trPr/>
        <w:tc>
          <w:tcPr>
            <w:tcW w:w="2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594485" cy="175260"/>
                      <wp:effectExtent l="0" t="0" r="0" b="0"/>
                      <wp:wrapNone/>
                      <wp:docPr id="392" name="Frame385"/>
                      <a:graphic xmlns:a="http://schemas.openxmlformats.org/drawingml/2006/main">
                        <a:graphicData uri="http://schemas.microsoft.com/office/word/2010/wordprocessingShape">
                          <wps:wsp>
                            <wps:cNvSpPr txBox="1"/>
                            <wps:spPr>
                              <a:xfrm>
                                <a:off x="0" y="0"/>
                                <a:ext cx="159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3"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0080" cy="175260"/>
                      <wp:effectExtent l="0" t="0" r="0" b="0"/>
                      <wp:wrapNone/>
                      <wp:docPr id="394" name="Frame387"/>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5"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758190" cy="175260"/>
                      <wp:effectExtent l="0" t="0" r="0" b="0"/>
                      <wp:wrapNone/>
                      <wp:docPr id="396" name="Frame389"/>
                      <a:graphic xmlns:a="http://schemas.openxmlformats.org/drawingml/2006/main">
                        <a:graphicData uri="http://schemas.microsoft.com/office/word/2010/wordprocessingShape">
                          <wps:wsp>
                            <wps:cNvSpPr txBox="1"/>
                            <wps:spPr>
                              <a:xfrm>
                                <a:off x="0" y="0"/>
                                <a:ext cx="758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397"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53415" cy="175260"/>
                      <wp:effectExtent l="0" t="0" r="0" b="0"/>
                      <wp:wrapNone/>
                      <wp:docPr id="398" name="Frame391"/>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399"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1350" cy="175260"/>
                      <wp:effectExtent l="0" t="0" r="0" b="0"/>
                      <wp:wrapNone/>
                      <wp:docPr id="400" name="Frame393"/>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1"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157605" cy="175260"/>
                      <wp:effectExtent l="0" t="0" r="0" b="0"/>
                      <wp:wrapNone/>
                      <wp:docPr id="402" name="Frame395"/>
                      <a:graphic xmlns:a="http://schemas.openxmlformats.org/drawingml/2006/main">
                        <a:graphicData uri="http://schemas.microsoft.com/office/word/2010/wordprocessingShape">
                          <wps:wsp>
                            <wps:cNvSpPr txBox="1"/>
                            <wps:spPr>
                              <a:xfrm>
                                <a:off x="0" y="0"/>
                                <a:ext cx="1157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9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Effective interest held</w:t>
            </w:r>
          </w:p>
        </w:tc>
        <w:tc>
          <w:tcPr>
            <w:tcW w:w="326" w:type="dxa"/>
            <w:tcBorders/>
            <w:vAlign w:val="center"/>
          </w:tcPr>
          <w:p>
            <w:pPr>
              <w:pStyle w:val="TableContents"/>
              <w:bidi w:val="0"/>
              <w:spacing w:before="0" w:after="0"/>
              <w:ind w:left="0" w:right="0" w:hanging="0"/>
              <w:jc w:val="center"/>
              <w:rPr/>
            </w:pPr>
            <w:r>
              <w:rPr/>
              <w:t>    </w:t>
            </w:r>
          </w:p>
        </w:tc>
        <w:tc>
          <w:tcPr>
            <w:tcW w:w="10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1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823" w:type="dxa"/>
            <w:tcBorders/>
            <w:vAlign w:val="center"/>
          </w:tcPr>
          <w:p>
            <w:pPr>
              <w:pStyle w:val="TableContents"/>
              <w:bidi w:val="0"/>
              <w:spacing w:before="0" w:after="0"/>
              <w:ind w:left="0" w:right="0" w:hanging="0"/>
              <w:jc w:val="center"/>
              <w:rPr/>
            </w:pPr>
            <w:r>
              <w:rPr/>
              <w:t>​</w:t>
            </w:r>
          </w:p>
        </w:tc>
      </w:tr>
      <w:tr>
        <w:trPr/>
        <w:tc>
          <w:tcPr>
            <w:tcW w:w="2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9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through</w:t>
            </w:r>
          </w:p>
        </w:tc>
        <w:tc>
          <w:tcPr>
            <w:tcW w:w="326" w:type="dxa"/>
            <w:tcBorders/>
            <w:vAlign w:val="center"/>
          </w:tcPr>
          <w:p>
            <w:pPr>
              <w:pStyle w:val="TableContents"/>
              <w:bidi w:val="0"/>
              <w:spacing w:before="0" w:after="0"/>
              <w:ind w:left="0" w:right="0" w:hanging="0"/>
              <w:jc w:val="center"/>
              <w:rPr/>
            </w:pPr>
            <w:r>
              <w:rPr/>
              <w:t>​</w:t>
            </w:r>
          </w:p>
        </w:tc>
        <w:tc>
          <w:tcPr>
            <w:tcW w:w="10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1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23" w:type="dxa"/>
            <w:tcBorders/>
            <w:vAlign w:val="center"/>
          </w:tcPr>
          <w:p>
            <w:pPr>
              <w:pStyle w:val="TableContents"/>
              <w:bidi w:val="0"/>
              <w:spacing w:before="0" w:after="0"/>
              <w:ind w:left="0" w:right="0" w:hanging="0"/>
              <w:jc w:val="center"/>
              <w:rPr/>
            </w:pPr>
            <w:r>
              <w:rPr/>
              <w:t>​</w:t>
            </w:r>
          </w:p>
        </w:tc>
      </w:tr>
      <w:tr>
        <w:trPr/>
        <w:tc>
          <w:tcPr>
            <w:tcW w:w="2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9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 ownership/</w:t>
            </w:r>
          </w:p>
        </w:tc>
        <w:tc>
          <w:tcPr>
            <w:tcW w:w="326" w:type="dxa"/>
            <w:tcBorders/>
            <w:vAlign w:val="center"/>
          </w:tcPr>
          <w:p>
            <w:pPr>
              <w:pStyle w:val="TableContents"/>
              <w:bidi w:val="0"/>
              <w:spacing w:before="0" w:after="0"/>
              <w:ind w:left="0" w:right="0" w:hanging="0"/>
              <w:jc w:val="center"/>
              <w:rPr/>
            </w:pPr>
            <w:r>
              <w:rPr/>
              <w:t>​</w:t>
            </w:r>
          </w:p>
        </w:tc>
        <w:tc>
          <w:tcPr>
            <w:tcW w:w="10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1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23" w:type="dxa"/>
            <w:tcBorders/>
            <w:vAlign w:val="center"/>
          </w:tcPr>
          <w:p>
            <w:pPr>
              <w:pStyle w:val="TableContents"/>
              <w:bidi w:val="0"/>
              <w:spacing w:before="0" w:after="0"/>
              <w:ind w:left="0" w:right="0" w:hanging="0"/>
              <w:jc w:val="center"/>
              <w:rPr/>
            </w:pPr>
            <w:r>
              <w:rPr/>
              <w:t>​</w:t>
            </w:r>
          </w:p>
        </w:tc>
      </w:tr>
      <w:tr>
        <w:trPr/>
        <w:tc>
          <w:tcPr>
            <w:tcW w:w="2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9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contractual</w:t>
            </w:r>
          </w:p>
        </w:tc>
        <w:tc>
          <w:tcPr>
            <w:tcW w:w="326" w:type="dxa"/>
            <w:tcBorders/>
            <w:vAlign w:val="center"/>
          </w:tcPr>
          <w:p>
            <w:pPr>
              <w:pStyle w:val="TableContents"/>
              <w:bidi w:val="0"/>
              <w:spacing w:before="0" w:after="0"/>
              <w:ind w:left="0" w:right="0" w:hanging="0"/>
              <w:jc w:val="center"/>
              <w:rPr/>
            </w:pPr>
            <w:r>
              <w:rPr/>
              <w:t>​</w:t>
            </w:r>
          </w:p>
        </w:tc>
        <w:tc>
          <w:tcPr>
            <w:tcW w:w="1029"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Date of</w:t>
            </w:r>
          </w:p>
        </w:tc>
        <w:tc>
          <w:tcPr>
            <w:tcW w:w="326" w:type="dxa"/>
            <w:tcBorders/>
            <w:vAlign w:val="center"/>
          </w:tcPr>
          <w:p>
            <w:pPr>
              <w:pStyle w:val="TableContents"/>
              <w:bidi w:val="0"/>
              <w:spacing w:before="0" w:after="0"/>
              <w:ind w:left="0" w:right="0" w:hanging="0"/>
              <w:jc w:val="center"/>
              <w:rPr/>
            </w:pPr>
            <w:r>
              <w:rPr/>
              <w:t>​</w:t>
            </w:r>
          </w:p>
        </w:tc>
        <w:tc>
          <w:tcPr>
            <w:tcW w:w="1010"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Place of</w:t>
            </w:r>
          </w:p>
        </w:tc>
        <w:tc>
          <w:tcPr>
            <w:tcW w:w="326" w:type="dxa"/>
            <w:tcBorders/>
            <w:vAlign w:val="center"/>
          </w:tcPr>
          <w:p>
            <w:pPr>
              <w:pStyle w:val="TableContents"/>
              <w:bidi w:val="0"/>
              <w:spacing w:before="0" w:after="0"/>
              <w:ind w:left="0" w:right="0" w:hanging="0"/>
              <w:jc w:val="center"/>
              <w:rPr/>
            </w:pPr>
            <w:r>
              <w:rPr/>
              <w:t>​</w:t>
            </w:r>
          </w:p>
        </w:tc>
        <w:tc>
          <w:tcPr>
            <w:tcW w:w="1823" w:type="dxa"/>
            <w:tcBorders/>
            <w:vAlign w:val="center"/>
          </w:tcPr>
          <w:p>
            <w:pPr>
              <w:pStyle w:val="TableContents"/>
              <w:bidi w:val="0"/>
              <w:spacing w:before="0" w:after="0"/>
              <w:ind w:left="0" w:right="0" w:hanging="0"/>
              <w:jc w:val="center"/>
              <w:rPr/>
            </w:pPr>
            <w:r>
              <w:rPr/>
              <w:t>​</w:t>
            </w:r>
          </w:p>
        </w:tc>
      </w:tr>
      <w:tr>
        <w:trPr/>
        <w:tc>
          <w:tcPr>
            <w:tcW w:w="2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9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arrangements</w:t>
            </w:r>
          </w:p>
        </w:tc>
        <w:tc>
          <w:tcPr>
            <w:tcW w:w="326" w:type="dxa"/>
            <w:tcBorders/>
            <w:vAlign w:val="center"/>
          </w:tcPr>
          <w:p>
            <w:pPr>
              <w:pStyle w:val="TableContents"/>
              <w:bidi w:val="0"/>
              <w:spacing w:before="0" w:after="0"/>
              <w:ind w:left="0" w:right="0" w:hanging="0"/>
              <w:jc w:val="center"/>
              <w:rPr/>
            </w:pPr>
            <w:r>
              <w:rPr/>
              <w:t>​</w:t>
            </w:r>
          </w:p>
        </w:tc>
        <w:tc>
          <w:tcPr>
            <w:tcW w:w="1029"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incorporation/</w:t>
            </w:r>
          </w:p>
        </w:tc>
        <w:tc>
          <w:tcPr>
            <w:tcW w:w="326" w:type="dxa"/>
            <w:tcBorders/>
            <w:vAlign w:val="center"/>
          </w:tcPr>
          <w:p>
            <w:pPr>
              <w:pStyle w:val="TableContents"/>
              <w:bidi w:val="0"/>
              <w:spacing w:before="0" w:after="0"/>
              <w:ind w:left="0" w:right="0" w:hanging="0"/>
              <w:jc w:val="center"/>
              <w:rPr/>
            </w:pPr>
            <w:r>
              <w:rPr/>
              <w:t>​</w:t>
            </w:r>
          </w:p>
        </w:tc>
        <w:tc>
          <w:tcPr>
            <w:tcW w:w="1010"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incorporation/</w:t>
            </w:r>
          </w:p>
        </w:tc>
        <w:tc>
          <w:tcPr>
            <w:tcW w:w="326" w:type="dxa"/>
            <w:tcBorders/>
            <w:vAlign w:val="center"/>
          </w:tcPr>
          <w:p>
            <w:pPr>
              <w:pStyle w:val="TableContents"/>
              <w:bidi w:val="0"/>
              <w:spacing w:before="0" w:after="0"/>
              <w:ind w:left="0" w:right="0" w:hanging="0"/>
              <w:jc w:val="center"/>
              <w:rPr/>
            </w:pPr>
            <w:r>
              <w:rPr/>
              <w:t>​</w:t>
            </w:r>
          </w:p>
        </w:tc>
        <w:tc>
          <w:tcPr>
            <w:tcW w:w="1823" w:type="dxa"/>
            <w:tcBorders/>
            <w:vAlign w:val="center"/>
          </w:tcPr>
          <w:p>
            <w:pPr>
              <w:pStyle w:val="TableContents"/>
              <w:bidi w:val="0"/>
              <w:spacing w:before="0" w:after="0"/>
              <w:ind w:left="0" w:right="0" w:hanging="0"/>
              <w:jc w:val="center"/>
              <w:rPr/>
            </w:pPr>
            <w:r>
              <w:rPr/>
              <w:t>​</w:t>
            </w:r>
          </w:p>
        </w:tc>
      </w:tr>
      <w:tr>
        <w:trPr/>
        <w:tc>
          <w:tcPr>
            <w:tcW w:w="2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Name</w:t>
            </w:r>
          </w:p>
        </w:tc>
        <w:tc>
          <w:tcPr>
            <w:tcW w:w="326" w:type="dxa"/>
            <w:tcBorders/>
            <w:vAlign w:val="center"/>
          </w:tcPr>
          <w:p>
            <w:pPr>
              <w:pStyle w:val="TableContents"/>
              <w:bidi w:val="0"/>
              <w:spacing w:before="0" w:after="0"/>
              <w:ind w:left="0" w:right="0" w:hanging="0"/>
              <w:jc w:val="center"/>
              <w:rPr/>
            </w:pPr>
            <w:r>
              <w:rPr/>
              <w:t>​</w:t>
            </w:r>
          </w:p>
        </w:tc>
        <w:tc>
          <w:tcPr>
            <w:tcW w:w="10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Relationship</w:t>
            </w:r>
          </w:p>
        </w:tc>
        <w:tc>
          <w:tcPr>
            <w:tcW w:w="326" w:type="dxa"/>
            <w:tcBorders/>
            <w:vAlign w:val="center"/>
          </w:tcPr>
          <w:p>
            <w:pPr>
              <w:pStyle w:val="TableContents"/>
              <w:bidi w:val="0"/>
              <w:spacing w:before="0" w:after="0"/>
              <w:ind w:left="0" w:right="0" w:hanging="0"/>
              <w:jc w:val="center"/>
              <w:rPr/>
            </w:pPr>
            <w:r>
              <w:rPr/>
              <w:t>​</w:t>
            </w:r>
          </w:p>
        </w:tc>
        <w:tc>
          <w:tcPr>
            <w:tcW w:w="11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(Note (i))</w:t>
            </w:r>
          </w:p>
        </w:tc>
        <w:tc>
          <w:tcPr>
            <w:tcW w:w="326" w:type="dxa"/>
            <w:tcBorders/>
            <w:vAlign w:val="center"/>
          </w:tcPr>
          <w:p>
            <w:pPr>
              <w:pStyle w:val="TableContents"/>
              <w:bidi w:val="0"/>
              <w:spacing w:before="0" w:after="0"/>
              <w:ind w:left="0" w:right="0" w:hanging="0"/>
              <w:jc w:val="center"/>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establishment</w:t>
            </w:r>
          </w:p>
        </w:tc>
        <w:tc>
          <w:tcPr>
            <w:tcW w:w="326" w:type="dxa"/>
            <w:tcBorders/>
            <w:vAlign w:val="center"/>
          </w:tcPr>
          <w:p>
            <w:pPr>
              <w:pStyle w:val="TableContents"/>
              <w:bidi w:val="0"/>
              <w:spacing w:before="0" w:after="0"/>
              <w:ind w:left="0" w:right="0" w:hanging="0"/>
              <w:jc w:val="center"/>
              <w:rPr/>
            </w:pPr>
            <w:r>
              <w:rPr/>
              <w:t>​</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establishment</w:t>
            </w:r>
          </w:p>
        </w:tc>
        <w:tc>
          <w:tcPr>
            <w:tcW w:w="326" w:type="dxa"/>
            <w:tcBorders/>
            <w:vAlign w:val="center"/>
          </w:tcPr>
          <w:p>
            <w:pPr>
              <w:pStyle w:val="TableContents"/>
              <w:bidi w:val="0"/>
              <w:spacing w:before="0" w:after="0"/>
              <w:ind w:left="0" w:right="0" w:hanging="0"/>
              <w:jc w:val="center"/>
              <w:rPr/>
            </w:pPr>
            <w:r>
              <w:rPr/>
              <w:t>​</w:t>
            </w:r>
          </w:p>
        </w:tc>
        <w:tc>
          <w:tcPr>
            <w:tcW w:w="18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Principal activities</w:t>
            </w:r>
          </w:p>
        </w:tc>
      </w:tr>
      <w:tr>
        <w:trPr/>
        <w:tc>
          <w:tcPr>
            <w:tcW w:w="2511" w:type="dxa"/>
            <w:tcBorders/>
            <w:shd w:fill="CCEEFF" w:val="clear"/>
            <w:vAlign w:val="center"/>
          </w:tcPr>
          <w:p>
            <w:pPr>
              <w:pStyle w:val="TableContents"/>
              <w:bidi w:val="0"/>
              <w:spacing w:before="0" w:after="0"/>
              <w:ind w:left="0" w:right="0" w:hanging="0"/>
              <w:jc w:val="both"/>
              <w:rPr>
                <w:rFonts w:ascii="Times New Roman;Times;serif" w:hAnsi="Times New Roman;Times;serif"/>
                <w:sz w:val="15"/>
              </w:rPr>
            </w:pPr>
            <w:r>
              <w:rPr>
                <w:rFonts w:ascii="Times New Roman;Times;serif" w:hAnsi="Times New Roman;Times;serif"/>
                <w:sz w:val="15"/>
              </w:rPr>
              <w:t>Anhui Zhiyunzhong Information Technology Co., Ltd. (“OptAim Anhui”)</w:t>
            </w:r>
          </w:p>
        </w:tc>
        <w:tc>
          <w:tcPr>
            <w:tcW w:w="326" w:type="dxa"/>
            <w:tcBorders/>
            <w:shd w:fill="CCEEFF" w:val="clear"/>
            <w:vAlign w:val="center"/>
          </w:tcPr>
          <w:p>
            <w:pPr>
              <w:pStyle w:val="TableContents"/>
              <w:bidi w:val="0"/>
              <w:spacing w:before="0" w:after="0"/>
              <w:ind w:left="0" w:right="0" w:hanging="0"/>
              <w:jc w:val="left"/>
              <w:rPr/>
            </w:pPr>
            <w:r>
              <w:rPr/>
              <w:t> </w:t>
            </w:r>
          </w:p>
        </w:tc>
        <w:tc>
          <w:tcPr>
            <w:tcW w:w="100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w:t>
            </w:r>
          </w:p>
        </w:tc>
        <w:tc>
          <w:tcPr>
            <w:tcW w:w="102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November 2017</w:t>
            </w:r>
          </w:p>
        </w:tc>
        <w:tc>
          <w:tcPr>
            <w:tcW w:w="326"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The PRC</w:t>
            </w:r>
          </w:p>
        </w:tc>
        <w:tc>
          <w:tcPr>
            <w:tcW w:w="326" w:type="dxa"/>
            <w:tcBorders/>
            <w:shd w:fill="CCEEFF" w:val="clear"/>
            <w:vAlign w:val="center"/>
          </w:tcPr>
          <w:p>
            <w:pPr>
              <w:pStyle w:val="TableContents"/>
              <w:bidi w:val="0"/>
              <w:spacing w:before="0" w:after="0"/>
              <w:ind w:left="0" w:right="0" w:hanging="0"/>
              <w:jc w:val="left"/>
              <w:rPr/>
            </w:pPr>
            <w:r>
              <w:rPr/>
              <w:t> </w:t>
            </w:r>
          </w:p>
        </w:tc>
        <w:tc>
          <w:tcPr>
            <w:tcW w:w="182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Online advertising, SaaS products and services</w:t>
            </w:r>
          </w:p>
        </w:tc>
      </w:tr>
      <w:tr>
        <w:trPr/>
        <w:tc>
          <w:tcPr>
            <w:tcW w:w="2511" w:type="dxa"/>
            <w:tcBorders/>
            <w:vAlign w:val="center"/>
          </w:tcPr>
          <w:p>
            <w:pPr>
              <w:pStyle w:val="TableContents"/>
              <w:bidi w:val="0"/>
              <w:spacing w:before="0" w:after="0"/>
              <w:ind w:left="0" w:right="0" w:hanging="0"/>
              <w:jc w:val="both"/>
              <w:rPr>
                <w:rFonts w:ascii="Times New Roman;Times;serif" w:hAnsi="Times New Roman;Times;serif"/>
                <w:sz w:val="15"/>
              </w:rPr>
            </w:pPr>
            <w:r>
              <w:rPr>
                <w:rFonts w:ascii="Times New Roman;Times;serif" w:hAnsi="Times New Roman;Times;serif"/>
                <w:sz w:val="15"/>
              </w:rPr>
              <w:t>Tetris (Shanghai) Data Technology Co., Ltd.</w:t>
            </w:r>
          </w:p>
        </w:tc>
        <w:tc>
          <w:tcPr>
            <w:tcW w:w="326"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Subsidiary</w:t>
            </w:r>
          </w:p>
        </w:tc>
        <w:tc>
          <w:tcPr>
            <w:tcW w:w="326" w:type="dxa"/>
            <w:tcBorders/>
            <w:vAlign w:val="center"/>
          </w:tcPr>
          <w:p>
            <w:pPr>
              <w:pStyle w:val="TableContents"/>
              <w:bidi w:val="0"/>
              <w:spacing w:before="0" w:after="0"/>
              <w:ind w:left="0" w:right="0" w:hanging="0"/>
              <w:jc w:val="left"/>
              <w:rPr/>
            </w:pPr>
            <w:r>
              <w:rPr/>
              <w:t> </w:t>
            </w:r>
          </w:p>
        </w:tc>
        <w:tc>
          <w:tcPr>
            <w:tcW w:w="119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w:t>
            </w:r>
          </w:p>
        </w:tc>
        <w:tc>
          <w:tcPr>
            <w:tcW w:w="102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October 2020</w:t>
            </w:r>
          </w:p>
        </w:tc>
        <w:tc>
          <w:tcPr>
            <w:tcW w:w="326"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The PRC</w:t>
            </w:r>
          </w:p>
        </w:tc>
        <w:tc>
          <w:tcPr>
            <w:tcW w:w="326" w:type="dxa"/>
            <w:tcBorders/>
            <w:vAlign w:val="center"/>
          </w:tcPr>
          <w:p>
            <w:pPr>
              <w:pStyle w:val="TableContents"/>
              <w:bidi w:val="0"/>
              <w:spacing w:before="0" w:after="0"/>
              <w:ind w:left="0" w:right="0" w:hanging="0"/>
              <w:jc w:val="left"/>
              <w:rPr/>
            </w:pPr>
            <w:r>
              <w:rPr/>
              <w:t> </w:t>
            </w:r>
          </w:p>
        </w:tc>
        <w:tc>
          <w:tcPr>
            <w:tcW w:w="182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Online advertising, SaaS products and services</w:t>
            </w:r>
          </w:p>
        </w:tc>
      </w:tr>
      <w:tr>
        <w:trPr/>
        <w:tc>
          <w:tcPr>
            <w:tcW w:w="2511" w:type="dxa"/>
            <w:tcBorders/>
            <w:shd w:fill="CCEEFF" w:val="clear"/>
            <w:vAlign w:val="center"/>
          </w:tcPr>
          <w:p>
            <w:pPr>
              <w:pStyle w:val="TableContents"/>
              <w:bidi w:val="0"/>
              <w:spacing w:before="0" w:after="0"/>
              <w:ind w:left="0" w:right="0" w:hanging="0"/>
              <w:jc w:val="both"/>
              <w:rPr>
                <w:rFonts w:ascii="Times New Roman;Times;serif" w:hAnsi="Times New Roman;Times;serif"/>
                <w:sz w:val="15"/>
              </w:rPr>
            </w:pPr>
            <w:r>
              <w:rPr>
                <w:rFonts w:ascii="Times New Roman;Times;serif" w:hAnsi="Times New Roman;Times;serif"/>
                <w:sz w:val="15"/>
              </w:rPr>
              <w:t>Zhiyunzhong (Shanghai) Technology Co., Ltd. (“Shanghai OptAim”)</w:t>
            </w:r>
          </w:p>
        </w:tc>
        <w:tc>
          <w:tcPr>
            <w:tcW w:w="326" w:type="dxa"/>
            <w:tcBorders/>
            <w:shd w:fill="CCEEFF" w:val="clear"/>
            <w:vAlign w:val="center"/>
          </w:tcPr>
          <w:p>
            <w:pPr>
              <w:pStyle w:val="TableContents"/>
              <w:bidi w:val="0"/>
              <w:spacing w:before="0" w:after="0"/>
              <w:ind w:left="0" w:right="0" w:hanging="0"/>
              <w:jc w:val="left"/>
              <w:rPr/>
            </w:pPr>
            <w:r>
              <w:rPr/>
              <w:t> </w:t>
            </w:r>
          </w:p>
        </w:tc>
        <w:tc>
          <w:tcPr>
            <w:tcW w:w="100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w:t>
            </w:r>
          </w:p>
        </w:tc>
        <w:tc>
          <w:tcPr>
            <w:tcW w:w="102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September 2014</w:t>
            </w:r>
          </w:p>
        </w:tc>
        <w:tc>
          <w:tcPr>
            <w:tcW w:w="326"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The PRC</w:t>
            </w:r>
          </w:p>
        </w:tc>
        <w:tc>
          <w:tcPr>
            <w:tcW w:w="326" w:type="dxa"/>
            <w:tcBorders/>
            <w:shd w:fill="CCEEFF" w:val="clear"/>
            <w:vAlign w:val="center"/>
          </w:tcPr>
          <w:p>
            <w:pPr>
              <w:pStyle w:val="TableContents"/>
              <w:bidi w:val="0"/>
              <w:spacing w:before="0" w:after="0"/>
              <w:ind w:left="0" w:right="0" w:hanging="0"/>
              <w:jc w:val="left"/>
              <w:rPr/>
            </w:pPr>
            <w:r>
              <w:rPr/>
              <w:t> </w:t>
            </w:r>
          </w:p>
        </w:tc>
        <w:tc>
          <w:tcPr>
            <w:tcW w:w="182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Online advertising</w:t>
            </w:r>
          </w:p>
        </w:tc>
      </w:tr>
      <w:tr>
        <w:trPr/>
        <w:tc>
          <w:tcPr>
            <w:tcW w:w="2511" w:type="dxa"/>
            <w:tcBorders/>
            <w:vAlign w:val="center"/>
          </w:tcPr>
          <w:p>
            <w:pPr>
              <w:pStyle w:val="TableContents"/>
              <w:bidi w:val="0"/>
              <w:spacing w:before="0" w:after="0"/>
              <w:ind w:left="0" w:right="0" w:hanging="0"/>
              <w:jc w:val="both"/>
              <w:rPr>
                <w:rFonts w:ascii="Times New Roman;Times;serif" w:hAnsi="Times New Roman;Times;serif"/>
                <w:sz w:val="15"/>
              </w:rPr>
            </w:pPr>
            <w:r>
              <w:rPr>
                <w:rFonts w:ascii="Times New Roman;Times;serif" w:hAnsi="Times New Roman;Times;serif"/>
                <w:sz w:val="15"/>
              </w:rPr>
              <w:t>Beijing OptAim Network Technology Co., Ltd. (“Beijing OptAim”)</w:t>
            </w:r>
          </w:p>
        </w:tc>
        <w:tc>
          <w:tcPr>
            <w:tcW w:w="326"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VIE</w:t>
            </w:r>
          </w:p>
        </w:tc>
        <w:tc>
          <w:tcPr>
            <w:tcW w:w="326" w:type="dxa"/>
            <w:tcBorders/>
            <w:vAlign w:val="center"/>
          </w:tcPr>
          <w:p>
            <w:pPr>
              <w:pStyle w:val="TableContents"/>
              <w:bidi w:val="0"/>
              <w:spacing w:before="0" w:after="0"/>
              <w:ind w:left="0" w:right="0" w:hanging="0"/>
              <w:jc w:val="left"/>
              <w:rPr/>
            </w:pPr>
            <w:r>
              <w:rPr/>
              <w:t> </w:t>
            </w:r>
          </w:p>
        </w:tc>
        <w:tc>
          <w:tcPr>
            <w:tcW w:w="119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w:t>
            </w:r>
          </w:p>
        </w:tc>
        <w:tc>
          <w:tcPr>
            <w:tcW w:w="102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September 2012</w:t>
            </w:r>
          </w:p>
        </w:tc>
        <w:tc>
          <w:tcPr>
            <w:tcW w:w="326"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The PRC</w:t>
            </w:r>
          </w:p>
        </w:tc>
        <w:tc>
          <w:tcPr>
            <w:tcW w:w="326" w:type="dxa"/>
            <w:tcBorders/>
            <w:vAlign w:val="center"/>
          </w:tcPr>
          <w:p>
            <w:pPr>
              <w:pStyle w:val="TableContents"/>
              <w:bidi w:val="0"/>
              <w:spacing w:before="0" w:after="0"/>
              <w:ind w:left="0" w:right="0" w:hanging="0"/>
              <w:jc w:val="left"/>
              <w:rPr/>
            </w:pPr>
            <w:r>
              <w:rPr/>
              <w:t> </w:t>
            </w:r>
          </w:p>
        </w:tc>
        <w:tc>
          <w:tcPr>
            <w:tcW w:w="182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Online advertising</w:t>
            </w:r>
          </w:p>
        </w:tc>
      </w:tr>
      <w:tr>
        <w:trPr/>
        <w:tc>
          <w:tcPr>
            <w:tcW w:w="2511" w:type="dxa"/>
            <w:tcBorders/>
            <w:shd w:fill="CCEEFF" w:val="clear"/>
            <w:vAlign w:val="center"/>
          </w:tcPr>
          <w:p>
            <w:pPr>
              <w:pStyle w:val="TableContents"/>
              <w:bidi w:val="0"/>
              <w:spacing w:before="0" w:after="0"/>
              <w:ind w:left="0" w:right="0" w:hanging="0"/>
              <w:jc w:val="both"/>
              <w:rPr>
                <w:rFonts w:ascii="Times New Roman;Times;serif" w:hAnsi="Times New Roman;Times;serif"/>
                <w:sz w:val="15"/>
              </w:rPr>
            </w:pPr>
            <w:r>
              <w:rPr>
                <w:rFonts w:ascii="Times New Roman;Times;serif" w:hAnsi="Times New Roman;Times;serif"/>
                <w:sz w:val="15"/>
              </w:rPr>
              <w:t>Shanghai Myhayo Technology Co., Ltd. (“Myhayo”) (Notes (ii), (iii))</w:t>
            </w:r>
          </w:p>
        </w:tc>
        <w:tc>
          <w:tcPr>
            <w:tcW w:w="326" w:type="dxa"/>
            <w:tcBorders/>
            <w:shd w:fill="CCEEFF" w:val="clear"/>
            <w:vAlign w:val="center"/>
          </w:tcPr>
          <w:p>
            <w:pPr>
              <w:pStyle w:val="TableContents"/>
              <w:bidi w:val="0"/>
              <w:spacing w:before="0" w:after="0"/>
              <w:ind w:left="0" w:right="0" w:hanging="0"/>
              <w:jc w:val="left"/>
              <w:rPr/>
            </w:pPr>
            <w:r>
              <w:rPr/>
              <w:t> </w:t>
            </w:r>
          </w:p>
        </w:tc>
        <w:tc>
          <w:tcPr>
            <w:tcW w:w="100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VIE’s 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w:t>
            </w:r>
          </w:p>
        </w:tc>
        <w:tc>
          <w:tcPr>
            <w:tcW w:w="102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May 2017</w:t>
            </w:r>
          </w:p>
        </w:tc>
        <w:tc>
          <w:tcPr>
            <w:tcW w:w="326"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The PRC</w:t>
            </w:r>
          </w:p>
        </w:tc>
        <w:tc>
          <w:tcPr>
            <w:tcW w:w="326" w:type="dxa"/>
            <w:tcBorders/>
            <w:shd w:fill="CCEEFF" w:val="clear"/>
            <w:vAlign w:val="center"/>
          </w:tcPr>
          <w:p>
            <w:pPr>
              <w:pStyle w:val="TableContents"/>
              <w:bidi w:val="0"/>
              <w:spacing w:before="0" w:after="0"/>
              <w:ind w:left="0" w:right="0" w:hanging="0"/>
              <w:jc w:val="left"/>
              <w:rPr/>
            </w:pPr>
            <w:r>
              <w:rPr/>
              <w:t> </w:t>
            </w:r>
          </w:p>
        </w:tc>
        <w:tc>
          <w:tcPr>
            <w:tcW w:w="182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Mobile content aggregator and online advertising</w:t>
            </w:r>
          </w:p>
        </w:tc>
      </w:tr>
      <w:tr>
        <w:trPr/>
        <w:tc>
          <w:tcPr>
            <w:tcW w:w="2511" w:type="dxa"/>
            <w:tcBorders/>
            <w:vAlign w:val="center"/>
          </w:tcPr>
          <w:p>
            <w:pPr>
              <w:pStyle w:val="TableContents"/>
              <w:bidi w:val="0"/>
              <w:spacing w:before="0" w:after="0"/>
              <w:ind w:left="0" w:right="0" w:hanging="0"/>
              <w:jc w:val="both"/>
              <w:rPr>
                <w:rFonts w:ascii="Times New Roman;Times;serif" w:hAnsi="Times New Roman;Times;serif"/>
                <w:sz w:val="15"/>
              </w:rPr>
            </w:pPr>
            <w:r>
              <w:rPr>
                <w:rFonts w:ascii="Times New Roman;Times;serif" w:hAnsi="Times New Roman;Times;serif"/>
                <w:sz w:val="15"/>
              </w:rPr>
              <w:t>Anhui Myhayo Technology Co., Ltd. (“Anhui Myhayo”) (Notes (ii),  (iii))</w:t>
            </w:r>
          </w:p>
        </w:tc>
        <w:tc>
          <w:tcPr>
            <w:tcW w:w="326"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VIE’s subsidiary</w:t>
            </w:r>
          </w:p>
        </w:tc>
        <w:tc>
          <w:tcPr>
            <w:tcW w:w="326" w:type="dxa"/>
            <w:tcBorders/>
            <w:vAlign w:val="center"/>
          </w:tcPr>
          <w:p>
            <w:pPr>
              <w:pStyle w:val="TableContents"/>
              <w:bidi w:val="0"/>
              <w:spacing w:before="0" w:after="0"/>
              <w:ind w:left="0" w:right="0" w:hanging="0"/>
              <w:jc w:val="left"/>
              <w:rPr/>
            </w:pPr>
            <w:r>
              <w:rPr/>
              <w:t> </w:t>
            </w:r>
          </w:p>
        </w:tc>
        <w:tc>
          <w:tcPr>
            <w:tcW w:w="119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w:t>
            </w:r>
          </w:p>
        </w:tc>
        <w:tc>
          <w:tcPr>
            <w:tcW w:w="102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September 2018</w:t>
            </w:r>
          </w:p>
        </w:tc>
        <w:tc>
          <w:tcPr>
            <w:tcW w:w="326"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The PRC</w:t>
            </w:r>
          </w:p>
        </w:tc>
        <w:tc>
          <w:tcPr>
            <w:tcW w:w="326" w:type="dxa"/>
            <w:tcBorders/>
            <w:vAlign w:val="center"/>
          </w:tcPr>
          <w:p>
            <w:pPr>
              <w:pStyle w:val="TableContents"/>
              <w:bidi w:val="0"/>
              <w:spacing w:before="0" w:after="0"/>
              <w:ind w:left="0" w:right="0" w:hanging="0"/>
              <w:jc w:val="left"/>
              <w:rPr/>
            </w:pPr>
            <w:r>
              <w:rPr/>
              <w:t> </w:t>
            </w:r>
          </w:p>
        </w:tc>
        <w:tc>
          <w:tcPr>
            <w:tcW w:w="182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Mobile content aggregator and online advertising</w:t>
            </w:r>
          </w:p>
        </w:tc>
      </w:tr>
      <w:tr>
        <w:trPr/>
        <w:tc>
          <w:tcPr>
            <w:tcW w:w="2511" w:type="dxa"/>
            <w:tcBorders/>
            <w:shd w:fill="CCEEFF" w:val="clear"/>
            <w:vAlign w:val="center"/>
          </w:tcPr>
          <w:p>
            <w:pPr>
              <w:pStyle w:val="TableContents"/>
              <w:bidi w:val="0"/>
              <w:spacing w:before="0" w:after="0"/>
              <w:ind w:left="0" w:right="0" w:hanging="0"/>
              <w:jc w:val="both"/>
              <w:rPr>
                <w:rFonts w:ascii="Times New Roman;Times;serif" w:hAnsi="Times New Roman;Times;serif"/>
                <w:sz w:val="15"/>
              </w:rPr>
            </w:pPr>
            <w:r>
              <w:rPr>
                <w:rFonts w:ascii="Times New Roman;Times;serif" w:hAnsi="Times New Roman;Times;serif"/>
                <w:sz w:val="15"/>
              </w:rPr>
              <w:t>Changyi (Shanghai) Information Technology Ltd. (“Changyi”) (Note (iv))</w:t>
            </w:r>
          </w:p>
        </w:tc>
        <w:tc>
          <w:tcPr>
            <w:tcW w:w="326" w:type="dxa"/>
            <w:tcBorders/>
            <w:shd w:fill="CCEEFF" w:val="clear"/>
            <w:vAlign w:val="center"/>
          </w:tcPr>
          <w:p>
            <w:pPr>
              <w:pStyle w:val="TableContents"/>
              <w:bidi w:val="0"/>
              <w:spacing w:before="0" w:after="0"/>
              <w:ind w:left="0" w:right="0" w:hanging="0"/>
              <w:jc w:val="left"/>
              <w:rPr/>
            </w:pPr>
            <w:r>
              <w:rPr/>
              <w:t> </w:t>
            </w:r>
          </w:p>
        </w:tc>
        <w:tc>
          <w:tcPr>
            <w:tcW w:w="100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w:t>
            </w:r>
          </w:p>
        </w:tc>
        <w:tc>
          <w:tcPr>
            <w:tcW w:w="102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January 2014</w:t>
            </w:r>
          </w:p>
        </w:tc>
        <w:tc>
          <w:tcPr>
            <w:tcW w:w="326"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The PRC</w:t>
            </w:r>
          </w:p>
        </w:tc>
        <w:tc>
          <w:tcPr>
            <w:tcW w:w="326" w:type="dxa"/>
            <w:tcBorders/>
            <w:shd w:fill="CCEEFF" w:val="clear"/>
            <w:vAlign w:val="center"/>
          </w:tcPr>
          <w:p>
            <w:pPr>
              <w:pStyle w:val="TableContents"/>
              <w:bidi w:val="0"/>
              <w:spacing w:before="0" w:after="0"/>
              <w:ind w:left="0" w:right="0" w:hanging="0"/>
              <w:jc w:val="left"/>
              <w:rPr/>
            </w:pPr>
            <w:r>
              <w:rPr/>
              <w:t> </w:t>
            </w:r>
          </w:p>
        </w:tc>
        <w:tc>
          <w:tcPr>
            <w:tcW w:w="182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SaaS products and services </w:t>
            </w:r>
          </w:p>
        </w:tc>
      </w:tr>
      <w:tr>
        <w:trPr/>
        <w:tc>
          <w:tcPr>
            <w:tcW w:w="2511" w:type="dxa"/>
            <w:tcBorders/>
            <w:vAlign w:val="center"/>
          </w:tcPr>
          <w:p>
            <w:pPr>
              <w:pStyle w:val="TableContents"/>
              <w:bidi w:val="0"/>
              <w:spacing w:before="0" w:after="0"/>
              <w:ind w:left="0" w:right="0" w:hanging="0"/>
              <w:jc w:val="both"/>
              <w:rPr>
                <w:rFonts w:ascii="Times New Roman;Times;serif" w:hAnsi="Times New Roman;Times;serif"/>
                <w:sz w:val="15"/>
              </w:rPr>
            </w:pPr>
            <w:r>
              <w:rPr>
                <w:rFonts w:ascii="Times New Roman;Times;serif" w:hAnsi="Times New Roman;Times;serif"/>
                <w:sz w:val="15"/>
              </w:rPr>
              <w:t xml:space="preserve">Xi’an Changzhan Information Technology Ltd. (“Xian Changyi”) </w:t>
            </w:r>
          </w:p>
        </w:tc>
        <w:tc>
          <w:tcPr>
            <w:tcW w:w="326"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Subsidiary</w:t>
            </w:r>
          </w:p>
        </w:tc>
        <w:tc>
          <w:tcPr>
            <w:tcW w:w="326" w:type="dxa"/>
            <w:tcBorders/>
            <w:vAlign w:val="center"/>
          </w:tcPr>
          <w:p>
            <w:pPr>
              <w:pStyle w:val="TableContents"/>
              <w:bidi w:val="0"/>
              <w:spacing w:before="0" w:after="0"/>
              <w:ind w:left="0" w:right="0" w:hanging="0"/>
              <w:jc w:val="left"/>
              <w:rPr/>
            </w:pPr>
            <w:r>
              <w:rPr/>
              <w:t> </w:t>
            </w:r>
          </w:p>
        </w:tc>
        <w:tc>
          <w:tcPr>
            <w:tcW w:w="119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w:t>
            </w:r>
          </w:p>
        </w:tc>
        <w:tc>
          <w:tcPr>
            <w:tcW w:w="102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August 2019</w:t>
            </w:r>
          </w:p>
        </w:tc>
        <w:tc>
          <w:tcPr>
            <w:tcW w:w="326"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The PRC</w:t>
            </w:r>
          </w:p>
        </w:tc>
        <w:tc>
          <w:tcPr>
            <w:tcW w:w="326" w:type="dxa"/>
            <w:tcBorders/>
            <w:vAlign w:val="center"/>
          </w:tcPr>
          <w:p>
            <w:pPr>
              <w:pStyle w:val="TableContents"/>
              <w:bidi w:val="0"/>
              <w:spacing w:before="0" w:after="0"/>
              <w:ind w:left="0" w:right="0" w:hanging="0"/>
              <w:jc w:val="left"/>
              <w:rPr/>
            </w:pPr>
            <w:r>
              <w:rPr/>
              <w:t> </w:t>
            </w:r>
          </w:p>
        </w:tc>
        <w:tc>
          <w:tcPr>
            <w:tcW w:w="182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SaaS products and services </w:t>
            </w:r>
          </w:p>
        </w:tc>
      </w:tr>
      <w:tr>
        <w:trPr/>
        <w:tc>
          <w:tcPr>
            <w:tcW w:w="2511" w:type="dxa"/>
            <w:tcBorders/>
            <w:shd w:fill="CCEEFF" w:val="clear"/>
            <w:vAlign w:val="center"/>
          </w:tcPr>
          <w:p>
            <w:pPr>
              <w:pStyle w:val="TableContents"/>
              <w:bidi w:val="0"/>
              <w:spacing w:before="0" w:after="0"/>
              <w:ind w:left="0" w:right="0" w:hanging="0"/>
              <w:jc w:val="both"/>
              <w:rPr>
                <w:rFonts w:ascii="Times New Roman;Times;serif" w:hAnsi="Times New Roman;Times;serif"/>
                <w:sz w:val="15"/>
              </w:rPr>
            </w:pPr>
            <w:r>
              <w:rPr>
                <w:rFonts w:ascii="Times New Roman;Times;serif" w:hAnsi="Times New Roman;Times;serif"/>
                <w:sz w:val="15"/>
              </w:rPr>
              <w:t>Optimal Power Limited (“Optimal”) (Note (v))</w:t>
            </w:r>
          </w:p>
        </w:tc>
        <w:tc>
          <w:tcPr>
            <w:tcW w:w="326" w:type="dxa"/>
            <w:tcBorders/>
            <w:shd w:fill="CCEEFF" w:val="clear"/>
            <w:vAlign w:val="center"/>
          </w:tcPr>
          <w:p>
            <w:pPr>
              <w:pStyle w:val="TableContents"/>
              <w:bidi w:val="0"/>
              <w:spacing w:before="0" w:after="0"/>
              <w:ind w:left="0" w:right="0" w:hanging="0"/>
              <w:jc w:val="left"/>
              <w:rPr/>
            </w:pPr>
            <w:r>
              <w:rPr/>
              <w:t> </w:t>
            </w:r>
          </w:p>
        </w:tc>
        <w:tc>
          <w:tcPr>
            <w:tcW w:w="100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w:t>
            </w:r>
          </w:p>
        </w:tc>
        <w:tc>
          <w:tcPr>
            <w:tcW w:w="102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September 2019</w:t>
            </w:r>
          </w:p>
        </w:tc>
        <w:tc>
          <w:tcPr>
            <w:tcW w:w="326"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BVI</w:t>
            </w:r>
          </w:p>
        </w:tc>
        <w:tc>
          <w:tcPr>
            <w:tcW w:w="326" w:type="dxa"/>
            <w:tcBorders/>
            <w:shd w:fill="CCEEFF" w:val="clear"/>
            <w:vAlign w:val="center"/>
          </w:tcPr>
          <w:p>
            <w:pPr>
              <w:pStyle w:val="TableContents"/>
              <w:bidi w:val="0"/>
              <w:spacing w:before="0" w:after="0"/>
              <w:ind w:left="0" w:right="0" w:hanging="0"/>
              <w:jc w:val="left"/>
              <w:rPr/>
            </w:pPr>
            <w:r>
              <w:rPr/>
              <w:t> </w:t>
            </w:r>
          </w:p>
        </w:tc>
        <w:tc>
          <w:tcPr>
            <w:tcW w:w="182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Investment holding</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impacts from the transactions detailed in Notes (iii), (iv) and (v) below, there was no change in the Company’s effective interest held through equity ownership/ contractual arrangements over the principal subsidiaries and consolidated VIE and the VIE’s subsidiaries during the years ended December 31, 2020, 2021 and 2022.</w:t>
            </w:r>
          </w:p>
        </w:tc>
      </w:tr>
    </w:tbl>
    <w:tbl>
      <w:tblPr>
        <w:tblW w:w="10205" w:type="dxa"/>
        <w:jc w:val="left"/>
        <w:tblInd w:w="0" w:type="dxa"/>
        <w:tblLayout w:type="fixed"/>
        <w:tblCellMar>
          <w:top w:w="28" w:type="dxa"/>
          <w:left w:w="28" w:type="dxa"/>
          <w:bottom w:w="28" w:type="dxa"/>
          <w:right w:w="28" w:type="dxa"/>
        </w:tblCellMar>
      </w:tblPr>
      <w:tblGrid>
        <w:gridCol w:w="124"/>
        <w:gridCol w:w="309"/>
        <w:gridCol w:w="9772"/>
      </w:tblGrid>
      <w:tr>
        <w:trPr/>
        <w:tc>
          <w:tcPr>
            <w:tcW w:w="124" w:type="dxa"/>
            <w:tcBorders/>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Although the Company owns less than 50%</w:t>
            </w:r>
            <w:r>
              <w:rPr>
                <w:caps w:val="false"/>
                <w:smallCaps w:val="false"/>
              </w:rPr>
              <w:t xml:space="preserve"> </w:t>
            </w:r>
            <w:r>
              <w:rPr>
                <w:rFonts w:ascii="Times New Roman;Times;serif" w:hAnsi="Times New Roman;Times;serif"/>
                <w:b w:val="false"/>
                <w:i w:val="false"/>
                <w:caps w:val="false"/>
                <w:smallCaps w:val="false"/>
                <w:sz w:val="20"/>
              </w:rPr>
              <w:t>ownership in these entities, these entities are consolidated as the Company obtains control with its controlling voting right at the level of both shareholders and board of directors pursuant to agreements with other investors of these entities.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16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547" w:type="dxa"/>
        <w:jc w:val="left"/>
        <w:tblInd w:w="0" w:type="dxa"/>
        <w:tblLayout w:type="fixed"/>
        <w:tblCellMar>
          <w:top w:w="0" w:type="dxa"/>
          <w:left w:w="0" w:type="dxa"/>
          <w:bottom w:w="0" w:type="dxa"/>
          <w:right w:w="0" w:type="dxa"/>
        </w:tblCellMar>
      </w:tblPr>
      <w:tblGrid>
        <w:gridCol w:w="226"/>
        <w:gridCol w:w="43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tbl>
      <w:tblPr>
        <w:tblW w:w="4712" w:type="dxa"/>
        <w:jc w:val="left"/>
        <w:tblInd w:w="0" w:type="dxa"/>
        <w:tblLayout w:type="fixed"/>
        <w:tblCellMar>
          <w:top w:w="0" w:type="dxa"/>
          <w:left w:w="0" w:type="dxa"/>
          <w:bottom w:w="0" w:type="dxa"/>
          <w:right w:w="0" w:type="dxa"/>
        </w:tblCellMar>
      </w:tblPr>
      <w:tblGrid>
        <w:gridCol w:w="346"/>
        <w:gridCol w:w="43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43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nature of operation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 (Continued)</w:t>
      </w:r>
    </w:p>
    <w:tbl>
      <w:tblPr>
        <w:tblW w:w="10205" w:type="dxa"/>
        <w:jc w:val="left"/>
        <w:tblInd w:w="0" w:type="dxa"/>
        <w:tblLayout w:type="fixed"/>
        <w:tblCellMar>
          <w:top w:w="28" w:type="dxa"/>
          <w:left w:w="28" w:type="dxa"/>
          <w:bottom w:w="28" w:type="dxa"/>
          <w:right w:w="28" w:type="dxa"/>
        </w:tblCellMar>
      </w:tblPr>
      <w:tblGrid>
        <w:gridCol w:w="124"/>
        <w:gridCol w:w="354"/>
        <w:gridCol w:w="9727"/>
      </w:tblGrid>
      <w:tr>
        <w:trPr/>
        <w:tc>
          <w:tcPr>
            <w:tcW w:w="124" w:type="dxa"/>
            <w:tcBorders/>
            <w:vAlign w:val="center"/>
          </w:tcPr>
          <w:p>
            <w:pPr>
              <w:pStyle w:val="TableContents"/>
              <w:bidi w:val="0"/>
              <w:spacing w:before="0" w:after="283"/>
              <w:jc w:val="left"/>
              <w:rPr>
                <w:sz w:val="4"/>
                <w:szCs w:val="4"/>
              </w:rPr>
            </w:pPr>
            <w:r>
              <w:rPr>
                <w:sz w:val="4"/>
                <w:szCs w:val="4"/>
              </w:rPr>
            </w:r>
          </w:p>
        </w:tc>
        <w:tc>
          <w:tcPr>
            <w:tcW w:w="35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2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acquired 40%</w:t>
            </w:r>
            <w:r>
              <w:rPr>
                <w:caps w:val="false"/>
                <w:smallCaps w:val="false"/>
              </w:rPr>
              <w:t xml:space="preserve"> </w:t>
            </w:r>
            <w:r>
              <w:rPr>
                <w:rFonts w:ascii="Times New Roman;Times;serif" w:hAnsi="Times New Roman;Times;serif"/>
                <w:b w:val="false"/>
                <w:i w:val="false"/>
                <w:caps w:val="false"/>
                <w:smallCaps w:val="false"/>
                <w:sz w:val="20"/>
              </w:rPr>
              <w:t>equity interest of Anhui</w:t>
            </w:r>
            <w:r>
              <w:rPr>
                <w:caps w:val="false"/>
                <w:smallCaps w:val="false"/>
              </w:rPr>
              <w:t xml:space="preserve"> </w:t>
            </w:r>
            <w:r>
              <w:rPr>
                <w:rFonts w:ascii="Times New Roman;Times;serif" w:hAnsi="Times New Roman;Times;serif"/>
                <w:b w:val="false"/>
                <w:i w:val="false"/>
                <w:caps w:val="false"/>
                <w:smallCaps w:val="false"/>
                <w:sz w:val="20"/>
              </w:rPr>
              <w:t>Myhayo and Shanghai Myhayo in November 2018. In August 2019 and August 2020, there were contribution from non-controlling interests of US$2,905</w:t>
            </w:r>
            <w:r>
              <w:rPr>
                <w:caps w:val="false"/>
                <w:smallCaps w:val="false"/>
              </w:rPr>
              <w:t xml:space="preserve"> </w:t>
            </w:r>
            <w:r>
              <w:rPr>
                <w:rFonts w:ascii="Times New Roman;Times;serif" w:hAnsi="Times New Roman;Times;serif"/>
                <w:b w:val="false"/>
                <w:i w:val="false"/>
                <w:caps w:val="false"/>
                <w:smallCaps w:val="false"/>
                <w:sz w:val="20"/>
              </w:rPr>
              <w:t>to Anhui Myhayo and US$73</w:t>
            </w:r>
            <w:r>
              <w:rPr>
                <w:caps w:val="false"/>
                <w:smallCaps w:val="false"/>
              </w:rPr>
              <w:t xml:space="preserve"> </w:t>
            </w:r>
            <w:r>
              <w:rPr>
                <w:rFonts w:ascii="Times New Roman;Times;serif" w:hAnsi="Times New Roman;Times;serif"/>
                <w:b w:val="false"/>
                <w:i w:val="false"/>
                <w:caps w:val="false"/>
                <w:smallCaps w:val="false"/>
                <w:sz w:val="20"/>
              </w:rPr>
              <w:t>to Shanghai Myhayo, respectively, whereby the Company’s (i) equity interest in Anhui Myhayo was diluted to 36.8%</w:t>
            </w:r>
            <w:r>
              <w:rPr>
                <w:caps w:val="false"/>
                <w:smallCaps w:val="false"/>
              </w:rPr>
              <w:t xml:space="preserve"> </w:t>
            </w:r>
            <w:r>
              <w:rPr>
                <w:rFonts w:ascii="Times New Roman;Times;serif" w:hAnsi="Times New Roman;Times;serif"/>
                <w:b w:val="false"/>
                <w:i w:val="false"/>
                <w:caps w:val="false"/>
                <w:smallCaps w:val="false"/>
                <w:sz w:val="20"/>
              </w:rPr>
              <w:t>in August 2019 and (ii) equity interest in Shanghai Myhayo was diluted to 36.8%</w:t>
            </w:r>
            <w:r>
              <w:rPr>
                <w:caps w:val="false"/>
                <w:smallCaps w:val="false"/>
              </w:rPr>
              <w:t xml:space="preserve"> </w:t>
            </w:r>
            <w:r>
              <w:rPr>
                <w:rFonts w:ascii="Times New Roman;Times;serif" w:hAnsi="Times New Roman;Times;serif"/>
                <w:b w:val="false"/>
                <w:i w:val="false"/>
                <w:caps w:val="false"/>
                <w:smallCaps w:val="false"/>
                <w:sz w:val="20"/>
              </w:rPr>
              <w:t>in August 2020. These transactions did not result in a loss of the Company’s control over Anhui Myhayo and Shanghai Myhayo and were accounted for as transactions with non-controlling interests, resulting in an increase in equity by US$2,905</w:t>
            </w:r>
            <w:r>
              <w:rPr>
                <w:caps w:val="false"/>
                <w:smallCaps w:val="false"/>
              </w:rPr>
              <w:t xml:space="preserve"> </w:t>
            </w:r>
            <w:r>
              <w:rPr>
                <w:rFonts w:ascii="Times New Roman;Times;serif" w:hAnsi="Times New Roman;Times;serif"/>
                <w:b w:val="false"/>
                <w:i w:val="false"/>
                <w:caps w:val="false"/>
                <w:smallCaps w:val="false"/>
                <w:sz w:val="20"/>
              </w:rPr>
              <w:t>and US$73</w:t>
            </w:r>
            <w:r>
              <w:rPr>
                <w:caps w:val="false"/>
                <w:smallCaps w:val="false"/>
              </w:rPr>
              <w:t xml:space="preserve"> </w:t>
            </w:r>
            <w:r>
              <w:rPr>
                <w:rFonts w:ascii="Times New Roman;Times;serif" w:hAnsi="Times New Roman;Times;serif"/>
                <w:b w:val="false"/>
                <w:i w:val="false"/>
                <w:caps w:val="false"/>
                <w:smallCaps w:val="false"/>
                <w:sz w:val="20"/>
              </w:rPr>
              <w:t>for the years ended December 31, 2019 and 2020, respectively.</w:t>
            </w:r>
          </w:p>
        </w:tc>
      </w:tr>
    </w:tbl>
    <w:tbl>
      <w:tblPr>
        <w:tblW w:w="10205" w:type="dxa"/>
        <w:jc w:val="left"/>
        <w:tblInd w:w="0" w:type="dxa"/>
        <w:tblLayout w:type="fixed"/>
        <w:tblCellMar>
          <w:top w:w="28" w:type="dxa"/>
          <w:left w:w="28" w:type="dxa"/>
          <w:bottom w:w="28" w:type="dxa"/>
          <w:right w:w="28" w:type="dxa"/>
        </w:tblCellMar>
      </w:tblPr>
      <w:tblGrid>
        <w:gridCol w:w="124"/>
        <w:gridCol w:w="350"/>
        <w:gridCol w:w="9731"/>
      </w:tblGrid>
      <w:tr>
        <w:trPr/>
        <w:tc>
          <w:tcPr>
            <w:tcW w:w="124" w:type="dxa"/>
            <w:tcBorders/>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7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acquired 34.38%</w:t>
            </w:r>
            <w:r>
              <w:rPr>
                <w:caps w:val="false"/>
                <w:smallCaps w:val="false"/>
              </w:rPr>
              <w:t xml:space="preserve"> </w:t>
            </w:r>
            <w:r>
              <w:rPr>
                <w:rFonts w:ascii="Times New Roman;Times;serif" w:hAnsi="Times New Roman;Times;serif"/>
                <w:b w:val="false"/>
                <w:i w:val="false"/>
                <w:caps w:val="false"/>
                <w:smallCaps w:val="false"/>
                <w:sz w:val="20"/>
              </w:rPr>
              <w:t>equity interest of Changyi, which held 100%</w:t>
            </w:r>
            <w:r>
              <w:rPr>
                <w:caps w:val="false"/>
                <w:smallCaps w:val="false"/>
              </w:rPr>
              <w:t xml:space="preserve"> </w:t>
            </w:r>
            <w:r>
              <w:rPr>
                <w:rFonts w:ascii="Times New Roman;Times;serif" w:hAnsi="Times New Roman;Times;serif"/>
                <w:b w:val="false"/>
                <w:i w:val="false"/>
                <w:caps w:val="false"/>
                <w:smallCaps w:val="false"/>
                <w:sz w:val="20"/>
              </w:rPr>
              <w:t>equity interest of Suzhou Changyi, Xian Changyi, Shanghai Changyu and Anhui Aizhishu, in January 2019. During the years ended December 31, 2019, 2020 and 2022, the Company has further completed the following transactions in relation to Changyi.</w:t>
            </w:r>
          </w:p>
        </w:tc>
      </w:tr>
    </w:tbl>
    <w:tbl>
      <w:tblPr>
        <w:tblW w:w="10205" w:type="dxa"/>
        <w:jc w:val="left"/>
        <w:tblInd w:w="0" w:type="dxa"/>
        <w:tblLayout w:type="fixed"/>
        <w:tblCellMar>
          <w:top w:w="0" w:type="dxa"/>
          <w:left w:w="0" w:type="dxa"/>
          <w:bottom w:w="0" w:type="dxa"/>
          <w:right w:w="0"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May 2019, the Company injected a total cash of RMB15 million (equivalent to US$2,217) to Changyi as paid-up capital, upon which the Company’s equity interest in Changyi increased to 41.46%.</w:t>
            </w:r>
          </w:p>
        </w:tc>
      </w:tr>
    </w:tbl>
    <w:tbl>
      <w:tblPr>
        <w:tblW w:w="10205" w:type="dxa"/>
        <w:jc w:val="left"/>
        <w:tblInd w:w="0" w:type="dxa"/>
        <w:tblLayout w:type="fixed"/>
        <w:tblCellMar>
          <w:top w:w="0" w:type="dxa"/>
          <w:left w:w="0" w:type="dxa"/>
          <w:bottom w:w="0" w:type="dxa"/>
          <w:right w:w="0"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September 2020, the Company further injected a total cash of RMB65 million (equivalent to US$9,477) to Changyi as paid-up capital, resulting in a transfer of non-controlling interests of US$1,716 to additional paid-in capital for the year ended December 31, 2020. The Company’s equity interest in Changyi increased further to 52.62%.</w:t>
            </w:r>
          </w:p>
        </w:tc>
      </w:tr>
    </w:tbl>
    <w:tbl>
      <w:tblPr>
        <w:tblW w:w="10205" w:type="dxa"/>
        <w:jc w:val="left"/>
        <w:tblInd w:w="0" w:type="dxa"/>
        <w:tblLayout w:type="fixed"/>
        <w:tblCellMar>
          <w:top w:w="0" w:type="dxa"/>
          <w:left w:w="0" w:type="dxa"/>
          <w:bottom w:w="0" w:type="dxa"/>
          <w:right w:w="0"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December 2020, the Company acquired 7.22% equity interest of Changyi from non-controlling interests using 313,011 Class A ordinary shares of the Company with a fair market value of US$4,176, resulting in a transfer of non-controlling interests of US$1,658 to additional paid-in capital for the year ended December 31, 2020. The Company’s equity interests in Changyi increased further to 59.84%.</w:t>
            </w:r>
          </w:p>
        </w:tc>
      </w:tr>
    </w:tbl>
    <w:tbl>
      <w:tblPr>
        <w:tblW w:w="10205" w:type="dxa"/>
        <w:jc w:val="left"/>
        <w:tblInd w:w="0" w:type="dxa"/>
        <w:tblLayout w:type="fixed"/>
        <w:tblCellMar>
          <w:top w:w="0" w:type="dxa"/>
          <w:left w:w="0" w:type="dxa"/>
          <w:bottom w:w="0" w:type="dxa"/>
          <w:right w:w="0"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August 2022, the Company acquired the remaining 40.16% equity interest of Changyi from non-controlling interests using cash consideration of US$722 and 1,545,663 class A ordinary shares of the Company with a fair market value of US$1,577, resulting in a transfer of non-controlling interests of US$833 to additional paid-in capital for the year ended December 31, 2022. Upon completion of this transaction, the Company owns 100% equity interests in Changyi.</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These transactions did not change the Company’s control over Changyi and were not accounted for as transactions with non-controlling interests.</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79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acquired 80%</w:t>
            </w:r>
            <w:r>
              <w:rPr>
                <w:caps w:val="false"/>
                <w:smallCaps w:val="false"/>
              </w:rPr>
              <w:t xml:space="preserve"> </w:t>
            </w:r>
            <w:r>
              <w:rPr>
                <w:rFonts w:ascii="Times New Roman;Times;serif" w:hAnsi="Times New Roman;Times;serif"/>
                <w:b w:val="false"/>
                <w:i w:val="false"/>
                <w:caps w:val="false"/>
                <w:smallCaps w:val="false"/>
                <w:sz w:val="20"/>
              </w:rPr>
              <w:t>equity interest of Optimal in May 2020 (Note 4(a)). In December 2020, the Company acquired the remaining 20%</w:t>
            </w:r>
            <w:r>
              <w:rPr>
                <w:caps w:val="false"/>
                <w:smallCaps w:val="false"/>
              </w:rPr>
              <w:t xml:space="preserve"> </w:t>
            </w:r>
            <w:r>
              <w:rPr>
                <w:rFonts w:ascii="Times New Roman;Times;serif" w:hAnsi="Times New Roman;Times;serif"/>
                <w:b w:val="false"/>
                <w:i w:val="false"/>
                <w:caps w:val="false"/>
                <w:smallCaps w:val="false"/>
                <w:sz w:val="20"/>
              </w:rPr>
              <w:t>equity interest of Optimal from the non-controlling interest at a cash consideration of US$7,003, whereby the Company’s equity interests in Optimal increased to 100%. This was accounted for as a transaction with non-controlling interests with an increase in additional paid-in capital of US$1,137</w:t>
            </w:r>
            <w:r>
              <w:rPr>
                <w:caps w:val="false"/>
                <w:smallCaps w:val="false"/>
              </w:rPr>
              <w:t xml:space="preserve"> </w:t>
            </w:r>
            <w:r>
              <w:rPr>
                <w:rFonts w:ascii="Times New Roman;Times;serif" w:hAnsi="Times New Roman;Times;serif"/>
                <w:b w:val="false"/>
                <w:i w:val="false"/>
                <w:caps w:val="false"/>
                <w:smallCaps w:val="false"/>
                <w:sz w:val="20"/>
              </w:rPr>
              <w:t>and a reduction in non-controlling interests of US$8,140</w:t>
            </w:r>
            <w:r>
              <w:rPr>
                <w:caps w:val="false"/>
                <w:smallCaps w:val="false"/>
              </w:rPr>
              <w:t xml:space="preserve"> </w:t>
            </w:r>
            <w:r>
              <w:rPr>
                <w:rFonts w:ascii="Times New Roman;Times;serif" w:hAnsi="Times New Roman;Times;serif"/>
                <w:b w:val="false"/>
                <w:i w:val="false"/>
                <w:caps w:val="false"/>
                <w:smallCaps w:val="false"/>
                <w:sz w:val="20"/>
              </w:rPr>
              <w:t>for the year ended December 31, 2020.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16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547" w:type="dxa"/>
        <w:jc w:val="left"/>
        <w:tblInd w:w="0" w:type="dxa"/>
        <w:tblLayout w:type="fixed"/>
        <w:tblCellMar>
          <w:top w:w="0" w:type="dxa"/>
          <w:left w:w="0" w:type="dxa"/>
          <w:bottom w:w="0" w:type="dxa"/>
          <w:right w:w="0" w:type="dxa"/>
        </w:tblCellMar>
      </w:tblPr>
      <w:tblGrid>
        <w:gridCol w:w="226"/>
        <w:gridCol w:w="43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tbl>
      <w:tblPr>
        <w:tblW w:w="3932" w:type="dxa"/>
        <w:jc w:val="left"/>
        <w:tblInd w:w="0" w:type="dxa"/>
        <w:tblLayout w:type="fixed"/>
        <w:tblCellMar>
          <w:top w:w="0" w:type="dxa"/>
          <w:left w:w="0" w:type="dxa"/>
          <w:bottom w:w="0" w:type="dxa"/>
          <w:right w:w="0" w:type="dxa"/>
        </w:tblCellMar>
      </w:tblPr>
      <w:tblGrid>
        <w:gridCol w:w="346"/>
        <w:gridCol w:w="358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35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Consolidated VIE and VIE’s subsidiaries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and its subsidiaries (together, “OptAim VIE”). OptAim WFOE, a wholly-owned subsidiary of the Company, or a wholly foreign owned enterprise (“WFOE”) of the Company, entered into a series of contractual agreements among Beijing OptAim and Beijing OptAim’s legal shareholders.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Management evaluated the contractual relationships among the Company, OptAim WFOE and OptAim VIE as detailed below, and concluded that OptAim WFOE is the primary beneficiary of OptAim VIE. As a result, OptAim VIE’s results of operations, assets and liabilities have been included in the Group’s consolidated financial statements.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a result of an internal restructuring within the Group in 2021 to move the VIE structure from OptAim WFOE to Beijing WFOE (being another wholly-owned subsidiary of the Company in the PRC), on November 1, 2021, the VIE contractual agreements as detailed below were amended and restated, which were to provide Beijing WFOE with the power, rights and obligations equivalent in all material respects to those it would possess as the principal equity holder of OptAim VIE by signing such contractual agreements among Beijing OptAim and Beijing OptAim’s legal shareholders to have Beijing WFOE replacing OptAim WFOE as the primary beneficiary of OptAim VIE.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OptAim VIE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relationships with Beijing OptAim and its shareholders are governed by the following contractual arrangements:</w:t>
      </w:r>
    </w:p>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 Agreement</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Under the cooperative agreement between OptAim WFOE/Beijing WFOE and Beijing OptAim, OptAim WFOE/Beijing WFOE has the exclusive right to provide to Beijing OptAim, among others, technical consulting, technical support, business consulting, and appointment and dismissal of employees. OptAim WFOE/Beijing WFOE will collect a fee from Beijing OptAim to be determined at the sole discretion of OptAim WFOE/Beijing WFOE. The term of this agreement will not expire unless OptAim WFOE/Beijing WFOE provides prior written notice to Beijing OptAim.</w:t>
      </w:r>
    </w:p>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Option Agreement</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parties to the purchase option agreement are OptAim WFOE/Beijing WFOE, Beijing OptAim and each of the shareholders of Beijing OptAim. Under the purchase option agreement, each of the shareholders of Beijing OptAim irrevocably granted OptAim WFOE/Beijing WFOE or its designated representative(s) an exclusive option to purchase, to the extent permitted under PRC law, all or part of its equity interests in Beijing OptAim. OptAim WFOE/Beijing WFOE or its designated representative(s) have sole discretion as to when to exercise such options, either in part or in full. Without prior written consent from OptAim WFOE/Beijing WFOE, Beijing OptAim’s shareholders shall not sell, transfer, mortgage or otherwise dispose their equity interests in Beijing OptAim. The agreement will not expire until all shares of Beijing OptAim are transferred to OptAim WFOE/Beijing WFOE or its designated representative(s).</w:t>
      </w:r>
    </w:p>
    <w:p>
      <w:pPr>
        <w:pStyle w:val="TextBody"/>
        <w:bidi w:val="0"/>
        <w:spacing w:before="0" w:after="240"/>
        <w:ind w:left="144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16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547" w:type="dxa"/>
        <w:jc w:val="left"/>
        <w:tblInd w:w="0" w:type="dxa"/>
        <w:tblLayout w:type="fixed"/>
        <w:tblCellMar>
          <w:top w:w="0" w:type="dxa"/>
          <w:left w:w="0" w:type="dxa"/>
          <w:bottom w:w="0" w:type="dxa"/>
          <w:right w:w="0" w:type="dxa"/>
        </w:tblCellMar>
      </w:tblPr>
      <w:tblGrid>
        <w:gridCol w:w="226"/>
        <w:gridCol w:w="43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tbl>
      <w:tblPr>
        <w:tblW w:w="4967" w:type="dxa"/>
        <w:jc w:val="left"/>
        <w:tblInd w:w="0" w:type="dxa"/>
        <w:tblLayout w:type="fixed"/>
        <w:tblCellMar>
          <w:top w:w="0" w:type="dxa"/>
          <w:left w:w="0" w:type="dxa"/>
          <w:bottom w:w="0" w:type="dxa"/>
          <w:right w:w="0" w:type="dxa"/>
        </w:tblCellMar>
      </w:tblPr>
      <w:tblGrid>
        <w:gridCol w:w="346"/>
        <w:gridCol w:w="462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46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Consolidated VIE and VIE’s subsidiaries (Continued)</w:t>
            </w:r>
          </w:p>
        </w:tc>
      </w:tr>
    </w:tbl>
    <w:tbl>
      <w:tblPr>
        <w:tblW w:w="2001" w:type="dxa"/>
        <w:jc w:val="left"/>
        <w:tblInd w:w="0" w:type="dxa"/>
        <w:tblLayout w:type="fixed"/>
        <w:tblCellMar>
          <w:top w:w="28" w:type="dxa"/>
          <w:left w:w="28" w:type="dxa"/>
          <w:bottom w:w="28" w:type="dxa"/>
          <w:right w:w="28" w:type="dxa"/>
        </w:tblCellMar>
      </w:tblPr>
      <w:tblGrid>
        <w:gridCol w:w="124"/>
        <w:gridCol w:w="256"/>
        <w:gridCol w:w="1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Pursuant to the irrevocable power of attorney executed by the shareholders of Beijing OptAim, Beijing OptAim appointed OptAim WFOE/Beijing WFOE as its attorney-in-fact to exercise all shareholders’ rights in Beijing OptAim, including, without limitation, the power to vote on all matters of Beijing.</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OptAim requiring shareholder approval under PRC laws and regulations and the articles of association of Beijing OptAim. The power of attorney will remain in force until OptAim WFOE/Beijing WFOE provides prior written notice to Beijing OptAim.</w:t>
      </w:r>
    </w:p>
    <w:tbl>
      <w:tblPr>
        <w:tblW w:w="2016" w:type="dxa"/>
        <w:jc w:val="left"/>
        <w:tblInd w:w="0" w:type="dxa"/>
        <w:tblLayout w:type="fixed"/>
        <w:tblCellMar>
          <w:top w:w="28" w:type="dxa"/>
          <w:left w:w="28" w:type="dxa"/>
          <w:bottom w:w="28" w:type="dxa"/>
          <w:right w:w="28" w:type="dxa"/>
        </w:tblCellMar>
      </w:tblPr>
      <w:tblGrid>
        <w:gridCol w:w="124"/>
        <w:gridCol w:w="256"/>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Pledge Agreement</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Pursuant to the pledge agreement between OptAim WFOE/Beijing WFOE and the shareholders of Beijing OptAim, the shareholders of Beijing OptAim have pledged all of their equity interests in Beijing OptAim to OptAim WFOE/Beijing WFOE to guarantee the performance by Beijing OptAim under the cooperative agreement, purchase option agreement, and powers of attorney. If Beijing OptAim and/or its shareholders breach their contractual obligations under those agreements, OptAim WFOE/Beijing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 The shareholders of Beijing OptAim have completed the registration of the equity pledge with the relevant office of the Administration for Industry and Commerce in accordance with the PRC Property Rights Law on June 21, 2017.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Through the aforementioned contractual agreements, OptAim VIE is considered VIE in accordance with Generally Accepted Accounting Principles in the United States (“U.S. GAAP”) because the Company, through OptAim WFOE/Beijing WFOE, has the ability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effective control over OptAim VIE whereby having the power to direct OptAim VIE’s activities that most significantly drive the economic results of OptAim VIE;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substantially all of the economic benefits and residual returns, and absorb substantially all the risks and expected losses from OptAim VIE as if it was their sole shareholder; and</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an exclusive option to purchase all of the equity interests in OptAim VIE.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and 2022, the total assets of OptAim VIE (excluding amounts due from subsidiaries of the Group) were US$10,506 and US$7,110, respectively, mainly comprising cash and cash equivalents, accounts receivable, prepaid media costs, property and equipment, intangible assets, right-of-use assets, other long-term investment and other assets. As of December 31, 2021 and 2022, the total liabilities of OptAim VIE (excluding amounts due to subsidiaries of the Group) were US$6,741 and US$5,188 respectively, mainly comprising accounts payable, deferred revenue, lease liabilities, bank borrowings, income tax payable, accrued liabilities and other current liabilities, and deferred tax liabilities.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16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547" w:type="dxa"/>
        <w:jc w:val="left"/>
        <w:tblInd w:w="0" w:type="dxa"/>
        <w:tblLayout w:type="fixed"/>
        <w:tblCellMar>
          <w:top w:w="0" w:type="dxa"/>
          <w:left w:w="0" w:type="dxa"/>
          <w:bottom w:w="0" w:type="dxa"/>
          <w:right w:w="0" w:type="dxa"/>
        </w:tblCellMar>
      </w:tblPr>
      <w:tblGrid>
        <w:gridCol w:w="226"/>
        <w:gridCol w:w="43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tbl>
      <w:tblPr>
        <w:tblW w:w="4967" w:type="dxa"/>
        <w:jc w:val="left"/>
        <w:tblInd w:w="0" w:type="dxa"/>
        <w:tblLayout w:type="fixed"/>
        <w:tblCellMar>
          <w:top w:w="0" w:type="dxa"/>
          <w:left w:w="0" w:type="dxa"/>
          <w:bottom w:w="0" w:type="dxa"/>
          <w:right w:w="0" w:type="dxa"/>
        </w:tblCellMar>
      </w:tblPr>
      <w:tblGrid>
        <w:gridCol w:w="346"/>
        <w:gridCol w:w="462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46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Consolidated VIE and VIE’s subsidiaries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accordance with the aforementioned agreements, the Company has the power to direct activities of OptAim VIE, and can have assets transferred out of OptAim VIE. Therefore the Company considers that there is no asset in OptAim VIE that can be used only to settle obligations of OptAim VIE, except for registered capital and PRC statutory reserves of OptAim VIE amounting to US$2,081 and US$2,081, respectively, as of December 31, 2021 and 2022. As Beijing OptAim and its subsidiaries were incorporated as limited liability companies under the PRC Company Law, the creditors do not have recourse to the general credit of the Company for all the liabilities of OptAim VIE. Currently there is no contractual arrangement that could require the Company to provide additional financial support to OptAim VIE.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the Company is conducting its PRC online advertising services business through OptAim VIE, the Company will, if needed, provide such support on a discretion basis in the future, which could expose the Company to a loss.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There is no VIE where the Company has variable interest but is not the primary beneficiary.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In the opinion of the Company’s management, the contractual arrangements among its subsidiary, the VIE and the nominee shareholder are in compliance with current PRC laws and are legally binding and enforceable. However, uncertainties in the interpretation and enforcement of the PRC laws, regulations and policies could limit the Company’s ability to enforce these contractual arrangements. In addition, the nominee shareholder of the VIE is Mr Jian Tang, the chairman of our board of directors and our chief executive officer, who controls around 30% of the Company in terms of voting power. Therefore, the enforceability of the contractual agreements between the Company’s subsidiary, the VIE and its nominee shareholder depends on whether the shareholder will fulfil these contractual agreements. As a result, the Company may be unable to consolidate the VIE and VIE’s subsidiaries in the consolidated financial statements.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ability to control OptAim VIE also depends on the power of attorney and the effect of the share pledge under the Pledge Agreement and OptAim WFOE/Beijing WFOE has to vote on all matters requiring shareholder approval in OptAim VIE. As noted above, the Company believes this power of attorney is legally enforceable but may not be as effective as direct equity ownership.</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16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547" w:type="dxa"/>
        <w:jc w:val="left"/>
        <w:tblInd w:w="0" w:type="dxa"/>
        <w:tblLayout w:type="fixed"/>
        <w:tblCellMar>
          <w:top w:w="0" w:type="dxa"/>
          <w:left w:w="0" w:type="dxa"/>
          <w:bottom w:w="0" w:type="dxa"/>
          <w:right w:w="0" w:type="dxa"/>
        </w:tblCellMar>
      </w:tblPr>
      <w:tblGrid>
        <w:gridCol w:w="226"/>
        <w:gridCol w:w="43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tbl>
      <w:tblPr>
        <w:tblW w:w="2447" w:type="dxa"/>
        <w:jc w:val="left"/>
        <w:tblInd w:w="0" w:type="dxa"/>
        <w:tblLayout w:type="fixed"/>
        <w:tblCellMar>
          <w:top w:w="0" w:type="dxa"/>
          <w:left w:w="0" w:type="dxa"/>
          <w:bottom w:w="0" w:type="dxa"/>
          <w:right w:w="0" w:type="dxa"/>
        </w:tblCellMar>
      </w:tblPr>
      <w:tblGrid>
        <w:gridCol w:w="331"/>
        <w:gridCol w:w="211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21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 offerings in 2020</w:t>
            </w:r>
          </w:p>
        </w:tc>
      </w:tr>
    </w:tbl>
    <w:tbl>
      <w:tblPr>
        <w:tblW w:w="5046" w:type="dxa"/>
        <w:jc w:val="left"/>
        <w:tblInd w:w="0" w:type="dxa"/>
        <w:tblLayout w:type="fixed"/>
        <w:tblCellMar>
          <w:top w:w="0" w:type="dxa"/>
          <w:left w:w="0" w:type="dxa"/>
          <w:bottom w:w="0" w:type="dxa"/>
          <w:right w:w="0" w:type="dxa"/>
        </w:tblCellMar>
      </w:tblPr>
      <w:tblGrid>
        <w:gridCol w:w="124"/>
        <w:gridCol w:w="28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w:t>
            </w:r>
          </w:p>
        </w:tc>
        <w:tc>
          <w:tcPr>
            <w:tcW w:w="46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Private investment in public equity offering (“PIPE”)</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Company completed a PIPE offering on June 22, 2020 and issued a total of 2,107,400 Class A ordinary shares. The net proceeds received by the Company, after deducting offering expenses of US$3,469, amounted to US$18,531.</w:t>
      </w:r>
    </w:p>
    <w:tbl>
      <w:tblPr>
        <w:tblW w:w="2196" w:type="dxa"/>
        <w:jc w:val="left"/>
        <w:tblInd w:w="0" w:type="dxa"/>
        <w:tblLayout w:type="fixed"/>
        <w:tblCellMar>
          <w:top w:w="0" w:type="dxa"/>
          <w:left w:w="0" w:type="dxa"/>
          <w:bottom w:w="0" w:type="dxa"/>
          <w:right w:w="0" w:type="dxa"/>
        </w:tblCellMar>
      </w:tblPr>
      <w:tblGrid>
        <w:gridCol w:w="124"/>
        <w:gridCol w:w="346"/>
        <w:gridCol w:w="172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(ii)</w:t>
            </w:r>
          </w:p>
        </w:tc>
        <w:tc>
          <w:tcPr>
            <w:tcW w:w="17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Follow-on offering</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Company completed a follow-on offering of 8,500,001 American Depositary Shares (“ADSs”) (equivalent to 4,250,001 Class A ordinary shares) at a public offering price of US$8.50 per ADS on September 8, 2020. Each ADS represents 0.5 common share. Of the ADSs sold in the follow-on offering, 6,877,214 ADSs (equivalent to 3,438,607 Class A ordinary shares) were newly issued and sold by the Company and 1,622,787ADSs (equivalent to 811,394 Class A ordinary shares) were sold by an existing shareholder. The net proceeds received by the Company, after deducting offering expenses of US$5,070, amounted to US$53,386.</w:t>
      </w:r>
    </w:p>
    <w:tbl>
      <w:tblPr>
        <w:tblW w:w="4157" w:type="dxa"/>
        <w:jc w:val="left"/>
        <w:tblInd w:w="0" w:type="dxa"/>
        <w:tblLayout w:type="fixed"/>
        <w:tblCellMar>
          <w:top w:w="0" w:type="dxa"/>
          <w:left w:w="0" w:type="dxa"/>
          <w:bottom w:w="0" w:type="dxa"/>
          <w:right w:w="0" w:type="dxa"/>
        </w:tblCellMar>
      </w:tblPr>
      <w:tblGrid>
        <w:gridCol w:w="346"/>
        <w:gridCol w:w="381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3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Issuance of shares to a new investor in 2021</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Pursuant to a share subscription agreement entered into between the Company and a new investor Baozun Inc. (“Baozun”) in January 2021, the Company has issued a total of 649,349 Class B ordinary shares to Baozun for net cash proceeds received by the Company, after deducting an incremental cost of US$213, of US$17,010.</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Cash proceeds received by the Company from the issuance of Class B ordinary shares to Baozun were calculated at US$26.52 per share, which was at discount as compared to the fair value of US$28.88 as determined based on the closing stock price as of the date of share issuance. The total discount of this share issuance amounting to US$1,530 represented an incentive to Baozun to enter into the strategic cooperation framework agreement with the Company, which was recognized as share-based compensation expenses in the consolidated during the year ended December 31, 2021.</w:t>
      </w:r>
    </w:p>
    <w:p>
      <w:pPr>
        <w:pStyle w:val="TextBody"/>
        <w:bidi w:val="0"/>
        <w:spacing w:before="0" w:after="240"/>
        <w:ind w:left="720" w:right="0" w:hanging="0"/>
        <w:jc w:val="both"/>
        <w:rPr/>
      </w:pPr>
      <w:r>
        <w:rPr/>
        <w:t>​</w:t>
      </w:r>
    </w:p>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2837" w:type="dxa"/>
        <w:jc w:val="left"/>
        <w:tblInd w:w="0" w:type="dxa"/>
        <w:tblLayout w:type="fixed"/>
        <w:tblCellMar>
          <w:top w:w="0" w:type="dxa"/>
          <w:left w:w="0" w:type="dxa"/>
          <w:bottom w:w="0" w:type="dxa"/>
          <w:right w:w="0" w:type="dxa"/>
        </w:tblCellMar>
      </w:tblPr>
      <w:tblGrid>
        <w:gridCol w:w="226"/>
        <w:gridCol w:w="261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26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w:t>
            </w:r>
          </w:p>
        </w:tc>
      </w:tr>
    </w:tbl>
    <w:tbl>
      <w:tblPr>
        <w:tblW w:w="2252" w:type="dxa"/>
        <w:jc w:val="left"/>
        <w:tblInd w:w="0" w:type="dxa"/>
        <w:tblLayout w:type="fixed"/>
        <w:tblCellMar>
          <w:top w:w="0" w:type="dxa"/>
          <w:left w:w="0" w:type="dxa"/>
          <w:bottom w:w="0" w:type="dxa"/>
          <w:right w:w="0" w:type="dxa"/>
        </w:tblCellMar>
      </w:tblPr>
      <w:tblGrid>
        <w:gridCol w:w="346"/>
        <w:gridCol w:w="190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19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The consolidated financial statements have been prepared in accordance with the U.S. GAAP. Significant accounting policies followed by the Company in the preparation of the accompanying consolidated financial statements are summarized below. </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Effective from November 14, 2022, the Company changed the ratio of the ADS representing its Class A ordinary shares from one ADS representing one-half of one Class A ordinary share to one ADS representing five Class A ordinary shares.</w:t>
      </w:r>
    </w:p>
    <w:tbl>
      <w:tblPr>
        <w:tblW w:w="1832" w:type="dxa"/>
        <w:jc w:val="left"/>
        <w:tblInd w:w="0" w:type="dxa"/>
        <w:tblLayout w:type="fixed"/>
        <w:tblCellMar>
          <w:top w:w="0" w:type="dxa"/>
          <w:left w:w="0" w:type="dxa"/>
          <w:bottom w:w="0" w:type="dxa"/>
          <w:right w:w="0" w:type="dxa"/>
        </w:tblCellMar>
      </w:tblPr>
      <w:tblGrid>
        <w:gridCol w:w="346"/>
        <w:gridCol w:w="148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4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Use of estimates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Group believes that revenue recognition in determining whether the Company is the principal or an agent to the arrangements with merchants, impairment assessment of goodwill and long-lived assets, fair value determination related to the accounting for business combinations, impairment assessment of investments in equity securities without readily determinable fair value, determination of share-based compensation and valuation of convertible notes reflect more significant judgments and estimates used in the preparation of its consolidated financial statements.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tbl>
      <w:tblPr>
        <w:tblW w:w="1667" w:type="dxa"/>
        <w:jc w:val="left"/>
        <w:tblInd w:w="0" w:type="dxa"/>
        <w:tblLayout w:type="fixed"/>
        <w:tblCellMar>
          <w:top w:w="0" w:type="dxa"/>
          <w:left w:w="0" w:type="dxa"/>
          <w:bottom w:w="0" w:type="dxa"/>
          <w:right w:w="0" w:type="dxa"/>
        </w:tblCellMar>
      </w:tblPr>
      <w:tblGrid>
        <w:gridCol w:w="331"/>
        <w:gridCol w:w="133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Consolidation</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Group’s consolidated financial statements include the financial statements of the Company, its subsidiaries, its VIE and a VIE’s subsidiaries for which the Company or its subsidiary is the primary beneficiary. All transactions and balances among the Company, its subsidiaries, its VIE and a VIE’s subsidiaries have been eliminated upon consolidation.</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Beijing WFOE and ultimately the Company hold all the variable interests of the VIE and its subsidiaries, and has been determined to be the primary beneficiary of the VIE.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Non-controlling interests are recognized to reflect the portion of their equity that is not attributable, directly or indirectly, to the Company as the controlling shareholder. Non-controlling interests in the results and equity of subsidiaries are shown separately in the consolidated statement of comprehensive loss, statement of changes in equity and balance sheet,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957" w:type="dxa"/>
        <w:jc w:val="left"/>
        <w:tblInd w:w="0" w:type="dxa"/>
        <w:tblLayout w:type="fixed"/>
        <w:tblCellMar>
          <w:top w:w="0" w:type="dxa"/>
          <w:left w:w="0" w:type="dxa"/>
          <w:bottom w:w="0" w:type="dxa"/>
          <w:right w:w="0" w:type="dxa"/>
        </w:tblCellMar>
      </w:tblPr>
      <w:tblGrid>
        <w:gridCol w:w="346"/>
        <w:gridCol w:w="261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26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Foreign currency translation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gains/(losses),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equity and comprehensive loss.</w:t>
      </w:r>
    </w:p>
    <w:tbl>
      <w:tblPr>
        <w:tblW w:w="3407" w:type="dxa"/>
        <w:jc w:val="left"/>
        <w:tblInd w:w="0" w:type="dxa"/>
        <w:tblLayout w:type="fixed"/>
        <w:tblCellMar>
          <w:top w:w="0" w:type="dxa"/>
          <w:left w:w="0" w:type="dxa"/>
          <w:bottom w:w="0" w:type="dxa"/>
          <w:right w:w="0" w:type="dxa"/>
        </w:tblCellMar>
      </w:tblPr>
      <w:tblGrid>
        <w:gridCol w:w="331"/>
        <w:gridCol w:w="3076"/>
      </w:tblGrid>
      <w:tr>
        <w:trPr/>
        <w:tc>
          <w:tcPr>
            <w:tcW w:w="3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(e)</w:t>
            </w:r>
          </w:p>
        </w:tc>
        <w:tc>
          <w:tcPr>
            <w:tcW w:w="30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Fair value of financial instruments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When available, the Company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Valuation techniques used to measure fair value must maximize the use of observable inputs and minimize the use of unobservable inputs.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Fair value measurements are based on a fair value hierarchy, based on three levels of inputs, of which the first two are considered observable and the last unobservable, that may be used to measure fair value which are the following: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Level 1 — Quoted prices (unadjusted) in active markets for identical assets or liabilities that the Company has the ability to access at the measurement date.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Level 2 — Inputs other than quoted prices included within Level 1 that are observable for the asset or liability, either directly or indirectly, such as quoted market prices for similar assets and liabilities;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Level 3 — Unobservable inputs to the valuation methodology that are significant to the measurement of the fair value of the assets or liabilities.</w:t>
      </w:r>
    </w:p>
    <w:tbl>
      <w:tblPr>
        <w:tblW w:w="4101" w:type="dxa"/>
        <w:jc w:val="left"/>
        <w:tblInd w:w="0" w:type="dxa"/>
        <w:tblLayout w:type="fixed"/>
        <w:tblCellMar>
          <w:top w:w="28" w:type="dxa"/>
          <w:left w:w="28" w:type="dxa"/>
          <w:bottom w:w="28" w:type="dxa"/>
          <w:right w:w="28" w:type="dxa"/>
        </w:tblCellMar>
      </w:tblPr>
      <w:tblGrid>
        <w:gridCol w:w="124"/>
        <w:gridCol w:w="28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 on a recurring basis</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Observable inputs are based on market data obtained from independent sources. The Company uses a combination of valuation methodologies, including market and income approaches based on the Company’s best estimate, which is determined by using information including but not limited to the pricing of recent rounds of financing of the investees, future cash flow forecasts, liquidity factors and multiples of a selection of comparable companies. The Company’s contingent consideration (Note 4 (b)), derivative liabilities and convertible notes (Note 18), and debt investments (Note 2(k)) are measured using unobservable inputs that require a high level of judgment to determine fair value, and thus classified as Level 3 (Note 3(c)).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4442" w:type="dxa"/>
        <w:jc w:val="left"/>
        <w:tblInd w:w="0" w:type="dxa"/>
        <w:tblLayout w:type="fixed"/>
        <w:tblCellMar>
          <w:top w:w="0" w:type="dxa"/>
          <w:left w:w="0" w:type="dxa"/>
          <w:bottom w:w="0" w:type="dxa"/>
          <w:right w:w="0" w:type="dxa"/>
        </w:tblCellMar>
      </w:tblPr>
      <w:tblGrid>
        <w:gridCol w:w="331"/>
        <w:gridCol w:w="411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41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of financial instruments (Continued)</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 xml:space="preserve">The Company values its investments in wealth management products issued by banks classified as short-term investments in the consolidated balance sheets (Note 2(k)) using quoted subscription or redemption prices published by the banks and financial institution. Accordingly, the Company classifies the valuation techniques that use these inputs as Level 2. </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 xml:space="preserve">The carrying amounts of cash and cash equivalents, time deposits, restricted cash, accounts receivable, amount due from an equity investee, rebates receivable, accounts payable, other financial assets and liabilities approximate their fair values due to the short-term nature of these instruments. Based on the borrowing rates currently available to the Group for debt with similar terms, the carrying amounts of the short-term bank borrowings approximate their fair values (using Level 2 inputs). </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The Group values its listed equity securities using quoted prices for the underlying securities in active markets. Accordingly, the Group classifies the valuation techniques that use these inputs as Level 1.</w:t>
      </w:r>
    </w:p>
    <w:tbl>
      <w:tblPr>
        <w:tblW w:w="4536" w:type="dxa"/>
        <w:jc w:val="left"/>
        <w:tblInd w:w="0" w:type="dxa"/>
        <w:tblLayout w:type="fixed"/>
        <w:tblCellMar>
          <w:top w:w="28" w:type="dxa"/>
          <w:left w:w="28" w:type="dxa"/>
          <w:bottom w:w="28" w:type="dxa"/>
          <w:right w:w="28" w:type="dxa"/>
        </w:tblCellMar>
      </w:tblPr>
      <w:tblGrid>
        <w:gridCol w:w="124"/>
        <w:gridCol w:w="34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 on a non-recurring basis</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 xml:space="preserve">The Group measures an equity investment accounted for using the equity method at fair value on a non-recurring basis only if an impairment charge were to be recognized. For the years ended December 31, 2020, 2021 and 2022, no impairments were recorded on the investment in an equity investee which would require fair value measurement on a non-recurring basis. </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Equity investments accounted for using the net asset value per share as a practical expedient (Note 2(k)(i)) and measurement alternative (Note 2(m)) are generally not categorized in the fair value hierarchy. However, if equity investments without readily determinable fair values accounted for using the measurement alternative were re-measured during the year, they would be classified within Level 3 in the fair value hierarchy because the Group estimated the value of the investments based on valuation methods using the observable transaction price at the transaction date and other unobservable inputs. See Note 2(m) for details.</w:t>
      </w:r>
    </w:p>
    <w:tbl>
      <w:tblPr>
        <w:tblW w:w="3977" w:type="dxa"/>
        <w:jc w:val="left"/>
        <w:tblInd w:w="0" w:type="dxa"/>
        <w:tblLayout w:type="fixed"/>
        <w:tblCellMar>
          <w:top w:w="0" w:type="dxa"/>
          <w:left w:w="0" w:type="dxa"/>
          <w:bottom w:w="0" w:type="dxa"/>
          <w:right w:w="0" w:type="dxa"/>
        </w:tblCellMar>
      </w:tblPr>
      <w:tblGrid>
        <w:gridCol w:w="301"/>
        <w:gridCol w:w="3676"/>
      </w:tblGrid>
      <w:tr>
        <w:trPr/>
        <w:tc>
          <w:tcPr>
            <w:tcW w:w="30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(f)</w:t>
            </w:r>
          </w:p>
        </w:tc>
        <w:tc>
          <w:tcPr>
            <w:tcW w:w="36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Cash, cash equivalents and restricted cash</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Cash and cash equivalents include cash on hand, cash in bank and time deposits placed with banks or other financial institutions, which have original maturities of three months or less and are readily convertible to known amounts of cash.</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2021 and 2022, the Group’s restricted cash mainly represents balance held in restricted bank accounts as required by certain loan agreements and escrow amount deposited for a business acquisition.</w:t>
      </w:r>
    </w:p>
    <w:tbl>
      <w:tblPr>
        <w:tblW w:w="1667" w:type="dxa"/>
        <w:jc w:val="left"/>
        <w:tblInd w:w="0" w:type="dxa"/>
        <w:tblLayout w:type="fixed"/>
        <w:tblCellMar>
          <w:top w:w="0" w:type="dxa"/>
          <w:left w:w="0" w:type="dxa"/>
          <w:bottom w:w="0" w:type="dxa"/>
          <w:right w:w="0" w:type="dxa"/>
        </w:tblCellMar>
      </w:tblPr>
      <w:tblGrid>
        <w:gridCol w:w="346"/>
        <w:gridCol w:w="1321"/>
      </w:tblGrid>
      <w:tr>
        <w:trPr/>
        <w:tc>
          <w:tcPr>
            <w:tcW w:w="3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(g)</w:t>
            </w:r>
          </w:p>
        </w:tc>
        <w:tc>
          <w:tcPr>
            <w:tcW w:w="132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Time deposits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Time deposits represent demand deposits placed with banks with original maturities of more than three months but less than one year. Interest income is recognized using the effective interest method in the consolidated statements of comprehensive loss during the periods. Time deposits are valued based on the prevailing interest rates in the market.</w:t>
      </w:r>
    </w:p>
    <w:p>
      <w:pPr>
        <w:pStyle w:val="TextBody"/>
        <w:bidi w:val="0"/>
        <w:spacing w:before="0" w:after="240"/>
        <w:ind w:left="720" w:right="0" w:hanging="0"/>
        <w:jc w:val="both"/>
        <w:rPr/>
      </w:pPr>
      <w:r>
        <w:rPr/>
        <w:t>​</w:t>
      </w:r>
    </w:p>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537" w:type="dxa"/>
        <w:jc w:val="left"/>
        <w:tblInd w:w="0" w:type="dxa"/>
        <w:tblLayout w:type="fixed"/>
        <w:tblCellMar>
          <w:top w:w="0" w:type="dxa"/>
          <w:left w:w="0" w:type="dxa"/>
          <w:bottom w:w="0" w:type="dxa"/>
          <w:right w:w="0" w:type="dxa"/>
        </w:tblCellMar>
      </w:tblPr>
      <w:tblGrid>
        <w:gridCol w:w="346"/>
        <w:gridCol w:w="219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w:t>
            </w:r>
          </w:p>
        </w:tc>
        <w:tc>
          <w:tcPr>
            <w:tcW w:w="21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Accounts receivable, net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Accounts receivable are presented net of allowance for credit losses. The Group evaluates its accounts receivable for expected credit losses on a regular basis. The Group maintains an estimated allowance for credit losses which reflects its best estimate of amounts that potentially will not be collected. The Group uses various credit quality indicators including but not limited to historical collection experience and credit-worthiness of the customers as well as the age of the receivables balance to monitor the Group’s receivables within the scope of expected credit losses model and use these as a basis to develop the Group’s expected loss estimates. Additionally, the Group makes specific allowance in the period based on any specific knowledge the Group has acquired that might indicate that an individual account is uncollectible. The facts and circumstances of each account may require the Group to use judgment in assessing its collectability. See Note 2(j) for current expected credit losses upon adoption of ASU No. 2016-13, “Financial Instruments—Credit Losses (Topic 326): Measurement of Credit Losses on Financial Instruments” (“ASC 326”).</w:t>
      </w:r>
    </w:p>
    <w:tbl>
      <w:tblPr>
        <w:tblW w:w="2042" w:type="dxa"/>
        <w:jc w:val="left"/>
        <w:tblInd w:w="0" w:type="dxa"/>
        <w:tblLayout w:type="fixed"/>
        <w:tblCellMar>
          <w:top w:w="0" w:type="dxa"/>
          <w:left w:w="0" w:type="dxa"/>
          <w:bottom w:w="0" w:type="dxa"/>
          <w:right w:w="0" w:type="dxa"/>
        </w:tblCellMar>
      </w:tblPr>
      <w:tblGrid>
        <w:gridCol w:w="301"/>
        <w:gridCol w:w="174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w:t>
            </w:r>
          </w:p>
        </w:tc>
        <w:tc>
          <w:tcPr>
            <w:tcW w:w="17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Rebates receivable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Rebates receivable represent sales rebates that have already been earned but not received from third party publishers. The Group earns its rebates from purchasing advertising spaces from these website publishers.</w:t>
      </w:r>
    </w:p>
    <w:tbl>
      <w:tblPr>
        <w:tblW w:w="5222" w:type="dxa"/>
        <w:jc w:val="left"/>
        <w:tblInd w:w="0" w:type="dxa"/>
        <w:tblLayout w:type="fixed"/>
        <w:tblCellMar>
          <w:top w:w="0" w:type="dxa"/>
          <w:left w:w="0" w:type="dxa"/>
          <w:bottom w:w="0" w:type="dxa"/>
          <w:right w:w="0" w:type="dxa"/>
        </w:tblCellMar>
      </w:tblPr>
      <w:tblGrid>
        <w:gridCol w:w="301"/>
        <w:gridCol w:w="492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(j)</w:t>
            </w:r>
          </w:p>
        </w:tc>
        <w:tc>
          <w:tcPr>
            <w:tcW w:w="49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Current expected credit losses upon adoption of ASC 326</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In 2016, the FASB issued ASC 326, which amends previously issued guidance regarding the impairment of financial instruments by creating an impairment model that is based on expected losses rather than incurred losses. Subsequently, the FASB issued ASU No. 2018-19, Codification Improvements to Topic 326, to clarify that receivables arising from operating leases are within the scope of lease accounting standards. Further, the FASB issued ASU No. 2019-04, ASU No. 2019-05, ASU 2019-10, ASU 2019-11, ASU 2020-02 and ASU 2020-03 to provide additional guidance on the credit losses standard. The Group adopted ASC 326 and several associated ASUs on January 1, 2020 using a modified retrospective approach, resulting in a net adjustment of US$3,972 to the opening balance of accumulated losses with a corresponding credit loss provision over accounts receivable being recognized in the consolidated balance sheet as of January 1, 2020. As of December 31, 2021 and 2022, the credit loss provision for accounts receivable and loans and interest receivable being recognized in the consolidated balance sheets amounted to US$23,075 and US$41,258, respectively.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cash and cash equivalents, time deposits, restricted cash, accounts receivable, amount due from an equity investee, rebates receivable, other current assets and other assets are within the scope of ASC 326. The Group has identified the relevant risk characteristics of its customers and the related receivables and other current assets which include size, type of the services the Group provides, or a combination of these characteristics. Receivables with similar risk characteristics have been grouped into pools for collective evaluation. Receivables that do not share similar risk characteristics are evaluated on an individual basis. Receivables evaluated individually are not included in the collective evaluation. For each pool for collective evaluation,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based on the Group’s specific facts and circumstances.</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 xml:space="preserve">Management applies ASC 326 in estimating the allowance for credit losses on loans and interest receivable as included in other current assets on the consolidated balance sheets not sharing similar risk characteristics on an individual basis. The key factors considered when determining the above allowances for credit losses include the estimated loan collection schedule under different scenarios and their corresponding probability of occurrence, discount rate, financial condition and performance data of the borrowers and their cash flow forecasts considering current and future economic conditions.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732" w:name="Tc_XCLEgSiAik6BoVRK0HhKdQ_12_0"/>
      <w:bookmarkStart w:id="1733" w:name="Tc_feXJsu2KE0-aQwAQ_fB5fg_11_2"/>
      <w:bookmarkStart w:id="1734" w:name="Tc_r3y24QMSoUy-1Y4_Ci1kHA_11_0"/>
      <w:bookmarkStart w:id="1735" w:name="Tc_9WBuVjPaYEusMqNfdF4RRg_10_0"/>
      <w:bookmarkStart w:id="1736" w:name="Tc_q2KsoXTFlUOYDsQNu3qCWA_7_4"/>
      <w:bookmarkStart w:id="1737" w:name="Tc_txGLLZbGYEqnLZxYPrxo7w_7_0"/>
      <w:bookmarkStart w:id="1738" w:name="Tc_drrsd3VE70ikQi_7Sd7QnA_6_0"/>
      <w:bookmarkStart w:id="1739" w:name="Tc_6bxlXhvHSESfuYoVXiWvlQ_5_2"/>
      <w:bookmarkStart w:id="1740" w:name="Tc_QaT_pO_63kmQvLZHSS_Bqg_5_0"/>
      <w:bookmarkStart w:id="1741" w:name="Tc_P-S5Nc57Ikmihq8juFGB_A_4_0"/>
      <w:bookmarkStart w:id="1742" w:name="Tc_lqfNxjQ1vUuK-Cgrhp1YhA_3_0"/>
      <w:bookmarkStart w:id="1743" w:name="Tc_AUIfQ1RbMUmfFzYiSP7vEw_2_4"/>
      <w:bookmarkStart w:id="1744" w:name="Tc_EuUAqeMB80WxnEzvg0fazA_2_2"/>
      <w:bookmarkStart w:id="1745" w:name="Tc_D98mR0EQVka625AJ_Si5Ag_1_2"/>
      <w:bookmarkStart w:id="1746" w:name="Tc_jrWnHq4g9E2-fZEvwOu2Sg_10_0"/>
      <w:bookmarkStart w:id="1747" w:name="Tc_bdaKN2UyUUCcISz4SddHJg_9_6"/>
      <w:bookmarkStart w:id="1748" w:name="Tc_VDE63h1LdEiht6MMsjeK6Q_9_0"/>
      <w:bookmarkStart w:id="1749" w:name="Tc_otlCMammtEe2F-fSyDndlw_8_8"/>
      <w:bookmarkStart w:id="1750" w:name="Tc_MMiWucVs_EWxrqeTtJKzTQ_8_6"/>
      <w:bookmarkStart w:id="1751" w:name="Tc_BhWKI8dGRUuXpeX_DnYhmw_8_0"/>
      <w:bookmarkStart w:id="1752" w:name="Tc_mF9lDH6VikKfofV2yTRfDw_7_0"/>
      <w:bookmarkStart w:id="1753" w:name="Tc_HE1vqepGrkKcnoi-3uJSAw_6_6"/>
      <w:bookmarkStart w:id="1754" w:name="Tc_oxgCI9bu7Eiu6PNO7-ihug_6_0"/>
      <w:bookmarkStart w:id="1755" w:name="Tc_im3pXc8rd06Q8w1MJALRww_5_8"/>
      <w:bookmarkStart w:id="1756" w:name="Tc_RclZ1Z3s2kCWm5oxtVSSqA_5_6"/>
      <w:bookmarkStart w:id="1757" w:name="Tc_-OONHdxMEEiEJKWgIwf_XA_5_4"/>
      <w:bookmarkStart w:id="1758" w:name="Tc_AtnBm8UcgEmPLHGogFVTXw_5_2"/>
      <w:bookmarkStart w:id="1759" w:name="Tc_Ikd0Zw6nA0q1KJOICR3kow_4_6"/>
      <w:bookmarkStart w:id="1760" w:name="Tc_-LpKabuIw0mlsC3cSR2n_Q_4_2"/>
      <w:bookmarkStart w:id="1761" w:name="Tc_NFoKlSejlU-p1ZPv7MrKdg_3_6"/>
      <w:bookmarkStart w:id="1762" w:name="Tc_XjBFH5l2p0yRhFfHS0MKQg_3_2"/>
      <w:bookmarkStart w:id="1763" w:name="Tc_18UZPqlW4k62aD9W6tudAw_2_2"/>
      <w:bookmarkStart w:id="1764" w:name="Tc_IrddUg_hZ0iIzZAmiZGXWA_1_6"/>
      <w:bookmarkStart w:id="1765" w:name="Tc_SrqKlXHdu0iur0bA0IY12A_1_2"/>
      <w:bookmarkStart w:id="1766" w:name="Tc_XCLEgSiAik6BoVRK0HhKdQ_12_0"/>
      <w:bookmarkStart w:id="1767" w:name="Tc_feXJsu2KE0-aQwAQ_fB5fg_11_2"/>
      <w:bookmarkStart w:id="1768" w:name="Tc_r3y24QMSoUy-1Y4_Ci1kHA_11_0"/>
      <w:bookmarkStart w:id="1769" w:name="Tc_9WBuVjPaYEusMqNfdF4RRg_10_0"/>
      <w:bookmarkStart w:id="1770" w:name="Tc_q2KsoXTFlUOYDsQNu3qCWA_7_4"/>
      <w:bookmarkStart w:id="1771" w:name="Tc_txGLLZbGYEqnLZxYPrxo7w_7_0"/>
      <w:bookmarkStart w:id="1772" w:name="Tc_drrsd3VE70ikQi_7Sd7QnA_6_0"/>
      <w:bookmarkStart w:id="1773" w:name="Tc_6bxlXhvHSESfuYoVXiWvlQ_5_2"/>
      <w:bookmarkStart w:id="1774" w:name="Tc_QaT_pO_63kmQvLZHSS_Bqg_5_0"/>
      <w:bookmarkStart w:id="1775" w:name="Tc_P-S5Nc57Ikmihq8juFGB_A_4_0"/>
      <w:bookmarkStart w:id="1776" w:name="Tc_lqfNxjQ1vUuK-Cgrhp1YhA_3_0"/>
      <w:bookmarkStart w:id="1777" w:name="Tc_AUIfQ1RbMUmfFzYiSP7vEw_2_4"/>
      <w:bookmarkStart w:id="1778" w:name="Tc_EuUAqeMB80WxnEzvg0fazA_2_2"/>
      <w:bookmarkStart w:id="1779" w:name="Tc_D98mR0EQVka625AJ_Si5Ag_1_2"/>
      <w:bookmarkStart w:id="1780" w:name="Tc_jrWnHq4g9E2-fZEvwOu2Sg_10_0"/>
      <w:bookmarkStart w:id="1781" w:name="Tc_bdaKN2UyUUCcISz4SddHJg_9_6"/>
      <w:bookmarkStart w:id="1782" w:name="Tc_VDE63h1LdEiht6MMsjeK6Q_9_0"/>
      <w:bookmarkStart w:id="1783" w:name="Tc_otlCMammtEe2F-fSyDndlw_8_8"/>
      <w:bookmarkStart w:id="1784" w:name="Tc_MMiWucVs_EWxrqeTtJKzTQ_8_6"/>
      <w:bookmarkStart w:id="1785" w:name="Tc_BhWKI8dGRUuXpeX_DnYhmw_8_0"/>
      <w:bookmarkStart w:id="1786" w:name="Tc_mF9lDH6VikKfofV2yTRfDw_7_0"/>
      <w:bookmarkStart w:id="1787" w:name="Tc_HE1vqepGrkKcnoi-3uJSAw_6_6"/>
      <w:bookmarkStart w:id="1788" w:name="Tc_oxgCI9bu7Eiu6PNO7-ihug_6_0"/>
      <w:bookmarkStart w:id="1789" w:name="Tc_im3pXc8rd06Q8w1MJALRww_5_8"/>
      <w:bookmarkStart w:id="1790" w:name="Tc_RclZ1Z3s2kCWm5oxtVSSqA_5_6"/>
      <w:bookmarkStart w:id="1791" w:name="Tc_-OONHdxMEEiEJKWgIwf_XA_5_4"/>
      <w:bookmarkStart w:id="1792" w:name="Tc_AtnBm8UcgEmPLHGogFVTXw_5_2"/>
      <w:bookmarkStart w:id="1793" w:name="Tc_Ikd0Zw6nA0q1KJOICR3kow_4_6"/>
      <w:bookmarkStart w:id="1794" w:name="Tc_-LpKabuIw0mlsC3cSR2n_Q_4_2"/>
      <w:bookmarkStart w:id="1795" w:name="Tc_NFoKlSejlU-p1ZPv7MrKdg_3_6"/>
      <w:bookmarkStart w:id="1796" w:name="Tc_XjBFH5l2p0yRhFfHS0MKQg_3_2"/>
      <w:bookmarkStart w:id="1797" w:name="Tc_18UZPqlW4k62aD9W6tudAw_2_2"/>
      <w:bookmarkStart w:id="1798" w:name="Tc_IrddUg_hZ0iIzZAmiZGXWA_1_6"/>
      <w:bookmarkStart w:id="1799" w:name="Tc_SrqKlXHdu0iur0bA0IY12A_1_2"/>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6257" w:type="dxa"/>
        <w:jc w:val="left"/>
        <w:tblInd w:w="0" w:type="dxa"/>
        <w:tblLayout w:type="fixed"/>
        <w:tblCellMar>
          <w:top w:w="0" w:type="dxa"/>
          <w:left w:w="0" w:type="dxa"/>
          <w:bottom w:w="0" w:type="dxa"/>
          <w:right w:w="0" w:type="dxa"/>
        </w:tblCellMar>
      </w:tblPr>
      <w:tblGrid>
        <w:gridCol w:w="301"/>
        <w:gridCol w:w="5956"/>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(j)</w:t>
            </w:r>
          </w:p>
        </w:tc>
        <w:tc>
          <w:tcPr>
            <w:tcW w:w="59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Current expected credit losses upon adoption of ASC 326 (Continued)</w:t>
            </w:r>
          </w:p>
        </w:tc>
      </w:tr>
    </w:tbl>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The following table presents the movement in the allowance for credit losses for the years ended December 31, 2021 and 2022.</w:t>
      </w:r>
    </w:p>
    <w:p>
      <w:pPr>
        <w:pStyle w:val="TextBody"/>
        <w:bidi w:val="0"/>
        <w:spacing w:before="0" w:after="0"/>
        <w:ind w:left="0" w:right="0" w:hanging="0"/>
        <w:jc w:val="left"/>
        <w:rPr/>
      </w:pPr>
      <w:r>
        <w:rPr/>
        <w:t>​</w:t>
      </w:r>
    </w:p>
    <w:tbl>
      <w:tblPr>
        <w:tblW w:w="7386" w:type="dxa"/>
        <w:jc w:val="left"/>
        <w:tblInd w:w="0" w:type="dxa"/>
        <w:tblLayout w:type="fixed"/>
        <w:tblCellMar>
          <w:top w:w="0" w:type="dxa"/>
          <w:left w:w="0" w:type="dxa"/>
          <w:bottom w:w="0" w:type="dxa"/>
          <w:right w:w="0" w:type="dxa"/>
        </w:tblCellMar>
      </w:tblPr>
      <w:tblGrid>
        <w:gridCol w:w="2761"/>
        <w:gridCol w:w="326"/>
        <w:gridCol w:w="691"/>
        <w:gridCol w:w="326"/>
        <w:gridCol w:w="691"/>
        <w:gridCol w:w="326"/>
        <w:gridCol w:w="719"/>
        <w:gridCol w:w="503"/>
        <w:gridCol w:w="1043"/>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753235" cy="175260"/>
                      <wp:effectExtent l="0" t="0" r="0" b="0"/>
                      <wp:wrapNone/>
                      <wp:docPr id="403" name="Frame396"/>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4"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438785" cy="175260"/>
                      <wp:effectExtent l="0" t="0" r="0" b="0"/>
                      <wp:wrapNone/>
                      <wp:docPr id="405" name="Frame3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6"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38785" cy="175260"/>
                      <wp:effectExtent l="0" t="0" r="0" b="0"/>
                      <wp:wrapNone/>
                      <wp:docPr id="407" name="Frame4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08"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56565" cy="175260"/>
                      <wp:effectExtent l="0" t="0" r="0" b="0"/>
                      <wp:wrapNone/>
                      <wp:docPr id="409" name="Frame402"/>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19405" cy="175260"/>
                      <wp:effectExtent l="0" t="0" r="0" b="0"/>
                      <wp:wrapNone/>
                      <wp:docPr id="410" name="Frame403"/>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62305" cy="175260"/>
                      <wp:effectExtent l="0" t="0" r="0" b="0"/>
                      <wp:wrapNone/>
                      <wp:docPr id="411" name="Frame404"/>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0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Accounts receivable</w:t>
            </w:r>
          </w:p>
        </w:tc>
        <w:tc>
          <w:tcPr>
            <w:tcW w:w="326" w:type="dxa"/>
            <w:tcBorders/>
            <w:vAlign w:val="center"/>
          </w:tcPr>
          <w:p>
            <w:pPr>
              <w:pStyle w:val="TableContents"/>
              <w:bidi w:val="0"/>
              <w:spacing w:before="0" w:after="0"/>
              <w:ind w:left="0" w:right="0" w:hanging="0"/>
              <w:jc w:val="center"/>
              <w:rPr/>
            </w:pPr>
            <w:r>
              <w:rPr/>
              <w:t>​</w:t>
            </w:r>
          </w:p>
        </w:tc>
        <w:tc>
          <w:tcPr>
            <w:tcW w:w="226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 and interest receivable</w: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0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c>
          <w:tcPr>
            <w:tcW w:w="503" w:type="dxa"/>
            <w:tcBorders/>
            <w:vAlign w:val="center"/>
          </w:tcPr>
          <w:p>
            <w:pPr>
              <w:pStyle w:val="TableContents"/>
              <w:bidi w:val="0"/>
              <w:spacing w:before="0" w:after="0"/>
              <w:ind w:left="0" w:right="0" w:hanging="0"/>
              <w:jc w:val="center"/>
              <w:rPr/>
            </w:pPr>
            <w:r>
              <w:rPr/>
              <w:t>​</w:t>
            </w:r>
          </w:p>
        </w:tc>
        <w:tc>
          <w:tcPr>
            <w:tcW w:w="1043" w:type="dxa"/>
            <w:tcBorders/>
            <w:vAlign w:val="center"/>
          </w:tcPr>
          <w:p>
            <w:pPr>
              <w:pStyle w:val="TableContents"/>
              <w:bidi w:val="0"/>
              <w:spacing w:before="0" w:after="0"/>
              <w:ind w:left="0" w:right="0" w:hanging="0"/>
              <w:jc w:val="center"/>
              <w:rPr/>
            </w:pPr>
            <w:r>
              <w:rPr/>
              <w:t>​</w: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0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c>
          <w:tcPr>
            <w:tcW w:w="326" w:type="dxa"/>
            <w:tcBorders/>
            <w:vAlign w:val="center"/>
          </w:tcPr>
          <w:p>
            <w:pPr>
              <w:pStyle w:val="TableContents"/>
              <w:bidi w:val="0"/>
              <w:spacing w:before="0" w:after="0"/>
              <w:ind w:left="0" w:right="0" w:hanging="0"/>
              <w:jc w:val="center"/>
              <w:rPr/>
            </w:pPr>
            <w:r>
              <w:rPr/>
              <w:t>​</w:t>
            </w:r>
          </w:p>
        </w:tc>
        <w:tc>
          <w:tcPr>
            <w:tcW w:w="226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226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503" w:type="dxa"/>
            <w:tcBorders/>
            <w:vAlign w:val="center"/>
          </w:tcPr>
          <w:p>
            <w:pPr>
              <w:pStyle w:val="TableContents"/>
              <w:bidi w:val="0"/>
              <w:spacing w:before="0" w:after="0"/>
              <w:ind w:left="0" w:right="0" w:hanging="0"/>
              <w:jc w:val="center"/>
              <w:rPr/>
            </w:pPr>
            <w:r>
              <w:rPr/>
              <w:t>    </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11,749</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22,786</w:t>
            </w:r>
          </w:p>
        </w:tc>
        <w:tc>
          <w:tcPr>
            <w:tcW w:w="326"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pPr>
            <w:r>
              <w:rPr/>
              <w:t>—</w:t>
            </w:r>
          </w:p>
        </w:tc>
        <w:tc>
          <w:tcPr>
            <w:tcW w:w="503"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the year</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12,424</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18,542</w:t>
            </w:r>
          </w:p>
        </w:tc>
        <w:tc>
          <w:tcPr>
            <w:tcW w:w="326"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503"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written off</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w:t>
            </w:r>
          </w:p>
        </w:tc>
        <w:tc>
          <w:tcPr>
            <w:tcW w:w="326"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pPr>
            <w:r>
              <w:rPr/>
              <w:t>—</w:t>
            </w:r>
          </w:p>
        </w:tc>
        <w:tc>
          <w:tcPr>
            <w:tcW w:w="503"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326" w:type="dxa"/>
            <w:tcBorders/>
            <w:vAlign w:val="center"/>
          </w:tcPr>
          <w:p>
            <w:pPr>
              <w:pStyle w:val="TableContents"/>
              <w:bidi w:val="0"/>
              <w:spacing w:before="0" w:after="0"/>
              <w:ind w:left="0" w:right="0" w:hanging="0"/>
              <w:jc w:val="left"/>
              <w:rPr/>
            </w:pPr>
            <w:r>
              <w:rPr/>
              <w:t> </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03" w:type="dxa"/>
            <w:tcBorders/>
            <w:vAlign w:val="center"/>
          </w:tcPr>
          <w:p>
            <w:pPr>
              <w:pStyle w:val="TableContents"/>
              <w:bidi w:val="0"/>
              <w:spacing w:before="0" w:after="0"/>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22,786</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37,215</w:t>
            </w:r>
          </w:p>
        </w:tc>
        <w:tc>
          <w:tcPr>
            <w:tcW w:w="326" w:type="dxa"/>
            <w:tcBorders/>
            <w:shd w:fill="CCEEFF" w:val="clear"/>
            <w:vAlign w:val="center"/>
          </w:tcPr>
          <w:p>
            <w:pPr>
              <w:pStyle w:val="TableContents"/>
              <w:bidi w:val="0"/>
              <w:spacing w:before="0" w:after="0"/>
              <w:ind w:left="0" w:right="0" w:hanging="0"/>
              <w:jc w:val="left"/>
              <w:rPr/>
            </w:pPr>
            <w:r>
              <w:rPr/>
              <w:t> </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503" w:type="dxa"/>
            <w:tcBorders/>
            <w:shd w:fill="CCEEFF" w:val="clear"/>
            <w:vAlign w:val="center"/>
          </w:tcPr>
          <w:p>
            <w:pPr>
              <w:pStyle w:val="TableContents"/>
              <w:bidi w:val="0"/>
              <w:spacing w:before="0" w:after="0"/>
              <w:ind w:left="0" w:right="0" w:hanging="0"/>
              <w:jc w:val="left"/>
              <w:rPr/>
            </w:pPr>
            <w:r>
              <w:rPr/>
              <w:t> </w:t>
            </w:r>
          </w:p>
        </w:tc>
        <w:tc>
          <w:tcPr>
            <w:tcW w:w="104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4,043</w:t>
            </w:r>
          </w:p>
        </w:tc>
      </w:tr>
    </w:tbl>
    <w:p>
      <w:pPr>
        <w:pStyle w:val="TextBody"/>
        <w:bidi w:val="0"/>
        <w:spacing w:before="0" w:after="0"/>
        <w:ind w:left="0" w:right="0" w:hanging="0"/>
        <w:jc w:val="left"/>
        <w:rPr/>
      </w:pPr>
      <w:r>
        <w:rPr/>
        <w:t>​</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Accounts receivable relating to debtors with known financial difficulties or significant doubt on collection of receivables are assessed individually for specific provision for impairment allowance. As of December 31, 2021 and 2022, the balance of specific provision for credit losses in respect of these individually assessed receivables was US$13,243 and US$20,233, respectively.</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Allowance for credit losses over accounts receivable are also estimated by grouping the remaining receivables based on shared credit risk characteristics and collectively assessed for the risk of default, taking into account the nature of the debtor, its geographical location and its ageing category, and applying the expected credit loss rates to the respective gross carrying amounts of accounts receivable. The expected credit loss rates are determined based on historical credit losses and are adjusted to reflect current and forward-looking information such as macroeconomic factors affecting the ability of the debtors to settle the receivables. In 2022, the increase in allowance for credit losses over accounts receivable assessed on a collective basis is mainly related to debtors, particularly those in Mainland China, which were adversely affected by the worsened macroeconomy due to the outbreak of COVID throughout the year 2022 whereby the historical loss rates over receivables from these debtors increased.</w:t>
      </w:r>
    </w:p>
    <w:tbl>
      <w:tblPr>
        <w:tblW w:w="1502" w:type="dxa"/>
        <w:jc w:val="left"/>
        <w:tblInd w:w="0" w:type="dxa"/>
        <w:tblLayout w:type="fixed"/>
        <w:tblCellMar>
          <w:top w:w="0" w:type="dxa"/>
          <w:left w:w="0" w:type="dxa"/>
          <w:bottom w:w="0" w:type="dxa"/>
          <w:right w:w="0" w:type="dxa"/>
        </w:tblCellMar>
      </w:tblPr>
      <w:tblGrid>
        <w:gridCol w:w="346"/>
        <w:gridCol w:w="1156"/>
      </w:tblGrid>
      <w:tr>
        <w:trPr/>
        <w:tc>
          <w:tcPr>
            <w:tcW w:w="346" w:type="dxa"/>
            <w:tcBorders/>
            <w:vAlign w:val="center"/>
          </w:tcPr>
          <w:p>
            <w:pPr>
              <w:pStyle w:val="TableContents"/>
              <w:bidi w:val="0"/>
              <w:spacing w:before="0" w:after="160"/>
              <w:jc w:val="left"/>
              <w:rPr>
                <w:rFonts w:ascii="Times New Roman;Times;serif" w:hAnsi="Times New Roman;Times;serif"/>
                <w:b/>
                <w:sz w:val="20"/>
              </w:rPr>
            </w:pPr>
            <w:r>
              <w:rPr>
                <w:rFonts w:ascii="Times New Roman;Times;serif" w:hAnsi="Times New Roman;Times;serif"/>
                <w:b/>
                <w:sz w:val="20"/>
              </w:rPr>
              <w:t>(k)</w:t>
            </w:r>
          </w:p>
        </w:tc>
        <w:tc>
          <w:tcPr>
            <w:tcW w:w="1156" w:type="dxa"/>
            <w:tcBorders/>
            <w:vAlign w:val="center"/>
          </w:tcPr>
          <w:p>
            <w:pPr>
              <w:pStyle w:val="TableContents"/>
              <w:bidi w:val="0"/>
              <w:spacing w:before="0" w:after="160"/>
              <w:jc w:val="left"/>
              <w:rPr>
                <w:rFonts w:ascii="Times New Roman;Times;serif" w:hAnsi="Times New Roman;Times;serif"/>
                <w:b/>
                <w:sz w:val="20"/>
              </w:rPr>
            </w:pPr>
            <w:r>
              <w:rPr>
                <w:rFonts w:ascii="Times New Roman;Times;serif" w:hAnsi="Times New Roman;Times;serif"/>
                <w:b/>
                <w:sz w:val="20"/>
              </w:rPr>
              <w:t>Investments</w:t>
            </w:r>
          </w:p>
        </w:tc>
      </w:tr>
    </w:tbl>
    <w:p>
      <w:pPr>
        <w:pStyle w:val="TextBody"/>
        <w:bidi w:val="0"/>
        <w:spacing w:before="0" w:after="0"/>
        <w:ind w:left="0" w:right="0" w:hanging="0"/>
        <w:jc w:val="left"/>
        <w:rPr/>
      </w:pPr>
      <w:r>
        <w:rPr/>
        <w:t>​</w:t>
      </w:r>
    </w:p>
    <w:tbl>
      <w:tblPr>
        <w:tblW w:w="6655" w:type="dxa"/>
        <w:jc w:val="left"/>
        <w:tblInd w:w="0" w:type="dxa"/>
        <w:tblLayout w:type="fixed"/>
        <w:tblCellMar>
          <w:top w:w="0" w:type="dxa"/>
          <w:left w:w="0" w:type="dxa"/>
          <w:bottom w:w="0" w:type="dxa"/>
          <w:right w:w="0" w:type="dxa"/>
        </w:tblCellMar>
      </w:tblPr>
      <w:tblGrid>
        <w:gridCol w:w="4651"/>
        <w:gridCol w:w="326"/>
        <w:gridCol w:w="676"/>
        <w:gridCol w:w="326"/>
        <w:gridCol w:w="676"/>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953385" cy="175260"/>
                      <wp:effectExtent l="0" t="0" r="0" b="0"/>
                      <wp:wrapNone/>
                      <wp:docPr id="412" name="Frame405"/>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3"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29260" cy="175260"/>
                      <wp:effectExtent l="0" t="0" r="0" b="0"/>
                      <wp:wrapNone/>
                      <wp:docPr id="414" name="Frame4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5"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29260" cy="175260"/>
                      <wp:effectExtent l="0" t="0" r="0" b="0"/>
                      <wp:wrapNone/>
                      <wp:docPr id="416" name="Frame4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7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Short-term investments under 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 investments (Note (i))</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3,647</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3,665</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Listed equity securities (Note (ii))</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1,609</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Wealth management products (Note (iii))</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1,574</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1,737</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investments (Note (iv))</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2,550</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7,771</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7,011</w:t>
            </w:r>
          </w:p>
        </w:tc>
      </w:tr>
      <w:tr>
        <w:trPr/>
        <w:tc>
          <w:tcPr>
            <w:tcW w:w="46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long-term investments under non-current assets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investments (Note (iv))</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investments (Note 2(m))</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12,114</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w:t>
            </w:r>
          </w:p>
        </w:tc>
      </w:tr>
      <w:tr>
        <w:trPr/>
        <w:tc>
          <w:tcPr>
            <w:tcW w:w="46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12,114</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5,970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800" w:name="Narr_wH3c0j4cQkmHupkDee5GVQ"/>
      <w:bookmarkStart w:id="1801" w:name="Narr_wH3c0j4cQkmHupkDee5GVQ"/>
      <w:bookmarkEnd w:id="1801"/>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16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16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537" w:type="dxa"/>
        <w:jc w:val="left"/>
        <w:tblInd w:w="0" w:type="dxa"/>
        <w:tblLayout w:type="fixed"/>
        <w:tblCellMar>
          <w:top w:w="0" w:type="dxa"/>
          <w:left w:w="0" w:type="dxa"/>
          <w:bottom w:w="0" w:type="dxa"/>
          <w:right w:w="0" w:type="dxa"/>
        </w:tblCellMar>
      </w:tblPr>
      <w:tblGrid>
        <w:gridCol w:w="346"/>
        <w:gridCol w:w="2191"/>
      </w:tblGrid>
      <w:tr>
        <w:trPr/>
        <w:tc>
          <w:tcPr>
            <w:tcW w:w="346" w:type="dxa"/>
            <w:tcBorders/>
            <w:vAlign w:val="center"/>
          </w:tcPr>
          <w:p>
            <w:pPr>
              <w:pStyle w:val="TableContents"/>
              <w:bidi w:val="0"/>
              <w:spacing w:before="0" w:after="160"/>
              <w:jc w:val="left"/>
              <w:rPr>
                <w:rFonts w:ascii="Times New Roman;Times;serif" w:hAnsi="Times New Roman;Times;serif"/>
                <w:b/>
                <w:sz w:val="20"/>
              </w:rPr>
            </w:pPr>
            <w:r>
              <w:rPr>
                <w:rFonts w:ascii="Times New Roman;Times;serif" w:hAnsi="Times New Roman;Times;serif"/>
                <w:b/>
                <w:sz w:val="20"/>
              </w:rPr>
              <w:t>(k)</w:t>
            </w:r>
          </w:p>
        </w:tc>
        <w:tc>
          <w:tcPr>
            <w:tcW w:w="2191" w:type="dxa"/>
            <w:tcBorders/>
            <w:vAlign w:val="center"/>
          </w:tcPr>
          <w:p>
            <w:pPr>
              <w:pStyle w:val="TableContents"/>
              <w:bidi w:val="0"/>
              <w:spacing w:before="0" w:after="160"/>
              <w:jc w:val="left"/>
              <w:rPr>
                <w:rFonts w:ascii="Times New Roman;Times;serif" w:hAnsi="Times New Roman;Times;serif"/>
                <w:b/>
                <w:sz w:val="20"/>
              </w:rPr>
            </w:pPr>
            <w:r>
              <w:rPr>
                <w:rFonts w:ascii="Times New Roman;Times;serif" w:hAnsi="Times New Roman;Times;serif"/>
                <w:b/>
                <w:sz w:val="20"/>
              </w:rPr>
              <w:t>Investments (Continued)</w:t>
            </w:r>
          </w:p>
        </w:tc>
      </w:tr>
    </w:tbl>
    <w:tbl>
      <w:tblPr>
        <w:tblW w:w="2001" w:type="dxa"/>
        <w:jc w:val="left"/>
        <w:tblInd w:w="0" w:type="dxa"/>
        <w:tblLayout w:type="fixed"/>
        <w:tblCellMar>
          <w:top w:w="28" w:type="dxa"/>
          <w:left w:w="28" w:type="dxa"/>
          <w:bottom w:w="28" w:type="dxa"/>
          <w:right w:w="28" w:type="dxa"/>
        </w:tblCellMar>
      </w:tblPr>
      <w:tblGrid>
        <w:gridCol w:w="124"/>
        <w:gridCol w:w="286"/>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investments</w:t>
            </w:r>
          </w:p>
        </w:tc>
      </w:tr>
    </w:tbl>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 xml:space="preserve">Fund investments over which the Group does not have the ability to exercise significant influence, are required to be measured at fair value under ASC 321 “Investments—Equity Securities” (“ASC 321”). The Group has adopted the practical expedient in ASC 820 “Fair Value Measurements and Disclosures” (“ASC 820”) to estimate fair value using the net asset value per share (or its equivalent) of these investments which were without readily determinable fair value. Fund investments included in the consolidated balance sheet as short-term investments as of December 31, 2021 and 2022 amounted to US$3,647 and US$3,665 respectively and the change in fair value recorded in consolidated statement of comprehensive loss. Fair value change of US$187, US$452 and US$17 were recognized under “other gains/(losses), net” for the years ended December 31, 2020, 2021 and 2022 respectively. </w:t>
      </w:r>
    </w:p>
    <w:tbl>
      <w:tblPr>
        <w:tblW w:w="2511" w:type="dxa"/>
        <w:jc w:val="left"/>
        <w:tblInd w:w="0" w:type="dxa"/>
        <w:tblLayout w:type="fixed"/>
        <w:tblCellMar>
          <w:top w:w="28" w:type="dxa"/>
          <w:left w:w="28" w:type="dxa"/>
          <w:bottom w:w="28" w:type="dxa"/>
          <w:right w:w="28" w:type="dxa"/>
        </w:tblCellMar>
      </w:tblPr>
      <w:tblGrid>
        <w:gridCol w:w="124"/>
        <w:gridCol w:w="346"/>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equity securities</w:t>
            </w:r>
          </w:p>
        </w:tc>
      </w:tr>
    </w:tbl>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Investments in listed equity securities are reported at fair value in the consolidated balance sheets and the unrealized gains and losses are recorded in the consolidated statements of comprehensive loss under ASU 2016-01. Listed equity securities recorded in the consolidated balance sheet as short-term investments as of December 31, 2021 and 2022 amounted to US$nil and US$1,609, respectively, and the change in fair value recorded in the consolidated statement of comprehensive loss under “other gains/(losses), net” for the years ended December 31, 2020, 2021 and 2022 amounted to US$1,157, US$127 and US$100, respectively.</w:t>
      </w:r>
    </w:p>
    <w:tbl>
      <w:tblPr>
        <w:tblW w:w="3096" w:type="dxa"/>
        <w:jc w:val="left"/>
        <w:tblInd w:w="0" w:type="dxa"/>
        <w:tblLayout w:type="fixed"/>
        <w:tblCellMar>
          <w:top w:w="28" w:type="dxa"/>
          <w:left w:w="28" w:type="dxa"/>
          <w:bottom w:w="28" w:type="dxa"/>
          <w:right w:w="28" w:type="dxa"/>
        </w:tblCellMar>
      </w:tblPr>
      <w:tblGrid>
        <w:gridCol w:w="124"/>
        <w:gridCol w:w="40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Wealth management products</w:t>
            </w:r>
          </w:p>
        </w:tc>
      </w:tr>
    </w:tbl>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Wealth management products are issued by banks in the PRC which are redeemable by the Group at any time. They are unsecured with variable interest rates and primarily invested in debt securities issued by the PRC government, corporate debt securities and central bank bills. The Group measures these investments at fair value using the quoted subscription or redemption prices published by the bank. Wealth management products recorded in the consolidated balance sheet as short-term investments as of December 31, 2021 and 2022 amounted to US$1,574 and US$1,737 respectively and the change in fair values recorded in the consolidated statement of comprehensive loss under “other gains/(losses), net” amounted to US$52, US$9 and US$65 for the years ended December 31, 2020, 2021 and 2022, respectively.</w:t>
      </w:r>
    </w:p>
    <w:tbl>
      <w:tblPr>
        <w:tblW w:w="3546" w:type="dxa"/>
        <w:jc w:val="left"/>
        <w:tblInd w:w="0" w:type="dxa"/>
        <w:tblLayout w:type="fixed"/>
        <w:tblCellMar>
          <w:top w:w="28" w:type="dxa"/>
          <w:left w:w="28" w:type="dxa"/>
          <w:bottom w:w="28" w:type="dxa"/>
          <w:right w:w="28" w:type="dxa"/>
        </w:tblCellMar>
      </w:tblPr>
      <w:tblGrid>
        <w:gridCol w:w="124"/>
        <w:gridCol w:w="391"/>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debt investments</w:t>
            </w:r>
          </w:p>
        </w:tc>
      </w:tr>
    </w:tbl>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Available-for-sale debt investments of the Group include investments in convertible notes issued by two private companies as accounted for under the fair value option, for which the total fair values as of December 31, 2021 and 2022 were US$2,550 and US$3,000, respectively. Interest income and all other changes in the carrying amount of this debt investment are recognized in earnings. The Company recorded fair value losses on debt investments of US$2,550 (2021: US$nil) for the year ended December 31, 2022.</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3137" w:type="dxa"/>
        <w:jc w:val="left"/>
        <w:tblInd w:w="0" w:type="dxa"/>
        <w:tblLayout w:type="fixed"/>
        <w:tblCellMar>
          <w:top w:w="0" w:type="dxa"/>
          <w:left w:w="0" w:type="dxa"/>
          <w:bottom w:w="0" w:type="dxa"/>
          <w:right w:w="0" w:type="dxa"/>
        </w:tblCellMar>
      </w:tblPr>
      <w:tblGrid>
        <w:gridCol w:w="301"/>
        <w:gridCol w:w="2836"/>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w:t>
            </w:r>
          </w:p>
        </w:tc>
        <w:tc>
          <w:tcPr>
            <w:tcW w:w="28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Investment in an equity investee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Investment in an equity investee represents the Group’s investment in a privately held company. The Group applies the equity method to account for an equity investment in common stock or in-substance common stock, according to Accounting Standards Codification (“ASC”) 323 “Investment — Equity Method and Joint Ventures,” over which it has significant influence but does not own a majority equity interest or otherwise control.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Under the equity method, the Group initially records the investments at cost and the difference between the cost of the equity investee and the fair value of the underlying net assets of the equity investee is recognized as equity method goodwill and intangible assets acquired, which is included in the equity method investments on the consolidated balance sheets. The Group subsequently adjusts the carrying amount of the investments to recognize its (i) proportionate share of each equity investee’s post-acquisition net income or loss into earnings, (ii) share of post-acquisition movements in accumulated other comprehensive income into other comprehensive income, and (iii) cash distributions from investees, after the date of investment. When the Group’s share of loss in the equity investee equals or exceeds its interest in the equity investee, the Group does not recognize further loss, unless the Group has incurred obligations or made payments or guarantees on behalf of the equity investee.</w:t>
      </w:r>
    </w:p>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 evaluates its equity method investment for impairment under ASC 323-10. An impairment loss on the equity method investment is recognized in the consolidated statement of comprehensive loss when the decline in value is determined to be other-than-temporary. No impairment loss has been recorded during the years ended December 31, 2020, 2021 and 2022. </w:t>
      </w:r>
    </w:p>
    <w:tbl>
      <w:tblPr>
        <w:tblW w:w="3542" w:type="dxa"/>
        <w:jc w:val="left"/>
        <w:tblInd w:w="0" w:type="dxa"/>
        <w:tblLayout w:type="fixed"/>
        <w:tblCellMar>
          <w:top w:w="0" w:type="dxa"/>
          <w:left w:w="0" w:type="dxa"/>
          <w:bottom w:w="0" w:type="dxa"/>
          <w:right w:w="0" w:type="dxa"/>
        </w:tblCellMar>
      </w:tblPr>
      <w:tblGrid>
        <w:gridCol w:w="406"/>
        <w:gridCol w:w="3136"/>
      </w:tblGrid>
      <w:tr>
        <w:trPr/>
        <w:tc>
          <w:tcPr>
            <w:tcW w:w="4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w:t>
            </w:r>
          </w:p>
        </w:tc>
        <w:tc>
          <w:tcPr>
            <w:tcW w:w="31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long-term equity investments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Group’s other long-term equity investments as of December 31, 2021 and 2022 consist of equity securities without readily determinable fair value.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accordance with ASC 321 “Investments—Equity Securities”, the Group is required to measure its equity investments at fair value and any changes in fair value are recognized in earnings. For equity investments without readily determinable fair value and does not qualify for the existing practical expedient in ASC 820 to estimate fair value using the net asset value per share (or its equivalent) of the investments, the Group has elected to use the measurement alternative to measure its equity investments at cost, less any impairment, plus or minus changes resulting from observable price changes in orderly transactions for identical or similar investments of the same issuer, if any. Significant judgments are required to determine (i) whether observable price changes are orderly transactions and identical or similar to an investment held by the Company; and (ii) the selection of appropriate valuation methodologies and underlying assumptions, including expected volatility and the probability of exit events as it relates to liquidation and redemption features used to measure the price adjustments for the difference in rights and obligations between instruments.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Management makes a qualitative assessment as to whether the investment is impaired at each reporting date. If a qualitative assessment indicates that the investment is impaired, management estimates the investment’s fair value in accordance with the principles of ASC 820. If the fair value is less than the investment’s carrying value, the Company recognizes an impairment loss in net loss equal to the difference between the carrying value and fair value. Management applied judgment in (i) determining whether the investment is impaired, (ii) estimating the impairment amount if an impairment exists, and (iii) determining valuation methods and key valuation assumptions and data used in estimating the impairment amounts. These judgments consider various factors and events including a) adverse performance of investees; b) adverse industry developments affecting investees; and c) adverse regulatory, social, economic or other developments affecting investees. These judgements include the selection of valuation methods in estimating fair value and the determination of key valuation assumptions used, comprising selection of comparable companies and multiples, and discount for lack of marketability. The Company recognized impairment losses of US$4,038 and US$10,805 for the years ended December 31, 2021 and 2022 respectively. There was no impairment loss recognized for the year ended December 31, 2020.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802" w:name="Tc_mFoViEGmqk6OPffMYo7HqQ_4_2"/>
      <w:bookmarkStart w:id="1803" w:name="Tc_TqrEEsOpKEG1ZRykPZlV0g_4_0"/>
      <w:bookmarkStart w:id="1804" w:name="Tc_UVowiKeaAk-FZR1rQNkJag_3_2"/>
      <w:bookmarkStart w:id="1805" w:name="Tc_ZwfnO5URiE29pxDXgIRYZQ_3_0"/>
      <w:bookmarkStart w:id="1806" w:name="Tc_3qCOhZaFs0a7xt2JIwojsA_2_2"/>
      <w:bookmarkStart w:id="1807" w:name="Tc_-BFCDPZ4w0GwjRFN93nwsg_2_0"/>
      <w:bookmarkStart w:id="1808" w:name="Tc_96xxCSaLTkqWMwvBZ8hlsA_1_0"/>
      <w:bookmarkStart w:id="1809" w:name="Tc_mFoViEGmqk6OPffMYo7HqQ_4_2"/>
      <w:bookmarkStart w:id="1810" w:name="Tc_TqrEEsOpKEG1ZRykPZlV0g_4_0"/>
      <w:bookmarkStart w:id="1811" w:name="Tc_UVowiKeaAk-FZR1rQNkJag_3_2"/>
      <w:bookmarkStart w:id="1812" w:name="Tc_ZwfnO5URiE29pxDXgIRYZQ_3_0"/>
      <w:bookmarkStart w:id="1813" w:name="Tc_3qCOhZaFs0a7xt2JIwojsA_2_2"/>
      <w:bookmarkStart w:id="1814" w:name="Tc_-BFCDPZ4w0GwjRFN93nwsg_2_0"/>
      <w:bookmarkStart w:id="1815" w:name="Tc_96xxCSaLTkqWMwvBZ8hlsA_1_0"/>
      <w:bookmarkEnd w:id="1809"/>
      <w:bookmarkEnd w:id="1810"/>
      <w:bookmarkEnd w:id="1811"/>
      <w:bookmarkEnd w:id="1812"/>
      <w:bookmarkEnd w:id="1813"/>
      <w:bookmarkEnd w:id="1814"/>
      <w:bookmarkEnd w:id="1815"/>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897" w:type="dxa"/>
        <w:jc w:val="left"/>
        <w:tblInd w:w="0" w:type="dxa"/>
        <w:tblLayout w:type="fixed"/>
        <w:tblCellMar>
          <w:top w:w="0" w:type="dxa"/>
          <w:left w:w="0" w:type="dxa"/>
          <w:bottom w:w="0" w:type="dxa"/>
          <w:right w:w="0" w:type="dxa"/>
        </w:tblCellMar>
      </w:tblPr>
      <w:tblGrid>
        <w:gridCol w:w="346"/>
        <w:gridCol w:w="255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w:t>
            </w:r>
          </w:p>
        </w:tc>
        <w:tc>
          <w:tcPr>
            <w:tcW w:w="25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Property and equipment are stated at historical cost less accumulated depreciation and impairment loss, if any. Depreciation is calculated using the straight-line method over their estimated useful lives. The estimated useful lives are as follows:</w:t>
      </w:r>
    </w:p>
    <w:p>
      <w:pPr>
        <w:pStyle w:val="TextBody"/>
        <w:bidi w:val="0"/>
        <w:spacing w:before="0" w:after="0"/>
        <w:ind w:left="0" w:right="0" w:hanging="0"/>
        <w:jc w:val="left"/>
        <w:rPr/>
      </w:pPr>
      <w:r>
        <w:rPr/>
        <w:t>​</w:t>
      </w:r>
    </w:p>
    <w:tbl>
      <w:tblPr>
        <w:tblW w:w="6118" w:type="dxa"/>
        <w:jc w:val="left"/>
        <w:tblInd w:w="0" w:type="dxa"/>
        <w:tblLayout w:type="fixed"/>
        <w:tblCellMar>
          <w:top w:w="0" w:type="dxa"/>
          <w:left w:w="0" w:type="dxa"/>
          <w:bottom w:w="0" w:type="dxa"/>
          <w:right w:w="0" w:type="dxa"/>
        </w:tblCellMar>
      </w:tblPr>
      <w:tblGrid>
        <w:gridCol w:w="2161"/>
        <w:gridCol w:w="326"/>
        <w:gridCol w:w="363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72235" cy="175260"/>
                      <wp:effectExtent l="0" t="0" r="0" b="0"/>
                      <wp:wrapNone/>
                      <wp:docPr id="417" name="Frame41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18"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305685" cy="175260"/>
                      <wp:effectExtent l="0" t="0" r="0" b="0"/>
                      <wp:wrapNone/>
                      <wp:docPr id="419" name="Frame412"/>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1"/>
              <w:ind w:left="0" w:right="0" w:hanging="0"/>
              <w:jc w:val="left"/>
              <w:rPr/>
            </w:pPr>
            <w:r>
              <w:rPr/>
              <w:t>    </w:t>
            </w:r>
          </w:p>
        </w:tc>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the shorter of lease term or 2 – 5 years</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1"/>
              <w:ind w:left="0" w:right="0" w:hanging="0"/>
              <w:jc w:val="left"/>
              <w:rPr/>
            </w:pPr>
            <w:r>
              <w:rPr/>
              <w:t> </w:t>
            </w:r>
          </w:p>
        </w:tc>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 – 5 years</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 – 5 years</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26" w:type="dxa"/>
            <w:tcBorders/>
            <w:vAlign w:val="center"/>
          </w:tcPr>
          <w:p>
            <w:pPr>
              <w:pStyle w:val="TableContents"/>
              <w:bidi w:val="0"/>
              <w:spacing w:before="0" w:after="1"/>
              <w:ind w:left="0" w:right="0" w:hanging="0"/>
              <w:jc w:val="left"/>
              <w:rPr/>
            </w:pPr>
            <w:r>
              <w:rPr/>
              <w:t> </w:t>
            </w:r>
          </w:p>
        </w:tc>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 – 5 years</w:t>
            </w:r>
          </w:p>
        </w:tc>
      </w:tr>
    </w:tbl>
    <w:p>
      <w:pPr>
        <w:pStyle w:val="TextBody"/>
        <w:pBdr/>
        <w:bidi w:val="0"/>
        <w:spacing w:before="0" w:after="240"/>
        <w:ind w:left="0" w:right="0" w:hanging="6811"/>
        <w:jc w:val="left"/>
        <w:rPr/>
      </w:pPr>
      <w:r>
        <w:rPr/>
        <w:t>​</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 xml:space="preserve">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 </w:t>
      </w:r>
    </w:p>
    <w:tbl>
      <w:tblPr>
        <w:tblW w:w="1532" w:type="dxa"/>
        <w:jc w:val="left"/>
        <w:tblInd w:w="0" w:type="dxa"/>
        <w:tblLayout w:type="fixed"/>
        <w:tblCellMar>
          <w:top w:w="0" w:type="dxa"/>
          <w:left w:w="0" w:type="dxa"/>
          <w:bottom w:w="0" w:type="dxa"/>
          <w:right w:w="0" w:type="dxa"/>
        </w:tblCellMar>
      </w:tblPr>
      <w:tblGrid>
        <w:gridCol w:w="346"/>
        <w:gridCol w:w="118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w:t>
            </w:r>
          </w:p>
        </w:tc>
        <w:tc>
          <w:tcPr>
            <w:tcW w:w="11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Acquisitions</w:t>
            </w:r>
          </w:p>
        </w:tc>
      </w:tr>
    </w:tbl>
    <w:tbl>
      <w:tblPr>
        <w:tblW w:w="2436" w:type="dxa"/>
        <w:jc w:val="left"/>
        <w:tblInd w:w="0" w:type="dxa"/>
        <w:tblLayout w:type="fixed"/>
        <w:tblCellMar>
          <w:top w:w="28" w:type="dxa"/>
          <w:left w:w="28" w:type="dxa"/>
          <w:bottom w:w="28" w:type="dxa"/>
          <w:right w:w="28" w:type="dxa"/>
        </w:tblCellMar>
      </w:tblPr>
      <w:tblGrid>
        <w:gridCol w:w="124"/>
        <w:gridCol w:w="286"/>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w:t>
            </w:r>
          </w:p>
        </w:tc>
      </w:tr>
    </w:tbl>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The Group accounts for acquisitions of entities that include inputs and processes and have the ability to create outputs as business combinations. The Group accounts for its business combinations using the acquisition method of accounting in accordance with ASC 805 “Business Combinations” (“ASC 805”). The cost of an acquisition is measured as the aggregate of the fair values at the date of exchange of the assets given, liabilities incurred, and equity instruments issued as well as the contingent considerations as of the acquisition date.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comprehensive loss as gain on bargain purchase.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comprehensive loss.</w:t>
      </w:r>
    </w:p>
    <w:tbl>
      <w:tblPr>
        <w:tblW w:w="2091" w:type="dxa"/>
        <w:jc w:val="left"/>
        <w:tblInd w:w="0" w:type="dxa"/>
        <w:tblLayout w:type="fixed"/>
        <w:tblCellMar>
          <w:top w:w="28" w:type="dxa"/>
          <w:left w:w="28" w:type="dxa"/>
          <w:bottom w:w="28" w:type="dxa"/>
          <w:right w:w="28" w:type="dxa"/>
        </w:tblCellMar>
      </w:tblPr>
      <w:tblGrid>
        <w:gridCol w:w="124"/>
        <w:gridCol w:w="346"/>
        <w:gridCol w:w="162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acquisition</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ASC 805-10-55-5A, which sets forth a screen test, provides that if substantially all of the fair value of the assets acquired is concentrated in a single identifiable asset or group of similar identifiable assets, the assets acquired are not considered to be a business. The acquisition should be accounted for by the Company as an asset acquisition in accordance with ASC 805-50, rather than as a business combination. Under an asset acquisition, the cost to acquire the group of assets is allocated to the individual assets acquired or liabilities assumed based on their relative fair values.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816" w:name="Tc_bUcH5xkN3kWsjNCuAaksEQ_6_0"/>
      <w:bookmarkStart w:id="1817" w:name="Tc_tbLdsYdJr06fk4-sJA1zkA_5_0"/>
      <w:bookmarkStart w:id="1818" w:name="Tc_4RGuzcf91UCk5BaI4m7wbQ_4_2"/>
      <w:bookmarkStart w:id="1819" w:name="Tc_yc8f7COut0m2OUqaDFw6lg_4_0"/>
      <w:bookmarkStart w:id="1820" w:name="Tc_WAfe-Y35iEuEPwErJO0Kvg_3_2"/>
      <w:bookmarkStart w:id="1821" w:name="Tc_J609IavUuU6BOl9fsDFrGw_3_0"/>
      <w:bookmarkStart w:id="1822" w:name="Tc_nKIoxH_O90GNEkjDfYc0Ig_2_0"/>
      <w:bookmarkStart w:id="1823" w:name="Tc_nKPQxt--AkKwvD8fctF2qA_1_2"/>
      <w:bookmarkStart w:id="1824" w:name="Tc_MJakqfNlFEGGShbLcgZPgg_1_0"/>
      <w:bookmarkStart w:id="1825" w:name="Tc_bUcH5xkN3kWsjNCuAaksEQ_6_0"/>
      <w:bookmarkStart w:id="1826" w:name="Tc_tbLdsYdJr06fk4-sJA1zkA_5_0"/>
      <w:bookmarkStart w:id="1827" w:name="Tc_4RGuzcf91UCk5BaI4m7wbQ_4_2"/>
      <w:bookmarkStart w:id="1828" w:name="Tc_yc8f7COut0m2OUqaDFw6lg_4_0"/>
      <w:bookmarkStart w:id="1829" w:name="Tc_WAfe-Y35iEuEPwErJO0Kvg_3_2"/>
      <w:bookmarkStart w:id="1830" w:name="Tc_J609IavUuU6BOl9fsDFrGw_3_0"/>
      <w:bookmarkStart w:id="1831" w:name="Tc_nKIoxH_O90GNEkjDfYc0Ig_2_0"/>
      <w:bookmarkStart w:id="1832" w:name="Tc_nKPQxt--AkKwvD8fctF2qA_1_2"/>
      <w:bookmarkStart w:id="1833" w:name="Tc_MJakqfNlFEGGShbLcgZPgg_1_0"/>
      <w:bookmarkEnd w:id="1825"/>
      <w:bookmarkEnd w:id="1826"/>
      <w:bookmarkEnd w:id="1827"/>
      <w:bookmarkEnd w:id="1828"/>
      <w:bookmarkEnd w:id="1829"/>
      <w:bookmarkEnd w:id="1830"/>
      <w:bookmarkEnd w:id="1831"/>
      <w:bookmarkEnd w:id="1832"/>
      <w:bookmarkEnd w:id="1833"/>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237" w:type="dxa"/>
        <w:jc w:val="left"/>
        <w:tblInd w:w="0" w:type="dxa"/>
        <w:tblLayout w:type="fixed"/>
        <w:tblCellMar>
          <w:top w:w="0" w:type="dxa"/>
          <w:left w:w="0" w:type="dxa"/>
          <w:bottom w:w="0" w:type="dxa"/>
          <w:right w:w="0" w:type="dxa"/>
        </w:tblCellMar>
      </w:tblPr>
      <w:tblGrid>
        <w:gridCol w:w="346"/>
        <w:gridCol w:w="189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w:t>
            </w:r>
          </w:p>
        </w:tc>
        <w:tc>
          <w:tcPr>
            <w:tcW w:w="18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Intangible assets, net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Intangible assets mainly consist of computer software licenses purchased from external parties and computer software and systems, developed technologies, customer relationship, brand name, contract backlog and advertising contract acquired through the acquisitions of subsidiaries. Identifiable intangible assets are carried at acquisition cost less accumulated amortization and impairment loss, if any. Amortization of finite lived intangible assets is computed using the straight-line method over the following estimated useful lives, which are as follows:</w:t>
      </w:r>
    </w:p>
    <w:p>
      <w:pPr>
        <w:pStyle w:val="TextBody"/>
        <w:bidi w:val="0"/>
        <w:spacing w:before="0" w:after="0"/>
        <w:ind w:left="0" w:right="0" w:hanging="0"/>
        <w:jc w:val="left"/>
        <w:rPr/>
      </w:pPr>
      <w:r>
        <w:rPr/>
        <w:t>​</w:t>
      </w:r>
    </w:p>
    <w:tbl>
      <w:tblPr>
        <w:tblW w:w="4018" w:type="dxa"/>
        <w:jc w:val="left"/>
        <w:tblInd w:w="0" w:type="dxa"/>
        <w:tblLayout w:type="fixed"/>
        <w:tblCellMar>
          <w:top w:w="0" w:type="dxa"/>
          <w:left w:w="0" w:type="dxa"/>
          <w:bottom w:w="0" w:type="dxa"/>
          <w:right w:w="0" w:type="dxa"/>
        </w:tblCellMar>
      </w:tblPr>
      <w:tblGrid>
        <w:gridCol w:w="2671"/>
        <w:gridCol w:w="326"/>
        <w:gridCol w:w="102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696085" cy="175260"/>
                      <wp:effectExtent l="0" t="0" r="0" b="0"/>
                      <wp:wrapNone/>
                      <wp:docPr id="420" name="Frame413"/>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1"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335" cy="175260"/>
                      <wp:effectExtent l="0" t="0" r="0" b="0"/>
                      <wp:wrapNone/>
                      <wp:docPr id="422" name="Frame41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software and systems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2 – 5 years</w:t>
            </w:r>
          </w:p>
        </w:tc>
      </w:tr>
      <w:tr>
        <w:trPr/>
        <w:tc>
          <w:tcPr>
            <w:tcW w:w="267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Developed technologies</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5 years</w:t>
            </w:r>
          </w:p>
        </w:tc>
      </w:tr>
      <w:tr>
        <w:trPr/>
        <w:tc>
          <w:tcPr>
            <w:tcW w:w="267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Customer relationship</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4 – 5 years</w:t>
            </w:r>
          </w:p>
        </w:tc>
      </w:tr>
      <w:tr>
        <w:trPr/>
        <w:tc>
          <w:tcPr>
            <w:tcW w:w="267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Brand name</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4 years  </w:t>
            </w:r>
          </w:p>
        </w:tc>
      </w:tr>
      <w:tr>
        <w:trPr/>
        <w:tc>
          <w:tcPr>
            <w:tcW w:w="267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Contract backlog</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3 years</w:t>
            </w:r>
          </w:p>
        </w:tc>
      </w:tr>
      <w:tr>
        <w:trPr/>
        <w:tc>
          <w:tcPr>
            <w:tcW w:w="267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Advertising contract</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30 years</w:t>
            </w:r>
          </w:p>
        </w:tc>
      </w:tr>
    </w:tbl>
    <w:p>
      <w:pPr>
        <w:pStyle w:val="TextBody"/>
        <w:bidi w:val="0"/>
        <w:spacing w:before="0" w:after="240"/>
        <w:ind w:left="0" w:right="0" w:hanging="0"/>
        <w:jc w:val="both"/>
        <w:rPr/>
      </w:pPr>
      <w:r>
        <w:rPr/>
        <w:t>​</w:t>
      </w:r>
    </w:p>
    <w:tbl>
      <w:tblPr>
        <w:tblW w:w="2507" w:type="dxa"/>
        <w:jc w:val="left"/>
        <w:tblInd w:w="0" w:type="dxa"/>
        <w:tblLayout w:type="fixed"/>
        <w:tblCellMar>
          <w:top w:w="0" w:type="dxa"/>
          <w:left w:w="0" w:type="dxa"/>
          <w:bottom w:w="0" w:type="dxa"/>
          <w:right w:w="0" w:type="dxa"/>
        </w:tblCellMar>
      </w:tblPr>
      <w:tblGrid>
        <w:gridCol w:w="346"/>
        <w:gridCol w:w="216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21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Impairment of goodwill</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Goodwill represents the excess of the purchase consideration over the fair value of assets and liabilities of businesses acquired. Goodwill is not subject to regular periodic amortization. Instead, management conducts a goodwill impairment test at the reporting unit level annually in the fourth quarter, or more frequently when events or circumstances occur indicating that the recorded goodwill may be impaired.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reporting unit is an operating segment or a component of an operating segment which is a business and for which discrete financial information is available and reviewed by a segment manager. The Group’s reporting units include (i) the Marketing Solutions and (ii) the Enterprise Solutions.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In accordance with the guidance from ASU No. 2017-04, Intangibles - Goodwill and Other (Topic 350): Simplifying the Accounting for Goodwill Impairment, for the purpose of the goodwill impairment test, the Group first assesses qualitative factors to determine whether it is more likely than not that the fair value of the reporting unit is less than its carrying amount. If an initial qualitative assessment identifies that it is more likely than not that the carrying value of a reporting unit exceeds its estimated fair value, an additional quantitative evaluation is performed. Alternatively, the Group may elect to proceed directly to the quantitative goodwill impairment test. As part of the quantitative goodwill impairment test, the Group compares the fair value of each reporting unit to its carrying value, with an impairment charge recorded for the amount by which the carrying amount exceeds the reporting unit’s fair value up to a maximum amount of the goodwill balance for the reporting unit.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For evaluation of reporting units using a quantitative assessment, the Group determines the fair values of the Marketing Solutions reporting unit and the Enterprise Solutions reporting unit as of December 31, 2021 based on a market approach and an income approach, respectively. During the year ended December 31, 2022, due to the Company’s plan to strategically downsize the Marketing Solutions reporting unit, the Company considered the identification of companies comparable to the downsized Marketing Solutions reporting unit under a market approach using the guideline public company method to be not practical whereby the use of an income approach to estimate the fair value of Marketing Solutions reporting unit as of December 31, 2022 is considered to be more appropriate. Therefore, the Group determines the fair values of both the Marketing Solutions reporting unit and the Enterprise Solutions reporting unit as of December 31, 2022 based on an income approach.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3542" w:type="dxa"/>
        <w:jc w:val="left"/>
        <w:tblInd w:w="0" w:type="dxa"/>
        <w:tblLayout w:type="fixed"/>
        <w:tblCellMar>
          <w:top w:w="0" w:type="dxa"/>
          <w:left w:w="0" w:type="dxa"/>
          <w:bottom w:w="0" w:type="dxa"/>
          <w:right w:w="0" w:type="dxa"/>
        </w:tblCellMar>
      </w:tblPr>
      <w:tblGrid>
        <w:gridCol w:w="346"/>
        <w:gridCol w:w="319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31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Impairment of goodwill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market approach, the Group estimates the fair value of the Marketing Solutions reporting unit based on market multiples of current year revenue for the reporting unit. Under the income approach, the Group estimates the fair value of the reporting units based on discounted cash flow method derived from the reporting unit’s long-term forecasts which included a five-year future cash flow projection and an estimated terminal value. The cash flow projection is based on management’s most recent view of the long-term outlook for the reporting units in order to come up with revenue growth rates, gross margin, the estimated terminal value using a terminal year long-term future growth rate, discount rates, and other assumptions deemed reasonable by management.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Application of a goodwill impairment test requires significant management judgment, including the identification of reporting units, assigning assets and liabilities to reporting units, assigning goodwill to reporting units, and estimating the fair value of each reporting unit. Estimating fair value of individual reporting units requires the exercise of significant management judgment, including judgment in an income approach about appropriate revenue growth rates, gross margin, an estimated terminal value using a terminal year long-term future growth rate and a discount rate for the reporting units. Changes in these estimates and assumptions could materially affect the estimation of fair value for each reporting unit.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based on the assessment performed by management, the fair values of Marketing Solutions reporting unit and Enterprise Solutions reporting unit exceeded their carrying values by around 41% and 113%, respectively. Therefore, no impairment for goodwill was recognized for the year ended December 31, 2021.</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2022, the Group determined that there were sufficient indicators to trigger a quantitative goodwill impairment analysis. The indicators included, among others: (1) the underperformance against plan of the Group’s reporting units due to the negative impact of the COVID-19 outbreak to the macroeconomy of the PRC, (2) a revision of the Group’s forecasted future earnings due to intensified industry competition, and (3) a decline in the Company’s market capitalization in 2022. The Group’s annual quantitative goodwill impairment analysis as of December 31, 2022 indicated that both Marketing Solutions and Enterprise Solutions reporting units were fully impaired. Accordingly, the Group recognized an impairment charge of US$53,024 and US$27,113 for the Marketing Solutions reporting unit and the Enterprise Solutions reporting unit, respectively, for the year ended December 31, 2022.</w:t>
      </w:r>
    </w:p>
    <w:tbl>
      <w:tblPr>
        <w:tblW w:w="3137" w:type="dxa"/>
        <w:jc w:val="left"/>
        <w:tblInd w:w="0" w:type="dxa"/>
        <w:tblLayout w:type="fixed"/>
        <w:tblCellMar>
          <w:top w:w="0" w:type="dxa"/>
          <w:left w:w="0" w:type="dxa"/>
          <w:bottom w:w="0" w:type="dxa"/>
          <w:right w:w="0" w:type="dxa"/>
        </w:tblCellMar>
      </w:tblPr>
      <w:tblGrid>
        <w:gridCol w:w="331"/>
        <w:gridCol w:w="280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w:t>
            </w:r>
          </w:p>
        </w:tc>
        <w:tc>
          <w:tcPr>
            <w:tcW w:w="28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Impairment of long-lived assets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Long-lived assets of the Group including property and equipment, intangible assets (other than goodwill) and right-of-use-assets which are held and used are reviewed for impairment when events or changes in the circumstances indicate that the carrying value of an asset or asset group may no longer be recoverable. For an asset or asset group that is held and used, the asset or asset group represents the lowest level for which identifiable cash flows are largely independent of the cash flows of other assets or asset groups. Factors considered by the Group in its impairment assessments of long-lived assets that are held and used include, but are not limited to, significant underperformance relative to historical or projected operating results; significant changes in the manner of use of the acquired assets or asset groups or the strategy for the overall business; and significant negative industry or economic trends. When the carrying value of a long-lived asset or asset group that is held and use may not be recoverable based upon the existence of one or more of the above indicators of impairment, the Group estimates the future undiscounted cash flows expected to result from the use of the asset or asset group and its eventual disposition. If the sum of the expected future undiscounted cash flows and eventual disposition is less than the carrying amount of the asset or asset group, the Group recognizes an impairment loss. An impairment loss is reflected as the amount by which the carrying amount of the asset or asset group exceeds the fair value of the asset or asset group, based on the fair value if available, or discounted cash flows, if fair value is not available. The discounted cash flow model on which the fair value of the asset or asset group as part of the Group’s impairment tests is based includes significant assumptions relating to revenue growth rates, gross margin, and other controllable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4172" w:type="dxa"/>
        <w:jc w:val="left"/>
        <w:tblInd w:w="0" w:type="dxa"/>
        <w:tblLayout w:type="fixed"/>
        <w:tblCellMar>
          <w:top w:w="0" w:type="dxa"/>
          <w:left w:w="0" w:type="dxa"/>
          <w:bottom w:w="0" w:type="dxa"/>
          <w:right w:w="0" w:type="dxa"/>
        </w:tblCellMar>
      </w:tblPr>
      <w:tblGrid>
        <w:gridCol w:w="331"/>
        <w:gridCol w:w="384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w:t>
            </w:r>
          </w:p>
        </w:tc>
        <w:tc>
          <w:tcPr>
            <w:tcW w:w="3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Impairment of long-lived assets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has identified certain long-lived asset groups which are held and used that are subject to indicators (which are similar to the indicators for goodwill impairment as explained in Note 2(r)) to trigger quantitative impairment assessments. Based on the Group’s impairment assessments on those long-lived asset groups as of December 31, 2022, the Group recorded impairment of long-lived assets of US$53,349 during the year ended December 31, 2022, out of which US$49,778, US$1,206 and US$2,365 were related to intangible assets (other than goodwill), property and equipment, and right-of-use assets, respectively. Out of the total impairment charges of US$53,349, US$48,946 and US$4,403 were recorded in cost of revenues and operating expenses, respectively.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 impairments related to long-lived assets were recorded during the years ended December 31, 2020 and 2021.</w:t>
      </w:r>
    </w:p>
    <w:tbl>
      <w:tblPr>
        <w:tblW w:w="1937" w:type="dxa"/>
        <w:jc w:val="left"/>
        <w:tblInd w:w="0" w:type="dxa"/>
        <w:tblLayout w:type="fixed"/>
        <w:tblCellMar>
          <w:top w:w="0" w:type="dxa"/>
          <w:left w:w="0" w:type="dxa"/>
          <w:bottom w:w="0" w:type="dxa"/>
          <w:right w:w="0" w:type="dxa"/>
        </w:tblCellMar>
      </w:tblPr>
      <w:tblGrid>
        <w:gridCol w:w="316"/>
        <w:gridCol w:w="1621"/>
      </w:tblGrid>
      <w:tr>
        <w:trPr/>
        <w:tc>
          <w:tcPr>
            <w:tcW w:w="3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w:t>
            </w:r>
          </w:p>
        </w:tc>
        <w:tc>
          <w:tcPr>
            <w:tcW w:w="16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 accounting</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determines if an arrangement is a lease or contains a lease at lease inception. For operating leases, the Company recognizes right-of-use assets (“ROU assets”) and lease liabilities based on the present value of the lease payments over the lease term on the consolidated balance sheets at commencement date. The Company estimates its incremental borrowing rate based on the information available at the commencement date in determining the present value of lease payments. The incremental borrowing rate is estimated to approximate the interest rate on a collateralized basis with similar terms and payments, and in economic environments where the leased asset is located.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records rent expense for operating leases, including leases of office premises, on a straight-line basis over the lease term. The Group begins recognition of rent expense on the commencement date, which is generally the date that the asset is made available for use. The lease liability is included in lease liabilities, current and lease liabilities, non-current within the consolidated balance sheets, which are reduced as lease related payments are made. The ROU asset is amortized on a periodic basis over the expected term of the lease. See Note 14 for additional information.</w:t>
      </w:r>
    </w:p>
    <w:tbl>
      <w:tblPr>
        <w:tblW w:w="1922" w:type="dxa"/>
        <w:jc w:val="left"/>
        <w:tblInd w:w="0" w:type="dxa"/>
        <w:tblLayout w:type="fixed"/>
        <w:tblCellMar>
          <w:top w:w="0" w:type="dxa"/>
          <w:left w:w="0" w:type="dxa"/>
          <w:bottom w:w="0" w:type="dxa"/>
          <w:right w:w="0" w:type="dxa"/>
        </w:tblCellMar>
      </w:tblPr>
      <w:tblGrid>
        <w:gridCol w:w="301"/>
        <w:gridCol w:w="162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w:t>
            </w:r>
          </w:p>
        </w:tc>
        <w:tc>
          <w:tcPr>
            <w:tcW w:w="16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Deferred revenue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receives prepayments for services in advance of service performance from certain customers. The amounts received in advance are recorded as deferred revenue and recognized as revenue in the period which the corresponding services are performed.</w:t>
      </w:r>
    </w:p>
    <w:tbl>
      <w:tblPr>
        <w:tblW w:w="3152" w:type="dxa"/>
        <w:jc w:val="left"/>
        <w:tblInd w:w="0" w:type="dxa"/>
        <w:tblLayout w:type="fixed"/>
        <w:tblCellMar>
          <w:top w:w="0" w:type="dxa"/>
          <w:left w:w="0" w:type="dxa"/>
          <w:bottom w:w="0" w:type="dxa"/>
          <w:right w:w="0" w:type="dxa"/>
        </w:tblCellMar>
      </w:tblPr>
      <w:tblGrid>
        <w:gridCol w:w="346"/>
        <w:gridCol w:w="280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w:t>
            </w:r>
          </w:p>
        </w:tc>
        <w:tc>
          <w:tcPr>
            <w:tcW w:w="28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Derivative financial instrument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 The Group’s derivative financial instrument included the call option written to the investor to purchase the convertible notes issued in July 2020 classifies as “derivative liabilities” (the “Call Option”). For the year ended December 31, 2020, the Group recognized fair value losses of US$11,466 on the derivative liabilities. The Call Option was exercised by the investor on July 30, 2020. There was no derivative financial instrument as of December 31, 2021 and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834" w:name="Tc_bDE3gaqhgEODdPiBeWulOw_13_0"/>
      <w:bookmarkStart w:id="1835" w:name="Tc_CzgXFADJ3kuysN8abO9gEg_11_0"/>
      <w:bookmarkStart w:id="1836" w:name="Tc_kuCqea8BaUmT8jdLA1WJSg_10_0"/>
      <w:bookmarkStart w:id="1837" w:name="Tc_znD_jbmylEaHLXefdOwF8Q_9_0"/>
      <w:bookmarkStart w:id="1838" w:name="Tc_8cLoAZCkp0iC8cveO1JIdA_6_0"/>
      <w:bookmarkStart w:id="1839" w:name="Tc_YGh9ok6M0EaNLkGKMUfb7g_5_0"/>
      <w:bookmarkStart w:id="1840" w:name="Tc_4Bzux6eTtEC9uV_OnE44vw_4_0"/>
      <w:bookmarkStart w:id="1841" w:name="Tc_qrZUi9DfFEuvFL99-Wy4DA_3_0"/>
      <w:bookmarkStart w:id="1842" w:name="Tc_LYujCdQ-cUuVT8M-9OzJ8A_2_6"/>
      <w:bookmarkStart w:id="1843" w:name="Tc_0OO5TNJhkUGB63kgNXpJ1Q_2_4"/>
      <w:bookmarkStart w:id="1844" w:name="Tc_QrMXCCX37k6Ng7DxnBxpMA_2_2"/>
      <w:bookmarkStart w:id="1845" w:name="Tc_PX5k_RUoYEmzyMm2tGIKVA_1_2"/>
      <w:bookmarkStart w:id="1846" w:name="Tc_bDE3gaqhgEODdPiBeWulOw_13_0"/>
      <w:bookmarkStart w:id="1847" w:name="Tc_CzgXFADJ3kuysN8abO9gEg_11_0"/>
      <w:bookmarkStart w:id="1848" w:name="Tc_kuCqea8BaUmT8jdLA1WJSg_10_0"/>
      <w:bookmarkStart w:id="1849" w:name="Tc_znD_jbmylEaHLXefdOwF8Q_9_0"/>
      <w:bookmarkStart w:id="1850" w:name="Tc_8cLoAZCkp0iC8cveO1JIdA_6_0"/>
      <w:bookmarkStart w:id="1851" w:name="Tc_YGh9ok6M0EaNLkGKMUfb7g_5_0"/>
      <w:bookmarkStart w:id="1852" w:name="Tc_4Bzux6eTtEC9uV_OnE44vw_4_0"/>
      <w:bookmarkStart w:id="1853" w:name="Tc_qrZUi9DfFEuvFL99-Wy4DA_3_0"/>
      <w:bookmarkStart w:id="1854" w:name="Tc_LYujCdQ-cUuVT8M-9OzJ8A_2_6"/>
      <w:bookmarkStart w:id="1855" w:name="Tc_0OO5TNJhkUGB63kgNXpJ1Q_2_4"/>
      <w:bookmarkStart w:id="1856" w:name="Tc_QrMXCCX37k6Ng7DxnBxpMA_2_2"/>
      <w:bookmarkStart w:id="1857" w:name="Tc_PX5k_RUoYEmzyMm2tGIKVA_1_2"/>
      <w:bookmarkEnd w:id="1846"/>
      <w:bookmarkEnd w:id="1847"/>
      <w:bookmarkEnd w:id="1848"/>
      <w:bookmarkEnd w:id="1849"/>
      <w:bookmarkEnd w:id="1850"/>
      <w:bookmarkEnd w:id="1851"/>
      <w:bookmarkEnd w:id="1852"/>
      <w:bookmarkEnd w:id="1853"/>
      <w:bookmarkEnd w:id="1854"/>
      <w:bookmarkEnd w:id="1855"/>
      <w:bookmarkEnd w:id="1856"/>
      <w:bookmarkEnd w:id="1857"/>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1982" w:type="dxa"/>
        <w:jc w:val="left"/>
        <w:tblInd w:w="0" w:type="dxa"/>
        <w:tblLayout w:type="fixed"/>
        <w:tblCellMar>
          <w:top w:w="0" w:type="dxa"/>
          <w:left w:w="0" w:type="dxa"/>
          <w:bottom w:w="0" w:type="dxa"/>
          <w:right w:w="0" w:type="dxa"/>
        </w:tblCellMar>
      </w:tblPr>
      <w:tblGrid>
        <w:gridCol w:w="346"/>
        <w:gridCol w:w="163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w:t>
            </w:r>
          </w:p>
        </w:tc>
        <w:tc>
          <w:tcPr>
            <w:tcW w:w="16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Convertible notes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determines the appropriate accounting treatment of its convertible notes in accordance with the terms in relation to the conversion feature, call and put option, and beneficial conversion feature (“BCF”). After considering the impact of such features, the Group may account for such instrument as a liability in its entirety, or separate the instrument into debt and equity components following the respective guidance described under ASC 815 and ASC 470 “Debt”.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conversion features of the convertible notes of the Group meets the definition of a derivative whereby no BCF shall be separately accounted for. Moreover, the Group has elected the fair value option for convertible notes accounted for as a liability in its entirety whereby the conversion features that meet the definition of a derivative are not bifurcated given that the entire debt instrument is legally a single contract therefore not to be separated into parts for purposes of applying the fair value option. Such fair value option permits the irrevocable election on an instrument-by-instrument basis at initial recognition of an asset or liability or upon an event, that gives rise to a new basis of accounting for that instrument. The convertible notes accounted for under the fair value option are carried at fair value with realized or unrealized gains and losses recorded in the consolidated statements of comprehensive loss.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Convertible notes are classified as current liabilities if they are convertible or redeemable on demand or if their due date is or will be within one year from the balance sheet date. There were no convertible notes as of December 31, 2021 and 2022.</w:t>
      </w:r>
    </w:p>
    <w:tbl>
      <w:tblPr>
        <w:tblW w:w="1907" w:type="dxa"/>
        <w:jc w:val="left"/>
        <w:tblInd w:w="0" w:type="dxa"/>
        <w:tblLayout w:type="fixed"/>
        <w:tblCellMar>
          <w:top w:w="0" w:type="dxa"/>
          <w:left w:w="0" w:type="dxa"/>
          <w:bottom w:w="0" w:type="dxa"/>
          <w:right w:w="0" w:type="dxa"/>
        </w:tblCellMar>
      </w:tblPr>
      <w:tblGrid>
        <w:gridCol w:w="376"/>
        <w:gridCol w:w="153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w:t>
            </w:r>
          </w:p>
        </w:tc>
        <w:tc>
          <w:tcPr>
            <w:tcW w:w="15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Treasury shares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accounted for those shares repurchased as treasury shares at cost in accordance with ASC 505-30, and the treasury shares acquired are shown separately in shareholders’ equity as the Company has not yet decided on the ultimate disposition of those shares. If and when the Company cancels the treasury shares, the difference between the original issuance price and the repurchase price will be debited into additional paid-in capital.</w:t>
      </w:r>
    </w:p>
    <w:tbl>
      <w:tblPr>
        <w:tblW w:w="3977" w:type="dxa"/>
        <w:jc w:val="left"/>
        <w:tblInd w:w="0" w:type="dxa"/>
        <w:tblLayout w:type="fixed"/>
        <w:tblCellMar>
          <w:top w:w="0" w:type="dxa"/>
          <w:left w:w="0" w:type="dxa"/>
          <w:bottom w:w="0" w:type="dxa"/>
          <w:right w:w="0" w:type="dxa"/>
        </w:tblCellMar>
      </w:tblPr>
      <w:tblGrid>
        <w:gridCol w:w="346"/>
        <w:gridCol w:w="363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(x)</w:t>
            </w:r>
          </w:p>
        </w:tc>
        <w:tc>
          <w:tcPr>
            <w:tcW w:w="36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 and cost of revenues</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 presents our revenue recognized from contracts with customers disaggregated by the four types of pricing models:</w:t>
      </w:r>
    </w:p>
    <w:p>
      <w:pPr>
        <w:pStyle w:val="TextBody"/>
        <w:bidi w:val="0"/>
        <w:spacing w:before="0" w:after="240"/>
        <w:ind w:left="720" w:right="0" w:hanging="0"/>
        <w:jc w:val="both"/>
        <w:rPr/>
      </w:pPr>
      <w:r>
        <w:rPr/>
        <w:t>​</w:t>
      </w:r>
    </w:p>
    <w:tbl>
      <w:tblPr>
        <w:tblW w:w="5827" w:type="dxa"/>
        <w:jc w:val="left"/>
        <w:tblInd w:w="0" w:type="dxa"/>
        <w:tblLayout w:type="fixed"/>
        <w:tblCellMar>
          <w:top w:w="0" w:type="dxa"/>
          <w:left w:w="0" w:type="dxa"/>
          <w:bottom w:w="0" w:type="dxa"/>
          <w:right w:w="0" w:type="dxa"/>
        </w:tblCellMar>
      </w:tblPr>
      <w:tblGrid>
        <w:gridCol w:w="2401"/>
        <w:gridCol w:w="326"/>
        <w:gridCol w:w="781"/>
        <w:gridCol w:w="326"/>
        <w:gridCol w:w="781"/>
        <w:gridCol w:w="326"/>
        <w:gridCol w:w="886"/>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524635" cy="175260"/>
                      <wp:effectExtent l="0" t="0" r="0" b="0"/>
                      <wp:wrapNone/>
                      <wp:docPr id="423" name="Frame416"/>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4"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95935" cy="175260"/>
                      <wp:effectExtent l="0" t="0" r="0" b="0"/>
                      <wp:wrapNone/>
                      <wp:docPr id="425" name="Frame4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6"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95935" cy="175260"/>
                      <wp:effectExtent l="0" t="0" r="0" b="0"/>
                      <wp:wrapNone/>
                      <wp:docPr id="427" name="Frame4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28"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62610" cy="175260"/>
                      <wp:effectExtent l="0" t="0" r="0" b="0"/>
                      <wp:wrapNone/>
                      <wp:docPr id="429" name="Frame42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4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Sales agent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5,834</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4,195</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2,549</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Cost-plus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26,738</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26,062</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8,909</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SaaS products and services</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28,545</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57,756</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62,207</w:t>
            </w:r>
          </w:p>
        </w:tc>
      </w:tr>
      <w:tr>
        <w:trPr/>
        <w:tc>
          <w:tcPr>
            <w:tcW w:w="24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61,117</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88,013</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73,665</w:t>
            </w:r>
          </w:p>
        </w:tc>
      </w:tr>
      <w:tr>
        <w:trPr/>
        <w:tc>
          <w:tcPr>
            <w:tcW w:w="24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at point in time</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Specified actions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193,280</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212,353</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94,498</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SaaS products and services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7,336</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r>
      <w:tr>
        <w:trPr/>
        <w:tc>
          <w:tcPr>
            <w:tcW w:w="24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193,628</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219,689</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95,415</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254,745</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307,702</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169,080</w:t>
            </w:r>
          </w:p>
        </w:tc>
      </w:tr>
    </w:tbl>
    <w:p>
      <w:pPr>
        <w:pStyle w:val="TextBody"/>
        <w:bidi w:val="0"/>
        <w:spacing w:before="0" w:after="240"/>
        <w:ind w:left="136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012" w:type="dxa"/>
        <w:jc w:val="left"/>
        <w:tblInd w:w="0" w:type="dxa"/>
        <w:tblLayout w:type="fixed"/>
        <w:tblCellMar>
          <w:top w:w="0" w:type="dxa"/>
          <w:left w:w="0" w:type="dxa"/>
          <w:bottom w:w="0" w:type="dxa"/>
          <w:right w:w="0" w:type="dxa"/>
        </w:tblCellMar>
      </w:tblPr>
      <w:tblGrid>
        <w:gridCol w:w="346"/>
        <w:gridCol w:w="46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(x)</w:t>
            </w:r>
          </w:p>
        </w:tc>
        <w:tc>
          <w:tcPr>
            <w:tcW w:w="46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 and cost of revenues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Marketing Solutions service offerings are the provisions of online advertising services. The Group utilizes a combination of pricing models and revenue is recognized when the related services are delivered based on the specific terms of the contract, which are commonly based on (i) agreed incentive to be earned for being a sales agent of a publisher, (ii) cost-plus or (iii) specified actions (e.g. cost per impression (“CPM”) and cost per click (“CPC”)) and related campaign budgets, depending on the customers’ preferences and their campaigns launched. The Group also offers the Enterprise Solutions via the offering of SaaS products and services.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 recognizes revenue when the Group satisfies a performance obligation by transferring a promised service to a customer. The Group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 Collectability is assessed based on a number of factors, including the creditworthiness of a customer, the size and nature of a customer’s business and transaction history. Revenues are recorded net of value-added taxes.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 follows the guidance provided in ASC 606, Revenue from Contracts with Customers, for determining whether the Group is the principal or an agent in arrangements with customers that involve another party that contributes to providing a specified service to a customer. In these instances, the Group determines whether it has promised to provide the specified service itself (as principal) or to arrange for the specified service to be provided by another party (as an agent). This determination depends on the facts and circumstances of each arrangement and, in some instances, involves significant judgment. The Group recognizes revenue from sales agent and cost-plus arrangement amounting to US$32,572, US$30,257, and US$11,458 for the years ended December 31, 2020, 2021 and 2022, respectively, on a net basis as the Group is not primarily responsible for the fulfillment considering the Company only acts as an intermediary in executing transactions between the publishers and the customers, does not have control of the promised service as the Company only places orders based on specification set out by the customers, and does not have full discretion in establishing prices and therefore is the agent in the arrangement with customers. All other revenue of US$222,173, US$277,445 and US$157,622 for the years ended December 31, 2020, 2021 and 2022, respectively, are reported on a gross basis, as the Group has determined it is the principal in the arrangement. </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 xml:space="preserve">Sales agent </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In the arrangement with a particular publisher, the Group acts as a sales agent for this publisher in selling marketing spaces to marketing clients. In return, the Group earns incentives from this publisher based on contractually stipulated amounts when certain spending thresholds are achieved. The Group considers this particular publisher as a customer and record such incentives as net revenues. Incentives from this publisher are calculated on both a quarterly and an annual basis in accordance with the terms as set out in the arrangement. </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Revenue under this arrangement is recognized over time given the Group considers this particular publisher simultaneously receives and consumes the benefits provided by the Group’s performance as the Group performs. In other words, when the Group purchases marketing spaces on behalf of the marketing clients throughout the marketing campaigns as requested by them, this particular publisher simultaneously receives and consumes the benefit of the marketing spaces being purchased and therefore the Group is entitled to incentive payment from this publisher.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Group grants rebates to marketing clients under the sales agent arrangement. The majority of marketing clients under this arrangement are not customers under either the cost-plus arrangement or specified actions arrangement. The Group records rebates granted to such marketing clients as reduction of revenue.</w:t>
      </w:r>
    </w:p>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012" w:type="dxa"/>
        <w:jc w:val="left"/>
        <w:tblInd w:w="0" w:type="dxa"/>
        <w:tblLayout w:type="fixed"/>
        <w:tblCellMar>
          <w:top w:w="0" w:type="dxa"/>
          <w:left w:w="0" w:type="dxa"/>
          <w:bottom w:w="0" w:type="dxa"/>
          <w:right w:w="0" w:type="dxa"/>
        </w:tblCellMar>
      </w:tblPr>
      <w:tblGrid>
        <w:gridCol w:w="346"/>
        <w:gridCol w:w="46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(x)</w:t>
            </w:r>
          </w:p>
        </w:tc>
        <w:tc>
          <w:tcPr>
            <w:tcW w:w="46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 and cost of revenues (Continued)</w:t>
            </w:r>
          </w:p>
        </w:tc>
      </w:tr>
    </w:tbl>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 xml:space="preserve">Cost-plus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For cost-plus advertisement campaigns, sales are recognized at the fair value of the amount received. Discounts granted to marketing clients under cost-plus marketing campaigns are recorded as a reduction of revenue. The determination of whether revenue should be reported on a gross or net basis is based on an assessment of whether the Group is acting as the principal or an agent in the transactions. In the normal course of business, the Group acts as an intermediary in executing transactions between website publishers and marketing clients. The specified service in the cost-plus arrangement is the provision of marketing space, which is controlled by the website publishers, rather than the Group. The Group assists the marketing clients to place orders with specific website publishers based on specification set out the marketing clients. The Group does not have the ability to direct the use of marketing space and does not have any inventory risk. Pricing is generally based on the actual advertising spending incurred by the marketing clients plus a margin. Accordingly, the Group concludes that it is not the principal in these arrangements and reports revenue earned and costs incurred related to these transactions on a net basis.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Revenue under this arrangement is recognized over time as the Group considers its customers simultaneously receive and consume the benefits provided by the Group’s performance. At the time the Group purchases marketing spaces during the contract term for its customers, the customers’ advertisements could be placed throughout the marketing campaign. Revenue recognition under this arrangement is not based on an occurrence of significant act or milestone method.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Throughout the various services delivered to clients under the cost-plus arrangements, the Group earns rebates from publishers and grant rebates to marketing clients. The rebates that the Group grants to marketing clients under cost-plus arrangement are recorded as reduction of revenue, based on the spending amount the marketing clients would actually incur to earn the corresponding level of rebates. The rebates that the Group receives from publishers under the cost-plus arrangements are recorded as revenue. These rebates are recognized when a particular milestone is achieved (i.e. applying the relevant rebates based on the level of spending threshold actually achieved) and spending has actually occurred. </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 xml:space="preserve">Specified actions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Group also generates revenue from performing specified actions (e.g a CPM and CPC basis). Revenue is recognized on a CPM or CPC basis as impressions or clicks are delivered while revenue is recognized once agreed actions are performed. For the specified actions advertisement campaigns, the Group is the principal as it has the obligation to deliver successful actions requested by marketing clients. Also, the Group will only be paid if successful actions can be delivered and is exposed to risk of loss. In terms of pricing, the Group has complete latitude in establishing the selling prices of each of the CPM and CPC pricing model. The Group’s margin may vary as the costs incurred to deliver successful actions may vary and is therefore exposed to risk of loss whereby validating its degree of responsibility to its customers. Although the inventory risk under specified actions arrangement is considered to be low, the Group concludes that it is the principal in such arrangement as it is the principal ultimately responsible for delivering successful actions and in charge of establishing the price per action. Accordingly, the Group reports revenue earned and costs incurred related to these transactions on a gross basis.</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012" w:type="dxa"/>
        <w:jc w:val="left"/>
        <w:tblInd w:w="0" w:type="dxa"/>
        <w:tblLayout w:type="fixed"/>
        <w:tblCellMar>
          <w:top w:w="0" w:type="dxa"/>
          <w:left w:w="0" w:type="dxa"/>
          <w:bottom w:w="0" w:type="dxa"/>
          <w:right w:w="0" w:type="dxa"/>
        </w:tblCellMar>
      </w:tblPr>
      <w:tblGrid>
        <w:gridCol w:w="346"/>
        <w:gridCol w:w="46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(x)</w:t>
            </w:r>
          </w:p>
        </w:tc>
        <w:tc>
          <w:tcPr>
            <w:tcW w:w="46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 and cost of revenues (Continued)</w:t>
            </w:r>
          </w:p>
        </w:tc>
      </w:tr>
    </w:tbl>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Specified actions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Revenues under this arrangement is recognized at point-in-time when the Group is able to deliver the specified actions as requested by the customers. Upon the occurrence of the specified actions, the customers take control of the specified actions and this is when the Group recognizes the corresponding revenue. Unlike the cost-plus arrangement, when the Group purchases marketing spaces in order to deliver the specified actions, the customers do not receive and consume the benefit as the benefit to be received by the customers is the occurrence of the specified actions. Also, the Group does not create or enhance an asset that the customers control as the marketing spaces ultimately belong to the publishers. The Group does not have any right to payment for simply purchasing the marketing spaces and would only be compensated upon delivery of the specified actions.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 also grants rebates to marketing clients under the specified actions arrangement. Same as the treatment under cost-plus arrangement, the rebates that the Group grants to marketing clients under cost-plus arrangement are recorded as reduction of revenue and are recorded based on the amount the marketing clients would actually incur to earn the corresponding level of rebates. The rebates that the Group receives from publishers under the specified actions arrangement are recorded as a reduction of cost of revenues. These rebates are recognized when a particular milestone is achieved (i.e. applying the relevant rebates based on the level of spending threshold actually achieved) and spending has actually occurred.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Cost of revenues consists of the costs to purchase space for the online advertising operations, amortization expenses related to the Group’s computer software and systems, salaries and benefits of relevant operations and support personnel and depreciation of relevant property and equipment and impairment on relevant intangible assets. The Group becomes obligated to make payments related to website publishers in the period the marketing impressions and click-through occur. Such expenses are classified as cost of revenues in the consolidated statements of comprehensive loss as incurred. Cost of revenues also includes rebates received from website publishers which are recorded as a reduction of cost of revenues when the Group is acting as a principal in a transaction. </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 xml:space="preserve">SaaS products and services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Under this arrangement, the Group offers SaaS products and services through provision of software and data analytical tool licenses, customer relationship management (“CRM”) solutions and digitalized operational solutions services.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(iii) licenses for on-premises software, and (iv) various combinations of software and data analytical tool licenses, CRM solutions, and digitalized operational solutions services provided by the Group. Contracts with customers under this arrangement are generally with a term of 1 to 24 months.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Revenues from licensing of existing cloud applications are generally recognized ratably over time over the contract term beginning on the date that the licensing service is made available to the customer, whereby the Group considers that its customers simultaneously receive and consume the benefits provided by the use of existing cloud applications. The Group does not have other right to consideration in exchange for goods or service that the Group has transferred to a customer when that right is conditional on something other than the passage of time. </w:t>
      </w:r>
    </w:p>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012" w:type="dxa"/>
        <w:jc w:val="left"/>
        <w:tblInd w:w="0" w:type="dxa"/>
        <w:tblLayout w:type="fixed"/>
        <w:tblCellMar>
          <w:top w:w="0" w:type="dxa"/>
          <w:left w:w="0" w:type="dxa"/>
          <w:bottom w:w="0" w:type="dxa"/>
          <w:right w:w="0" w:type="dxa"/>
        </w:tblCellMar>
      </w:tblPr>
      <w:tblGrid>
        <w:gridCol w:w="346"/>
        <w:gridCol w:w="46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(x)</w:t>
            </w:r>
          </w:p>
        </w:tc>
        <w:tc>
          <w:tcPr>
            <w:tcW w:w="46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 and cost of revenues (Continued)</w:t>
            </w:r>
          </w:p>
        </w:tc>
      </w:tr>
    </w:tbl>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SaaS products and services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Revenues from developing new cloud applications exclusively customized for customers and licenses for on-premises software is recognized at point-in-time when the Group is able to deliver the cloud applications to customers or when the Group provides customers with right to use the on-premises software. The Group considers the transfer of control of new cloud applications/software to customer, which represents a distinct performance obligation, to be completed when such cloud applications/software are on-premise and fully functional such that the customer can use and benefit from the cloud applications/software on its own.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Besides, the Group also provides certain additional services along with the above arrangements of cloud application development and software licensing, such as technical support, bug fixes, CMR solutions and digitalized operational solutions. These additional services are considered to be a series of distinct services that are substantially the same and have the same duration and measure of progress; therefore, the Group concludes that they represent a separate combined performance obligation. Revenues from such additional services are recognized ratably over-time over the contract period.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respective stand-alone selling prices of each of these performance obligations are determined based upon observable prices in stand-alone transactions and contractually stated price whereby no allocation of selling prices among individual performance obligations are required.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Cost of revenues for SaaS products and services primarily comprises amortization expenses related to the Group’s computer software and systems, salaries and benefits of relevant operations and support personnel, depreciation of relevant property and equipment and other direct service costs. </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 xml:space="preserve">Contract balances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Timing of revenue recognition may differ from the timing of invoicing to customers. Accounts receivable represent amounts invoiced and revenue recognized prior to invoicing when the Group has satisfied its performance obligations and has the unconditional right to payment. The Group normally does not have contract assets, which are primarily unbilled accounts receivable that are conditional on something other than the passage of time.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Deferred revenue represents contract liabilities which related to unsatisfied performance obligations at the end of the period. Due to the generally short-term duration of the contracts, the majority of the performance obligations are satisfied in the following reporting period. Revenue recognized during the years ended December 31, 2021 and 2022, respectively, relating to deferred revenue as of January 1, 2021 and 2022 was US$18,795 and US$13,108, respectively. For the amount remained as deferred revenue as of January 1, 2021 and 2022, respectively, but not recognized as revenue during the years ended December 31, 2021 and 2022, respectively, there is still a contractual obligation for the Group to provide service whereby the Group is not obliged to make any refund of the amount received from customers. Such amount will be recognized as revenue when all of the revenue recognition criteria are met.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Revenue recognized in the current period from performance obligations related to prior periods was not material.</w:t>
      </w:r>
    </w:p>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858" w:name="Narr_aiyAUxsu3k2BDF-SIr3jRQ"/>
      <w:bookmarkStart w:id="1859" w:name="Narr_aiyAUxsu3k2BDF-SIr3jRQ"/>
      <w:bookmarkEnd w:id="1859"/>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012" w:type="dxa"/>
        <w:jc w:val="left"/>
        <w:tblInd w:w="0" w:type="dxa"/>
        <w:tblLayout w:type="fixed"/>
        <w:tblCellMar>
          <w:top w:w="0" w:type="dxa"/>
          <w:left w:w="0" w:type="dxa"/>
          <w:bottom w:w="0" w:type="dxa"/>
          <w:right w:w="0" w:type="dxa"/>
        </w:tblCellMar>
      </w:tblPr>
      <w:tblGrid>
        <w:gridCol w:w="346"/>
        <w:gridCol w:w="46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(x)</w:t>
            </w:r>
          </w:p>
        </w:tc>
        <w:tc>
          <w:tcPr>
            <w:tcW w:w="46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 and cost of revenues (Continued)</w:t>
            </w:r>
          </w:p>
        </w:tc>
      </w:tr>
    </w:tbl>
    <w:p>
      <w:pPr>
        <w:pStyle w:val="TextBody"/>
        <w:bidi w:val="0"/>
        <w:spacing w:before="0" w:after="220"/>
        <w:ind w:left="720" w:right="0" w:hanging="0"/>
        <w:jc w:val="both"/>
        <w:rPr>
          <w:rFonts w:ascii="Times New Roman;Times;serif" w:hAnsi="Times New Roman;Times;serif"/>
          <w:i/>
          <w:sz w:val="20"/>
        </w:rPr>
      </w:pPr>
      <w:r>
        <w:rPr>
          <w:rFonts w:ascii="Times New Roman;Times;serif" w:hAnsi="Times New Roman;Times;serif"/>
          <w:i/>
          <w:sz w:val="20"/>
        </w:rPr>
        <w:t xml:space="preserve">Practical Expedients </w:t>
      </w:r>
    </w:p>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The Group has used the following practical expedients as allowed under ASC 606:</w:t>
      </w:r>
    </w:p>
    <w:tbl>
      <w:tblPr>
        <w:tblW w:w="10205" w:type="dxa"/>
        <w:jc w:val="left"/>
        <w:tblInd w:w="0" w:type="dxa"/>
        <w:tblLayout w:type="fixed"/>
        <w:tblCellMar>
          <w:top w:w="28" w:type="dxa"/>
          <w:left w:w="28" w:type="dxa"/>
          <w:bottom w:w="28" w:type="dxa"/>
          <w:right w:w="28" w:type="dxa"/>
        </w:tblCellMar>
      </w:tblPr>
      <w:tblGrid>
        <w:gridCol w:w="124"/>
        <w:gridCol w:w="258"/>
        <w:gridCol w:w="9823"/>
      </w:tblGrid>
      <w:tr>
        <w:trPr/>
        <w:tc>
          <w:tcPr>
            <w:tcW w:w="124" w:type="dxa"/>
            <w:tcBorders/>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transaction price allocated to the performance obligations</w:t>
            </w:r>
            <w:r>
              <w:rPr>
                <w:caps w:val="false"/>
                <w:smallCaps w:val="false"/>
              </w:rPr>
              <w:t xml:space="preserve"> </w:t>
            </w:r>
            <w:r>
              <w:rPr>
                <w:rFonts w:ascii="Times New Roman;Times;serif" w:hAnsi="Times New Roman;Times;serif"/>
                <w:b w:val="false"/>
                <w:i w:val="false"/>
                <w:caps w:val="false"/>
                <w:smallCaps w:val="false"/>
                <w:sz w:val="20"/>
              </w:rPr>
              <w:t>that are unsatisfied, or partially unsatisfied, has not been disclosed as substantially all of the Group’s contracts have a duration of one year or less.</w:t>
            </w:r>
          </w:p>
        </w:tc>
      </w:tr>
    </w:tbl>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 and conditions vary by contract type, although terms generally include a requirement of prepayment or payment within one year or less. In instances where the timing of revenue recognition differs from the timing of invoicing, the Group has determined that its contracts generally do not include a significant financing component.</w:t>
            </w:r>
          </w:p>
        </w:tc>
      </w:tr>
    </w:tbl>
    <w:tbl>
      <w:tblPr>
        <w:tblW w:w="10205" w:type="dxa"/>
        <w:jc w:val="left"/>
        <w:tblInd w:w="0" w:type="dxa"/>
        <w:tblLayout w:type="fixed"/>
        <w:tblCellMar>
          <w:top w:w="28" w:type="dxa"/>
          <w:left w:w="28" w:type="dxa"/>
          <w:bottom w:w="28" w:type="dxa"/>
          <w:right w:w="28" w:type="dxa"/>
        </w:tblCellMar>
      </w:tblPr>
      <w:tblGrid>
        <w:gridCol w:w="124"/>
        <w:gridCol w:w="382"/>
        <w:gridCol w:w="9699"/>
      </w:tblGrid>
      <w:tr>
        <w:trPr/>
        <w:tc>
          <w:tcPr>
            <w:tcW w:w="124" w:type="dxa"/>
            <w:tcBorders/>
            <w:vAlign w:val="center"/>
          </w:tcPr>
          <w:p>
            <w:pPr>
              <w:pStyle w:val="TableContents"/>
              <w:bidi w:val="0"/>
              <w:spacing w:before="0" w:after="283"/>
              <w:jc w:val="left"/>
              <w:rPr>
                <w:sz w:val="4"/>
                <w:szCs w:val="4"/>
              </w:rPr>
            </w:pPr>
            <w:r>
              <w:rPr>
                <w:sz w:val="4"/>
                <w:szCs w:val="4"/>
              </w:rPr>
            </w:r>
          </w:p>
        </w:tc>
        <w:tc>
          <w:tcPr>
            <w:tcW w:w="3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69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generally expenses sales commissions when incurred because the amortization period</w:t>
            </w:r>
            <w:r>
              <w:rPr>
                <w:caps w:val="false"/>
                <w:smallCaps w:val="false"/>
              </w:rPr>
              <w:t xml:space="preserve"> </w:t>
            </w:r>
            <w:r>
              <w:rPr>
                <w:rFonts w:ascii="Times New Roman;Times;serif" w:hAnsi="Times New Roman;Times;serif"/>
                <w:b w:val="false"/>
                <w:i w:val="false"/>
                <w:caps w:val="false"/>
                <w:smallCaps w:val="false"/>
                <w:sz w:val="20"/>
              </w:rPr>
              <w:t>would be one year or less. These costs are recorded within sales and marketing expenses.</w:t>
            </w:r>
          </w:p>
        </w:tc>
      </w:tr>
    </w:tbl>
    <w:tbl>
      <w:tblPr>
        <w:tblW w:w="2192" w:type="dxa"/>
        <w:jc w:val="left"/>
        <w:tblInd w:w="0" w:type="dxa"/>
        <w:tblLayout w:type="fixed"/>
        <w:tblCellMar>
          <w:top w:w="0" w:type="dxa"/>
          <w:left w:w="0" w:type="dxa"/>
          <w:bottom w:w="0" w:type="dxa"/>
          <w:right w:w="0" w:type="dxa"/>
        </w:tblCellMar>
      </w:tblPr>
      <w:tblGrid>
        <w:gridCol w:w="346"/>
        <w:gridCol w:w="184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(y)</w:t>
            </w:r>
          </w:p>
        </w:tc>
        <w:tc>
          <w:tcPr>
            <w:tcW w:w="18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Prepaid media costs</w:t>
            </w:r>
          </w:p>
        </w:tc>
      </w:tr>
    </w:tbl>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tbl>
      <w:tblPr>
        <w:tblW w:w="3527" w:type="dxa"/>
        <w:jc w:val="left"/>
        <w:tblInd w:w="0" w:type="dxa"/>
        <w:tblLayout w:type="fixed"/>
        <w:tblCellMar>
          <w:top w:w="0" w:type="dxa"/>
          <w:left w:w="0" w:type="dxa"/>
          <w:bottom w:w="0" w:type="dxa"/>
          <w:right w:w="0" w:type="dxa"/>
        </w:tblCellMar>
      </w:tblPr>
      <w:tblGrid>
        <w:gridCol w:w="331"/>
        <w:gridCol w:w="319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(z)</w:t>
            </w:r>
          </w:p>
        </w:tc>
        <w:tc>
          <w:tcPr>
            <w:tcW w:w="31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Research and development expenses</w:t>
            </w:r>
          </w:p>
        </w:tc>
      </w:tr>
    </w:tbl>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Research and development expenses consist primarily of (i) salary and welfare for research and development personnel, (ii) leases expenses and (iii)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The Group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w:t>
      </w:r>
    </w:p>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The Group incurred development costs in connection with an internal-use enterprise resource planning (“ERP”) software to further enhance management to monitor the business. While internal and external costs incurred during the preliminary project stage are expensed as incurred, costs relating to activities during the application development stages have been capitalized. For the years ended December 31, 2020, 2021 and 2022, the Group has capitalized development costs related to ERP software of US$156, US$111 and US$nil, respectively, as intangible assets. In addition, the Group incurred other research and development costs in relation to other internal use software used to support its operations. Any development costs qualified for capitalization were immaterial for the periods presented. For the years ended December 31, 2020, 2021 and 2022, the Group has not capitalized any other costs related to internal use software other than the ERP software.</w:t>
      </w:r>
    </w:p>
    <w:tbl>
      <w:tblPr>
        <w:tblW w:w="3107" w:type="dxa"/>
        <w:jc w:val="left"/>
        <w:tblInd w:w="0" w:type="dxa"/>
        <w:tblLayout w:type="fixed"/>
        <w:tblCellMar>
          <w:top w:w="0" w:type="dxa"/>
          <w:left w:w="0" w:type="dxa"/>
          <w:bottom w:w="0" w:type="dxa"/>
          <w:right w:w="0" w:type="dxa"/>
        </w:tblCellMar>
      </w:tblPr>
      <w:tblGrid>
        <w:gridCol w:w="451"/>
        <w:gridCol w:w="2656"/>
      </w:tblGrid>
      <w:tr>
        <w:trPr/>
        <w:tc>
          <w:tcPr>
            <w:tcW w:w="451" w:type="dxa"/>
            <w:tcBorders/>
            <w:vAlign w:val="center"/>
          </w:tcPr>
          <w:p>
            <w:pPr>
              <w:pStyle w:val="TableContents"/>
              <w:bidi w:val="0"/>
              <w:spacing w:before="0" w:after="220"/>
              <w:jc w:val="left"/>
              <w:rPr>
                <w:rFonts w:ascii="Times New Roman;Times;serif" w:hAnsi="Times New Roman;Times;serif"/>
                <w:b/>
                <w:sz w:val="20"/>
              </w:rPr>
            </w:pPr>
            <w:r>
              <w:rPr>
                <w:rFonts w:ascii="Times New Roman;Times;serif" w:hAnsi="Times New Roman;Times;serif"/>
                <w:b/>
                <w:sz w:val="20"/>
              </w:rPr>
              <w:t>(aa)</w:t>
            </w:r>
          </w:p>
        </w:tc>
        <w:tc>
          <w:tcPr>
            <w:tcW w:w="2656" w:type="dxa"/>
            <w:tcBorders/>
            <w:vAlign w:val="center"/>
          </w:tcPr>
          <w:p>
            <w:pPr>
              <w:pStyle w:val="TableContents"/>
              <w:bidi w:val="0"/>
              <w:spacing w:before="0" w:after="220"/>
              <w:jc w:val="left"/>
              <w:rPr>
                <w:rFonts w:ascii="Times New Roman;Times;serif" w:hAnsi="Times New Roman;Times;serif"/>
                <w:b/>
                <w:sz w:val="20"/>
              </w:rPr>
            </w:pPr>
            <w:r>
              <w:rPr>
                <w:rFonts w:ascii="Times New Roman;Times;serif" w:hAnsi="Times New Roman;Times;serif"/>
                <w:b/>
                <w:sz w:val="20"/>
              </w:rPr>
              <w:t>Sales and marketing expenses</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Sales and marketing expenses consist primarily of (i) advertising and marketing expenses, and (ii) salary and welfare for sales and marketing personnel. Advertising expenses are recorded as sales and marketing expenses when incurred, and totaled US$8,658, US$10,458 and US$6,769 for the years ended December 31, 2020, 2021 and 2022,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3722" w:type="dxa"/>
        <w:jc w:val="left"/>
        <w:tblInd w:w="0" w:type="dxa"/>
        <w:tblLayout w:type="fixed"/>
        <w:tblCellMar>
          <w:top w:w="0" w:type="dxa"/>
          <w:left w:w="0" w:type="dxa"/>
          <w:bottom w:w="0" w:type="dxa"/>
          <w:right w:w="0" w:type="dxa"/>
        </w:tblCellMar>
      </w:tblPr>
      <w:tblGrid>
        <w:gridCol w:w="451"/>
        <w:gridCol w:w="327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(ab)</w:t>
            </w:r>
          </w:p>
        </w:tc>
        <w:tc>
          <w:tcPr>
            <w:tcW w:w="3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General and administrative expenses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General and administrative expenses consist primarily of (i) salary and welfare for general and administrative personnel, (ii) professional service fees, and (iii) allowance for credit losses.</w:t>
      </w:r>
    </w:p>
    <w:tbl>
      <w:tblPr>
        <w:tblW w:w="4427" w:type="dxa"/>
        <w:jc w:val="left"/>
        <w:tblInd w:w="0" w:type="dxa"/>
        <w:tblLayout w:type="fixed"/>
        <w:tblCellMar>
          <w:top w:w="0" w:type="dxa"/>
          <w:left w:w="0" w:type="dxa"/>
          <w:bottom w:w="0" w:type="dxa"/>
          <w:right w:w="0" w:type="dxa"/>
        </w:tblCellMar>
      </w:tblPr>
      <w:tblGrid>
        <w:gridCol w:w="436"/>
        <w:gridCol w:w="3991"/>
      </w:tblGrid>
      <w:tr>
        <w:trPr/>
        <w:tc>
          <w:tcPr>
            <w:tcW w:w="4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w:t>
            </w:r>
          </w:p>
        </w:tc>
        <w:tc>
          <w:tcPr>
            <w:tcW w:w="39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Employee social security and welfare benefits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PRC government is responsible for the medical benefits and the pension liability to be paid to these employees and the Group’s obligations are limited to the amounts contributed and no legal obligation beyond the contributions made.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also makes payments to other defined contribution plans for employees employed by subsidiaries outside the PRC. The Company and subsidiaries incorporated in Hong Kong are required to make contributions to Mandatory Provident Funds under the Hong Kong Mandatory Provident Fund Schemes Ordinance. Such contributions are recognized as an expense in profit or loss as incurred.</w:t>
      </w:r>
    </w:p>
    <w:tbl>
      <w:tblPr>
        <w:tblW w:w="2702" w:type="dxa"/>
        <w:jc w:val="left"/>
        <w:tblInd w:w="0" w:type="dxa"/>
        <w:tblLayout w:type="fixed"/>
        <w:tblCellMar>
          <w:top w:w="0" w:type="dxa"/>
          <w:left w:w="0" w:type="dxa"/>
          <w:bottom w:w="0" w:type="dxa"/>
          <w:right w:w="0" w:type="dxa"/>
        </w:tblCellMar>
      </w:tblPr>
      <w:tblGrid>
        <w:gridCol w:w="451"/>
        <w:gridCol w:w="225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w:t>
            </w:r>
          </w:p>
        </w:tc>
        <w:tc>
          <w:tcPr>
            <w:tcW w:w="22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Non-controlling interests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non-controlling interests are presented in the consolidated balance sheets, separately from equity attributable to the shareholders of the Company. Non-controlling interests are presented on the face of the consolidated statement of comprehensive loss as an allocation of the total income or loss for the year between non-controlling interests holders and the shareholders of the Company.</w:t>
      </w:r>
    </w:p>
    <w:tbl>
      <w:tblPr>
        <w:tblW w:w="1697" w:type="dxa"/>
        <w:jc w:val="left"/>
        <w:tblInd w:w="0" w:type="dxa"/>
        <w:tblLayout w:type="fixed"/>
        <w:tblCellMar>
          <w:top w:w="0" w:type="dxa"/>
          <w:left w:w="0" w:type="dxa"/>
          <w:bottom w:w="0" w:type="dxa"/>
          <w:right w:w="0" w:type="dxa"/>
        </w:tblCellMar>
      </w:tblPr>
      <w:tblGrid>
        <w:gridCol w:w="436"/>
        <w:gridCol w:w="1261"/>
      </w:tblGrid>
      <w:tr>
        <w:trPr/>
        <w:tc>
          <w:tcPr>
            <w:tcW w:w="4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(ae)</w:t>
            </w:r>
          </w:p>
        </w:tc>
        <w:tc>
          <w:tcPr>
            <w:tcW w:w="12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732" w:type="dxa"/>
        <w:jc w:val="left"/>
        <w:tblInd w:w="0" w:type="dxa"/>
        <w:tblLayout w:type="fixed"/>
        <w:tblCellMar>
          <w:top w:w="0" w:type="dxa"/>
          <w:left w:w="0" w:type="dxa"/>
          <w:bottom w:w="0" w:type="dxa"/>
          <w:right w:w="0" w:type="dxa"/>
        </w:tblCellMar>
      </w:tblPr>
      <w:tblGrid>
        <w:gridCol w:w="436"/>
        <w:gridCol w:w="2296"/>
      </w:tblGrid>
      <w:tr>
        <w:trPr/>
        <w:tc>
          <w:tcPr>
            <w:tcW w:w="4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(ae)</w:t>
            </w:r>
          </w:p>
        </w:tc>
        <w:tc>
          <w:tcPr>
            <w:tcW w:w="2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 (Continued)</w:t>
            </w:r>
          </w:p>
        </w:tc>
      </w:tr>
    </w:tbl>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Uncertain tax positions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guidance on accounting for uncertainties in income taxes prescribes a more likely than not threshold for financial statement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comprehensive loss. The Group did not recognize any significant interest and penalties associated with uncertain tax positions for the years ended December 31, 2020, 2021 and 2022. As of December 31, 2021 and 2022, the Group did not have any significant unrecognized uncertain tax positions.</w:t>
      </w:r>
    </w:p>
    <w:tbl>
      <w:tblPr>
        <w:tblW w:w="2807" w:type="dxa"/>
        <w:jc w:val="left"/>
        <w:tblInd w:w="0" w:type="dxa"/>
        <w:tblLayout w:type="fixed"/>
        <w:tblCellMar>
          <w:top w:w="0" w:type="dxa"/>
          <w:left w:w="0" w:type="dxa"/>
          <w:bottom w:w="0" w:type="dxa"/>
          <w:right w:w="0" w:type="dxa"/>
        </w:tblCellMar>
      </w:tblPr>
      <w:tblGrid>
        <w:gridCol w:w="406"/>
        <w:gridCol w:w="2401"/>
      </w:tblGrid>
      <w:tr>
        <w:trPr/>
        <w:tc>
          <w:tcPr>
            <w:tcW w:w="4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(af)</w:t>
            </w:r>
          </w:p>
        </w:tc>
        <w:tc>
          <w:tcPr>
            <w:tcW w:w="24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Company grants stock-based awards, including share options, restricted share units and warrants of the Company, to eligible employees, officers, directors, and non-employee consultants. The Company accounts for share-based awards granted to employees in accordance with ASC 718, “Compensation - Stock Compensation” and share-based awards granted to non-employees in accordance with ASC subtopic, 505-50 (“ASC 505-50”), “Equity-Based Payments to Non-Employees”. ASC 505. On January 1, 2019, the Group adopted ASU 2018-07, Compensation—Stock Compensation (Topic 718): Improvement to Nonemployee Share-based Payment Accounting to amend the accounting for share-based payment awards issued to non-employees. Under ASU 2018-07, the accounting for awards to non-employees are similar to the model for employee awards. </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Option and RSUs granted to employees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fair value recognition provisions of ASC 718-10, share-based compensation costs are measured at the grant date. The share-based compensation expenses have been categorized as either general and administrative expenses, sales and marketing expenses or research and development expenses, depending on the job functions of the grantees. For the options and RSUs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 The fair value of RSUs is determined with reference to the fair value of the underlying shares.</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Option modification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According to ASC 718, a change in any of the terms or conditions of equity based awards shall be accounted for as a modification of the award. Therefore, the Group calculates incremental compensation cost of a modification as the excess of the fair value of the modified option over the fair value of the original option immediately before its terms are modified. For vested options, the Group would recognize incremental compensation costs on the date of modification and for unvested options, the Group would recognize, prospectively and over the remaining requisite service period, the sum of the incremental compensation costs and the remaining unrecognized compensation costs for the original award.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3842" w:type="dxa"/>
        <w:jc w:val="left"/>
        <w:tblInd w:w="0" w:type="dxa"/>
        <w:tblLayout w:type="fixed"/>
        <w:tblCellMar>
          <w:top w:w="0" w:type="dxa"/>
          <w:left w:w="0" w:type="dxa"/>
          <w:bottom w:w="0" w:type="dxa"/>
          <w:right w:w="0" w:type="dxa"/>
        </w:tblCellMar>
      </w:tblPr>
      <w:tblGrid>
        <w:gridCol w:w="406"/>
        <w:gridCol w:w="3436"/>
      </w:tblGrid>
      <w:tr>
        <w:trPr/>
        <w:tc>
          <w:tcPr>
            <w:tcW w:w="4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(af)</w:t>
            </w:r>
          </w:p>
        </w:tc>
        <w:tc>
          <w:tcPr>
            <w:tcW w:w="34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 (Continued)</w:t>
            </w:r>
          </w:p>
        </w:tc>
      </w:tr>
    </w:tbl>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Option, RSUs and warrants granted to non-employees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Pursuant to ASU No. 2018-07, Compensation—Stock Compensation (Topic 718): Improvements to Nonemployee Share-Based Payment Accounting (“ASU 2018-07”), stock-based awards granted to consultants and non-employees are accounted for in the same manner as awards granted to employees as described above.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Options and warrants of the Company issued to non-employees are measured based on fair value of the options and warrants which are determined by using the binomial option pricing model and RSUs of the Company issued to non-employees are measured based on fair value of the RSUs which are determined with reference to the fair value of the underlying shares.</w:t>
      </w:r>
    </w:p>
    <w:tbl>
      <w:tblPr>
        <w:tblW w:w="2462" w:type="dxa"/>
        <w:jc w:val="left"/>
        <w:tblInd w:w="0" w:type="dxa"/>
        <w:tblLayout w:type="fixed"/>
        <w:tblCellMar>
          <w:top w:w="0" w:type="dxa"/>
          <w:left w:w="0" w:type="dxa"/>
          <w:bottom w:w="0" w:type="dxa"/>
          <w:right w:w="0" w:type="dxa"/>
        </w:tblCellMar>
      </w:tblPr>
      <w:tblGrid>
        <w:gridCol w:w="451"/>
        <w:gridCol w:w="201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(ag)</w:t>
            </w:r>
          </w:p>
        </w:tc>
        <w:tc>
          <w:tcPr>
            <w:tcW w:w="20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Government subsidies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receives subsidies from Hong Kong and the local PRC government for general use. General-use subsidies which are not subject to any conditions or specific use requirements are recorded as subsidy income in the consolidated statements of comprehensive loss.</w:t>
      </w:r>
    </w:p>
    <w:tbl>
      <w:tblPr>
        <w:tblW w:w="2147" w:type="dxa"/>
        <w:jc w:val="left"/>
        <w:tblInd w:w="0" w:type="dxa"/>
        <w:tblLayout w:type="fixed"/>
        <w:tblCellMar>
          <w:top w:w="0" w:type="dxa"/>
          <w:left w:w="0" w:type="dxa"/>
          <w:bottom w:w="0" w:type="dxa"/>
          <w:right w:w="0" w:type="dxa"/>
        </w:tblCellMar>
      </w:tblPr>
      <w:tblGrid>
        <w:gridCol w:w="451"/>
        <w:gridCol w:w="1696"/>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(ah)</w:t>
            </w:r>
          </w:p>
        </w:tc>
        <w:tc>
          <w:tcPr>
            <w:tcW w:w="16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Statutory reserves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subsidiaries, a consolidated VIE and subsidiaries incorporated in the PRC, are required on an annual basis to make appropriations of retained earnings set at certain percentage of after-tax profit determined in accordance with PRC accounting standards and regulations (“PRC GAAP”).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There are no legal requirements in the PRC to fund these reserves by transfer of cash to restricted accounts, and the Group was not done so.</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1832" w:type="dxa"/>
        <w:jc w:val="left"/>
        <w:tblInd w:w="0" w:type="dxa"/>
        <w:tblLayout w:type="fixed"/>
        <w:tblCellMar>
          <w:top w:w="0" w:type="dxa"/>
          <w:left w:w="0" w:type="dxa"/>
          <w:bottom w:w="0" w:type="dxa"/>
          <w:right w:w="0" w:type="dxa"/>
        </w:tblCellMar>
      </w:tblPr>
      <w:tblGrid>
        <w:gridCol w:w="406"/>
        <w:gridCol w:w="1426"/>
      </w:tblGrid>
      <w:tr>
        <w:trPr/>
        <w:tc>
          <w:tcPr>
            <w:tcW w:w="4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(ai)</w:t>
            </w:r>
          </w:p>
        </w:tc>
        <w:tc>
          <w:tcPr>
            <w:tcW w:w="14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Related parties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tbl>
      <w:tblPr>
        <w:tblW w:w="1397" w:type="dxa"/>
        <w:jc w:val="left"/>
        <w:tblInd w:w="0" w:type="dxa"/>
        <w:tblLayout w:type="fixed"/>
        <w:tblCellMar>
          <w:top w:w="0" w:type="dxa"/>
          <w:left w:w="0" w:type="dxa"/>
          <w:bottom w:w="0" w:type="dxa"/>
          <w:right w:w="0" w:type="dxa"/>
        </w:tblCellMar>
      </w:tblPr>
      <w:tblGrid>
        <w:gridCol w:w="406"/>
        <w:gridCol w:w="991"/>
      </w:tblGrid>
      <w:tr>
        <w:trPr/>
        <w:tc>
          <w:tcPr>
            <w:tcW w:w="4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(aj)</w:t>
            </w:r>
          </w:p>
        </w:tc>
        <w:tc>
          <w:tcPr>
            <w:tcW w:w="9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Dividends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Dividends are recognized when declared. No dividends were declared for the years ended December 31, 2020, 2021 and 2022, respectively. The Group does not have any present plan to pay any dividends on ordinary shares in the foreseeable future. The Group currently intends to retain the available funds and any future earnings to operate and expand its business. </w:t>
      </w:r>
    </w:p>
    <w:tbl>
      <w:tblPr>
        <w:tblW w:w="1832" w:type="dxa"/>
        <w:jc w:val="left"/>
        <w:tblInd w:w="0" w:type="dxa"/>
        <w:tblLayout w:type="fixed"/>
        <w:tblCellMar>
          <w:top w:w="0" w:type="dxa"/>
          <w:left w:w="0" w:type="dxa"/>
          <w:bottom w:w="0" w:type="dxa"/>
          <w:right w:w="0" w:type="dxa"/>
        </w:tblCellMar>
      </w:tblPr>
      <w:tblGrid>
        <w:gridCol w:w="451"/>
        <w:gridCol w:w="138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(ak)</w:t>
            </w:r>
          </w:p>
        </w:tc>
        <w:tc>
          <w:tcPr>
            <w:tcW w:w="13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Loss per share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Basic loss per share is computed by dividing net loss attributable to holders of ordinary shares by the weighted average number of ordinary shares outstanding during the year using the two class method. The Group uses the two-class method to calculate net loss per share though both classes share the same rights in dividends. Therefore, basic and diluted loss per share are the same for both classes of ordinary shares. Using the two class method, net loss is allocated between ordinary shares based on their participating rights.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notes and ordinary shares issuable upon the conversion of the stock options and warrants and vesting of RSUs, using the treasury stock method.</w:t>
      </w:r>
    </w:p>
    <w:tbl>
      <w:tblPr>
        <w:tblW w:w="2912" w:type="dxa"/>
        <w:jc w:val="left"/>
        <w:tblInd w:w="0" w:type="dxa"/>
        <w:tblLayout w:type="fixed"/>
        <w:tblCellMar>
          <w:top w:w="0" w:type="dxa"/>
          <w:left w:w="0" w:type="dxa"/>
          <w:bottom w:w="0" w:type="dxa"/>
          <w:right w:w="0" w:type="dxa"/>
        </w:tblCellMar>
      </w:tblPr>
      <w:tblGrid>
        <w:gridCol w:w="406"/>
        <w:gridCol w:w="2506"/>
      </w:tblGrid>
      <w:tr>
        <w:trPr/>
        <w:tc>
          <w:tcPr>
            <w:tcW w:w="4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(al)</w:t>
            </w:r>
          </w:p>
        </w:tc>
        <w:tc>
          <w:tcPr>
            <w:tcW w:w="25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Comprehensive income/loss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Comprehensive income/loss is defined as the change in shareholders’ equity of the Group during a period arising from transactions and other events and circumstances excluding transactions resulting from investments by shareholders and distributions to shareholders.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Comprehensive income/loss is reported in the consolidated statements of comprehensive loss. Accumulated other comprehensive income/losses of the Group include the foreign currency translation adjustments.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2237" w:type="dxa"/>
        <w:jc w:val="left"/>
        <w:tblInd w:w="0" w:type="dxa"/>
        <w:tblLayout w:type="fixed"/>
        <w:tblCellMar>
          <w:top w:w="0" w:type="dxa"/>
          <w:left w:w="0" w:type="dxa"/>
          <w:bottom w:w="0" w:type="dxa"/>
          <w:right w:w="0" w:type="dxa"/>
        </w:tblCellMar>
      </w:tblPr>
      <w:tblGrid>
        <w:gridCol w:w="511"/>
        <w:gridCol w:w="1726"/>
      </w:tblGrid>
      <w:tr>
        <w:trPr/>
        <w:tc>
          <w:tcPr>
            <w:tcW w:w="5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(am)</w:t>
            </w:r>
          </w:p>
        </w:tc>
        <w:tc>
          <w:tcPr>
            <w:tcW w:w="17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 reporting</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CODM is comprised of certain members of the Company’s management team.</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reports two operating segments: 1) Marketing Solutions, and 2) Enterprise Solutions. This segment reporting aligns with the manner in which the Group’s CODM currently receives and uses financial information to allocate resources and evaluate the performance of reporting segments.</w:t>
      </w:r>
    </w:p>
    <w:tbl>
      <w:tblPr>
        <w:tblW w:w="4307" w:type="dxa"/>
        <w:jc w:val="left"/>
        <w:tblInd w:w="0" w:type="dxa"/>
        <w:tblLayout w:type="fixed"/>
        <w:tblCellMar>
          <w:top w:w="0" w:type="dxa"/>
          <w:left w:w="0" w:type="dxa"/>
          <w:bottom w:w="0" w:type="dxa"/>
          <w:right w:w="0" w:type="dxa"/>
        </w:tblCellMar>
      </w:tblPr>
      <w:tblGrid>
        <w:gridCol w:w="451"/>
        <w:gridCol w:w="3856"/>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(an)</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Recently issued accounting pronouncements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In August 2020, the FASB issued ASU No. 2020-06, Debt—Debt with Conversion and Other Options (Subtopic 470-20) and Derivatives and Hedging—Contracts in Entity’s Own Equity (Subtopic 815-40): Accounting for Convertible Instruments and Contracts in an Entity’s Own Equity, which 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public in fiscal years beginning after December 15, 2023, including interim periods within those fiscal years. Early adoption is permitted, but no earlier than fiscal years beginning after December 15, 2020, and interim periods within those fiscal years. The Group did not early adopt and is currently evaluating the impact of adopting this ASU on its consolidated financial statements.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October 2021, the FASB issued ASU No. 2021-08, Business Combinations (Topic 805): Accounting for Contract Assets and Contract Liabilities from Contracts with Customers, which clarifies the accounting for acquired revenue contracts with customers in a business combination by addressing diversity in practice and inconsistency regarding (i) the recognition of an acquired contract liability; and (ii) payment terms and their effect on subsequent revenue recognized by the acquirer. The amendments in this update are effective for fiscal years beginning after December 15, 2022, including interim periods within those fiscal years. Early adoption of the amendments is permitted. The Group did not early adopt the amendments. The Group is currently evaluating the impact of adopting this ASU on its consolidated financial statements.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March 2022, the FASB issued ASU No. 2022-02, Financial Instruments—Credit Losses (Topic 326): Troubled Debt Restructurings and Vintage Disclosures, which eliminates the accounting guidance for troubled debt restructurings by creditors in Subtopic 310-40, Receivables—Troubled Debt Restructurings by Creditors, while enhancing disclosure requirements for certain loan refinancing and restructurings by creditors when a borrower is experiencing financial difficulty and requires that an entity disclose current-period gross write-offs by year of origination for financing receivables and net investments in leases within the scope of Subtopic 326-20, Financial Instruments—Credit Losses—Measured at Amortized Cost. For entities that have adopted ASU 2016-13, the amendments in this update are effective for fiscal years beginning after December 15, 2022, including interim periods within those fiscal years. Early adoption of the amendments is permitted if ASU 2016-13 has already been adopted. The Group did not early adopt and is currently evaluating the impact of adopting this ASU on its consolidated financial statements.</w:t>
      </w:r>
    </w:p>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3872" w:type="dxa"/>
        <w:jc w:val="left"/>
        <w:tblInd w:w="0" w:type="dxa"/>
        <w:tblLayout w:type="fixed"/>
        <w:tblCellMar>
          <w:top w:w="0" w:type="dxa"/>
          <w:left w:w="0" w:type="dxa"/>
          <w:bottom w:w="0" w:type="dxa"/>
          <w:right w:w="0" w:type="dxa"/>
        </w:tblCellMar>
      </w:tblPr>
      <w:tblGrid>
        <w:gridCol w:w="226"/>
        <w:gridCol w:w="36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policies (Continued)</w:t>
            </w:r>
          </w:p>
        </w:tc>
      </w:tr>
    </w:tbl>
    <w:tbl>
      <w:tblPr>
        <w:tblW w:w="5342" w:type="dxa"/>
        <w:jc w:val="left"/>
        <w:tblInd w:w="0" w:type="dxa"/>
        <w:tblLayout w:type="fixed"/>
        <w:tblCellMar>
          <w:top w:w="0" w:type="dxa"/>
          <w:left w:w="0" w:type="dxa"/>
          <w:bottom w:w="0" w:type="dxa"/>
          <w:right w:w="0" w:type="dxa"/>
        </w:tblCellMar>
      </w:tblPr>
      <w:tblGrid>
        <w:gridCol w:w="451"/>
        <w:gridCol w:w="489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(an)</w:t>
            </w:r>
          </w:p>
        </w:tc>
        <w:tc>
          <w:tcPr>
            <w:tcW w:w="48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Recently issued accounting pronouncements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June 2022, the FASB issued ASU No. 2022-03, Fair Value Measurement (Topic 820)—Fair Value Measurement of Equity Securities Subject to Contractual Sale Restrictions, which clarifies that a contractual restriction on the sale of an equity security is not considered part of the unit of account of the equity security and, therefore, is not considered in measuring fair value and an entity cannot, as a separate unit of account, recognize and measure a contractual sale restriction. The amendments in this update are effective for fiscal years beginning after December 15, 2023, including interim periods within those fiscal years. Early adoption of the amendments is permitted. The Group did not early adopt and is currently evaluating the impact of adopting this ASU on its consolidated financial statements.</w:t>
      </w:r>
    </w:p>
    <w:tbl>
      <w:tblPr>
        <w:tblW w:w="3047" w:type="dxa"/>
        <w:jc w:val="left"/>
        <w:tblInd w:w="0" w:type="dxa"/>
        <w:tblLayout w:type="fixed"/>
        <w:tblCellMar>
          <w:top w:w="0" w:type="dxa"/>
          <w:left w:w="0" w:type="dxa"/>
          <w:bottom w:w="0" w:type="dxa"/>
          <w:right w:w="0" w:type="dxa"/>
        </w:tblCellMar>
      </w:tblPr>
      <w:tblGrid>
        <w:gridCol w:w="226"/>
        <w:gridCol w:w="28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8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w:t>
            </w:r>
          </w:p>
        </w:tc>
      </w:tr>
    </w:tbl>
    <w:tbl>
      <w:tblPr>
        <w:tblW w:w="1892" w:type="dxa"/>
        <w:jc w:val="left"/>
        <w:tblInd w:w="0" w:type="dxa"/>
        <w:tblLayout w:type="fixed"/>
        <w:tblCellMar>
          <w:top w:w="0" w:type="dxa"/>
          <w:left w:w="0" w:type="dxa"/>
          <w:bottom w:w="0" w:type="dxa"/>
          <w:right w:w="0" w:type="dxa"/>
        </w:tblCellMar>
      </w:tblPr>
      <w:tblGrid>
        <w:gridCol w:w="346"/>
        <w:gridCol w:w="154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15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PRC regulations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China market in which the Group operates poses certain macro-economic and regulatory risks and uncertainties. These uncertainties extend to the ability of the Group to engage in online advertising businesses through contractual arrangements in the PRC since the internet and marketing services industries remain regulated. The Group conducts certain of its operations in the PRC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Group,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Group’s ability to conduct business in the PRC.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There are uncertainties regarding the interpretation and application of current and future PRC laws, rules and regulations, including but not limited to the laws, rules and regulations governing the validity and enforcement of the contractual arrangements with consolidated VIE. The Group believes that the structure for operating its business in the PRC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Group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2927" w:type="dxa"/>
        <w:jc w:val="left"/>
        <w:tblInd w:w="0" w:type="dxa"/>
        <w:tblLayout w:type="fixed"/>
        <w:tblCellMar>
          <w:top w:w="0" w:type="dxa"/>
          <w:left w:w="0" w:type="dxa"/>
          <w:bottom w:w="0" w:type="dxa"/>
          <w:right w:w="0" w:type="dxa"/>
        </w:tblCellMar>
      </w:tblPr>
      <w:tblGrid>
        <w:gridCol w:w="346"/>
        <w:gridCol w:w="258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5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PRC regulations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the business licenses of such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discontinuing or restricting the conduct of any transactions between the Company’s PRC subsidiaries and OptAim VIE;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fines, confiscating the income of OptAim VIE or the Company’s PRC subsidiaries, or imposing other requirements with which the Company or its PRC subsidiaries and OptAim VIE may not be able to comply;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or prohibiting its use of the proceeds of any offering to finance its business and operations in the PRC.</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If the imposition of any of these penalties precludes the Group from operating its business, it would no longer be in a position to generate revenue or cash from it. If the imposition of any of these penalties causes the Company to lose its rights to direct the activities of its consolidated VIE or its rights to receive its economic benefits, the Company would no longer be able to consolidate these entities, and its financial statements would no longer reflect the results of operations from the business conducted by VIE except to the extent that the Company receives payments from VIE under the contractual arrangements. Either of these results, or any other significant penalties that might be imposed on the Company in this event, would have a material adverse effect on its financial condition and results of operations.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On January 19, 2015, the Ministry of Commerce (“MOFCOM”), released for public comment a proposed PRC law, the Draft Foreign Investment Law, that appeared to include VIEs within the scope of entities that could be considered to be foreign investment enterprises (“FIEs”), that would be subject to restrictions under existing PRC law on foreign investment in certain categories of industry. The National People’s Congress approved the Foreign Investment Law on March 15, 2019, effective on January 1, 2020. The Foreign Investment Law removes all references to the terms of “de facto control” or “contractual control” as defined in the draft published in 2015. However, the Foreign Investment Law has a catch-all provision under the definition of “foreign investment” which includes investments made by foreign investors in China through means stipulated in laws or administrative regulations or other methods prescribed by the State Council. In the event that the State Council in the future promulgates laws and regulations that deem investments made by foreign investors through contractual arrangements as “foreign investment” the Group’s ability to use the contractual arrangements with its VIE and the Group’s ability to conduct business through the VIE could be severely limited.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2927" w:type="dxa"/>
        <w:jc w:val="left"/>
        <w:tblInd w:w="0" w:type="dxa"/>
        <w:tblLayout w:type="fixed"/>
        <w:tblCellMar>
          <w:top w:w="0" w:type="dxa"/>
          <w:left w:w="0" w:type="dxa"/>
          <w:bottom w:w="0" w:type="dxa"/>
          <w:right w:w="0" w:type="dxa"/>
        </w:tblCellMar>
      </w:tblPr>
      <w:tblGrid>
        <w:gridCol w:w="346"/>
        <w:gridCol w:w="258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5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PRC regulations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Furthermore, on December 19, 2020, the NDRC and MOFCOM promulgated the Foreign Investment Security Review Measures, which took effect on January 18, 2021. Under the Foreign Investment Security Review Measures, investments in military, national defense-related areas or in locations in proximity to military facilities, or investments that would result in acquiring the actual control of assets in certain key sectors, such as critical agricultural products, energy and resources, equipment manufacturing, infrastructure, transport, cultural products and services, IT, Internet products and services, financial services and technology sectors, are required to be approved by designated governmental authorities in advance. Although the term “investment through other means” is not clearly defined under the Foreign Investment Security Review Measures, the Company cannot rule out the possibility that control through contractual arrangement may be regarded as a form of actual control and therefore require approval from the competent governmental authority. As the Foreign Investment Security Review Measures were recently promulgated, there are great uncertainties with respect to its interpretation and implementation. Accordingly, there are substantial uncertainties as to whether the Group’s VIE structure may be deemed as a method of foreign investment in the future. If the VIE structure were to be deemed as a method of foreign investment under any future laws, regulations and rules, and if any of the Group’s business operations were to fall under the “negative list” for foreign investment, we would need to take further actions in order to comply with these laws, regulations and rules, which may materially and adversely affect our current corporate structure, business, financial condition and results of operations.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Company’s ability to control the VIE also depends on the powers of attorney the founders have to vote on all matters requiring shareholder approval in the VIE. As noted above, these powers of attorney are believed to be legally enforceable but may not be as effective as direct equity ownership.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the PRC, which could have a material adverse effect on the Group’s future financial position, results of operations or cash flows. However, the Group believes this is a normal business risk many companies face. The Group will continue to closely monitor the financial conditions of OptAim VIE.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OptAim VIE’s assets comprise both recognized and unrecognized revenue-producing assets. The recognized revenue-producing assets include leasehold improvements, computers and network equipment and computer software which are recognized in the Group’s consolidated balance sheet. The unrecognized revenue-producing assets mainly consist of patents, trademarks and assembled workforce which are not recorded in the financial statements of OptAim VIE as it did not meet the recognition criteria set in ASC 350-30-25.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860" w:name="Tc_LRiCskI2eE2_r3ci8mwCmw_7_0"/>
      <w:bookmarkStart w:id="1861" w:name="Tc_Ubw5A_-NPkeGMWUVtmD8Hg_5_0"/>
      <w:bookmarkStart w:id="1862" w:name="Tc_P5WOZouJK0Cpy75rMfdKOA_4_0"/>
      <w:bookmarkStart w:id="1863" w:name="Tc_I3_B74kwWUy7digtgnmaTw_3_0"/>
      <w:bookmarkStart w:id="1864" w:name="Tc_5mZdIIwMMEKtnp0hYRtrCQ_2_6"/>
      <w:bookmarkStart w:id="1865" w:name="Tc_jwG5BKJITkmbjZrNTENcfA_2_4"/>
      <w:bookmarkStart w:id="1866" w:name="Tc_LtL5rebLQ0GhNg4PcmmUPQ_2_2"/>
      <w:bookmarkStart w:id="1867" w:name="Tc_HcQ43d41tUWtYT5oLOHxAg_1_2"/>
      <w:bookmarkStart w:id="1868" w:name="_d7ebec66_4d69_41ac_a009_093d62b52b9e"/>
      <w:bookmarkStart w:id="1869" w:name="Tc_e6pNIC4bYUiObJRgj-f56w_26_0"/>
      <w:bookmarkStart w:id="1870" w:name="Tc_bTwOWBkt3Ey2yQBya0hkdQ_25_0"/>
      <w:bookmarkStart w:id="1871" w:name="Tc_puDzoNeWLkKNfVP76tOYJQ_24_0"/>
      <w:bookmarkStart w:id="1872" w:name="Tc_iv3QNjPFTEa9ODZrsLrbIg_23_0"/>
      <w:bookmarkStart w:id="1873" w:name="Tc_fInlwZbNNkqSupLW6MbIYw_22_0"/>
      <w:bookmarkStart w:id="1874" w:name="Tc_ghHaZH7bUE2wHUW86fIw_g_21_0"/>
      <w:bookmarkStart w:id="1875" w:name="Tc_q9CpdV1zxE2U4I3F9DiOfA_20_0"/>
      <w:bookmarkStart w:id="1876" w:name="Tc_xjnRA_w2v0m1w-Nv2j31wg_19_0"/>
      <w:bookmarkStart w:id="1877" w:name="Tc_em0fnOJ5ZUimqYvGAeVbPw_18_0"/>
      <w:bookmarkStart w:id="1878" w:name="Tc_FHQYiOoWFUycKUbqph0H1Q_17_0"/>
      <w:bookmarkStart w:id="1879" w:name="Tc_4b_0Er23EUy2K3kDjLU-1w_15_0"/>
      <w:bookmarkStart w:id="1880" w:name="Tc_8un9ZHZPMUuBHiNcTfnb9A_14_2"/>
      <w:bookmarkStart w:id="1881" w:name="Tc_G5XyIumtIUmGxjRS96YWJA_14_0"/>
      <w:bookmarkStart w:id="1882" w:name="Tc_FKkjUpkIpUi6ltN2X1C6kw_13_4"/>
      <w:bookmarkStart w:id="1883" w:name="Tc_Or3RZ1ijXEi-plRaPM26Vg_13_0"/>
      <w:bookmarkStart w:id="1884" w:name="Tc_bY00Wvcth0CE4-If0SQWVQ_12_2"/>
      <w:bookmarkStart w:id="1885" w:name="Tc_yGkdSR0-gUqY9RKdKUOYZw_12_0"/>
      <w:bookmarkStart w:id="1886" w:name="Tc_JIQW7Exk6UugkuqfNSAPzQ_11_4"/>
      <w:bookmarkStart w:id="1887" w:name="Tc_NwbymIA-xE6JTHLZUX20fw_11_0"/>
      <w:bookmarkStart w:id="1888" w:name="Tc_oIVOTOmfD0KAE9I6eSKM0Q_10_4"/>
      <w:bookmarkStart w:id="1889" w:name="Tc_ovJG5CXlBUm326Bcbbal-w_10_0"/>
      <w:bookmarkStart w:id="1890" w:name="Tc_kUqiftD-jEa6-RkiNVSJ8g_9_4"/>
      <w:bookmarkStart w:id="1891" w:name="Tc_ugh6U8z8aU6rpEH85yGHEA_9_0"/>
      <w:bookmarkStart w:id="1892" w:name="Tc_jAZ4SrpGNUWKAzCCRK-Bbg_8_0"/>
      <w:bookmarkStart w:id="1893" w:name="Tc_AVnY6QuGVUeEA3Tc2Zsr6Q_7_0"/>
      <w:bookmarkStart w:id="1894" w:name="Tc_zO_UQtzjUkKTD8CVijZFIg_6_0"/>
      <w:bookmarkStart w:id="1895" w:name="Tc_9rpQwm8g8kaIYdblGqtojQ_5_0"/>
      <w:bookmarkStart w:id="1896" w:name="Tc_kOiQfOzK80-fny1btSRK2A_4_0"/>
      <w:bookmarkStart w:id="1897" w:name="Tc_Gr1m5JF_60eNYscbgJGsxA_3_0"/>
      <w:bookmarkStart w:id="1898" w:name="Tc_Dxm_4N-p3E-kwu58vVG5gw_2_4"/>
      <w:bookmarkStart w:id="1899" w:name="Tc_HC4JqQidSUKV3KJS8f52ug_2_2"/>
      <w:bookmarkStart w:id="1900" w:name="Tc_PRe51mCA9USEe3GV2co63w_1_2"/>
      <w:bookmarkStart w:id="1901" w:name="_ed03f549_685a_4465_bb13_5d70c1cc59e6"/>
      <w:bookmarkStart w:id="1902" w:name="Tc_LRiCskI2eE2_r3ci8mwCmw_7_0"/>
      <w:bookmarkStart w:id="1903" w:name="Tc_Ubw5A_-NPkeGMWUVtmD8Hg_5_0"/>
      <w:bookmarkStart w:id="1904" w:name="Tc_P5WOZouJK0Cpy75rMfdKOA_4_0"/>
      <w:bookmarkStart w:id="1905" w:name="Tc_I3_B74kwWUy7digtgnmaTw_3_0"/>
      <w:bookmarkStart w:id="1906" w:name="Tc_5mZdIIwMMEKtnp0hYRtrCQ_2_6"/>
      <w:bookmarkStart w:id="1907" w:name="Tc_jwG5BKJITkmbjZrNTENcfA_2_4"/>
      <w:bookmarkStart w:id="1908" w:name="Tc_LtL5rebLQ0GhNg4PcmmUPQ_2_2"/>
      <w:bookmarkStart w:id="1909" w:name="Tc_HcQ43d41tUWtYT5oLOHxAg_1_2"/>
      <w:bookmarkStart w:id="1910" w:name="_d7ebec66_4d69_41ac_a009_093d62b52b9e"/>
      <w:bookmarkStart w:id="1911" w:name="Tc_e6pNIC4bYUiObJRgj-f56w_26_0"/>
      <w:bookmarkStart w:id="1912" w:name="Tc_bTwOWBkt3Ey2yQBya0hkdQ_25_0"/>
      <w:bookmarkStart w:id="1913" w:name="Tc_puDzoNeWLkKNfVP76tOYJQ_24_0"/>
      <w:bookmarkStart w:id="1914" w:name="Tc_iv3QNjPFTEa9ODZrsLrbIg_23_0"/>
      <w:bookmarkStart w:id="1915" w:name="Tc_fInlwZbNNkqSupLW6MbIYw_22_0"/>
      <w:bookmarkStart w:id="1916" w:name="Tc_ghHaZH7bUE2wHUW86fIw_g_21_0"/>
      <w:bookmarkStart w:id="1917" w:name="Tc_q9CpdV1zxE2U4I3F9DiOfA_20_0"/>
      <w:bookmarkStart w:id="1918" w:name="Tc_xjnRA_w2v0m1w-Nv2j31wg_19_0"/>
      <w:bookmarkStart w:id="1919" w:name="Tc_em0fnOJ5ZUimqYvGAeVbPw_18_0"/>
      <w:bookmarkStart w:id="1920" w:name="Tc_FHQYiOoWFUycKUbqph0H1Q_17_0"/>
      <w:bookmarkStart w:id="1921" w:name="Tc_4b_0Er23EUy2K3kDjLU-1w_15_0"/>
      <w:bookmarkStart w:id="1922" w:name="Tc_8un9ZHZPMUuBHiNcTfnb9A_14_2"/>
      <w:bookmarkStart w:id="1923" w:name="Tc_G5XyIumtIUmGxjRS96YWJA_14_0"/>
      <w:bookmarkStart w:id="1924" w:name="Tc_FKkjUpkIpUi6ltN2X1C6kw_13_4"/>
      <w:bookmarkStart w:id="1925" w:name="Tc_Or3RZ1ijXEi-plRaPM26Vg_13_0"/>
      <w:bookmarkStart w:id="1926" w:name="Tc_bY00Wvcth0CE4-If0SQWVQ_12_2"/>
      <w:bookmarkStart w:id="1927" w:name="Tc_yGkdSR0-gUqY9RKdKUOYZw_12_0"/>
      <w:bookmarkStart w:id="1928" w:name="Tc_JIQW7Exk6UugkuqfNSAPzQ_11_4"/>
      <w:bookmarkStart w:id="1929" w:name="Tc_NwbymIA-xE6JTHLZUX20fw_11_0"/>
      <w:bookmarkStart w:id="1930" w:name="Tc_oIVOTOmfD0KAE9I6eSKM0Q_10_4"/>
      <w:bookmarkStart w:id="1931" w:name="Tc_ovJG5CXlBUm326Bcbbal-w_10_0"/>
      <w:bookmarkStart w:id="1932" w:name="Tc_kUqiftD-jEa6-RkiNVSJ8g_9_4"/>
      <w:bookmarkStart w:id="1933" w:name="Tc_ugh6U8z8aU6rpEH85yGHEA_9_0"/>
      <w:bookmarkStart w:id="1934" w:name="Tc_jAZ4SrpGNUWKAzCCRK-Bbg_8_0"/>
      <w:bookmarkStart w:id="1935" w:name="Tc_AVnY6QuGVUeEA3Tc2Zsr6Q_7_0"/>
      <w:bookmarkStart w:id="1936" w:name="Tc_zO_UQtzjUkKTD8CVijZFIg_6_0"/>
      <w:bookmarkStart w:id="1937" w:name="Tc_9rpQwm8g8kaIYdblGqtojQ_5_0"/>
      <w:bookmarkStart w:id="1938" w:name="Tc_kOiQfOzK80-fny1btSRK2A_4_0"/>
      <w:bookmarkStart w:id="1939" w:name="Tc_Gr1m5JF_60eNYscbgJGsxA_3_0"/>
      <w:bookmarkStart w:id="1940" w:name="Tc_Dxm_4N-p3E-kwu58vVG5gw_2_4"/>
      <w:bookmarkStart w:id="1941" w:name="Tc_HC4JqQidSUKV3KJS8f52ug_2_2"/>
      <w:bookmarkStart w:id="1942" w:name="Tc_PRe51mCA9USEe3GV2co63w_1_2"/>
      <w:bookmarkStart w:id="1943" w:name="_ed03f549_685a_4465_bb13_5d70c1cc59e6"/>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2927" w:type="dxa"/>
        <w:jc w:val="left"/>
        <w:tblInd w:w="0" w:type="dxa"/>
        <w:tblLayout w:type="fixed"/>
        <w:tblCellMar>
          <w:top w:w="0" w:type="dxa"/>
          <w:left w:w="0" w:type="dxa"/>
          <w:bottom w:w="0" w:type="dxa"/>
          <w:right w:w="0" w:type="dxa"/>
        </w:tblCellMar>
      </w:tblPr>
      <w:tblGrid>
        <w:gridCol w:w="346"/>
        <w:gridCol w:w="258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5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PRC regulations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sets forth the financial data for the VIE and VIE’s subsidiaries on an aggregated basis. For purposes of this presentation, activities within and between the VIE and VIE subsidiaries have been eliminated, but transactions with other entities within the consolidated group have been included without elimination.</w:t>
      </w:r>
    </w:p>
    <w:p>
      <w:pPr>
        <w:pStyle w:val="TextBody"/>
        <w:bidi w:val="0"/>
        <w:spacing w:before="0" w:after="0"/>
        <w:ind w:left="0" w:right="0" w:hanging="0"/>
        <w:jc w:val="left"/>
        <w:rPr/>
      </w:pPr>
      <w:r>
        <w:rPr/>
        <w:t>​</w:t>
      </w:r>
    </w:p>
    <w:tbl>
      <w:tblPr>
        <w:tblW w:w="5920" w:type="dxa"/>
        <w:jc w:val="left"/>
        <w:tblInd w:w="0" w:type="dxa"/>
        <w:tblLayout w:type="fixed"/>
        <w:tblCellMar>
          <w:top w:w="0" w:type="dxa"/>
          <w:left w:w="0" w:type="dxa"/>
          <w:bottom w:w="0" w:type="dxa"/>
          <w:right w:w="0" w:type="dxa"/>
        </w:tblCellMar>
      </w:tblPr>
      <w:tblGrid>
        <w:gridCol w:w="3871"/>
        <w:gridCol w:w="326"/>
        <w:gridCol w:w="676"/>
        <w:gridCol w:w="326"/>
        <w:gridCol w:w="72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458085" cy="175260"/>
                      <wp:effectExtent l="0" t="0" r="0" b="0"/>
                      <wp:wrapNone/>
                      <wp:docPr id="430" name="Frame423"/>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1"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29260" cy="175260"/>
                      <wp:effectExtent l="0" t="0" r="0" b="0"/>
                      <wp:wrapNone/>
                      <wp:docPr id="432" name="Frame4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3"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57835" cy="175260"/>
                      <wp:effectExtent l="0" t="0" r="0" b="0"/>
                      <wp:wrapNone/>
                      <wp:docPr id="434" name="Frame42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2,681</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1,497</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3,586</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media costs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from subsidiaries of the Group</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5,879</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8,374</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1,737</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investment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16,385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15,484</w:t>
            </w:r>
          </w:p>
        </w:tc>
      </w:tr>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2,262</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 borrowings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1,889</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to subsidiaries of the Group</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1,444</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8,861</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6,248</w:t>
            </w:r>
          </w:p>
        </w:tc>
      </w:tr>
    </w:tbl>
    <w:p>
      <w:pPr>
        <w:pStyle w:val="TextBody"/>
        <w:bidi w:val="0"/>
        <w:spacing w:before="0" w:after="240"/>
        <w:ind w:left="720" w:right="0" w:hanging="0"/>
        <w:jc w:val="both"/>
        <w:rPr/>
      </w:pPr>
      <w:r>
        <w:rPr/>
        <w:t>​</w:t>
      </w:r>
    </w:p>
    <w:tbl>
      <w:tblPr>
        <w:tblW w:w="6247" w:type="dxa"/>
        <w:jc w:val="left"/>
        <w:tblInd w:w="0" w:type="dxa"/>
        <w:tblLayout w:type="fixed"/>
        <w:tblCellMar>
          <w:top w:w="0" w:type="dxa"/>
          <w:left w:w="0" w:type="dxa"/>
          <w:bottom w:w="0" w:type="dxa"/>
          <w:right w:w="0" w:type="dxa"/>
        </w:tblCellMar>
      </w:tblPr>
      <w:tblGrid>
        <w:gridCol w:w="3166"/>
        <w:gridCol w:w="326"/>
        <w:gridCol w:w="691"/>
        <w:gridCol w:w="326"/>
        <w:gridCol w:w="676"/>
        <w:gridCol w:w="326"/>
        <w:gridCol w:w="73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10410" cy="175260"/>
                      <wp:effectExtent l="0" t="0" r="0" b="0"/>
                      <wp:wrapNone/>
                      <wp:docPr id="435" name="Frame428"/>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6"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38785" cy="175260"/>
                      <wp:effectExtent l="0" t="0" r="0" b="0"/>
                      <wp:wrapNone/>
                      <wp:docPr id="437" name="Frame4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38"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29260" cy="175260"/>
                      <wp:effectExtent l="0" t="0" r="0" b="0"/>
                      <wp:wrapNone/>
                      <wp:docPr id="439" name="Frame4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0"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67360" cy="175260"/>
                      <wp:effectExtent l="0" t="0" r="0" b="0"/>
                      <wp:wrapNone/>
                      <wp:docPr id="441" name="Frame43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subsidiaries of the Group (Note)</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third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17,341</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22,837</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21,462</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22,102</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23,865</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22,063</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(Note)</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944" w:name="Narr_4-Ry8TVCHE-S_sBUj7Qa5Q"/>
      <w:bookmarkStart w:id="1945" w:name="Tc_FHgEHL7uJ0yXSXlJ7LSVvQ_13_0"/>
      <w:bookmarkStart w:id="1946" w:name="Tc_MIHIJYxYs0q2Z-Jc_VuZXw_12_6"/>
      <w:bookmarkStart w:id="1947" w:name="Tc_Ge1T_JrGP06xUpjwDuR-Hw_12_2"/>
      <w:bookmarkStart w:id="1948" w:name="Tc_VyFIIdQhSEas0MaIdqVv4A_12_0"/>
      <w:bookmarkStart w:id="1949" w:name="Tc_URIxJ1ll9ESPQT1mAExhBQ_11_2"/>
      <w:bookmarkStart w:id="1950" w:name="Tc_LcsEN9-8okuXeNgV1K05MA_11_0"/>
      <w:bookmarkStart w:id="1951" w:name="Tc_I6Ur345rxUCm1TZZRmyavw_10_0"/>
      <w:bookmarkStart w:id="1952" w:name="Tc_OOR8qv00fkCGHHfG8i7YLQ_8_6"/>
      <w:bookmarkStart w:id="1953" w:name="Tc_VcYhJR_yjUKeWtCMWLeToQ_8_0"/>
      <w:bookmarkStart w:id="1954" w:name="Tc_Zuf49HBoyEypmw3NpZdRvQ_5_0"/>
      <w:bookmarkStart w:id="1955" w:name="Tc_H-YPENTBRkOSFE_aLhwn2A_4_0"/>
      <w:bookmarkStart w:id="1956" w:name="Tc_V6ebO2hBwkyXydbVj8_UHA_3_0"/>
      <w:bookmarkStart w:id="1957" w:name="Tc_vrk5sYCgKUu5PmUrlMIiAQ_2_6"/>
      <w:bookmarkStart w:id="1958" w:name="Tc_b0Cvr99zEUaigpFD14q4bg_2_4"/>
      <w:bookmarkStart w:id="1959" w:name="Tc_gtC7n4CULEqiSGmJ3ZnUYg_2_2"/>
      <w:bookmarkStart w:id="1960" w:name="Tc_yMFtl5KoPk-Xrcb6TF61nQ_1_2"/>
      <w:bookmarkStart w:id="1961" w:name="_8374ce7b_b5dc_4aed_ae1c_aba714d873b9"/>
      <w:bookmarkStart w:id="1962" w:name="Narr_4-Ry8TVCHE-S_sBUj7Qa5Q"/>
      <w:bookmarkStart w:id="1963" w:name="Tc_FHgEHL7uJ0yXSXlJ7LSVvQ_13_0"/>
      <w:bookmarkStart w:id="1964" w:name="Tc_MIHIJYxYs0q2Z-Jc_VuZXw_12_6"/>
      <w:bookmarkStart w:id="1965" w:name="Tc_Ge1T_JrGP06xUpjwDuR-Hw_12_2"/>
      <w:bookmarkStart w:id="1966" w:name="Tc_VyFIIdQhSEas0MaIdqVv4A_12_0"/>
      <w:bookmarkStart w:id="1967" w:name="Tc_URIxJ1ll9ESPQT1mAExhBQ_11_2"/>
      <w:bookmarkStart w:id="1968" w:name="Tc_LcsEN9-8okuXeNgV1K05MA_11_0"/>
      <w:bookmarkStart w:id="1969" w:name="Tc_I6Ur345rxUCm1TZZRmyavw_10_0"/>
      <w:bookmarkStart w:id="1970" w:name="Tc_OOR8qv00fkCGHHfG8i7YLQ_8_6"/>
      <w:bookmarkStart w:id="1971" w:name="Tc_VcYhJR_yjUKeWtCMWLeToQ_8_0"/>
      <w:bookmarkStart w:id="1972" w:name="Tc_Zuf49HBoyEypmw3NpZdRvQ_5_0"/>
      <w:bookmarkStart w:id="1973" w:name="Tc_H-YPENTBRkOSFE_aLhwn2A_4_0"/>
      <w:bookmarkStart w:id="1974" w:name="Tc_V6ebO2hBwkyXydbVj8_UHA_3_0"/>
      <w:bookmarkStart w:id="1975" w:name="Tc_vrk5sYCgKUu5PmUrlMIiAQ_2_6"/>
      <w:bookmarkStart w:id="1976" w:name="Tc_b0Cvr99zEUaigpFD14q4bg_2_4"/>
      <w:bookmarkStart w:id="1977" w:name="Tc_gtC7n4CULEqiSGmJ3ZnUYg_2_2"/>
      <w:bookmarkStart w:id="1978" w:name="Tc_yMFtl5KoPk-Xrcb6TF61nQ_1_2"/>
      <w:bookmarkStart w:id="1979" w:name="_8374ce7b_b5dc_4aed_ae1c_aba714d873b9"/>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2927" w:type="dxa"/>
        <w:jc w:val="left"/>
        <w:tblInd w:w="0" w:type="dxa"/>
        <w:tblLayout w:type="fixed"/>
        <w:tblCellMar>
          <w:top w:w="0" w:type="dxa"/>
          <w:left w:w="0" w:type="dxa"/>
          <w:bottom w:w="0" w:type="dxa"/>
          <w:right w:w="0" w:type="dxa"/>
        </w:tblCellMar>
      </w:tblPr>
      <w:tblGrid>
        <w:gridCol w:w="346"/>
        <w:gridCol w:w="2581"/>
      </w:tblGrid>
      <w:tr>
        <w:trPr/>
        <w:tc>
          <w:tcPr>
            <w:tcW w:w="3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w:t>
            </w:r>
          </w:p>
        </w:tc>
        <w:tc>
          <w:tcPr>
            <w:tcW w:w="258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PRC regulations (Continued)</w:t>
            </w:r>
          </w:p>
        </w:tc>
      </w:tr>
    </w:tbl>
    <w:p>
      <w:pPr>
        <w:pStyle w:val="TextBody"/>
        <w:bidi w:val="0"/>
        <w:spacing w:before="0" w:after="0"/>
        <w:ind w:left="0" w:right="0" w:hanging="0"/>
        <w:jc w:val="left"/>
        <w:rPr/>
      </w:pPr>
      <w:r>
        <w:rPr/>
        <w:t>​</w:t>
      </w:r>
    </w:p>
    <w:tbl>
      <w:tblPr>
        <w:tblW w:w="7327" w:type="dxa"/>
        <w:jc w:val="left"/>
        <w:tblInd w:w="0" w:type="dxa"/>
        <w:tblLayout w:type="fixed"/>
        <w:tblCellMar>
          <w:top w:w="0" w:type="dxa"/>
          <w:left w:w="0" w:type="dxa"/>
          <w:bottom w:w="0" w:type="dxa"/>
          <w:right w:w="0" w:type="dxa"/>
        </w:tblCellMar>
      </w:tblPr>
      <w:tblGrid>
        <w:gridCol w:w="4231"/>
        <w:gridCol w:w="326"/>
        <w:gridCol w:w="691"/>
        <w:gridCol w:w="326"/>
        <w:gridCol w:w="691"/>
        <w:gridCol w:w="326"/>
        <w:gridCol w:w="73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686685" cy="175260"/>
                      <wp:effectExtent l="0" t="0" r="0" b="0"/>
                      <wp:wrapNone/>
                      <wp:docPr id="442" name="Frame435"/>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3"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38785" cy="175260"/>
                      <wp:effectExtent l="0" t="0" r="0" b="0"/>
                      <wp:wrapNone/>
                      <wp:docPr id="444" name="Frame4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5"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38785" cy="175260"/>
                      <wp:effectExtent l="0" t="0" r="0" b="0"/>
                      <wp:wrapNone/>
                      <wp:docPr id="446" name="Frame4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47"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67360" cy="175260"/>
                      <wp:effectExtent l="0" t="0" r="0" b="0"/>
                      <wp:wrapNone/>
                      <wp:docPr id="448" name="Frame44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subsidiaries of the Group</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third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financing activities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Receipts of advances Group companies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for advances from Group companies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Services from VIE and VIE’s subsidiaries to other group companies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VIE and VIE’s subsidiaries provide online advertising service to other group companies. For the years ended December 31, 2020, 2021 and 2022, the intercompany online advertising service revenues recognized by VIE and VIE’s subsidiaries were US$4,761, US$911 and US$291, respectively. These transactions are eliminated at the consolidation level.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VIE and VIE’s subsidiaries also provide other marketing services to other group companies. For the years ended December 31, 2020, 2021 and 2022, the intercompany other marketing service revenues recognized by VIE and VIE’s subsidiaries were US$nil, US$117 and US$310, respectively. These transactions are eliminated at the consolidation level.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Services from other group companies to VIE and VIE’s subsidiaries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WFOE as primary beneficiary and other subsidiaries of the Group provide online advertising service and SaaS services to VIE and VIE’s subsidiaries. For the years ended December 31, 2020, 2021 and 2022, the intercompany online advertising and SaaS service revenues from VIE and VIE’s subsidiaries recognized by WFOE as primary beneficiary and other subsidiaries of the Group were US$996, US$49 and US$285, respectively. These transactions are eliminated at the consolidation level.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and 2022, there were no balances for management fees charged to VIE and VIE’s subsidiaries.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accordance with the VIE arrangements, the Group has the power to direct activities of OptAim VIE, and can have assets transferred out of OptAim VIE. Therefore, the Group considers that there are no assets of OptAim VIE that can be used only to settle their obligations.</w:t>
      </w:r>
    </w:p>
    <w:tbl>
      <w:tblPr>
        <w:tblW w:w="2387" w:type="dxa"/>
        <w:jc w:val="left"/>
        <w:tblInd w:w="0" w:type="dxa"/>
        <w:tblLayout w:type="fixed"/>
        <w:tblCellMar>
          <w:top w:w="0" w:type="dxa"/>
          <w:left w:w="0" w:type="dxa"/>
          <w:bottom w:w="0" w:type="dxa"/>
          <w:right w:w="0" w:type="dxa"/>
        </w:tblCellMar>
      </w:tblPr>
      <w:tblGrid>
        <w:gridCol w:w="346"/>
        <w:gridCol w:w="204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20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Foreign exchange risk</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equity.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980" w:name="Tc_G1hKuKrRmUeedSF5x8GbnQ_20_4"/>
      <w:bookmarkStart w:id="1981" w:name="Tc_yGnoehD_uEOxGKHoY2DH9w_20_2"/>
      <w:bookmarkStart w:id="1982" w:name="Tc_ybZ2p9k3dEKJC4KkZgmlaQ_20_0"/>
      <w:bookmarkStart w:id="1983" w:name="Tc_ovlVYtSH30yJWad6nnb7Fw_19_4"/>
      <w:bookmarkStart w:id="1984" w:name="Tc_CtJ3vR4BTkmCz-yk4G8cQg_19_2"/>
      <w:bookmarkStart w:id="1985" w:name="Tc_PHjEHi1ou0G_f_Yu_fo0jQ_19_0"/>
      <w:bookmarkStart w:id="1986" w:name="Tc_9IQTQum9AkmqNaWBP1OKEA_18_6"/>
      <w:bookmarkStart w:id="1987" w:name="Tc_XIgzga2emUKkcZBuJyR1gg_18_4"/>
      <w:bookmarkStart w:id="1988" w:name="Tc_K4xYXO_CO0GKtNmUSwkQhA_18_0"/>
      <w:bookmarkStart w:id="1989" w:name="Tc_S1gXWtBxzE2t81GnTcg0tA_17_6"/>
      <w:bookmarkStart w:id="1990" w:name="Tc_vOnB-ERZ-k-7aM4L7X3c8Q_17_2"/>
      <w:bookmarkStart w:id="1991" w:name="Tc_DJ9Rzl4dFE2DuaqpPZGiOA_17_0"/>
      <w:bookmarkStart w:id="1992" w:name="Tc_-dHWgQuNokCfwxoOPx4_rw_16_0"/>
      <w:bookmarkStart w:id="1993" w:name="Tc_EIYGyJJ1fUyY1LGwDXH70g_14_2"/>
      <w:bookmarkStart w:id="1994" w:name="Tc_enxhTpWswk6zSnfDgKb-9A_13_4"/>
      <w:bookmarkStart w:id="1995" w:name="Tc_BT-MXW8YbE-3OakCYNxD6Q_13_2"/>
      <w:bookmarkStart w:id="1996" w:name="Tc_4EIrqruBmkWDeE7ofkfazA_13_0"/>
      <w:bookmarkStart w:id="1997" w:name="Tc_LzFrMzLPR06wGWwbWdhJnA_12_4"/>
      <w:bookmarkStart w:id="1998" w:name="Tc_ZTYrt22dTUuJNY9-JNydtA_12_2"/>
      <w:bookmarkStart w:id="1999" w:name="Tc_JLavKVf7KEafJjCLp26WUg_12_0"/>
      <w:bookmarkStart w:id="2000" w:name="Tc_Spmh7jRPm0-KKOBAMJHg-Q_11_4"/>
      <w:bookmarkStart w:id="2001" w:name="Tc_saCOl7TuzkK5EskW1gZ6uw_11_2"/>
      <w:bookmarkStart w:id="2002" w:name="Tc_A6drbaT96Emh60k0k0YrlA_11_0"/>
      <w:bookmarkStart w:id="2003" w:name="Tc_8Au_55cpBU-xs0cKRoqLhw_10_6"/>
      <w:bookmarkStart w:id="2004" w:name="Tc_VWxQ3qw910GvTJmAN37YBA_10_2"/>
      <w:bookmarkStart w:id="2005" w:name="Tc_4_NP3cNuUkKseN14bzIjvw_10_0"/>
      <w:bookmarkStart w:id="2006" w:name="Tc_4lfV-Sh6h0ajIUKu63uwhw_9_0"/>
      <w:bookmarkStart w:id="2007" w:name="Tc_ipO36AjWXEm5L7HYefhVgQ_8_8"/>
      <w:bookmarkStart w:id="2008" w:name="Tc_3BFYpFGUXECWI5G6kERyoQ_8_6"/>
      <w:bookmarkStart w:id="2009" w:name="Tc_JOvBeonBwkWBm1OcWM7tOg_8_4"/>
      <w:bookmarkStart w:id="2010" w:name="Tc_NRFo54MPg02UoEh19QX-zg_8_2"/>
      <w:bookmarkStart w:id="2011" w:name="Tc_RmMW6LvbXE-03BBkElhfbQ_7_8"/>
      <w:bookmarkStart w:id="2012" w:name="Tc_4ty8Kw7NUU2mrNR7NAWegg_7_6"/>
      <w:bookmarkStart w:id="2013" w:name="Tc_YBJG-fC3MEOvkSm9n7QMMg_7_4"/>
      <w:bookmarkStart w:id="2014" w:name="Tc_NoUYSKsHWUqgnLoMP-IZpw_7_2"/>
      <w:bookmarkStart w:id="2015" w:name="Tc_U8IAOSikdUSwseNUQFNM3A_6_6"/>
      <w:bookmarkStart w:id="2016" w:name="Tc_FTX4OoOMlEiem7RjkTW6zw_6_4"/>
      <w:bookmarkStart w:id="2017" w:name="Tc_xPywgKrcV0CF43HEObH5aw_6_2"/>
      <w:bookmarkStart w:id="2018" w:name="Tc_WzeSoS5d0keTAWDn0SsEfg_5_6"/>
      <w:bookmarkStart w:id="2019" w:name="Tc_iKjJIzOtS0KtwoqS2v1fbw_5_4"/>
      <w:bookmarkStart w:id="2020" w:name="Tc_EhdAaWHI9ESo8WFC7J7RSQ_5_2"/>
      <w:bookmarkStart w:id="2021" w:name="Tc_H3rFZwjCBkiJ5dQ4hwIMgA_4_4"/>
      <w:bookmarkStart w:id="2022" w:name="Tc_WvxmqaI0NEOPNvvOJ0sfAg_4_2"/>
      <w:bookmarkStart w:id="2023" w:name="Tc_FmWVdV6sZ0OUm_ACtjhwQA_3_2"/>
      <w:bookmarkStart w:id="2024" w:name="Tc_tkfAUiIJAE6ys0dvOXnHIg_2_2"/>
      <w:bookmarkStart w:id="2025" w:name="Tc_TPT8yzL3-0qRJ9h37ubdfQ_1_2"/>
      <w:bookmarkStart w:id="2026" w:name="Tc_G1hKuKrRmUeedSF5x8GbnQ_20_4"/>
      <w:bookmarkStart w:id="2027" w:name="Tc_yGnoehD_uEOxGKHoY2DH9w_20_2"/>
      <w:bookmarkStart w:id="2028" w:name="Tc_ybZ2p9k3dEKJC4KkZgmlaQ_20_0"/>
      <w:bookmarkStart w:id="2029" w:name="Tc_ovlVYtSH30yJWad6nnb7Fw_19_4"/>
      <w:bookmarkStart w:id="2030" w:name="Tc_CtJ3vR4BTkmCz-yk4G8cQg_19_2"/>
      <w:bookmarkStart w:id="2031" w:name="Tc_PHjEHi1ou0G_f_Yu_fo0jQ_19_0"/>
      <w:bookmarkStart w:id="2032" w:name="Tc_9IQTQum9AkmqNaWBP1OKEA_18_6"/>
      <w:bookmarkStart w:id="2033" w:name="Tc_XIgzga2emUKkcZBuJyR1gg_18_4"/>
      <w:bookmarkStart w:id="2034" w:name="Tc_K4xYXO_CO0GKtNmUSwkQhA_18_0"/>
      <w:bookmarkStart w:id="2035" w:name="Tc_S1gXWtBxzE2t81GnTcg0tA_17_6"/>
      <w:bookmarkStart w:id="2036" w:name="Tc_vOnB-ERZ-k-7aM4L7X3c8Q_17_2"/>
      <w:bookmarkStart w:id="2037" w:name="Tc_DJ9Rzl4dFE2DuaqpPZGiOA_17_0"/>
      <w:bookmarkStart w:id="2038" w:name="Tc_-dHWgQuNokCfwxoOPx4_rw_16_0"/>
      <w:bookmarkStart w:id="2039" w:name="Tc_EIYGyJJ1fUyY1LGwDXH70g_14_2"/>
      <w:bookmarkStart w:id="2040" w:name="Tc_enxhTpWswk6zSnfDgKb-9A_13_4"/>
      <w:bookmarkStart w:id="2041" w:name="Tc_BT-MXW8YbE-3OakCYNxD6Q_13_2"/>
      <w:bookmarkStart w:id="2042" w:name="Tc_4EIrqruBmkWDeE7ofkfazA_13_0"/>
      <w:bookmarkStart w:id="2043" w:name="Tc_LzFrMzLPR06wGWwbWdhJnA_12_4"/>
      <w:bookmarkStart w:id="2044" w:name="Tc_ZTYrt22dTUuJNY9-JNydtA_12_2"/>
      <w:bookmarkStart w:id="2045" w:name="Tc_JLavKVf7KEafJjCLp26WUg_12_0"/>
      <w:bookmarkStart w:id="2046" w:name="Tc_Spmh7jRPm0-KKOBAMJHg-Q_11_4"/>
      <w:bookmarkStart w:id="2047" w:name="Tc_saCOl7TuzkK5EskW1gZ6uw_11_2"/>
      <w:bookmarkStart w:id="2048" w:name="Tc_A6drbaT96Emh60k0k0YrlA_11_0"/>
      <w:bookmarkStart w:id="2049" w:name="Tc_8Au_55cpBU-xs0cKRoqLhw_10_6"/>
      <w:bookmarkStart w:id="2050" w:name="Tc_VWxQ3qw910GvTJmAN37YBA_10_2"/>
      <w:bookmarkStart w:id="2051" w:name="Tc_4_NP3cNuUkKseN14bzIjvw_10_0"/>
      <w:bookmarkStart w:id="2052" w:name="Tc_4lfV-Sh6h0ajIUKu63uwhw_9_0"/>
      <w:bookmarkStart w:id="2053" w:name="Tc_ipO36AjWXEm5L7HYefhVgQ_8_8"/>
      <w:bookmarkStart w:id="2054" w:name="Tc_3BFYpFGUXECWI5G6kERyoQ_8_6"/>
      <w:bookmarkStart w:id="2055" w:name="Tc_JOvBeonBwkWBm1OcWM7tOg_8_4"/>
      <w:bookmarkStart w:id="2056" w:name="Tc_NRFo54MPg02UoEh19QX-zg_8_2"/>
      <w:bookmarkStart w:id="2057" w:name="Tc_RmMW6LvbXE-03BBkElhfbQ_7_8"/>
      <w:bookmarkStart w:id="2058" w:name="Tc_4ty8Kw7NUU2mrNR7NAWegg_7_6"/>
      <w:bookmarkStart w:id="2059" w:name="Tc_YBJG-fC3MEOvkSm9n7QMMg_7_4"/>
      <w:bookmarkStart w:id="2060" w:name="Tc_NoUYSKsHWUqgnLoMP-IZpw_7_2"/>
      <w:bookmarkStart w:id="2061" w:name="Tc_U8IAOSikdUSwseNUQFNM3A_6_6"/>
      <w:bookmarkStart w:id="2062" w:name="Tc_FTX4OoOMlEiem7RjkTW6zw_6_4"/>
      <w:bookmarkStart w:id="2063" w:name="Tc_xPywgKrcV0CF43HEObH5aw_6_2"/>
      <w:bookmarkStart w:id="2064" w:name="Tc_WzeSoS5d0keTAWDn0SsEfg_5_6"/>
      <w:bookmarkStart w:id="2065" w:name="Tc_iKjJIzOtS0KtwoqS2v1fbw_5_4"/>
      <w:bookmarkStart w:id="2066" w:name="Tc_EhdAaWHI9ESo8WFC7J7RSQ_5_2"/>
      <w:bookmarkStart w:id="2067" w:name="Tc_H3rFZwjCBkiJ5dQ4hwIMgA_4_4"/>
      <w:bookmarkStart w:id="2068" w:name="Tc_WvxmqaI0NEOPNvvOJ0sfAg_4_2"/>
      <w:bookmarkStart w:id="2069" w:name="Tc_FmWVdV6sZ0OUm_ACtjhwQA_3_2"/>
      <w:bookmarkStart w:id="2070" w:name="Tc_tkfAUiIJAE6ys0dvOXnHIg_2_2"/>
      <w:bookmarkStart w:id="2071" w:name="Tc_TPT8yzL3-0qRJ9h37ubdfQ_1_2"/>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3422" w:type="dxa"/>
        <w:jc w:val="left"/>
        <w:tblInd w:w="0" w:type="dxa"/>
        <w:tblLayout w:type="fixed"/>
        <w:tblCellMar>
          <w:top w:w="0" w:type="dxa"/>
          <w:left w:w="0" w:type="dxa"/>
          <w:bottom w:w="0" w:type="dxa"/>
          <w:right w:w="0" w:type="dxa"/>
        </w:tblCellMar>
      </w:tblPr>
      <w:tblGrid>
        <w:gridCol w:w="346"/>
        <w:gridCol w:w="307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30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Foreign exchange risk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revenues and expenses of the Group’s subsidiaries, VIE and VIE’s subsidiaries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tbl>
      <w:tblPr>
        <w:tblW w:w="2552" w:type="dxa"/>
        <w:jc w:val="left"/>
        <w:tblInd w:w="0" w:type="dxa"/>
        <w:tblLayout w:type="fixed"/>
        <w:tblCellMar>
          <w:top w:w="0" w:type="dxa"/>
          <w:left w:w="0" w:type="dxa"/>
          <w:bottom w:w="0" w:type="dxa"/>
          <w:right w:w="0" w:type="dxa"/>
        </w:tblCellMar>
      </w:tblPr>
      <w:tblGrid>
        <w:gridCol w:w="331"/>
        <w:gridCol w:w="222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22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w:t>
            </w:r>
          </w:p>
        </w:tc>
      </w:tr>
    </w:tbl>
    <w:tbl>
      <w:tblPr>
        <w:tblW w:w="6441" w:type="dxa"/>
        <w:jc w:val="left"/>
        <w:tblInd w:w="0" w:type="dxa"/>
        <w:tblLayout w:type="fixed"/>
        <w:tblCellMar>
          <w:top w:w="0" w:type="dxa"/>
          <w:left w:w="0" w:type="dxa"/>
          <w:bottom w:w="0" w:type="dxa"/>
          <w:right w:w="0" w:type="dxa"/>
        </w:tblCellMar>
      </w:tblPr>
      <w:tblGrid>
        <w:gridCol w:w="124"/>
        <w:gridCol w:w="28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60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Financial assets and liabilities measured at fair value on a recurring basis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following table sets forth, by level within the fair value hierarchy (Note 2(e)), financial assets and liabilities measured at fair value as of December 31, 2021 and 2022. As required by ASC 820, financial assets and financial liabilities are classified in their entirety based on the lowest level of input that is significant to the respective fair value measurement.</w:t>
      </w:r>
    </w:p>
    <w:p>
      <w:pPr>
        <w:pStyle w:val="TextBody"/>
        <w:bidi w:val="0"/>
        <w:spacing w:before="0" w:after="0"/>
        <w:ind w:left="0" w:right="0" w:hanging="0"/>
        <w:jc w:val="left"/>
        <w:rPr/>
      </w:pPr>
      <w:r>
        <w:rPr/>
        <w:t>​</w:t>
      </w:r>
    </w:p>
    <w:tbl>
      <w:tblPr>
        <w:tblW w:w="8269" w:type="dxa"/>
        <w:jc w:val="left"/>
        <w:tblInd w:w="0" w:type="dxa"/>
        <w:tblLayout w:type="fixed"/>
        <w:tblCellMar>
          <w:top w:w="0" w:type="dxa"/>
          <w:left w:w="0" w:type="dxa"/>
          <w:bottom w:w="0" w:type="dxa"/>
          <w:right w:w="0" w:type="dxa"/>
        </w:tblCellMar>
      </w:tblPr>
      <w:tblGrid>
        <w:gridCol w:w="3811"/>
        <w:gridCol w:w="326"/>
        <w:gridCol w:w="736"/>
        <w:gridCol w:w="326"/>
        <w:gridCol w:w="766"/>
        <w:gridCol w:w="326"/>
        <w:gridCol w:w="916"/>
        <w:gridCol w:w="326"/>
        <w:gridCol w:w="73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419985" cy="175260"/>
                      <wp:effectExtent l="0" t="0" r="0" b="0"/>
                      <wp:wrapNone/>
                      <wp:docPr id="449" name="Frame442"/>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0"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67360" cy="175260"/>
                      <wp:effectExtent l="0" t="0" r="0" b="0"/>
                      <wp:wrapNone/>
                      <wp:docPr id="451" name="Frame4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2"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486410" cy="175260"/>
                      <wp:effectExtent l="0" t="0" r="0" b="0"/>
                      <wp:wrapNone/>
                      <wp:docPr id="453" name="Frame44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4"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81660" cy="175260"/>
                      <wp:effectExtent l="0" t="0" r="0" b="0"/>
                      <wp:wrapNone/>
                      <wp:docPr id="455" name="Frame44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6"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67360" cy="175260"/>
                      <wp:effectExtent l="0" t="0" r="0" b="0"/>
                      <wp:wrapNone/>
                      <wp:docPr id="457" name="Frame45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1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Fair value measurements using</w:t>
            </w:r>
          </w:p>
        </w:tc>
      </w:tr>
      <w:tr>
        <w:trPr/>
        <w:tc>
          <w:tcPr>
            <w:tcW w:w="3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Quoted</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prices</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 active</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market for</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Significant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identical</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observable</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unobservable</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inputs</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inputs</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 fair</w:t>
            </w:r>
          </w:p>
        </w:tc>
      </w:tr>
      <w:tr>
        <w:trPr/>
        <w:tc>
          <w:tcPr>
            <w:tcW w:w="3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(Level 1)</w:t>
            </w:r>
          </w:p>
        </w:tc>
        <w:tc>
          <w:tcPr>
            <w:tcW w:w="326" w:type="dxa"/>
            <w:tcBorders/>
            <w:vAlign w:val="center"/>
          </w:tcPr>
          <w:p>
            <w:pPr>
              <w:pStyle w:val="TableContents"/>
              <w:bidi w:val="0"/>
              <w:spacing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(Level 2)</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(Level 3)</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As of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Short-term investments - wealth management products</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1,574</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1,574</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Short-term investments - Available-for-sale debt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2,550</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long-term equity investments</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12,114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12,114</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Contingent consideration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(4,507)</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(4,507)</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1,574</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10,157</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11,731</w:t>
            </w:r>
          </w:p>
        </w:tc>
      </w:tr>
      <w:tr>
        <w:trPr/>
        <w:tc>
          <w:tcPr>
            <w:tcW w:w="3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As of December 31, 2022</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Short-term investment - wealth management </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1,737</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1,737</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Short-term investments - listed equity securities</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1,609</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1,609</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long-term investment - Available-for-sale debt investment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3,000</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3,000</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long-term equity investments</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2,970</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2,970</w:t>
            </w:r>
          </w:p>
        </w:tc>
      </w:tr>
      <w:tr>
        <w:trPr/>
        <w:tc>
          <w:tcPr>
            <w:tcW w:w="3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1,609</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1,737</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5,970</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9,316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072" w:name="Tc_e9MRFkgE1E-nfUsLPNTpvw_7_0"/>
      <w:bookmarkStart w:id="2073" w:name="Tc_1DIj0CzetkWVAAPfJssTvA_6_2"/>
      <w:bookmarkStart w:id="2074" w:name="Tc_Pg_OzVQaA0GdzDwrscgOEg_6_0"/>
      <w:bookmarkStart w:id="2075" w:name="Tc_fYpKEUr6CEak6Xn9VXM3DA_5_0"/>
      <w:bookmarkStart w:id="2076" w:name="Tc_GdfUhKdQGk6zCf2hWStB6A_4_2"/>
      <w:bookmarkStart w:id="2077" w:name="Tc_bCk--pLcqUq4e46JGrJ_kQ_4_0"/>
      <w:bookmarkStart w:id="2078" w:name="Tc_gWJ5whv5K0aMXknWUdGY0g_3_4"/>
      <w:bookmarkStart w:id="2079" w:name="Tc_0teyEsXVnEGuB7MftjZ4yw_3_2"/>
      <w:bookmarkStart w:id="2080" w:name="Tc_aFHwNPCEjEiYO2MmdkEa4Q_2_2"/>
      <w:bookmarkStart w:id="2081" w:name="Tc_IdWkzNs4nkGJW7hMnIHhaw_1_2"/>
      <w:bookmarkStart w:id="2082" w:name="Tc_KldxzYEIP0ieR3OdEfn4-A_10_0"/>
      <w:bookmarkStart w:id="2083" w:name="Tc_VoRgXETiUkWCER_cxaTlQA_9_2"/>
      <w:bookmarkStart w:id="2084" w:name="Tc_Oq0wQLB8Sk-ZU0BVCAeNNQ_9_0"/>
      <w:bookmarkStart w:id="2085" w:name="Tc_0zYDq0Ln1k266cXwOGCeUA_8_4"/>
      <w:bookmarkStart w:id="2086" w:name="Tc_wj3BdR44ukaf8fNVNtbUNQ_8_0"/>
      <w:bookmarkStart w:id="2087" w:name="Tc_qaek5qQAMECAXkNmBgLwPg_7_4"/>
      <w:bookmarkStart w:id="2088" w:name="Tc_t3PTNRdg1kWOutp0AxiHng_7_0"/>
      <w:bookmarkStart w:id="2089" w:name="Tc_u7oh8tnCyUW83hyIO7tG4g_6_0"/>
      <w:bookmarkStart w:id="2090" w:name="Tc_dpb4mNQK60aWIBaZQ2iopw_5_4"/>
      <w:bookmarkStart w:id="2091" w:name="Tc_goKSIyyS0k6BhcxiSv3d3A_5_2"/>
      <w:bookmarkStart w:id="2092" w:name="Tc_f7zuqnxR3EK4LCGWnwztxQ_4_2"/>
      <w:bookmarkStart w:id="2093" w:name="Tc_k0Ej-_wARkevaNM00AXCew_3_2"/>
      <w:bookmarkStart w:id="2094" w:name="Tc_KXGCm1Ha_kGFeS4UaKL5Sw_2_2"/>
      <w:bookmarkStart w:id="2095" w:name="Tc_SHBaMp6qw0KIA-JYi05bRA_1_2"/>
      <w:bookmarkStart w:id="2096" w:name="Tc_e9MRFkgE1E-nfUsLPNTpvw_7_0"/>
      <w:bookmarkStart w:id="2097" w:name="Tc_1DIj0CzetkWVAAPfJssTvA_6_2"/>
      <w:bookmarkStart w:id="2098" w:name="Tc_Pg_OzVQaA0GdzDwrscgOEg_6_0"/>
      <w:bookmarkStart w:id="2099" w:name="Tc_fYpKEUr6CEak6Xn9VXM3DA_5_0"/>
      <w:bookmarkStart w:id="2100" w:name="Tc_GdfUhKdQGk6zCf2hWStB6A_4_2"/>
      <w:bookmarkStart w:id="2101" w:name="Tc_bCk--pLcqUq4e46JGrJ_kQ_4_0"/>
      <w:bookmarkStart w:id="2102" w:name="Tc_gWJ5whv5K0aMXknWUdGY0g_3_4"/>
      <w:bookmarkStart w:id="2103" w:name="Tc_0teyEsXVnEGuB7MftjZ4yw_3_2"/>
      <w:bookmarkStart w:id="2104" w:name="Tc_aFHwNPCEjEiYO2MmdkEa4Q_2_2"/>
      <w:bookmarkStart w:id="2105" w:name="Tc_IdWkzNs4nkGJW7hMnIHhaw_1_2"/>
      <w:bookmarkStart w:id="2106" w:name="Tc_KldxzYEIP0ieR3OdEfn4-A_10_0"/>
      <w:bookmarkStart w:id="2107" w:name="Tc_VoRgXETiUkWCER_cxaTlQA_9_2"/>
      <w:bookmarkStart w:id="2108" w:name="Tc_Oq0wQLB8Sk-ZU0BVCAeNNQ_9_0"/>
      <w:bookmarkStart w:id="2109" w:name="Tc_0zYDq0Ln1k266cXwOGCeUA_8_4"/>
      <w:bookmarkStart w:id="2110" w:name="Tc_wj3BdR44ukaf8fNVNtbUNQ_8_0"/>
      <w:bookmarkStart w:id="2111" w:name="Tc_qaek5qQAMECAXkNmBgLwPg_7_4"/>
      <w:bookmarkStart w:id="2112" w:name="Tc_t3PTNRdg1kWOutp0AxiHng_7_0"/>
      <w:bookmarkStart w:id="2113" w:name="Tc_u7oh8tnCyUW83hyIO7tG4g_6_0"/>
      <w:bookmarkStart w:id="2114" w:name="Tc_dpb4mNQK60aWIBaZQ2iopw_5_4"/>
      <w:bookmarkStart w:id="2115" w:name="Tc_goKSIyyS0k6BhcxiSv3d3A_5_2"/>
      <w:bookmarkStart w:id="2116" w:name="Tc_f7zuqnxR3EK4LCGWnwztxQ_4_2"/>
      <w:bookmarkStart w:id="2117" w:name="Tc_k0Ej-_wARkevaNM00AXCew_3_2"/>
      <w:bookmarkStart w:id="2118" w:name="Tc_KXGCm1Ha_kGFeS4UaKL5Sw_2_2"/>
      <w:bookmarkStart w:id="2119" w:name="Tc_SHBaMp6qw0KIA-JYi05bRA_1_2"/>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3587" w:type="dxa"/>
        <w:jc w:val="left"/>
        <w:tblInd w:w="0" w:type="dxa"/>
        <w:tblLayout w:type="fixed"/>
        <w:tblCellMar>
          <w:top w:w="0" w:type="dxa"/>
          <w:left w:w="0" w:type="dxa"/>
          <w:bottom w:w="0" w:type="dxa"/>
          <w:right w:w="0" w:type="dxa"/>
        </w:tblCellMar>
      </w:tblPr>
      <w:tblGrid>
        <w:gridCol w:w="331"/>
        <w:gridCol w:w="325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32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 (Continued)</w:t>
            </w:r>
          </w:p>
        </w:tc>
      </w:tr>
    </w:tbl>
    <w:tbl>
      <w:tblPr>
        <w:tblW w:w="7476" w:type="dxa"/>
        <w:jc w:val="left"/>
        <w:tblInd w:w="0" w:type="dxa"/>
        <w:tblLayout w:type="fixed"/>
        <w:tblCellMar>
          <w:top w:w="0" w:type="dxa"/>
          <w:left w:w="0" w:type="dxa"/>
          <w:bottom w:w="0" w:type="dxa"/>
          <w:right w:w="0" w:type="dxa"/>
        </w:tblCellMar>
      </w:tblPr>
      <w:tblGrid>
        <w:gridCol w:w="124"/>
        <w:gridCol w:w="28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70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Financial assets and liabilities measured at fair value on a recurring basis (Continued)</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following table presents the changes in Level 3 financial liabilities for the years ended December 31, 2021 and 2022.</w:t>
      </w:r>
    </w:p>
    <w:p>
      <w:pPr>
        <w:pStyle w:val="TextBody"/>
        <w:bidi w:val="0"/>
        <w:spacing w:before="0" w:after="0"/>
        <w:ind w:left="0" w:right="0" w:hanging="0"/>
        <w:jc w:val="left"/>
        <w:rPr/>
      </w:pPr>
      <w:r>
        <w:rPr/>
        <w:t>​</w:t>
      </w:r>
    </w:p>
    <w:tbl>
      <w:tblPr>
        <w:tblW w:w="5374" w:type="dxa"/>
        <w:jc w:val="left"/>
        <w:tblInd w:w="0" w:type="dxa"/>
        <w:tblLayout w:type="fixed"/>
        <w:tblCellMar>
          <w:top w:w="0" w:type="dxa"/>
          <w:left w:w="0" w:type="dxa"/>
          <w:bottom w:w="0" w:type="dxa"/>
          <w:right w:w="0" w:type="dxa"/>
        </w:tblCellMar>
      </w:tblPr>
      <w:tblGrid>
        <w:gridCol w:w="3286"/>
        <w:gridCol w:w="109"/>
        <w:gridCol w:w="780"/>
        <w:gridCol w:w="368"/>
        <w:gridCol w:w="83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86610" cy="175260"/>
                      <wp:effectExtent l="0" t="0" r="0" b="0"/>
                      <wp:wrapNone/>
                      <wp:docPr id="458" name="Frame451"/>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9215" cy="175260"/>
                      <wp:effectExtent l="0" t="0" r="0" b="0"/>
                      <wp:wrapNone/>
                      <wp:docPr id="459" name="Frame4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95300" cy="175260"/>
                      <wp:effectExtent l="0" t="0" r="0" b="0"/>
                      <wp:wrapNone/>
                      <wp:docPr id="460" name="Frame453"/>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33680" cy="175260"/>
                      <wp:effectExtent l="0" t="0" r="0" b="0"/>
                      <wp:wrapNone/>
                      <wp:docPr id="461" name="Frame454"/>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27685" cy="175260"/>
                      <wp:effectExtent l="0" t="0" r="0" b="0"/>
                      <wp:wrapNone/>
                      <wp:docPr id="462" name="Frame455"/>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79"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 consideration</w:t>
            </w:r>
          </w:p>
        </w:tc>
      </w:tr>
      <w:tr>
        <w:trPr/>
        <w:tc>
          <w:tcPr>
            <w:tcW w:w="32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79"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payable</w:t>
            </w:r>
          </w:p>
        </w:tc>
      </w:tr>
      <w:tr>
        <w:trPr/>
        <w:tc>
          <w:tcPr>
            <w:tcW w:w="32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79"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32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7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2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8" w:type="dxa"/>
            <w:tcBorders/>
            <w:vAlign w:val="center"/>
          </w:tcPr>
          <w:p>
            <w:pPr>
              <w:pStyle w:val="TableContents"/>
              <w:bidi w:val="0"/>
              <w:spacing w:before="0" w:after="0"/>
              <w:ind w:left="0" w:right="0" w:hanging="0"/>
              <w:jc w:val="center"/>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109"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7,755</w:t>
            </w:r>
          </w:p>
        </w:tc>
        <w:tc>
          <w:tcPr>
            <w:tcW w:w="368"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4,507</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w:t>
            </w:r>
          </w:p>
        </w:tc>
        <w:tc>
          <w:tcPr>
            <w:tcW w:w="109"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368"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contingent consideration</w:t>
            </w:r>
          </w:p>
        </w:tc>
        <w:tc>
          <w:tcPr>
            <w:tcW w:w="109"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w:t>
            </w:r>
          </w:p>
        </w:tc>
        <w:tc>
          <w:tcPr>
            <w:tcW w:w="368"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to accrued liabilities</w:t>
            </w:r>
          </w:p>
        </w:tc>
        <w:tc>
          <w:tcPr>
            <w:tcW w:w="109" w:type="dxa"/>
            <w:tcBorders/>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8" w:type="dxa"/>
            <w:tcBorders/>
            <w:vAlign w:val="center"/>
          </w:tcPr>
          <w:p>
            <w:pPr>
              <w:pStyle w:val="TableContents"/>
              <w:bidi w:val="0"/>
              <w:spacing w:before="0" w:after="0"/>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(4,507)</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109" w:type="dxa"/>
            <w:tcBorders/>
            <w:shd w:fill="CCEEFF" w:val="clear"/>
            <w:vAlign w:val="center"/>
          </w:tcPr>
          <w:p>
            <w:pPr>
              <w:pStyle w:val="TableContents"/>
              <w:bidi w:val="0"/>
              <w:spacing w:before="0" w:after="0"/>
              <w:ind w:left="0" w:right="0" w:hanging="0"/>
              <w:jc w:val="left"/>
              <w:rPr/>
            </w:pPr>
            <w:r>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4,507</w:t>
            </w:r>
          </w:p>
        </w:tc>
        <w:tc>
          <w:tcPr>
            <w:tcW w:w="368" w:type="dxa"/>
            <w:tcBorders/>
            <w:shd w:fill="CCEEFF" w:val="clear"/>
            <w:vAlign w:val="center"/>
          </w:tcPr>
          <w:p>
            <w:pPr>
              <w:pStyle w:val="TableContents"/>
              <w:bidi w:val="0"/>
              <w:spacing w:before="0" w:after="0"/>
              <w:ind w:left="0" w:right="0" w:hanging="0"/>
              <w:jc w:val="left"/>
              <w:rPr/>
            </w:pPr>
            <w:r>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following table presents the changes in Level 3 financial assets for the years ended December 31, 2021 and 2022.</w:t>
      </w:r>
    </w:p>
    <w:p>
      <w:pPr>
        <w:pStyle w:val="TextBody"/>
        <w:bidi w:val="0"/>
        <w:spacing w:before="0" w:after="0"/>
        <w:ind w:left="0" w:right="0" w:hanging="0"/>
        <w:jc w:val="left"/>
        <w:rPr/>
      </w:pPr>
      <w:r>
        <w:rPr/>
        <w:t>​</w:t>
      </w:r>
    </w:p>
    <w:tbl>
      <w:tblPr>
        <w:tblW w:w="5787" w:type="dxa"/>
        <w:jc w:val="left"/>
        <w:tblInd w:w="0" w:type="dxa"/>
        <w:tblLayout w:type="fixed"/>
        <w:tblCellMar>
          <w:top w:w="0" w:type="dxa"/>
          <w:left w:w="0" w:type="dxa"/>
          <w:bottom w:w="0" w:type="dxa"/>
          <w:right w:w="0" w:type="dxa"/>
        </w:tblCellMar>
      </w:tblPr>
      <w:tblGrid>
        <w:gridCol w:w="2761"/>
        <w:gridCol w:w="326"/>
        <w:gridCol w:w="944"/>
        <w:gridCol w:w="539"/>
        <w:gridCol w:w="1217"/>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753235" cy="175260"/>
                      <wp:effectExtent l="0" t="0" r="0" b="0"/>
                      <wp:wrapNone/>
                      <wp:docPr id="463" name="Frame456"/>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4"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99440" cy="175260"/>
                      <wp:effectExtent l="0" t="0" r="0" b="0"/>
                      <wp:wrapNone/>
                      <wp:docPr id="465" name="Frame458"/>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342265" cy="175260"/>
                      <wp:effectExtent l="0" t="0" r="0" b="0"/>
                      <wp:wrapNone/>
                      <wp:docPr id="466" name="Frame459"/>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772795" cy="175260"/>
                      <wp:effectExtent l="0" t="0" r="0" b="0"/>
                      <wp:wrapNone/>
                      <wp:docPr id="467" name="Frame460"/>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0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Available-for-sale debt investments</w: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0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539" w:type="dxa"/>
            <w:tcBorders/>
            <w:vAlign w:val="center"/>
          </w:tcPr>
          <w:p>
            <w:pPr>
              <w:pStyle w:val="TableContents"/>
              <w:bidi w:val="0"/>
              <w:spacing w:before="0" w:after="0"/>
              <w:ind w:left="0" w:right="0" w:hanging="0"/>
              <w:jc w:val="center"/>
              <w:rPr/>
            </w:pPr>
            <w:r>
              <w:rPr/>
              <w:t>    </w:t>
            </w:r>
          </w:p>
        </w:tc>
        <w:tc>
          <w:tcPr>
            <w:tcW w:w="12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right"/>
              <w:rPr/>
            </w:pPr>
            <w:r>
              <w:rPr/>
              <w:t>—</w:t>
            </w:r>
          </w:p>
        </w:tc>
        <w:tc>
          <w:tcPr>
            <w:tcW w:w="539" w:type="dxa"/>
            <w:tcBorders/>
            <w:shd w:fill="CCEEFF" w:val="clear"/>
            <w:vAlign w:val="center"/>
          </w:tcPr>
          <w:p>
            <w:pPr>
              <w:pStyle w:val="TableContents"/>
              <w:bidi w:val="0"/>
              <w:spacing w:before="0" w:after="0"/>
              <w:ind w:left="0" w:right="0" w:hanging="0"/>
              <w:jc w:val="left"/>
              <w:rPr/>
            </w:pPr>
            <w:r>
              <w:rPr/>
              <w:t> </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w:t>
            </w:r>
          </w:p>
        </w:tc>
        <w:tc>
          <w:tcPr>
            <w:tcW w:w="326"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w:t>
            </w:r>
          </w:p>
        </w:tc>
        <w:tc>
          <w:tcPr>
            <w:tcW w:w="539"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w:t>
            </w:r>
          </w:p>
        </w:tc>
        <w:tc>
          <w:tcPr>
            <w:tcW w:w="326" w:type="dxa"/>
            <w:tcBorders/>
            <w:shd w:fill="CCEEFF" w:val="cle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39" w:type="dxa"/>
            <w:tcBorders/>
            <w:shd w:fill="CCEEFF" w:val="clear"/>
            <w:vAlign w:val="center"/>
          </w:tcPr>
          <w:p>
            <w:pPr>
              <w:pStyle w:val="TableContents"/>
              <w:bidi w:val="0"/>
              <w:spacing w:before="0" w:after="0"/>
              <w:ind w:left="0" w:right="0" w:hanging="0"/>
              <w:jc w:val="left"/>
              <w:rPr/>
            </w:pPr>
            <w:r>
              <w:rPr/>
              <w:t>​</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26" w:type="dxa"/>
            <w:tcBorders/>
            <w:vAlign w:val="center"/>
          </w:tcPr>
          <w:p>
            <w:pPr>
              <w:pStyle w:val="TableContents"/>
              <w:bidi w:val="0"/>
              <w:spacing w:before="0" w:after="0"/>
              <w:ind w:left="0" w:right="0" w:hanging="0"/>
              <w:jc w:val="left"/>
              <w:rPr/>
            </w:pPr>
            <w:r>
              <w:rPr/>
              <w:t> </w:t>
            </w:r>
          </w:p>
        </w:tc>
        <w:tc>
          <w:tcPr>
            <w:tcW w:w="9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w:t>
            </w:r>
          </w:p>
        </w:tc>
        <w:tc>
          <w:tcPr>
            <w:tcW w:w="539" w:type="dxa"/>
            <w:tcBorders/>
            <w:vAlign w:val="center"/>
          </w:tcPr>
          <w:p>
            <w:pPr>
              <w:pStyle w:val="TableContents"/>
              <w:bidi w:val="0"/>
              <w:spacing w:before="0" w:after="0"/>
              <w:ind w:left="0" w:right="0" w:hanging="0"/>
              <w:jc w:val="left"/>
              <w:rPr/>
            </w:pPr>
            <w:r>
              <w:rPr/>
              <w:t> </w:t>
            </w:r>
          </w:p>
        </w:tc>
        <w:tc>
          <w:tcPr>
            <w:tcW w:w="121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3,000</w:t>
            </w:r>
          </w:p>
        </w:tc>
      </w:tr>
    </w:tbl>
    <w:p>
      <w:pPr>
        <w:pStyle w:val="TextBody"/>
        <w:bidi w:val="0"/>
        <w:spacing w:before="0" w:after="0"/>
        <w:ind w:left="0" w:right="0" w:hanging="0"/>
        <w:jc w:val="left"/>
        <w:rPr/>
      </w:pPr>
      <w:r>
        <w:rPr/>
        <w:t>​</w:t>
      </w:r>
    </w:p>
    <w:tbl>
      <w:tblPr>
        <w:tblW w:w="4536" w:type="dxa"/>
        <w:jc w:val="left"/>
        <w:tblInd w:w="0" w:type="dxa"/>
        <w:tblLayout w:type="fixed"/>
        <w:tblCellMar>
          <w:top w:w="0" w:type="dxa"/>
          <w:left w:w="0" w:type="dxa"/>
          <w:bottom w:w="0" w:type="dxa"/>
          <w:right w:w="0" w:type="dxa"/>
        </w:tblCellMar>
      </w:tblPr>
      <w:tblGrid>
        <w:gridCol w:w="124"/>
        <w:gridCol w:w="34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40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Fair value measurement on a non-recurring basis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Equity securities without readily determinable fair value accounted for using the measurement alternative are recorded at fair value only if an impairment or observable price adjustment is recognized in the current period. These non-recurring fair value measurements use significant unobservable inputs (Level 3). The Group uses market approach based on the Group’s best estimate to determine the fair value of these investments. An observable price change is usually resulting from new rounds of financing of the investees. The Group determines whether the securities offered in new rounds of financing are similar to the equity securities held by the Group by comparing the rights and obligations of the securities. When the securities offered in new rounds of financing are determined to be similar to the securities held by the Group, the Group adjusts the observable price of the similar security to determine the amount that should be recorded as an adjustment in the carrying value of the security to reflect the current fair value of the security held by the Group. There were no fair value changes related to such equity securities due to the observable price change of the investment without readily determinable fair value in the consolidated balance sheets for the years ended December 31, 2021 and 2022.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120" w:name="Tc_DVjrHofAMku44XkpStYCzA_9_0"/>
      <w:bookmarkStart w:id="2121" w:name="Tc_5PWsma7OUUugFuYRhafCow_8_0"/>
      <w:bookmarkStart w:id="2122" w:name="Tc_brRIdJEmVESkvEsoDUw7ag_7_0"/>
      <w:bookmarkStart w:id="2123" w:name="Tc_hO9ijZnVHEersabzK5YSgg_6_2"/>
      <w:bookmarkStart w:id="2124" w:name="Tc_QcSDdACBL06QN8pj4DD0Jg_6_0"/>
      <w:bookmarkStart w:id="2125" w:name="Tc_w-1BKST3VkuS3z4gcdy17w_5_0"/>
      <w:bookmarkStart w:id="2126" w:name="Tc_0UN9QhTK8kypaIYg4Qopdw_4_0"/>
      <w:bookmarkStart w:id="2127" w:name="Tc_WxNT3uptL0qTEd8kRiO_LA_3_4"/>
      <w:bookmarkStart w:id="2128" w:name="Tc_Jd3NRr-P00GVpFVc4zkEKQ_3_2"/>
      <w:bookmarkStart w:id="2129" w:name="Tc_tj9oFy-5R0KBeFZJ23yGdw_2_2"/>
      <w:bookmarkStart w:id="2130" w:name="Tc_7Easfwp3sEWCHkGg4WOvXA_1_2"/>
      <w:bookmarkStart w:id="2131" w:name="Narr_40cfIwSU2kuZme-8UWWcLw"/>
      <w:bookmarkStart w:id="2132" w:name="Tc_DVjrHofAMku44XkpStYCzA_9_0"/>
      <w:bookmarkStart w:id="2133" w:name="Tc_5PWsma7OUUugFuYRhafCow_8_0"/>
      <w:bookmarkStart w:id="2134" w:name="Tc_brRIdJEmVESkvEsoDUw7ag_7_0"/>
      <w:bookmarkStart w:id="2135" w:name="Tc_hO9ijZnVHEersabzK5YSgg_6_2"/>
      <w:bookmarkStart w:id="2136" w:name="Tc_QcSDdACBL06QN8pj4DD0Jg_6_0"/>
      <w:bookmarkStart w:id="2137" w:name="Tc_w-1BKST3VkuS3z4gcdy17w_5_0"/>
      <w:bookmarkStart w:id="2138" w:name="Tc_0UN9QhTK8kypaIYg4Qopdw_4_0"/>
      <w:bookmarkStart w:id="2139" w:name="Tc_WxNT3uptL0qTEd8kRiO_LA_3_4"/>
      <w:bookmarkStart w:id="2140" w:name="Tc_Jd3NRr-P00GVpFVc4zkEKQ_3_2"/>
      <w:bookmarkStart w:id="2141" w:name="Tc_tj9oFy-5R0KBeFZJ23yGdw_2_2"/>
      <w:bookmarkStart w:id="2142" w:name="Tc_7Easfwp3sEWCHkGg4WOvXA_1_2"/>
      <w:bookmarkStart w:id="2143" w:name="Narr_40cfIwSU2kuZme-8UWWcLw"/>
      <w:bookmarkEnd w:id="2132"/>
      <w:bookmarkEnd w:id="2133"/>
      <w:bookmarkEnd w:id="2134"/>
      <w:bookmarkEnd w:id="2135"/>
      <w:bookmarkEnd w:id="2136"/>
      <w:bookmarkEnd w:id="2137"/>
      <w:bookmarkEnd w:id="2138"/>
      <w:bookmarkEnd w:id="2139"/>
      <w:bookmarkEnd w:id="2140"/>
      <w:bookmarkEnd w:id="2141"/>
      <w:bookmarkEnd w:id="2142"/>
      <w:bookmarkEnd w:id="2143"/>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3587" w:type="dxa"/>
        <w:jc w:val="left"/>
        <w:tblInd w:w="0" w:type="dxa"/>
        <w:tblLayout w:type="fixed"/>
        <w:tblCellMar>
          <w:top w:w="0" w:type="dxa"/>
          <w:left w:w="0" w:type="dxa"/>
          <w:bottom w:w="0" w:type="dxa"/>
          <w:right w:w="0" w:type="dxa"/>
        </w:tblCellMar>
      </w:tblPr>
      <w:tblGrid>
        <w:gridCol w:w="331"/>
        <w:gridCol w:w="325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32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 (Continued)</w:t>
            </w:r>
          </w:p>
        </w:tc>
      </w:tr>
    </w:tbl>
    <w:tbl>
      <w:tblPr>
        <w:tblW w:w="5571" w:type="dxa"/>
        <w:jc w:val="left"/>
        <w:tblInd w:w="0" w:type="dxa"/>
        <w:tblLayout w:type="fixed"/>
        <w:tblCellMar>
          <w:top w:w="0" w:type="dxa"/>
          <w:left w:w="0" w:type="dxa"/>
          <w:bottom w:w="0" w:type="dxa"/>
          <w:right w:w="0" w:type="dxa"/>
        </w:tblCellMar>
      </w:tblPr>
      <w:tblGrid>
        <w:gridCol w:w="124"/>
        <w:gridCol w:w="34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51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Fair value measurement on a non-recurring basis (Continued)</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Group assesses the existence of indicators for other-than-temporary impairment of the investments by considering factors as detailed in Note 2(m). The Group recognized US$nil, US$4,038 and US$10,805 impairment charges to investments in equity securities without readily determinable fair value classified as other long-term investments for the years ended December 31, 2020, 2021 and 2022, respectively. In determining the fair value of one (2021: three) investment in equity securities over which the Group identified impairment indicators, market multiple method was used, with significant input including (i) a discount for lack of marketability of 20% (2021: 20)%, and (ii) price-to-sales multiples of comparable companies of 7.6 (2021: ranging from 2.4 to 6.5).</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following table presents the changes in financial assets measured using Level 3 input on a non-recurring basis for the years ended December 31, 2021 and 2022.</w:t>
      </w:r>
    </w:p>
    <w:p>
      <w:pPr>
        <w:pStyle w:val="TextBody"/>
        <w:bidi w:val="0"/>
        <w:spacing w:before="0" w:after="0"/>
        <w:ind w:left="0" w:right="0" w:hanging="0"/>
        <w:jc w:val="left"/>
        <w:rPr/>
      </w:pPr>
      <w:r>
        <w:rPr/>
        <w:t>​</w:t>
      </w:r>
    </w:p>
    <w:tbl>
      <w:tblPr>
        <w:tblW w:w="8472" w:type="dxa"/>
        <w:jc w:val="left"/>
        <w:tblInd w:w="0" w:type="dxa"/>
        <w:tblLayout w:type="fixed"/>
        <w:tblCellMar>
          <w:top w:w="0" w:type="dxa"/>
          <w:left w:w="0" w:type="dxa"/>
          <w:bottom w:w="0" w:type="dxa"/>
          <w:right w:w="0" w:type="dxa"/>
        </w:tblCellMar>
      </w:tblPr>
      <w:tblGrid>
        <w:gridCol w:w="5416"/>
        <w:gridCol w:w="326"/>
        <w:gridCol w:w="1015"/>
        <w:gridCol w:w="479"/>
        <w:gridCol w:w="1236"/>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3439160" cy="175260"/>
                      <wp:effectExtent l="0" t="0" r="0" b="0"/>
                      <wp:wrapNone/>
                      <wp:docPr id="468" name="Frame461"/>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69"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4525" cy="175260"/>
                      <wp:effectExtent l="0" t="0" r="0" b="0"/>
                      <wp:wrapNone/>
                      <wp:docPr id="470" name="Frame463"/>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04165" cy="175260"/>
                      <wp:effectExtent l="0" t="0" r="0" b="0"/>
                      <wp:wrapNone/>
                      <wp:docPr id="471" name="Frame464"/>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784860" cy="175260"/>
                      <wp:effectExtent l="0" t="0" r="0" b="0"/>
                      <wp:wrapNone/>
                      <wp:docPr id="472" name="Frame465"/>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3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long-term equity investments</w:t>
            </w:r>
          </w:p>
        </w:tc>
      </w:tr>
      <w:tr>
        <w:trPr/>
        <w:tc>
          <w:tcPr>
            <w:tcW w:w="5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79" w:type="dxa"/>
            <w:tcBorders/>
            <w:vAlign w:val="center"/>
          </w:tcPr>
          <w:p>
            <w:pPr>
              <w:pStyle w:val="TableContents"/>
              <w:bidi w:val="0"/>
              <w:spacing w:before="0" w:after="0"/>
              <w:ind w:left="0" w:right="0" w:hanging="0"/>
              <w:jc w:val="center"/>
              <w:rPr/>
            </w:pPr>
            <w:r>
              <w:rPr/>
              <w:t>    </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8,651</w:t>
            </w:r>
          </w:p>
        </w:tc>
        <w:tc>
          <w:tcPr>
            <w:tcW w:w="479" w:type="dxa"/>
            <w:tcBorders/>
            <w:shd w:fill="CCEEFF" w:val="clear"/>
            <w:vAlign w:val="center"/>
          </w:tcPr>
          <w:p>
            <w:pPr>
              <w:pStyle w:val="TableContents"/>
              <w:bidi w:val="0"/>
              <w:spacing w:before="0" w:after="0"/>
              <w:ind w:left="0" w:right="0" w:hanging="0"/>
              <w:jc w:val="left"/>
              <w:rPr/>
            </w:pPr>
            <w:r>
              <w:rPr/>
              <w:t> </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12,114</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made/transferred from prepayments</w:t>
            </w:r>
          </w:p>
        </w:tc>
        <w:tc>
          <w:tcPr>
            <w:tcW w:w="326"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7,417</w:t>
            </w:r>
          </w:p>
        </w:tc>
        <w:tc>
          <w:tcPr>
            <w:tcW w:w="479" w:type="dxa"/>
            <w:tcBorders/>
            <w:vAlign w:val="center"/>
          </w:tcPr>
          <w:p>
            <w:pPr>
              <w:pStyle w:val="TableContents"/>
              <w:bidi w:val="0"/>
              <w:spacing w:before="0" w:after="0"/>
              <w:ind w:left="0" w:right="0" w:hanging="0"/>
              <w:jc w:val="left"/>
              <w:rPr/>
            </w:pPr>
            <w:r>
              <w:rPr/>
              <w:t> </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to short-term investments - listed equity securities (Note)</w:t>
            </w:r>
          </w:p>
        </w:tc>
        <w:tc>
          <w:tcPr>
            <w:tcW w:w="326"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right"/>
              <w:rPr/>
            </w:pPr>
            <w:r>
              <w:rPr/>
              <w:t>—</w:t>
            </w:r>
          </w:p>
        </w:tc>
        <w:tc>
          <w:tcPr>
            <w:tcW w:w="479" w:type="dxa"/>
            <w:tcBorders/>
            <w:shd w:fill="CCEEFF" w:val="clear"/>
            <w:vAlign w:val="center"/>
          </w:tcPr>
          <w:p>
            <w:pPr>
              <w:pStyle w:val="TableContents"/>
              <w:bidi w:val="0"/>
              <w:spacing w:before="0" w:after="0"/>
              <w:ind w:left="0" w:right="0" w:hanging="0"/>
              <w:jc w:val="left"/>
              <w:rPr/>
            </w:pPr>
            <w:r>
              <w:rPr/>
              <w:t> </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on investments</w:t>
            </w:r>
          </w:p>
        </w:tc>
        <w:tc>
          <w:tcPr>
            <w:tcW w:w="326"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(4,038)</w:t>
            </w:r>
          </w:p>
        </w:tc>
        <w:tc>
          <w:tcPr>
            <w:tcW w:w="479" w:type="dxa"/>
            <w:tcBorders/>
            <w:vAlign w:val="center"/>
          </w:tcPr>
          <w:p>
            <w:pPr>
              <w:pStyle w:val="TableContents"/>
              <w:bidi w:val="0"/>
              <w:spacing w:before="0" w:after="0"/>
              <w:ind w:left="0" w:right="0" w:hanging="0"/>
              <w:jc w:val="left"/>
              <w:rPr/>
            </w:pPr>
            <w:r>
              <w:rPr/>
              <w:t> </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(10,805)</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shd w:fill="CCEEFF" w:val="cle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479" w:type="dxa"/>
            <w:tcBorders/>
            <w:shd w:fill="CCEEFF" w:val="clear"/>
            <w:vAlign w:val="center"/>
          </w:tcPr>
          <w:p>
            <w:pPr>
              <w:pStyle w:val="TableContents"/>
              <w:bidi w:val="0"/>
              <w:spacing w:before="0" w:after="0"/>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26" w:type="dxa"/>
            <w:tcBorders/>
            <w:vAlign w:val="center"/>
          </w:tcPr>
          <w:p>
            <w:pPr>
              <w:pStyle w:val="TableContents"/>
              <w:bidi w:val="0"/>
              <w:spacing w:before="0" w:after="0"/>
              <w:ind w:left="0" w:right="0" w:hanging="0"/>
              <w:jc w:val="left"/>
              <w:rPr/>
            </w:pPr>
            <w:r>
              <w:rPr/>
              <w:t> </w:t>
            </w:r>
          </w:p>
        </w:tc>
        <w:tc>
          <w:tcPr>
            <w:tcW w:w="10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12,114</w:t>
            </w:r>
          </w:p>
        </w:tc>
        <w:tc>
          <w:tcPr>
            <w:tcW w:w="479" w:type="dxa"/>
            <w:tcBorders/>
            <w:vAlign w:val="center"/>
          </w:tcPr>
          <w:p>
            <w:pPr>
              <w:pStyle w:val="TableContents"/>
              <w:bidi w:val="0"/>
              <w:spacing w:before="0" w:after="0"/>
              <w:ind w:left="0" w:right="0" w:hanging="0"/>
              <w:jc w:val="left"/>
              <w:rPr/>
            </w:pPr>
            <w:r>
              <w:rPr/>
              <w:t> </w:t>
            </w:r>
          </w:p>
        </w:tc>
        <w:tc>
          <w:tcPr>
            <w:tcW w:w="12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2,970</w:t>
            </w:r>
          </w:p>
        </w:tc>
      </w:tr>
    </w:tbl>
    <w:p>
      <w:pPr>
        <w:pStyle w:val="TextBody"/>
        <w:bidi w:val="0"/>
        <w:spacing w:before="0" w:after="0"/>
        <w:ind w:left="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 xml:space="preserve">Note: </w:t>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The fair value hierarchy of an equity investment was transferred from level 3 to level 1 due to the public listing of the investee during the year ended December 31, 2022.</w:t>
      </w:r>
    </w:p>
    <w:tbl>
      <w:tblPr>
        <w:tblW w:w="2087" w:type="dxa"/>
        <w:jc w:val="left"/>
        <w:tblInd w:w="0" w:type="dxa"/>
        <w:tblLayout w:type="fixed"/>
        <w:tblCellMar>
          <w:top w:w="0" w:type="dxa"/>
          <w:left w:w="0" w:type="dxa"/>
          <w:bottom w:w="0" w:type="dxa"/>
          <w:right w:w="0" w:type="dxa"/>
        </w:tblCellMar>
      </w:tblPr>
      <w:tblGrid>
        <w:gridCol w:w="346"/>
        <w:gridCol w:w="174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17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Concentration risk</w:t>
            </w:r>
          </w:p>
        </w:tc>
      </w:tr>
    </w:tbl>
    <w:tbl>
      <w:tblPr>
        <w:tblW w:w="2706" w:type="dxa"/>
        <w:jc w:val="left"/>
        <w:tblInd w:w="0" w:type="dxa"/>
        <w:tblLayout w:type="fixed"/>
        <w:tblCellMar>
          <w:top w:w="28" w:type="dxa"/>
          <w:left w:w="28" w:type="dxa"/>
          <w:bottom w:w="28" w:type="dxa"/>
          <w:right w:w="28" w:type="dxa"/>
        </w:tblCellMar>
      </w:tblPr>
      <w:tblGrid>
        <w:gridCol w:w="124"/>
        <w:gridCol w:w="286"/>
        <w:gridCol w:w="229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 of revenues</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For the years ended December 31, 2020, 2021 and 2022, no individual customer accounted for more than 10% of the net revenues.</w:t>
      </w:r>
    </w:p>
    <w:tbl>
      <w:tblPr>
        <w:tblW w:w="3651" w:type="dxa"/>
        <w:jc w:val="left"/>
        <w:tblInd w:w="0" w:type="dxa"/>
        <w:tblLayout w:type="fixed"/>
        <w:tblCellMar>
          <w:top w:w="28" w:type="dxa"/>
          <w:left w:w="28" w:type="dxa"/>
          <w:bottom w:w="28" w:type="dxa"/>
          <w:right w:w="28" w:type="dxa"/>
        </w:tblCellMar>
      </w:tblPr>
      <w:tblGrid>
        <w:gridCol w:w="124"/>
        <w:gridCol w:w="34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 of accounts receivable</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Group conducts credit evaluations on its customers and generally does not require collateral or other security from such customers. The Group generally grants up to 180 days of credit term to customers and periodically evaluates the creditworthiness of the existing customers in determining an allowance for doubtful accounts primarily based upon the age of the receivables and factors surrounding the credit risk of specific customers.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As of December 31, 2021 and 2022, no individual customer accounted for more than 10% of the consolidated accounts receivable. The top 10 accounts receivable accounted for 37% and 59% of the consolidated accounts receivable as of December 31, 2021 and 2022,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risks and concentration (Continued)</w:t>
            </w:r>
          </w:p>
        </w:tc>
      </w:tr>
    </w:tbl>
    <w:tbl>
      <w:tblPr>
        <w:tblW w:w="3122" w:type="dxa"/>
        <w:jc w:val="left"/>
        <w:tblInd w:w="0" w:type="dxa"/>
        <w:tblLayout w:type="fixed"/>
        <w:tblCellMar>
          <w:top w:w="0" w:type="dxa"/>
          <w:left w:w="0" w:type="dxa"/>
          <w:bottom w:w="0" w:type="dxa"/>
          <w:right w:w="0" w:type="dxa"/>
        </w:tblCellMar>
      </w:tblPr>
      <w:tblGrid>
        <w:gridCol w:w="346"/>
        <w:gridCol w:w="277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27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Concentration risk (Continued)</w:t>
            </w:r>
          </w:p>
        </w:tc>
      </w:tr>
    </w:tbl>
    <w:tbl>
      <w:tblPr>
        <w:tblW w:w="1536" w:type="dxa"/>
        <w:jc w:val="left"/>
        <w:tblInd w:w="0" w:type="dxa"/>
        <w:tblLayout w:type="fixed"/>
        <w:tblCellMar>
          <w:top w:w="28" w:type="dxa"/>
          <w:left w:w="28" w:type="dxa"/>
          <w:bottom w:w="28" w:type="dxa"/>
          <w:right w:w="28" w:type="dxa"/>
        </w:tblCellMar>
      </w:tblPr>
      <w:tblGrid>
        <w:gridCol w:w="124"/>
        <w:gridCol w:w="406"/>
        <w:gridCol w:w="100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As of December 31, 2021 and 2022, substantially all of the Group’s cash and cash equivalents, time deposits and restricted cash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cash and cash equivalents, time deposits and restricted cash during the years ended December 31, 2020, 2021 and 2022 and believes that its credit risk to be minimal.</w:t>
      </w:r>
    </w:p>
    <w:p>
      <w:pPr>
        <w:pStyle w:val="Normal"/>
        <w:bidi w:val="0"/>
        <w:spacing w:before="0" w:after="0"/>
        <w:jc w:val="left"/>
        <w:rPr>
          <w:sz w:val="4"/>
          <w:szCs w:val="4"/>
        </w:rPr>
      </w:pPr>
      <w:r>
        <w:rPr>
          <w:sz w:val="4"/>
          <w:szCs w:val="4"/>
        </w:rPr>
      </w:r>
      <w:bookmarkStart w:id="2144" w:name="Tc_hU4wCdYa4E24_jcRP113zQ_6_0"/>
      <w:bookmarkStart w:id="2145" w:name="Tc_IR6IkSDJEUymjFdnPHuUcw_5_0"/>
      <w:bookmarkStart w:id="2146" w:name="Tc_iJxImfGcEEOUrfBTSasqzg_4_0"/>
      <w:bookmarkStart w:id="2147" w:name="Tc_PtPIPpRqPUC85RBtNvkgMQ_3_0"/>
      <w:bookmarkStart w:id="2148" w:name="Tc_VslVzEmW80ulP6Ov1UMIjw_2_0"/>
      <w:bookmarkStart w:id="2149" w:name="Tc_TuCd6fmzTEOeIpX5oI1eow_1_0"/>
      <w:bookmarkStart w:id="2150" w:name="Tc_hU4wCdYa4E24_jcRP113zQ_6_0"/>
      <w:bookmarkStart w:id="2151" w:name="Tc_IR6IkSDJEUymjFdnPHuUcw_5_0"/>
      <w:bookmarkStart w:id="2152" w:name="Tc_iJxImfGcEEOUrfBTSasqzg_4_0"/>
      <w:bookmarkStart w:id="2153" w:name="Tc_PtPIPpRqPUC85RBtNvkgMQ_3_0"/>
      <w:bookmarkStart w:id="2154" w:name="Tc_VslVzEmW80ulP6Ov1UMIjw_2_0"/>
      <w:bookmarkStart w:id="2155" w:name="Tc_TuCd6fmzTEOeIpX5oI1eow_1_0"/>
      <w:bookmarkEnd w:id="2150"/>
      <w:bookmarkEnd w:id="2151"/>
      <w:bookmarkEnd w:id="2152"/>
      <w:bookmarkEnd w:id="2153"/>
      <w:bookmarkEnd w:id="2154"/>
      <w:bookmarkEnd w:id="2155"/>
    </w:p>
    <w:tbl>
      <w:tblPr>
        <w:tblW w:w="1412" w:type="dxa"/>
        <w:jc w:val="left"/>
        <w:tblInd w:w="0" w:type="dxa"/>
        <w:tblLayout w:type="fixed"/>
        <w:tblCellMar>
          <w:top w:w="0" w:type="dxa"/>
          <w:left w:w="0" w:type="dxa"/>
          <w:bottom w:w="0" w:type="dxa"/>
          <w:right w:w="0" w:type="dxa"/>
        </w:tblCellMar>
      </w:tblPr>
      <w:tblGrid>
        <w:gridCol w:w="226"/>
        <w:gridCol w:w="118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11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Acquisitions</w:t>
            </w:r>
          </w:p>
        </w:tc>
      </w:tr>
    </w:tbl>
    <w:tbl>
      <w:tblPr>
        <w:tblW w:w="2417" w:type="dxa"/>
        <w:jc w:val="left"/>
        <w:tblInd w:w="0" w:type="dxa"/>
        <w:tblLayout w:type="fixed"/>
        <w:tblCellMar>
          <w:top w:w="0" w:type="dxa"/>
          <w:left w:w="0" w:type="dxa"/>
          <w:bottom w:w="0" w:type="dxa"/>
          <w:right w:w="0" w:type="dxa"/>
        </w:tblCellMar>
      </w:tblPr>
      <w:tblGrid>
        <w:gridCol w:w="346"/>
        <w:gridCol w:w="207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0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of Optimal</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May 2020, the Company acquired 80% equity interest of Optimal, a company incorporated in the British Virgin Islands. Optimal, through its wholly-owned subsidiary, has a business cooperation agreement entered into with a global media asset owner to act as its authorized digital advertising representative in the PRC for a period of 30 years, which will be automatically renewed annually as long as the Company continues to perform related payment obligations on an annual license fee of RMB30 thousand (equivalent to US$5). The agreement is essentially an advertising contract. The Company expects to increase its market share in the Marketing Solution segment in the PRC upon acquisition of this advertising contract.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acquisition was determined to be an asset acquisition as Optimal did not contain outputs or a substantive process as of the date of acquisition, therefore it does not constitute a business under ASC 805.</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issued 3,589,744 Class A ordinary shares to the seller with a fair value of US$31,949, determined based on the fair value for 80% equity interest of Optimal.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summarizes the estimated fair values of assets acquired and liabilities assumed at the date of acquisition:</w:t>
      </w:r>
    </w:p>
    <w:p>
      <w:pPr>
        <w:pStyle w:val="TextBody"/>
        <w:bidi w:val="0"/>
        <w:spacing w:before="0" w:after="0"/>
        <w:ind w:left="0" w:right="0" w:hanging="0"/>
        <w:jc w:val="left"/>
        <w:rPr/>
      </w:pPr>
      <w:r>
        <w:rPr/>
        <w:t>​</w:t>
      </w:r>
    </w:p>
    <w:tbl>
      <w:tblPr>
        <w:tblW w:w="4273" w:type="dxa"/>
        <w:jc w:val="left"/>
        <w:tblInd w:w="0" w:type="dxa"/>
        <w:tblLayout w:type="fixed"/>
        <w:tblCellMar>
          <w:top w:w="0" w:type="dxa"/>
          <w:left w:w="0" w:type="dxa"/>
          <w:bottom w:w="0" w:type="dxa"/>
          <w:right w:w="0" w:type="dxa"/>
        </w:tblCellMar>
      </w:tblPr>
      <w:tblGrid>
        <w:gridCol w:w="3106"/>
        <w:gridCol w:w="326"/>
        <w:gridCol w:w="84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972310" cy="175260"/>
                      <wp:effectExtent l="0" t="0" r="0" b="0"/>
                      <wp:wrapNone/>
                      <wp:docPr id="473" name="Frame466"/>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4"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34035" cy="175260"/>
                      <wp:effectExtent l="0" t="0" r="0" b="0"/>
                      <wp:wrapNone/>
                      <wp:docPr id="475" name="Frame46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3,001</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53,287</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(13,322)</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(7,987)</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net assets acquired</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31,949</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intangible asset represents the advertising contract, which is amortized using the straight-line method over the estimated useful life of 30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156" w:name="Tc_skV282yg00OqsonGHkOyrA_9_0"/>
      <w:bookmarkStart w:id="2157" w:name="Tc_LvGgCRt0c02MPg1_GQnBJg_8_0"/>
      <w:bookmarkStart w:id="2158" w:name="Tc_baPc9-M170itCJzYaeHCeA_7_0"/>
      <w:bookmarkStart w:id="2159" w:name="Tc_Q_3GuJYDA025k-xwgfT6Ug_6_0"/>
      <w:bookmarkStart w:id="2160" w:name="Tc_gAZ6BHIwn0i6jImF4AvDDA_5_0"/>
      <w:bookmarkStart w:id="2161" w:name="Tc_tzMvz_2XeEy8N-MT1-k1Aw_4_0"/>
      <w:bookmarkStart w:id="2162" w:name="Tc_6BffMmpCFkSyVwXAHfrcVg_3_0"/>
      <w:bookmarkStart w:id="2163" w:name="Tc_JReZSDWyUUe2oqToRGUkbA_2_0"/>
      <w:bookmarkStart w:id="2164" w:name="Tc_YOcEVbWMV0WN7GHLhEXY4g_1_0"/>
      <w:bookmarkStart w:id="2165" w:name="_9ef7d8c1_de78_459a_b1ec_864bd67e93d9"/>
      <w:bookmarkStart w:id="2166" w:name="Tc_szvR6WxFQkaiVwPdb2jtsA_3_0"/>
      <w:bookmarkStart w:id="2167" w:name="Tc_U9AqveNyx0ag84n84J2wHQ_2_0"/>
      <w:bookmarkStart w:id="2168" w:name="Tc_YEb0WLmNp0KU9OJ6Z0qsiw_1_0"/>
      <w:bookmarkStart w:id="2169" w:name="Tc_skV282yg00OqsonGHkOyrA_9_0"/>
      <w:bookmarkStart w:id="2170" w:name="Tc_LvGgCRt0c02MPg1_GQnBJg_8_0"/>
      <w:bookmarkStart w:id="2171" w:name="Tc_baPc9-M170itCJzYaeHCeA_7_0"/>
      <w:bookmarkStart w:id="2172" w:name="Tc_Q_3GuJYDA025k-xwgfT6Ug_6_0"/>
      <w:bookmarkStart w:id="2173" w:name="Tc_gAZ6BHIwn0i6jImF4AvDDA_5_0"/>
      <w:bookmarkStart w:id="2174" w:name="Tc_tzMvz_2XeEy8N-MT1-k1Aw_4_0"/>
      <w:bookmarkStart w:id="2175" w:name="Tc_6BffMmpCFkSyVwXAHfrcVg_3_0"/>
      <w:bookmarkStart w:id="2176" w:name="Tc_JReZSDWyUUe2oqToRGUkbA_2_0"/>
      <w:bookmarkStart w:id="2177" w:name="Tc_YOcEVbWMV0WN7GHLhEXY4g_1_0"/>
      <w:bookmarkStart w:id="2178" w:name="_9ef7d8c1_de78_459a_b1ec_864bd67e93d9"/>
      <w:bookmarkStart w:id="2179" w:name="Tc_szvR6WxFQkaiVwPdb2jtsA_3_0"/>
      <w:bookmarkStart w:id="2180" w:name="Tc_U9AqveNyx0ag84n84J2wHQ_2_0"/>
      <w:bookmarkStart w:id="2181" w:name="Tc_YEb0WLmNp0KU9OJ6Z0qsiw_1_0"/>
      <w:bookmarkEnd w:id="2169"/>
      <w:bookmarkEnd w:id="2170"/>
      <w:bookmarkEnd w:id="2171"/>
      <w:bookmarkEnd w:id="2172"/>
      <w:bookmarkEnd w:id="2173"/>
      <w:bookmarkEnd w:id="2174"/>
      <w:bookmarkEnd w:id="2175"/>
      <w:bookmarkEnd w:id="2176"/>
      <w:bookmarkEnd w:id="2177"/>
      <w:bookmarkEnd w:id="2178"/>
      <w:bookmarkEnd w:id="2179"/>
      <w:bookmarkEnd w:id="2180"/>
      <w:bookmarkEnd w:id="2181"/>
    </w:p>
    <w:tbl>
      <w:tblPr>
        <w:tblW w:w="2372" w:type="dxa"/>
        <w:jc w:val="left"/>
        <w:tblInd w:w="0" w:type="dxa"/>
        <w:tblLayout w:type="fixed"/>
        <w:tblCellMar>
          <w:top w:w="0" w:type="dxa"/>
          <w:left w:w="0" w:type="dxa"/>
          <w:bottom w:w="0" w:type="dxa"/>
          <w:right w:w="0" w:type="dxa"/>
        </w:tblCellMar>
      </w:tblPr>
      <w:tblGrid>
        <w:gridCol w:w="226"/>
        <w:gridCol w:w="21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1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(Continued)</w:t>
            </w:r>
          </w:p>
        </w:tc>
      </w:tr>
    </w:tbl>
    <w:tbl>
      <w:tblPr>
        <w:tblW w:w="3452" w:type="dxa"/>
        <w:jc w:val="left"/>
        <w:tblInd w:w="0" w:type="dxa"/>
        <w:tblLayout w:type="fixed"/>
        <w:tblCellMar>
          <w:top w:w="0" w:type="dxa"/>
          <w:left w:w="0" w:type="dxa"/>
          <w:bottom w:w="0" w:type="dxa"/>
          <w:right w:w="0" w:type="dxa"/>
        </w:tblCellMar>
      </w:tblPr>
      <w:tblGrid>
        <w:gridCol w:w="346"/>
        <w:gridCol w:w="310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31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of Optimal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December 2020, the Company has acquired the remaining 20% equity interest of Optimal (Note 1(a)(v)).</w:t>
      </w:r>
    </w:p>
    <w:tbl>
      <w:tblPr>
        <w:tblW w:w="4322" w:type="dxa"/>
        <w:jc w:val="left"/>
        <w:tblInd w:w="0" w:type="dxa"/>
        <w:tblLayout w:type="fixed"/>
        <w:tblCellMar>
          <w:top w:w="0" w:type="dxa"/>
          <w:left w:w="0" w:type="dxa"/>
          <w:bottom w:w="0" w:type="dxa"/>
          <w:right w:w="0" w:type="dxa"/>
        </w:tblCellMar>
      </w:tblPr>
      <w:tblGrid>
        <w:gridCol w:w="346"/>
        <w:gridCol w:w="397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3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of CMRS Group Holding Limited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October 2020, the Group acquired 100% equity interest in CMRS Group Holding Limited (“CMRS”), a company incorporated in Hong Kong. CMRS and its underlying subsidiaries (together, “CMRS Group”) are engaged in the provision of digital marketing, social media and key opinion leaders and smart content generation enterprise solution services. The Company expects to increase its market share in both Marketing and Enterprise Solutions segments with the combination of data-driven consumer experience management as well as digital content marketing and management to maximize digital marketing potential and efficiency through CMRS Group.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total purchase consideration for CMRS Group amounted to US$14,449. This comprised cash consideration of HK$33,594 (equivalent to approximately US$4,335), 182,950 Class A ordinary shares of the Company with a fair value of US$2,440 and contingent consideration payable at a fair value of US$7,674.</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acquisition was recorded as a business combination. The following table summarizes the estimated fair values of the assets acquired and liabilities assumed at the date of acquisition: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Fair value of consideration transferred:</w:t>
      </w:r>
    </w:p>
    <w:p>
      <w:pPr>
        <w:pStyle w:val="TextBody"/>
        <w:bidi w:val="0"/>
        <w:spacing w:before="0" w:after="0"/>
        <w:ind w:left="0" w:right="0" w:hanging="0"/>
        <w:jc w:val="left"/>
        <w:rPr/>
      </w:pPr>
      <w:r>
        <w:rPr/>
        <w:t>​</w:t>
      </w:r>
    </w:p>
    <w:tbl>
      <w:tblPr>
        <w:tblW w:w="4468" w:type="dxa"/>
        <w:jc w:val="left"/>
        <w:tblInd w:w="0" w:type="dxa"/>
        <w:tblLayout w:type="fixed"/>
        <w:tblCellMar>
          <w:top w:w="0" w:type="dxa"/>
          <w:left w:w="0" w:type="dxa"/>
          <w:bottom w:w="0" w:type="dxa"/>
          <w:right w:w="0" w:type="dxa"/>
        </w:tblCellMar>
      </w:tblPr>
      <w:tblGrid>
        <w:gridCol w:w="3361"/>
        <w:gridCol w:w="326"/>
        <w:gridCol w:w="781"/>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34235" cy="175260"/>
                      <wp:effectExtent l="0" t="0" r="0" b="0"/>
                      <wp:wrapNone/>
                      <wp:docPr id="476" name="Frame469"/>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77"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95935" cy="175260"/>
                      <wp:effectExtent l="0" t="0" r="0" b="0"/>
                      <wp:wrapNone/>
                      <wp:docPr id="478" name="Frame4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(Note (i))</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4,335</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of the Company</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(Note (ii))</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7,674</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14,449</w:t>
            </w:r>
          </w:p>
        </w:tc>
      </w:tr>
    </w:tbl>
    <w:p>
      <w:pPr>
        <w:pStyle w:val="TextBody"/>
        <w:bidi w:val="0"/>
        <w:spacing w:before="0" w:after="0"/>
        <w:ind w:left="0" w:right="0" w:hanging="0"/>
        <w:jc w:val="left"/>
        <w:rPr/>
      </w:pPr>
      <w:r>
        <w:rPr/>
        <w:t>​</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Recognized amounts of identifiable assets acquired and liabilities assumed:</w:t>
      </w:r>
    </w:p>
    <w:tbl>
      <w:tblPr>
        <w:tblW w:w="4168" w:type="dxa"/>
        <w:jc w:val="left"/>
        <w:tblInd w:w="0" w:type="dxa"/>
        <w:tblLayout w:type="fixed"/>
        <w:tblCellMar>
          <w:top w:w="0" w:type="dxa"/>
          <w:left w:w="0" w:type="dxa"/>
          <w:bottom w:w="0" w:type="dxa"/>
          <w:right w:w="0" w:type="dxa"/>
        </w:tblCellMar>
      </w:tblPr>
      <w:tblGrid>
        <w:gridCol w:w="3106"/>
        <w:gridCol w:w="326"/>
        <w:gridCol w:w="73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972310" cy="175260"/>
                      <wp:effectExtent l="0" t="0" r="0" b="0"/>
                      <wp:wrapNone/>
                      <wp:docPr id="479" name="Frame472"/>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0"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67360" cy="175260"/>
                      <wp:effectExtent l="0" t="0" r="0" b="0"/>
                      <wp:wrapNone/>
                      <wp:docPr id="481" name="Frame47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(Note (iii))</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(Note (v))</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(6,216)</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net assets acquired</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5,740</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(Notes (iv), 13)</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8,709</w:t>
            </w:r>
          </w:p>
        </w:tc>
      </w:tr>
    </w:tbl>
    <w:p>
      <w:pPr>
        <w:pStyle w:val="TextBody"/>
        <w:bidi w:val="0"/>
        <w:spacing w:before="0" w:after="0"/>
        <w:ind w:left="0" w:right="0" w:hanging="0"/>
        <w:jc w:val="left"/>
        <w:rPr/>
      </w:pPr>
      <w:r>
        <w:rPr/>
        <w:t>​</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51"/>
        <w:gridCol w:w="9830"/>
      </w:tblGrid>
      <w:tr>
        <w:trPr/>
        <w:tc>
          <w:tcPr>
            <w:tcW w:w="124" w:type="dxa"/>
            <w:tcBorders/>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Out of the total cash consideration of US$4,335, US$959</w:t>
            </w:r>
            <w:r>
              <w:rPr>
                <w:caps w:val="false"/>
                <w:smallCaps w:val="false"/>
              </w:rPr>
              <w:t xml:space="preserve"> </w:t>
            </w:r>
            <w:r>
              <w:rPr>
                <w:rFonts w:ascii="Times New Roman;Times;serif" w:hAnsi="Times New Roman;Times;serif"/>
                <w:b w:val="false"/>
                <w:i w:val="false"/>
                <w:caps w:val="false"/>
                <w:smallCaps w:val="false"/>
                <w:sz w:val="20"/>
              </w:rPr>
              <w:t>was settled during the year ended December 31, 2020 and the remaining balance of US$3,376</w:t>
            </w:r>
            <w:r>
              <w:rPr>
                <w:caps w:val="false"/>
                <w:smallCaps w:val="false"/>
              </w:rPr>
              <w:t xml:space="preserve"> </w:t>
            </w:r>
            <w:r>
              <w:rPr>
                <w:rFonts w:ascii="Times New Roman;Times;serif" w:hAnsi="Times New Roman;Times;serif"/>
                <w:b w:val="false"/>
                <w:i w:val="false"/>
                <w:caps w:val="false"/>
                <w:smallCaps w:val="false"/>
                <w:sz w:val="20"/>
              </w:rPr>
              <w:t>was settled during the year ended December 31, 2021. There is no adjustment to the cash consideration amounts.</w:t>
            </w:r>
          </w:p>
        </w:tc>
      </w:tr>
    </w:tbl>
    <w:tbl>
      <w:tblPr>
        <w:tblW w:w="10205" w:type="dxa"/>
        <w:jc w:val="left"/>
        <w:tblInd w:w="0" w:type="dxa"/>
        <w:tblLayout w:type="fixed"/>
        <w:tblCellMar>
          <w:top w:w="28" w:type="dxa"/>
          <w:left w:w="28" w:type="dxa"/>
          <w:bottom w:w="28" w:type="dxa"/>
          <w:right w:w="28" w:type="dxa"/>
        </w:tblCellMar>
      </w:tblPr>
      <w:tblGrid>
        <w:gridCol w:w="124"/>
        <w:gridCol w:w="302"/>
        <w:gridCol w:w="9779"/>
      </w:tblGrid>
      <w:tr>
        <w:trPr/>
        <w:tc>
          <w:tcPr>
            <w:tcW w:w="124" w:type="dxa"/>
            <w:tcBorders/>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are contingently payable upon the satisfaction of certain financial performance targets of the Company and market conditions, which are to be settled partially by cash and partially by ordinary shares of the Company. The number of ordinary shares to be issued and allotted to sellers is determined using the 10-day moving average closing price of the ADS of the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182" w:name="Tc_T7Bi_0kpK0WlMcZV8FhpxA_4_0"/>
      <w:bookmarkStart w:id="2183" w:name="Tc_DztNc82rV0a0dDkHiFr5yA_3_0"/>
      <w:bookmarkStart w:id="2184" w:name="Tc_5QJzeO_bk0iWKwkwO7gCFA_2_4"/>
      <w:bookmarkStart w:id="2185" w:name="Tc_WwRQbPp_RUiE84d-Bv0M3Q_2_2"/>
      <w:bookmarkStart w:id="2186" w:name="Tc_VJXAjUJ0gkq0brox_p-lhg_2_0"/>
      <w:bookmarkStart w:id="2187" w:name="Tc_r3vBcVCkB0uiVo-WDqs7qQ_1_4"/>
      <w:bookmarkStart w:id="2188" w:name="Tc_FPVnwwZ4MUK2Rk6c7kVCCg_1_2"/>
      <w:bookmarkStart w:id="2189" w:name="Tc_T7Bi_0kpK0WlMcZV8FhpxA_4_0"/>
      <w:bookmarkStart w:id="2190" w:name="Tc_DztNc82rV0a0dDkHiFr5yA_3_0"/>
      <w:bookmarkStart w:id="2191" w:name="Tc_5QJzeO_bk0iWKwkwO7gCFA_2_4"/>
      <w:bookmarkStart w:id="2192" w:name="Tc_WwRQbPp_RUiE84d-Bv0M3Q_2_2"/>
      <w:bookmarkStart w:id="2193" w:name="Tc_VJXAjUJ0gkq0brox_p-lhg_2_0"/>
      <w:bookmarkStart w:id="2194" w:name="Tc_r3vBcVCkB0uiVo-WDqs7qQ_1_4"/>
      <w:bookmarkStart w:id="2195" w:name="Tc_FPVnwwZ4MUK2Rk6c7kVCCg_1_2"/>
      <w:bookmarkEnd w:id="2189"/>
      <w:bookmarkEnd w:id="2190"/>
      <w:bookmarkEnd w:id="2191"/>
      <w:bookmarkEnd w:id="2192"/>
      <w:bookmarkEnd w:id="2193"/>
      <w:bookmarkEnd w:id="2194"/>
      <w:bookmarkEnd w:id="2195"/>
    </w:p>
    <w:tbl>
      <w:tblPr>
        <w:tblW w:w="2372" w:type="dxa"/>
        <w:jc w:val="left"/>
        <w:tblInd w:w="0" w:type="dxa"/>
        <w:tblLayout w:type="fixed"/>
        <w:tblCellMar>
          <w:top w:w="0" w:type="dxa"/>
          <w:left w:w="0" w:type="dxa"/>
          <w:bottom w:w="0" w:type="dxa"/>
          <w:right w:w="0" w:type="dxa"/>
        </w:tblCellMar>
      </w:tblPr>
      <w:tblGrid>
        <w:gridCol w:w="226"/>
        <w:gridCol w:w="21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1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(Continued)</w:t>
            </w:r>
          </w:p>
        </w:tc>
      </w:tr>
    </w:tbl>
    <w:tbl>
      <w:tblPr>
        <w:tblW w:w="5357" w:type="dxa"/>
        <w:jc w:val="left"/>
        <w:tblInd w:w="0" w:type="dxa"/>
        <w:tblLayout w:type="fixed"/>
        <w:tblCellMar>
          <w:top w:w="0" w:type="dxa"/>
          <w:left w:w="0" w:type="dxa"/>
          <w:bottom w:w="0" w:type="dxa"/>
          <w:right w:w="0" w:type="dxa"/>
        </w:tblCellMar>
      </w:tblPr>
      <w:tblGrid>
        <w:gridCol w:w="346"/>
        <w:gridCol w:w="501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50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of CMRS Group Holding Limited (Continued)</w:t>
            </w:r>
          </w:p>
        </w:tc>
      </w:tr>
    </w:tbl>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Contingent consideration is measured at fair value at the acquisition date using projected milestone dates, probabilities of success and projected financial results of the CMRS Group discounted at its fair value as of the acquisition date.</w:t>
      </w:r>
    </w:p>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In determining the fair value of the contingent consideration, an income approach was applied by using discounted cash flows. In this approach, projected risk-adjusted contingent payments are discounted back to the current period using a discounted cash flow model. The key assumptions used to determine the fair value of the contingent consideration include projected milestone dates within 24 months after acquisition date and discount rate of 4.32%. Increase or decrease in the fair value of contingent consideration liabilities primarily result from changes in the estimated probabilities of achieving net profits after tax thresholds or market share prices milestones during the period.</w:t>
      </w:r>
    </w:p>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 xml:space="preserve">During the year ended December 31, 2021, the Company has partially settled contingent consideration payable with (i) total cash of US$2,024 and (ii) 183,740 Class A ordinary shares of the Company with a fair value of US$2,060 on the grant date of such consideration shares. The change in fair value recorded in consolidated statement of comprehensive loss under “other gains/(losses), net” for the years ended December 31, 2020 and 2021 amounted to a loss of US$81 and a gain of US$418, respectively. </w:t>
      </w:r>
    </w:p>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During the year ended December 31, 2022, the Company has agreed with the sellers of CMRS Group on the settlement of the outstanding contingent consideration payable with a total cash of HK$100 million (equivalent to US$12,903), out of which US$ 7,742 has been settled during the year ended December 31, 2022, while the remaining unsettled amounts of US$3,458 and US$1,703, which are interest bearing at 5% per annum, are payable in the year 2023 and 2024, respectively. The fair value loss pertained to the contingent payable prior to the settlement agreement with the sellers of CMRS Group was recorded in consolidated statement of comprehensive loss under “other gains/(losses), net” for the year ended December 31, 2022 amounted to US$8,396.</w:t>
      </w:r>
    </w:p>
    <w:tbl>
      <w:tblPr>
        <w:tblW w:w="10205" w:type="dxa"/>
        <w:jc w:val="left"/>
        <w:tblInd w:w="0" w:type="dxa"/>
        <w:tblLayout w:type="fixed"/>
        <w:tblCellMar>
          <w:top w:w="28" w:type="dxa"/>
          <w:left w:w="28" w:type="dxa"/>
          <w:bottom w:w="28" w:type="dxa"/>
          <w:right w:w="28" w:type="dxa"/>
        </w:tblCellMar>
      </w:tblPr>
      <w:tblGrid>
        <w:gridCol w:w="124"/>
        <w:gridCol w:w="402"/>
        <w:gridCol w:w="9679"/>
      </w:tblGrid>
      <w:tr>
        <w:trPr/>
        <w:tc>
          <w:tcPr>
            <w:tcW w:w="124" w:type="dxa"/>
            <w:tcBorders/>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67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restricted cash includes an escrow amount of US$506</w:t>
            </w:r>
            <w:r>
              <w:rPr>
                <w:caps w:val="false"/>
                <w:smallCaps w:val="false"/>
              </w:rPr>
              <w:t xml:space="preserve"> </w:t>
            </w:r>
            <w:r>
              <w:rPr>
                <w:rFonts w:ascii="Times New Roman;Times;serif" w:hAnsi="Times New Roman;Times;serif"/>
                <w:b w:val="false"/>
                <w:i w:val="false"/>
                <w:caps w:val="false"/>
                <w:smallCaps w:val="false"/>
                <w:sz w:val="20"/>
              </w:rPr>
              <w:t>deposited with a bank which has been repaid to the sellers in 2021.</w:t>
            </w:r>
          </w:p>
        </w:tc>
      </w:tr>
    </w:tbl>
    <w:tbl>
      <w:tblPr>
        <w:tblW w:w="10205" w:type="dxa"/>
        <w:jc w:val="left"/>
        <w:tblInd w:w="0" w:type="dxa"/>
        <w:tblLayout w:type="fixed"/>
        <w:tblCellMar>
          <w:top w:w="28" w:type="dxa"/>
          <w:left w:w="28" w:type="dxa"/>
          <w:bottom w:w="28" w:type="dxa"/>
          <w:right w:w="28" w:type="dxa"/>
        </w:tblCellMar>
      </w:tblPr>
      <w:tblGrid>
        <w:gridCol w:w="124"/>
        <w:gridCol w:w="343"/>
        <w:gridCol w:w="9738"/>
      </w:tblGrid>
      <w:tr>
        <w:trPr/>
        <w:tc>
          <w:tcPr>
            <w:tcW w:w="124"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73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of purchase price over tangible assets, identifiable intangible assets acquired and liabilities assumed was recorded as goodwill. Goodwill associated with the acquisition of CMRS Group was attributable to the expected synergy with the existing Enterprise Solutions and Marketing Solutions operations. The acquired goodwill is not deductible for tax purposes. Acquisition-related costs were immaterial and were included in general and administrative expenses for the year ended December 31, 2020.</w:t>
            </w:r>
          </w:p>
        </w:tc>
      </w:tr>
    </w:tbl>
    <w:tbl>
      <w:tblPr>
        <w:tblW w:w="10205" w:type="dxa"/>
        <w:jc w:val="left"/>
        <w:tblInd w:w="0" w:type="dxa"/>
        <w:tblLayout w:type="fixed"/>
        <w:tblCellMar>
          <w:top w:w="28" w:type="dxa"/>
          <w:left w:w="28" w:type="dxa"/>
          <w:bottom w:w="28" w:type="dxa"/>
          <w:right w:w="28" w:type="dxa"/>
        </w:tblCellMar>
      </w:tblPr>
      <w:tblGrid>
        <w:gridCol w:w="124"/>
        <w:gridCol w:w="288"/>
        <w:gridCol w:w="9793"/>
      </w:tblGrid>
      <w:tr>
        <w:trPr/>
        <w:tc>
          <w:tcPr>
            <w:tcW w:w="124" w:type="dxa"/>
            <w:tcBorders/>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79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determining the fair value of the intangible assets, an income approach was used. In this approach, significant estimates consist of discount rate of 22.3%</w:t>
            </w:r>
            <w:r>
              <w:rPr>
                <w:caps w:val="false"/>
                <w:smallCaps w:val="false"/>
              </w:rPr>
              <w:t xml:space="preserve"> </w:t>
            </w:r>
            <w:r>
              <w:rPr>
                <w:rFonts w:ascii="Times New Roman;Times;serif" w:hAnsi="Times New Roman;Times;serif"/>
                <w:b w:val="false"/>
                <w:i w:val="false"/>
                <w:caps w:val="false"/>
                <w:smallCaps w:val="false"/>
                <w:sz w:val="20"/>
              </w:rPr>
              <w:t>and a growth rate on revenue ranging from 3.0%</w:t>
            </w:r>
            <w:r>
              <w:rPr>
                <w:caps w:val="false"/>
                <w:smallCaps w:val="false"/>
              </w:rPr>
              <w:t xml:space="preserve"> </w:t>
            </w:r>
            <w:r>
              <w:rPr>
                <w:rFonts w:ascii="Times New Roman;Times;serif" w:hAnsi="Times New Roman;Times;serif"/>
                <w:b w:val="false"/>
                <w:i w:val="false"/>
                <w:caps w:val="false"/>
                <w:smallCaps w:val="false"/>
                <w:sz w:val="20"/>
              </w:rPr>
              <w:t>to 6.2%</w:t>
            </w:r>
            <w:r>
              <w:rPr>
                <w:caps w:val="false"/>
                <w:smallCaps w:val="false"/>
              </w:rPr>
              <w:t xml:space="preserve"> </w:t>
            </w:r>
            <w:r>
              <w:rPr>
                <w:rFonts w:ascii="Times New Roman;Times;serif" w:hAnsi="Times New Roman;Times;serif"/>
                <w:b w:val="false"/>
                <w:i w:val="false"/>
                <w:caps w:val="false"/>
                <w:smallCaps w:val="false"/>
                <w:sz w:val="20"/>
              </w:rPr>
              <w:t>over a period of 4 years. The estimated amounts recognized on the acquired identifiable intangible assets and their estimated useful lives are shown in the following table:</w:t>
            </w:r>
          </w:p>
        </w:tc>
      </w:tr>
    </w:tbl>
    <w:p>
      <w:pPr>
        <w:pStyle w:val="TextBody"/>
        <w:bidi w:val="0"/>
        <w:spacing w:before="0" w:after="0"/>
        <w:ind w:left="0" w:right="0" w:hanging="0"/>
        <w:jc w:val="center"/>
        <w:rPr/>
      </w:pPr>
      <w:r>
        <w:rPr/>
        <w:t>​</w:t>
      </w:r>
    </w:p>
    <w:tbl>
      <w:tblPr>
        <w:tblW w:w="4645" w:type="dxa"/>
        <w:jc w:val="left"/>
        <w:tblInd w:w="0" w:type="dxa"/>
        <w:tblLayout w:type="fixed"/>
        <w:tblCellMar>
          <w:top w:w="0" w:type="dxa"/>
          <w:left w:w="0" w:type="dxa"/>
          <w:bottom w:w="0" w:type="dxa"/>
          <w:right w:w="0" w:type="dxa"/>
        </w:tblCellMar>
      </w:tblPr>
      <w:tblGrid>
        <w:gridCol w:w="1921"/>
        <w:gridCol w:w="326"/>
        <w:gridCol w:w="826"/>
        <w:gridCol w:w="326"/>
        <w:gridCol w:w="124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219835" cy="175260"/>
                      <wp:effectExtent l="0" t="0" r="0" b="0"/>
                      <wp:wrapNone/>
                      <wp:docPr id="482" name="Frame475"/>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3"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24510" cy="175260"/>
                      <wp:effectExtent l="0" t="0" r="0" b="0"/>
                      <wp:wrapNone/>
                      <wp:docPr id="484" name="Frame47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85"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791210" cy="175260"/>
                      <wp:effectExtent l="0" t="0" r="0" b="0"/>
                      <wp:wrapNone/>
                      <wp:docPr id="486" name="Frame47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26" w:type="dxa"/>
            <w:tcBorders/>
            <w:vAlign w:val="center"/>
          </w:tcPr>
          <w:p>
            <w:pPr>
              <w:pStyle w:val="TableContents"/>
              <w:bidi w:val="0"/>
              <w:spacing w:before="0" w:after="0"/>
              <w:ind w:left="0" w:right="0" w:hanging="0"/>
              <w:jc w:val="center"/>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 asset</w:t>
            </w:r>
          </w:p>
        </w:tc>
        <w:tc>
          <w:tcPr>
            <w:tcW w:w="32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26" w:type="dxa"/>
            <w:tcBorders/>
            <w:vAlign w:val="center"/>
          </w:tcPr>
          <w:p>
            <w:pPr>
              <w:pStyle w:val="TableContents"/>
              <w:bidi w:val="0"/>
              <w:spacing w:before="0" w:after="0"/>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Brand name</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 years</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 years</w:t>
            </w:r>
          </w:p>
        </w:tc>
        <w:tc>
          <w:tcPr>
            <w:tcW w:w="326" w:type="dxa"/>
            <w:tcBorders/>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w:t>
            </w:r>
          </w:p>
        </w:tc>
      </w:tr>
      <w:tr>
        <w:trPr/>
        <w:tc>
          <w:tcPr>
            <w:tcW w:w="19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2,194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196" w:name="Tc_1_Q02T1M5ku1UkfWdrvsBA_5_0"/>
      <w:bookmarkStart w:id="2197" w:name="Tc_UhK2UrqtW0y3TQU30aEz4Q_4_0"/>
      <w:bookmarkStart w:id="2198" w:name="Tc_LOTcT1mK3EaTek-JPBxucQ_3_0"/>
      <w:bookmarkStart w:id="2199" w:name="Tc_HI2Q9EbUWk-4QLmdwr_8jA_2_0"/>
      <w:bookmarkStart w:id="2200" w:name="Tc_06dso19SYkCPRkVf39C3uA_1_0"/>
      <w:bookmarkStart w:id="2201" w:name="Tc_kz2h9-iMDk219rUgorZUaQ_1_0"/>
      <w:bookmarkStart w:id="2202" w:name="Tc_xvEdMyzjRkeeeJ2CBiiUfA_4_0"/>
      <w:bookmarkStart w:id="2203" w:name="Tc_br_QfQqdgEikptwj0T68Eg_3_0"/>
      <w:bookmarkStart w:id="2204" w:name="Tc_BK5ZPfvBkk65otY4DhcVeA_2_2"/>
      <w:bookmarkStart w:id="2205" w:name="Tc_KUseNN1KAUq9pLqRxCb-1w_1_2"/>
      <w:bookmarkStart w:id="2206" w:name="Tc_1_Q02T1M5ku1UkfWdrvsBA_5_0"/>
      <w:bookmarkStart w:id="2207" w:name="Tc_UhK2UrqtW0y3TQU30aEz4Q_4_0"/>
      <w:bookmarkStart w:id="2208" w:name="Tc_LOTcT1mK3EaTek-JPBxucQ_3_0"/>
      <w:bookmarkStart w:id="2209" w:name="Tc_HI2Q9EbUWk-4QLmdwr_8jA_2_0"/>
      <w:bookmarkStart w:id="2210" w:name="Tc_06dso19SYkCPRkVf39C3uA_1_0"/>
      <w:bookmarkStart w:id="2211" w:name="Tc_kz2h9-iMDk219rUgorZUaQ_1_0"/>
      <w:bookmarkStart w:id="2212" w:name="Tc_xvEdMyzjRkeeeJ2CBiiUfA_4_0"/>
      <w:bookmarkStart w:id="2213" w:name="Tc_br_QfQqdgEikptwj0T68Eg_3_0"/>
      <w:bookmarkStart w:id="2214" w:name="Tc_BK5ZPfvBkk65otY4DhcVeA_2_2"/>
      <w:bookmarkStart w:id="2215" w:name="Tc_KUseNN1KAUq9pLqRxCb-1w_1_2"/>
      <w:bookmarkEnd w:id="2206"/>
      <w:bookmarkEnd w:id="2207"/>
      <w:bookmarkEnd w:id="2208"/>
      <w:bookmarkEnd w:id="2209"/>
      <w:bookmarkEnd w:id="2210"/>
      <w:bookmarkEnd w:id="2211"/>
      <w:bookmarkEnd w:id="2212"/>
      <w:bookmarkEnd w:id="2213"/>
      <w:bookmarkEnd w:id="2214"/>
      <w:bookmarkEnd w:id="2215"/>
    </w:p>
    <w:tbl>
      <w:tblPr>
        <w:tblW w:w="2447" w:type="dxa"/>
        <w:jc w:val="left"/>
        <w:tblInd w:w="0" w:type="dxa"/>
        <w:tblLayout w:type="fixed"/>
        <w:tblCellMar>
          <w:top w:w="0" w:type="dxa"/>
          <w:left w:w="0" w:type="dxa"/>
          <w:bottom w:w="0" w:type="dxa"/>
          <w:right w:w="0" w:type="dxa"/>
        </w:tblCellMar>
      </w:tblPr>
      <w:tblGrid>
        <w:gridCol w:w="226"/>
        <w:gridCol w:w="22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2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Acquisitions (Continued)</w:t>
            </w:r>
          </w:p>
        </w:tc>
      </w:tr>
    </w:tbl>
    <w:tbl>
      <w:tblPr>
        <w:tblW w:w="5357" w:type="dxa"/>
        <w:jc w:val="left"/>
        <w:tblInd w:w="0" w:type="dxa"/>
        <w:tblLayout w:type="fixed"/>
        <w:tblCellMar>
          <w:top w:w="0" w:type="dxa"/>
          <w:left w:w="0" w:type="dxa"/>
          <w:bottom w:w="0" w:type="dxa"/>
          <w:right w:w="0" w:type="dxa"/>
        </w:tblCellMar>
      </w:tblPr>
      <w:tblGrid>
        <w:gridCol w:w="346"/>
        <w:gridCol w:w="501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50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of CMRS Group Holding Limited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Unaudited pro forma net revenues and net loss of the Company for the years ended December 31, 2020 as if the acquisition of CMRS Group had occurred on January 1, 2020 were as follows.</w:t>
      </w:r>
    </w:p>
    <w:p>
      <w:pPr>
        <w:pStyle w:val="TextBody"/>
        <w:bidi w:val="0"/>
        <w:spacing w:before="0" w:after="0"/>
        <w:ind w:left="0" w:right="0" w:hanging="0"/>
        <w:jc w:val="left"/>
        <w:rPr/>
      </w:pPr>
      <w:r>
        <w:rPr/>
        <w:t>​</w:t>
      </w:r>
    </w:p>
    <w:tbl>
      <w:tblPr>
        <w:tblW w:w="3028" w:type="dxa"/>
        <w:jc w:val="left"/>
        <w:tblInd w:w="0" w:type="dxa"/>
        <w:tblLayout w:type="fixed"/>
        <w:tblCellMar>
          <w:top w:w="0" w:type="dxa"/>
          <w:left w:w="0" w:type="dxa"/>
          <w:bottom w:w="0" w:type="dxa"/>
          <w:right w:w="0" w:type="dxa"/>
        </w:tblCellMar>
      </w:tblPr>
      <w:tblGrid>
        <w:gridCol w:w="1171"/>
        <w:gridCol w:w="326"/>
        <w:gridCol w:w="1531"/>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743585" cy="175260"/>
                      <wp:effectExtent l="0" t="0" r="0" b="0"/>
                      <wp:wrapNone/>
                      <wp:docPr id="487" name="Frame480"/>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7010" cy="175260"/>
                      <wp:effectExtent l="0" t="0" r="0" b="0"/>
                      <wp:wrapNone/>
                      <wp:docPr id="488"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972185" cy="175260"/>
                      <wp:effectExtent l="0" t="0" r="0" b="0"/>
                      <wp:wrapNone/>
                      <wp:docPr id="489" name="Frame48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br/>
              <w:t>December 31,</w:t>
            </w:r>
          </w:p>
        </w:tc>
      </w:tr>
      <w:tr>
        <w:trPr/>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270,326</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1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(13,346)</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did not have any material, non-recurring pro-forma adjustments directly attributable to the business combination reflected in the reported pro-forma net revenue and net loss.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pro forma information is not necessarily indicative of the actual results that would have been achieved had CMRS Group acquisition occurred as of January 1, 2019 or the results that may be achieved in future periods.</w:t>
      </w:r>
    </w:p>
    <w:tbl>
      <w:tblPr>
        <w:tblW w:w="4352" w:type="dxa"/>
        <w:jc w:val="left"/>
        <w:tblInd w:w="0" w:type="dxa"/>
        <w:tblLayout w:type="fixed"/>
        <w:tblCellMar>
          <w:top w:w="0" w:type="dxa"/>
          <w:left w:w="0" w:type="dxa"/>
          <w:bottom w:w="0" w:type="dxa"/>
          <w:right w:w="0" w:type="dxa"/>
        </w:tblCellMar>
      </w:tblPr>
      <w:tblGrid>
        <w:gridCol w:w="331"/>
        <w:gridCol w:w="402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40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of Sky Gem International Limited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April 2021, the Company acquired 51% equity interest of Sky Gem International Limited and its subsidiaries (together “Sky Gem”).</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Sky Gem, which is principally engaged in the business of developing and providing SaaS solution for apparel business owners across various functions including production line management, enterprise resources planning, order management system, sales channel management and customer management in the PRC, Hong Kong, Macau and Taiwan. Upon completion of the acquisition, the Group expects to increase its market share in the data-driven Enterprise Solutions segment businesses beyond digital marketing through Sky Gem.</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total purchase consideration amounted to US$3,200 which is wholly settled in cash. The acquisition was accounted for as a business combination. The following table summarizes the estimated fair values of the assets acquired and liabilities assumed at the date of acquisition: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Fair value of consideration transferred:</w:t>
      </w:r>
    </w:p>
    <w:p>
      <w:pPr>
        <w:pStyle w:val="TextBody"/>
        <w:bidi w:val="0"/>
        <w:spacing w:before="0" w:after="0"/>
        <w:ind w:left="0" w:right="0" w:hanging="0"/>
        <w:jc w:val="left"/>
        <w:rPr/>
      </w:pPr>
      <w:r>
        <w:rPr/>
        <w:t>​</w:t>
      </w:r>
    </w:p>
    <w:tbl>
      <w:tblPr>
        <w:tblW w:w="1528" w:type="dxa"/>
        <w:jc w:val="left"/>
        <w:tblInd w:w="0" w:type="dxa"/>
        <w:tblLayout w:type="fixed"/>
        <w:tblCellMar>
          <w:top w:w="0" w:type="dxa"/>
          <w:left w:w="0" w:type="dxa"/>
          <w:bottom w:w="0" w:type="dxa"/>
          <w:right w:w="0" w:type="dxa"/>
        </w:tblCellMar>
      </w:tblPr>
      <w:tblGrid>
        <w:gridCol w:w="526"/>
        <w:gridCol w:w="326"/>
        <w:gridCol w:w="676"/>
      </w:tblGrid>
      <w:tr>
        <w:trPr/>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334010" cy="175260"/>
                      <wp:effectExtent l="0" t="0" r="0" b="0"/>
                      <wp:wrapNone/>
                      <wp:docPr id="490" name="Frame48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91"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29260" cy="175260"/>
                      <wp:effectExtent l="0" t="0" r="0" b="0"/>
                      <wp:wrapNone/>
                      <wp:docPr id="492" name="Frame4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3,200</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Recognized amounts of identifiable assets acquired and liabilities assumed:</w:t>
      </w:r>
    </w:p>
    <w:p>
      <w:pPr>
        <w:pStyle w:val="TextBody"/>
        <w:bidi w:val="0"/>
        <w:spacing w:before="0" w:after="0"/>
        <w:ind w:left="0" w:right="0" w:hanging="0"/>
        <w:jc w:val="left"/>
        <w:rPr/>
      </w:pPr>
      <w:r>
        <w:rPr/>
        <w:t>​</w:t>
      </w:r>
    </w:p>
    <w:tbl>
      <w:tblPr>
        <w:tblW w:w="6778" w:type="dxa"/>
        <w:jc w:val="left"/>
        <w:tblInd w:w="0" w:type="dxa"/>
        <w:tblLayout w:type="fixed"/>
        <w:tblCellMar>
          <w:top w:w="0" w:type="dxa"/>
          <w:left w:w="0" w:type="dxa"/>
          <w:bottom w:w="0" w:type="dxa"/>
          <w:right w:w="0" w:type="dxa"/>
        </w:tblCellMar>
      </w:tblPr>
      <w:tblGrid>
        <w:gridCol w:w="5716"/>
        <w:gridCol w:w="326"/>
        <w:gridCol w:w="73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3629660" cy="175260"/>
                      <wp:effectExtent l="0" t="0" r="0" b="0"/>
                      <wp:wrapNone/>
                      <wp:docPr id="493" name="Frame486"/>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4"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67360" cy="175260"/>
                      <wp:effectExtent l="0" t="0" r="0" b="0"/>
                      <wp:wrapNone/>
                      <wp:docPr id="495" name="Frame48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identifiable net assets acquired, net of non-controlling interests</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(Note 13)</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4,289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216" w:name="Tc_Z_eob8NoJ0WvYmn9ITJPHQ_4_0"/>
      <w:bookmarkStart w:id="2217" w:name="Tc_5fBL2w1rY0uAjFdO9nH5ew_3_0"/>
      <w:bookmarkStart w:id="2218" w:name="Tc_dOA5Tf6K-0uSOdM2roimRA_2_0"/>
      <w:bookmarkStart w:id="2219" w:name="Tc_cSS9S1UqCk-9yLQ9XYFvlQ_1_0"/>
      <w:bookmarkStart w:id="2220" w:name="Tc_wvdPMd7fcE-1Bv6PcMLUNg_1_0"/>
      <w:bookmarkStart w:id="2221" w:name="Tc_Z_eob8NoJ0WvYmn9ITJPHQ_4_0"/>
      <w:bookmarkStart w:id="2222" w:name="Tc_5fBL2w1rY0uAjFdO9nH5ew_3_0"/>
      <w:bookmarkStart w:id="2223" w:name="Tc_dOA5Tf6K-0uSOdM2roimRA_2_0"/>
      <w:bookmarkStart w:id="2224" w:name="Tc_cSS9S1UqCk-9yLQ9XYFvlQ_1_0"/>
      <w:bookmarkStart w:id="2225" w:name="Tc_wvdPMd7fcE-1Bv6PcMLUNg_1_0"/>
      <w:bookmarkEnd w:id="2221"/>
      <w:bookmarkEnd w:id="2222"/>
      <w:bookmarkEnd w:id="2223"/>
      <w:bookmarkEnd w:id="2224"/>
      <w:bookmarkEnd w:id="2225"/>
    </w:p>
    <w:tbl>
      <w:tblPr>
        <w:tblW w:w="2372" w:type="dxa"/>
        <w:jc w:val="left"/>
        <w:tblInd w:w="0" w:type="dxa"/>
        <w:tblLayout w:type="fixed"/>
        <w:tblCellMar>
          <w:top w:w="0" w:type="dxa"/>
          <w:left w:w="0" w:type="dxa"/>
          <w:bottom w:w="0" w:type="dxa"/>
          <w:right w:w="0" w:type="dxa"/>
        </w:tblCellMar>
      </w:tblPr>
      <w:tblGrid>
        <w:gridCol w:w="226"/>
        <w:gridCol w:w="214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1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(Continued)</w:t>
            </w:r>
          </w:p>
        </w:tc>
      </w:tr>
    </w:tbl>
    <w:tbl>
      <w:tblPr>
        <w:tblW w:w="5387" w:type="dxa"/>
        <w:jc w:val="left"/>
        <w:tblInd w:w="0" w:type="dxa"/>
        <w:tblLayout w:type="fixed"/>
        <w:tblCellMar>
          <w:top w:w="0" w:type="dxa"/>
          <w:left w:w="0" w:type="dxa"/>
          <w:bottom w:w="0" w:type="dxa"/>
          <w:right w:w="0" w:type="dxa"/>
        </w:tblCellMar>
      </w:tblPr>
      <w:tblGrid>
        <w:gridCol w:w="331"/>
        <w:gridCol w:w="505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50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of Sky Gem International Limited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purchase consideration of US$3,200 was fully settled and there is no adjustment to the purchase consideration amounts.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excess of purchase price over total identifiable net assets acquired, net of non-controlling interests, was recorded as goodwill. Goodwill associated with the acquisition of Sky Gem was attributable to the expected synergy arising from the consolidated Enterprise Solutions business. The acquired goodwill is not deductible for tax purposes. Acquisition-related costs were immaterial and were included in general and administrative expenses for the year ended December 31, 2021.</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Pro-forma results related to the acquisition in accordance ASC 805 have not been presented because the contribution of net revenue and net loss of the acquired entity is less than 1% of the Company’s consolidated net revenue and net loss for the year ended December 31, 2021.</w:t>
      </w:r>
    </w:p>
    <w:tbl>
      <w:tblPr>
        <w:tblW w:w="6467" w:type="dxa"/>
        <w:jc w:val="left"/>
        <w:tblInd w:w="0" w:type="dxa"/>
        <w:tblLayout w:type="fixed"/>
        <w:tblCellMar>
          <w:top w:w="0" w:type="dxa"/>
          <w:left w:w="0" w:type="dxa"/>
          <w:bottom w:w="0" w:type="dxa"/>
          <w:right w:w="0" w:type="dxa"/>
        </w:tblCellMar>
      </w:tblPr>
      <w:tblGrid>
        <w:gridCol w:w="346"/>
        <w:gridCol w:w="612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61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of a customer relationship management (“CRM”) platform</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July 2021, the Group completed an acquisition of a PRC-based CRM platform namely Parllay which provides WeChat-based CRM, e-commerce and marketing SaaS solutions to facilitate the growth of the Company’s Enterprise Solutions segment. iClick anticipates utilizing Parllay’s rich expertise in SaaS technology and the assembled workforce to further enhance iClick’s product and services and accelerate revenue of its Enterprise Solutions segment.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total purchase consideration for all the assets amounted to US$1,825, which is wholly settled in cash. The acquisition was accounted for as a business combination as it contains outputs and a substantive process that together significantly contribute to the ability to create outputs as of the date of acquisition. The following table summarizes the estimated fair values of the assets acquired and liabilities assumed at the date of acquisition: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Fair value of consideration transferred:</w:t>
      </w:r>
    </w:p>
    <w:p>
      <w:pPr>
        <w:pStyle w:val="TextBody"/>
        <w:bidi w:val="0"/>
        <w:spacing w:before="0" w:after="0"/>
        <w:ind w:left="0" w:right="0" w:hanging="0"/>
        <w:jc w:val="left"/>
        <w:rPr/>
      </w:pPr>
      <w:r>
        <w:rPr/>
        <w:t>​</w:t>
      </w:r>
    </w:p>
    <w:tbl>
      <w:tblPr>
        <w:tblW w:w="2683" w:type="dxa"/>
        <w:jc w:val="left"/>
        <w:tblInd w:w="0" w:type="dxa"/>
        <w:tblLayout w:type="fixed"/>
        <w:tblCellMar>
          <w:top w:w="0" w:type="dxa"/>
          <w:left w:w="0" w:type="dxa"/>
          <w:bottom w:w="0" w:type="dxa"/>
          <w:right w:w="0" w:type="dxa"/>
        </w:tblCellMar>
      </w:tblPr>
      <w:tblGrid>
        <w:gridCol w:w="1681"/>
        <w:gridCol w:w="326"/>
        <w:gridCol w:w="67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067435" cy="175260"/>
                      <wp:effectExtent l="0" t="0" r="0" b="0"/>
                      <wp:wrapNone/>
                      <wp:docPr id="496" name="Frame489"/>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497"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29260" cy="175260"/>
                      <wp:effectExtent l="0" t="0" r="0" b="0"/>
                      <wp:wrapNone/>
                      <wp:docPr id="498" name="Frame4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consideration</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1,825</w:t>
            </w:r>
          </w:p>
        </w:tc>
      </w:tr>
    </w:tbl>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Recognized amounts of identifiable assets acquired and liabilities assumed:</w:t>
      </w:r>
    </w:p>
    <w:p>
      <w:pPr>
        <w:pStyle w:val="TextBody"/>
        <w:bidi w:val="0"/>
        <w:spacing w:before="0" w:after="240"/>
        <w:ind w:left="720" w:right="0" w:hanging="0"/>
        <w:jc w:val="both"/>
        <w:rPr/>
      </w:pPr>
      <w:r>
        <w:rPr/>
        <w:t>​</w:t>
      </w:r>
    </w:p>
    <w:tbl>
      <w:tblPr>
        <w:tblW w:w="4108" w:type="dxa"/>
        <w:jc w:val="left"/>
        <w:tblInd w:w="0" w:type="dxa"/>
        <w:tblLayout w:type="fixed"/>
        <w:tblCellMar>
          <w:top w:w="0" w:type="dxa"/>
          <w:left w:w="0" w:type="dxa"/>
          <w:bottom w:w="0" w:type="dxa"/>
          <w:right w:w="0" w:type="dxa"/>
        </w:tblCellMar>
      </w:tblPr>
      <w:tblGrid>
        <w:gridCol w:w="3106"/>
        <w:gridCol w:w="326"/>
        <w:gridCol w:w="67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972310" cy="175260"/>
                      <wp:effectExtent l="0" t="0" r="0" b="0"/>
                      <wp:wrapNone/>
                      <wp:docPr id="499" name="Frame492"/>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010" cy="175260"/>
                      <wp:effectExtent l="0" t="0" r="0" b="0"/>
                      <wp:wrapNone/>
                      <wp:docPr id="500"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29260" cy="175260"/>
                      <wp:effectExtent l="0" t="0" r="0" b="0"/>
                      <wp:wrapNone/>
                      <wp:docPr id="501" name="Frame4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net assets acquired</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(Note 13)</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1,616</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purchase consideration of US$1,825 was fully settled and there is no adjustment to the purchase consideration amounts.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excess of purchase price over total identifiable net assets acquired was recorded as goodwill. Goodwill associated with the acquisition of Parllay was attributable to the expected synergy arising from the consolidated Enterprise Solutions business. The acquired goodwill is not deductible for tax purposes. Acquisition-related costs were immaterial and were included in general and administrative expenses for the year ended December 31, 2021.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226" w:name="Tc_-9LLyIsBUUKRdnSEkyd-wA_2_0"/>
      <w:bookmarkStart w:id="2227" w:name="Tc_HyAFtiBif0mRlJvinmdeKg_1_4"/>
      <w:bookmarkStart w:id="2228" w:name="Tc_6Siovp2_IEmU0xgcSjCF5w_1_2"/>
      <w:bookmarkStart w:id="2229" w:name="Tc_2qCh4qaUEUiLQCVEetAULA_1_0"/>
      <w:bookmarkStart w:id="2230" w:name="Tc_-9LLyIsBUUKRdnSEkyd-wA_2_0"/>
      <w:bookmarkStart w:id="2231" w:name="Tc_HyAFtiBif0mRlJvinmdeKg_1_4"/>
      <w:bookmarkStart w:id="2232" w:name="Tc_6Siovp2_IEmU0xgcSjCF5w_1_2"/>
      <w:bookmarkStart w:id="2233" w:name="Tc_2qCh4qaUEUiLQCVEetAULA_1_0"/>
      <w:bookmarkEnd w:id="2230"/>
      <w:bookmarkEnd w:id="2231"/>
      <w:bookmarkEnd w:id="2232"/>
      <w:bookmarkEnd w:id="2233"/>
    </w:p>
    <w:tbl>
      <w:tblPr>
        <w:tblW w:w="2447" w:type="dxa"/>
        <w:jc w:val="left"/>
        <w:tblInd w:w="0" w:type="dxa"/>
        <w:tblLayout w:type="fixed"/>
        <w:tblCellMar>
          <w:top w:w="0" w:type="dxa"/>
          <w:left w:w="0" w:type="dxa"/>
          <w:bottom w:w="0" w:type="dxa"/>
          <w:right w:w="0" w:type="dxa"/>
        </w:tblCellMar>
      </w:tblPr>
      <w:tblGrid>
        <w:gridCol w:w="226"/>
        <w:gridCol w:w="222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2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Acquisitions (Continued)</w:t>
            </w:r>
          </w:p>
        </w:tc>
      </w:tr>
    </w:tbl>
    <w:tbl>
      <w:tblPr>
        <w:tblW w:w="7502" w:type="dxa"/>
        <w:jc w:val="left"/>
        <w:tblInd w:w="0" w:type="dxa"/>
        <w:tblLayout w:type="fixed"/>
        <w:tblCellMar>
          <w:top w:w="0" w:type="dxa"/>
          <w:left w:w="0" w:type="dxa"/>
          <w:bottom w:w="0" w:type="dxa"/>
          <w:right w:w="0" w:type="dxa"/>
        </w:tblCellMar>
      </w:tblPr>
      <w:tblGrid>
        <w:gridCol w:w="346"/>
        <w:gridCol w:w="715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71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 of a customer relationship management (“CRM”) platform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determining the fair value of the intangible asset, an income approach was used. In this approach, significant estimates consist of discount rate of 22.7% and a compound annual growth rate on revenue of 32% over a period of 5 years. The estimated amounts recognized on the acquired identifiable intangible asset and its estimated useful life are shown in the following table:</w:t>
      </w:r>
    </w:p>
    <w:p>
      <w:pPr>
        <w:pStyle w:val="TextBody"/>
        <w:bidi w:val="0"/>
        <w:spacing w:before="0" w:after="0"/>
        <w:ind w:left="0" w:right="0" w:hanging="0"/>
        <w:jc w:val="left"/>
        <w:rPr/>
      </w:pPr>
      <w:r>
        <w:rPr/>
        <w:t>​</w:t>
      </w:r>
    </w:p>
    <w:tbl>
      <w:tblPr>
        <w:tblW w:w="6040" w:type="dxa"/>
        <w:jc w:val="left"/>
        <w:tblInd w:w="0" w:type="dxa"/>
        <w:tblLayout w:type="fixed"/>
        <w:tblCellMar>
          <w:top w:w="0" w:type="dxa"/>
          <w:left w:w="0" w:type="dxa"/>
          <w:bottom w:w="0" w:type="dxa"/>
          <w:right w:w="0" w:type="dxa"/>
        </w:tblCellMar>
      </w:tblPr>
      <w:tblGrid>
        <w:gridCol w:w="1981"/>
        <w:gridCol w:w="326"/>
        <w:gridCol w:w="1561"/>
        <w:gridCol w:w="326"/>
        <w:gridCol w:w="184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257935" cy="175260"/>
                      <wp:effectExtent l="0" t="0" r="0" b="0"/>
                      <wp:wrapNone/>
                      <wp:docPr id="502" name="Frame495"/>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503" name="Frame4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991235" cy="175260"/>
                      <wp:effectExtent l="0" t="0" r="0" b="0"/>
                      <wp:wrapNone/>
                      <wp:docPr id="504" name="Frame497"/>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5"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172210" cy="175260"/>
                      <wp:effectExtent l="0" t="0" r="0" b="0"/>
                      <wp:wrapNone/>
                      <wp:docPr id="506" name="Frame49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 asset</w:t>
            </w:r>
          </w:p>
        </w:tc>
        <w:tc>
          <w:tcPr>
            <w:tcW w:w="326" w:type="dxa"/>
            <w:tcBorders/>
            <w:vAlign w:val="center"/>
          </w:tcPr>
          <w:p>
            <w:pPr>
              <w:pStyle w:val="TableContents"/>
              <w:bidi w:val="0"/>
              <w:spacing w:before="0" w:after="0"/>
              <w:ind w:left="0" w:right="0" w:hanging="0"/>
              <w:jc w:val="center"/>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c>
          <w:tcPr>
            <w:tcW w:w="326" w:type="dxa"/>
            <w:tcBorders/>
            <w:vAlign w:val="center"/>
          </w:tcPr>
          <w:p>
            <w:pPr>
              <w:pStyle w:val="TableContents"/>
              <w:bidi w:val="0"/>
              <w:spacing w:before="0" w:after="0"/>
              <w:ind w:left="0" w:right="0" w:hanging="0"/>
              <w:jc w:val="center"/>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years</w:t>
            </w:r>
          </w:p>
        </w:tc>
        <w:tc>
          <w:tcPr>
            <w:tcW w:w="326" w:type="dxa"/>
            <w:tcBorders/>
            <w:shd w:fill="CCEEFF" w:val="clear"/>
            <w:vAlign w:val="center"/>
          </w:tcPr>
          <w:p>
            <w:pPr>
              <w:pStyle w:val="TableContents"/>
              <w:bidi w:val="0"/>
              <w:spacing w:before="0" w:after="0"/>
              <w:ind w:left="0" w:right="0" w:hanging="0"/>
              <w:jc w:val="left"/>
              <w:rPr/>
            </w:pPr>
            <w:r>
              <w:rPr/>
              <w:t> </w:t>
            </w:r>
          </w:p>
        </w:tc>
        <w:tc>
          <w:tcPr>
            <w:tcW w:w="18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279</w:t>
            </w:r>
          </w:p>
        </w:tc>
      </w:tr>
    </w:tbl>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Pro-forma results related to the acquisition in accordance ASC 805 have not been presented because the acquisition of Parllay is not material, where net revenue and net loss contributed by Parllay is less than 5% of the Company’s consolidated net revenue and net loss for the year ended December 31, 2021.</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34" w:name="Tc_EB3p1WiNX0anrMo2Euzg8g_12_0"/>
      <w:bookmarkStart w:id="2235" w:name="Tc_B00jM0uqOEKtuQIu-KE4uQ_11_0"/>
      <w:bookmarkStart w:id="2236" w:name="Tc_LoN5oyBTokqWLko5s-gbcg_10_0"/>
      <w:bookmarkStart w:id="2237" w:name="Tc_p-_Ti83MvkiwOZCpDqrrtQ_9_0"/>
      <w:bookmarkStart w:id="2238" w:name="Tc_N-W5a_JsFEqKso_LKE5RYA_8_0"/>
      <w:bookmarkStart w:id="2239" w:name="Tc_69ZtRaasEU2nWfvFtnyiAA_7_0"/>
      <w:bookmarkStart w:id="2240" w:name="Tc_8EnMxaEKOE-b35FLow9Azw_6_0"/>
      <w:bookmarkStart w:id="2241" w:name="Tc_8LfGfdseWEWisP9cocrPrw_5_0"/>
      <w:bookmarkStart w:id="2242" w:name="Tc_Rhcb6DZIXUSh2RJBDFCTCQ_4_8"/>
      <w:bookmarkStart w:id="2243" w:name="Tc_CGgBlwg_vUWhdswAqKjdfw_4_6"/>
      <w:bookmarkStart w:id="2244" w:name="Tc_LI4x-2C0uU-H-3Cp0cmrkg_4_4"/>
      <w:bookmarkStart w:id="2245" w:name="Tc_Jrea_lY32EKa2_FwGAV83g_4_2"/>
      <w:bookmarkStart w:id="2246" w:name="Tc_NnKwuOsYN0eqBFaT-Skf0A_3_8"/>
      <w:bookmarkStart w:id="2247" w:name="Tc_jwVc7gtpaEyQJUQpvTDRZw_3_6"/>
      <w:bookmarkStart w:id="2248" w:name="Tc_MRDjuOhE4UaE6mi_98q_AQ_3_4"/>
      <w:bookmarkStart w:id="2249" w:name="Tc_chLByDNC5UuyJaHs9eHeiQ_3_2"/>
      <w:bookmarkStart w:id="2250" w:name="Tc_1ya_jmU1pEeDY6iWAptlPQ_2_6"/>
      <w:bookmarkStart w:id="2251" w:name="Tc_L2EqXtLZ-kWPHrMLxbOKFw_2_2"/>
      <w:bookmarkStart w:id="2252" w:name="Tc_6q45lBQr40i3UfGxdOlaBQ_1_2"/>
      <w:bookmarkStart w:id="2253" w:name="Tc_EB3p1WiNX0anrMo2Euzg8g_12_0"/>
      <w:bookmarkStart w:id="2254" w:name="Tc_B00jM0uqOEKtuQIu-KE4uQ_11_0"/>
      <w:bookmarkStart w:id="2255" w:name="Tc_LoN5oyBTokqWLko5s-gbcg_10_0"/>
      <w:bookmarkStart w:id="2256" w:name="Tc_p-_Ti83MvkiwOZCpDqrrtQ_9_0"/>
      <w:bookmarkStart w:id="2257" w:name="Tc_N-W5a_JsFEqKso_LKE5RYA_8_0"/>
      <w:bookmarkStart w:id="2258" w:name="Tc_69ZtRaasEU2nWfvFtnyiAA_7_0"/>
      <w:bookmarkStart w:id="2259" w:name="Tc_8EnMxaEKOE-b35FLow9Azw_6_0"/>
      <w:bookmarkStart w:id="2260" w:name="Tc_8LfGfdseWEWisP9cocrPrw_5_0"/>
      <w:bookmarkStart w:id="2261" w:name="Tc_Rhcb6DZIXUSh2RJBDFCTCQ_4_8"/>
      <w:bookmarkStart w:id="2262" w:name="Tc_CGgBlwg_vUWhdswAqKjdfw_4_6"/>
      <w:bookmarkStart w:id="2263" w:name="Tc_LI4x-2C0uU-H-3Cp0cmrkg_4_4"/>
      <w:bookmarkStart w:id="2264" w:name="Tc_Jrea_lY32EKa2_FwGAV83g_4_2"/>
      <w:bookmarkStart w:id="2265" w:name="Tc_NnKwuOsYN0eqBFaT-Skf0A_3_8"/>
      <w:bookmarkStart w:id="2266" w:name="Tc_jwVc7gtpaEyQJUQpvTDRZw_3_6"/>
      <w:bookmarkStart w:id="2267" w:name="Tc_MRDjuOhE4UaE6mi_98q_AQ_3_4"/>
      <w:bookmarkStart w:id="2268" w:name="Tc_chLByDNC5UuyJaHs9eHeiQ_3_2"/>
      <w:bookmarkStart w:id="2269" w:name="Tc_1ya_jmU1pEeDY6iWAptlPQ_2_6"/>
      <w:bookmarkStart w:id="2270" w:name="Tc_L2EqXtLZ-kWPHrMLxbOKFw_2_2"/>
      <w:bookmarkStart w:id="2271" w:name="Tc_6q45lBQr40i3UfGxdOlaBQ_1_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p>
    <w:tbl>
      <w:tblPr>
        <w:tblW w:w="4082" w:type="dxa"/>
        <w:jc w:val="left"/>
        <w:tblInd w:w="0" w:type="dxa"/>
        <w:tblLayout w:type="fixed"/>
        <w:tblCellMar>
          <w:top w:w="0" w:type="dxa"/>
          <w:left w:w="0" w:type="dxa"/>
          <w:bottom w:w="0" w:type="dxa"/>
          <w:right w:w="0" w:type="dxa"/>
        </w:tblCellMar>
      </w:tblPr>
      <w:tblGrid>
        <w:gridCol w:w="226"/>
        <w:gridCol w:w="385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38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Cash and cash equivalents and time deposits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Cash and cash equivalents represent cash on hand, cash held at banks, and short-term deposits placed with banks or other financial institutions, which have original maturities of three months or less.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2022, the Group had time deposits of US$10 (2021: US$11,128) with an average original maturity of 5 months (2021: </w:t>
      </w:r>
      <w:r>
        <w:rPr>
          <w:rFonts w:ascii="Times New Roman;Times;serif" w:hAnsi="Times New Roman;Times;serif"/>
          <w:b w:val="false"/>
          <w:i w:val="false"/>
          <w:caps w:val="false"/>
          <w:smallCaps w:val="false"/>
          <w:sz w:val="20"/>
        </w:rPr>
        <w:t>3 months</w:t>
      </w:r>
      <w:r>
        <w:rPr>
          <w:rFonts w:ascii="Times New Roman;Times;serif" w:hAnsi="Times New Roman;Times;serif"/>
          <w:sz w:val="20"/>
        </w:rPr>
        <w:t>) which are denominated in US$(2021: same).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Cash and cash equivalents and time deposits as of December 31, 2021 and 2022 primarily consist of the following currencies:</w:t>
      </w:r>
    </w:p>
    <w:p>
      <w:pPr>
        <w:pStyle w:val="TextBody"/>
        <w:bidi w:val="0"/>
        <w:spacing w:before="0" w:after="0"/>
        <w:ind w:left="0" w:right="0" w:hanging="0"/>
        <w:jc w:val="left"/>
        <w:rPr/>
      </w:pPr>
      <w:r>
        <w:rPr/>
        <w:t>​</w:t>
      </w:r>
    </w:p>
    <w:tbl>
      <w:tblPr>
        <w:tblW w:w="6529" w:type="dxa"/>
        <w:jc w:val="left"/>
        <w:tblInd w:w="0" w:type="dxa"/>
        <w:tblLayout w:type="fixed"/>
        <w:tblCellMar>
          <w:top w:w="0" w:type="dxa"/>
          <w:left w:w="0" w:type="dxa"/>
          <w:bottom w:w="0" w:type="dxa"/>
          <w:right w:w="0" w:type="dxa"/>
        </w:tblCellMar>
      </w:tblPr>
      <w:tblGrid>
        <w:gridCol w:w="1726"/>
        <w:gridCol w:w="326"/>
        <w:gridCol w:w="871"/>
        <w:gridCol w:w="326"/>
        <w:gridCol w:w="856"/>
        <w:gridCol w:w="326"/>
        <w:gridCol w:w="871"/>
        <w:gridCol w:w="326"/>
        <w:gridCol w:w="901"/>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096010" cy="175260"/>
                      <wp:effectExtent l="0" t="0" r="0" b="0"/>
                      <wp:wrapNone/>
                      <wp:docPr id="507" name="Frame500"/>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08"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553085" cy="175260"/>
                      <wp:effectExtent l="0" t="0" r="0" b="0"/>
                      <wp:wrapNone/>
                      <wp:docPr id="509" name="Frame50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0" name="Frame5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43560" cy="175260"/>
                      <wp:effectExtent l="0" t="0" r="0" b="0"/>
                      <wp:wrapNone/>
                      <wp:docPr id="511" name="Frame50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2"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53085" cy="175260"/>
                      <wp:effectExtent l="0" t="0" r="0" b="0"/>
                      <wp:wrapNone/>
                      <wp:docPr id="513" name="Frame50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4"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572135" cy="175260"/>
                      <wp:effectExtent l="0" t="0" r="0" b="0"/>
                      <wp:wrapNone/>
                      <wp:docPr id="515" name="Frame50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4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0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20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in</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w:t>
            </w:r>
          </w:p>
        </w:tc>
        <w:tc>
          <w:tcPr>
            <w:tcW w:w="32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equivalent</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equivalent</w:t>
            </w:r>
          </w:p>
        </w:tc>
      </w:tr>
      <w:tr>
        <w:trPr/>
        <w:tc>
          <w:tcPr>
            <w:tcW w:w="1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RMB</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111,651</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17,576</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378,033</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54,632</w:t>
            </w:r>
          </w:p>
        </w:tc>
      </w:tr>
      <w:tr>
        <w:trPr/>
        <w:tc>
          <w:tcPr>
            <w:tcW w:w="1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HK$</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63,787</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8,231</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77,960</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10,059</w:t>
            </w:r>
          </w:p>
        </w:tc>
      </w:tr>
      <w:tr>
        <w:trPr/>
        <w:tc>
          <w:tcPr>
            <w:tcW w:w="1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26,077</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26,077</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17,323</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17,323</w:t>
            </w:r>
          </w:p>
        </w:tc>
      </w:tr>
      <w:tr>
        <w:trPr/>
        <w:tc>
          <w:tcPr>
            <w:tcW w:w="1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European dollars</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1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 dollars</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1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Taiwan dollars</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3,118</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1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Japanese Yen</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11,764</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7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52,571</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82,764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tbl>
      <w:tblPr>
        <w:tblW w:w="1652" w:type="dxa"/>
        <w:jc w:val="left"/>
        <w:tblInd w:w="0" w:type="dxa"/>
        <w:tblLayout w:type="fixed"/>
        <w:tblCellMar>
          <w:top w:w="0" w:type="dxa"/>
          <w:left w:w="0" w:type="dxa"/>
          <w:bottom w:w="0" w:type="dxa"/>
          <w:right w:w="0" w:type="dxa"/>
        </w:tblCellMar>
      </w:tblPr>
      <w:tblGrid>
        <w:gridCol w:w="226"/>
        <w:gridCol w:w="142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14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cash</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and 2022, all the restricted cash represented bank balances held in restricted bank accounts pursuant to certain bank borrowings (Note 17).</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Restricted cash carried fixed interest at a weighted average rate of 2.34% (2021: 0.33%) per annum, out of which US$9,213 (2021: US$26,111), and US$13,330 (2021: US$10,035) are denominated in US$ and RMB,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272" w:name="Tc_dPPd1cS9YUy2GkscskKEkg_7_0"/>
      <w:bookmarkStart w:id="2273" w:name="Tc_LdBEDnM2D0yPnLRhMZ90oQ_6_4"/>
      <w:bookmarkStart w:id="2274" w:name="Tc_kd5h_4QD8E2u7QZvW154sw_6_0"/>
      <w:bookmarkStart w:id="2275" w:name="Tc_2dZNoGe__UGhZ2fMBSZ7Ww_5_0"/>
      <w:bookmarkStart w:id="2276" w:name="Tc_mRyYHQHueEmS4x9n1Jq9WQ_4_0"/>
      <w:bookmarkStart w:id="2277" w:name="Tc_hsR_mzW4lEWWAeZ9DzkIsg_3_4"/>
      <w:bookmarkStart w:id="2278" w:name="Tc_UQHy7QQzzkOYriF7sQB4KQ_3_2"/>
      <w:bookmarkStart w:id="2279" w:name="Tc_C7s1x-cexEyl0mn-owGz6Q_2_2"/>
      <w:bookmarkStart w:id="2280" w:name="Tc_qWI8pIW-pkCDT_4BFc2N7w_1_2"/>
      <w:bookmarkStart w:id="2281" w:name="Tc_dPPd1cS9YUy2GkscskKEkg_7_0"/>
      <w:bookmarkStart w:id="2282" w:name="Tc_LdBEDnM2D0yPnLRhMZ90oQ_6_4"/>
      <w:bookmarkStart w:id="2283" w:name="Tc_kd5h_4QD8E2u7QZvW154sw_6_0"/>
      <w:bookmarkStart w:id="2284" w:name="Tc_2dZNoGe__UGhZ2fMBSZ7Ww_5_0"/>
      <w:bookmarkStart w:id="2285" w:name="Tc_mRyYHQHueEmS4x9n1Jq9WQ_4_0"/>
      <w:bookmarkStart w:id="2286" w:name="Tc_hsR_mzW4lEWWAeZ9DzkIsg_3_4"/>
      <w:bookmarkStart w:id="2287" w:name="Tc_UQHy7QQzzkOYriF7sQB4KQ_3_2"/>
      <w:bookmarkStart w:id="2288" w:name="Tc_C7s1x-cexEyl0mn-owGz6Q_2_2"/>
      <w:bookmarkStart w:id="2289" w:name="Tc_qWI8pIW-pkCDT_4BFc2N7w_1_2"/>
      <w:bookmarkEnd w:id="2281"/>
      <w:bookmarkEnd w:id="2282"/>
      <w:bookmarkEnd w:id="2283"/>
      <w:bookmarkEnd w:id="2284"/>
      <w:bookmarkEnd w:id="2285"/>
      <w:bookmarkEnd w:id="2286"/>
      <w:bookmarkEnd w:id="2287"/>
      <w:bookmarkEnd w:id="2288"/>
      <w:bookmarkEnd w:id="2289"/>
    </w:p>
    <w:tbl>
      <w:tblPr>
        <w:tblW w:w="1907" w:type="dxa"/>
        <w:jc w:val="left"/>
        <w:tblInd w:w="0" w:type="dxa"/>
        <w:tblLayout w:type="fixed"/>
        <w:tblCellMar>
          <w:top w:w="0" w:type="dxa"/>
          <w:left w:w="0" w:type="dxa"/>
          <w:bottom w:w="0" w:type="dxa"/>
          <w:right w:w="0" w:type="dxa"/>
        </w:tblCellMar>
      </w:tblPr>
      <w:tblGrid>
        <w:gridCol w:w="226"/>
        <w:gridCol w:w="168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16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Equity investment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On May 31, 2019, the Company and VGI Global Media PLC (“VGI”), an online-to-offline solutions provider across advertising, payment and logistics platforms in Thailand, jointly established a new company namely V-Click Technology Company Limited (“V-Click”). VGI holds a majority stake of 51% in V-Click and the Company holds the remaining 49% stake. The investment was accounted for as an equity-method investment due to the significant influence the Company has over the operating and financial policies of V-Click.</w:t>
      </w:r>
    </w:p>
    <w:tbl>
      <w:tblPr>
        <w:tblW w:w="3182" w:type="dxa"/>
        <w:jc w:val="left"/>
        <w:tblInd w:w="0" w:type="dxa"/>
        <w:tblLayout w:type="fixed"/>
        <w:tblCellMar>
          <w:top w:w="0" w:type="dxa"/>
          <w:left w:w="0" w:type="dxa"/>
          <w:bottom w:w="0" w:type="dxa"/>
          <w:right w:w="0" w:type="dxa"/>
        </w:tblCellMar>
      </w:tblPr>
      <w:tblGrid>
        <w:gridCol w:w="346"/>
        <w:gridCol w:w="283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8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Investment in an equity investee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Movements on the Group’s investment in V-Click during the years ended December 31, 2021 and 2022 were as follows:</w:t>
      </w:r>
    </w:p>
    <w:p>
      <w:pPr>
        <w:pStyle w:val="TextBody"/>
        <w:bidi w:val="0"/>
        <w:spacing w:before="0" w:after="0"/>
        <w:ind w:left="0" w:right="0" w:hanging="0"/>
        <w:jc w:val="left"/>
        <w:rPr/>
      </w:pPr>
      <w:r>
        <w:rPr/>
        <w:t>​</w:t>
      </w:r>
    </w:p>
    <w:tbl>
      <w:tblPr>
        <w:tblW w:w="4723" w:type="dxa"/>
        <w:jc w:val="left"/>
        <w:tblInd w:w="0" w:type="dxa"/>
        <w:tblLayout w:type="fixed"/>
        <w:tblCellMar>
          <w:top w:w="0" w:type="dxa"/>
          <w:left w:w="0" w:type="dxa"/>
          <w:bottom w:w="0" w:type="dxa"/>
          <w:right w:w="0" w:type="dxa"/>
        </w:tblCellMar>
      </w:tblPr>
      <w:tblGrid>
        <w:gridCol w:w="2761"/>
        <w:gridCol w:w="326"/>
        <w:gridCol w:w="590"/>
        <w:gridCol w:w="400"/>
        <w:gridCol w:w="64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753235" cy="175260"/>
                      <wp:effectExtent l="0" t="0" r="0" b="0"/>
                      <wp:wrapNone/>
                      <wp:docPr id="516" name="Frame50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17" name="Frame5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374650" cy="175260"/>
                      <wp:effectExtent l="0" t="0" r="0" b="0"/>
                      <wp:wrapNone/>
                      <wp:docPr id="518" name="Frame511"/>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54000" cy="175260"/>
                      <wp:effectExtent l="0" t="0" r="0" b="0"/>
                      <wp:wrapNone/>
                      <wp:docPr id="519" name="Frame512"/>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10210" cy="175260"/>
                      <wp:effectExtent l="0" t="0" r="0" b="0"/>
                      <wp:wrapNone/>
                      <wp:docPr id="520" name="Frame51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63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w: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63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00" w:type="dxa"/>
            <w:tcBorders/>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400"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w:t>
            </w:r>
          </w:p>
        </w:tc>
        <w:tc>
          <w:tcPr>
            <w:tcW w:w="326"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400"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shd w:fill="CCEEFF" w:val="cle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00" w:type="dxa"/>
            <w:tcBorders/>
            <w:shd w:fill="CCEEFF" w:val="cle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26" w:type="dxa"/>
            <w:tcBorders/>
            <w:vAlign w:val="center"/>
          </w:tcPr>
          <w:p>
            <w:pPr>
              <w:pStyle w:val="TableContents"/>
              <w:bidi w:val="0"/>
              <w:spacing w:before="0" w:after="0"/>
              <w:ind w:left="0" w:right="0" w:hanging="0"/>
              <w:jc w:val="left"/>
              <w:rPr/>
            </w:pPr>
            <w:r>
              <w:rPr/>
              <w:t> </w:t>
            </w:r>
          </w:p>
        </w:tc>
        <w:tc>
          <w:tcPr>
            <w:tcW w:w="5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400" w:type="dxa"/>
            <w:tcBorders/>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279</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recognized its share of the equity investee’s loss of US$107  and US$75 for the years ended December 31, 2021 and 2022, respectively. There was no indicator of impairment noted for this equity-method investment as of December 31, 2021 and 2022.</w:t>
      </w:r>
    </w:p>
    <w:tbl>
      <w:tblPr>
        <w:tblW w:w="3527" w:type="dxa"/>
        <w:jc w:val="left"/>
        <w:tblInd w:w="0" w:type="dxa"/>
        <w:tblLayout w:type="fixed"/>
        <w:tblCellMar>
          <w:top w:w="0" w:type="dxa"/>
          <w:left w:w="0" w:type="dxa"/>
          <w:bottom w:w="0" w:type="dxa"/>
          <w:right w:w="0" w:type="dxa"/>
        </w:tblCellMar>
      </w:tblPr>
      <w:tblGrid>
        <w:gridCol w:w="346"/>
        <w:gridCol w:w="318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31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Amount due from an equity investee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and 2022, the amount was due from V-Click in relation to cash advances of US$276 and US$312, respectively, which was unsecured, interest-free and repayable on demand.</w:t>
      </w:r>
    </w:p>
    <w:p>
      <w:pPr>
        <w:pStyle w:val="Normal"/>
        <w:bidi w:val="0"/>
        <w:spacing w:before="0" w:after="0"/>
        <w:jc w:val="left"/>
        <w:rPr>
          <w:sz w:val="4"/>
          <w:szCs w:val="4"/>
        </w:rPr>
      </w:pPr>
      <w:r>
        <w:rPr>
          <w:sz w:val="4"/>
          <w:szCs w:val="4"/>
        </w:rPr>
      </w:r>
      <w:bookmarkStart w:id="2290" w:name="Tc_jMyM9yMRCEKg7_5eJj-LSA_6_0"/>
      <w:bookmarkStart w:id="2291" w:name="Tc_-dmJ6gDTLUCJ67-WnQeoUg_5_0"/>
      <w:bookmarkStart w:id="2292" w:name="Tc_83gGeIqxPky2TCN0c_MAFQ_4_0"/>
      <w:bookmarkStart w:id="2293" w:name="Tc_n8MeG3GJ6EayuUk6kT4PZg_3_2"/>
      <w:bookmarkStart w:id="2294" w:name="Tc_YBcp54ChW0yNMNLmSYEGwQ_3_0"/>
      <w:bookmarkStart w:id="2295" w:name="Tc_juOuznm3sE6yb0aMzRCHyg_2_4"/>
      <w:bookmarkStart w:id="2296" w:name="Tc_bZFthjysHkm9I1drMn_SIw_2_2"/>
      <w:bookmarkStart w:id="2297" w:name="Tc_LO6xJaz0DUuAqnBm6L36TQ_1_2"/>
      <w:bookmarkStart w:id="2298" w:name="Tc_jMyM9yMRCEKg7_5eJj-LSA_6_0"/>
      <w:bookmarkStart w:id="2299" w:name="Tc_-dmJ6gDTLUCJ67-WnQeoUg_5_0"/>
      <w:bookmarkStart w:id="2300" w:name="Tc_83gGeIqxPky2TCN0c_MAFQ_4_0"/>
      <w:bookmarkStart w:id="2301" w:name="Tc_n8MeG3GJ6EayuUk6kT4PZg_3_2"/>
      <w:bookmarkStart w:id="2302" w:name="Tc_YBcp54ChW0yNMNLmSYEGwQ_3_0"/>
      <w:bookmarkStart w:id="2303" w:name="Tc_juOuznm3sE6yb0aMzRCHyg_2_4"/>
      <w:bookmarkStart w:id="2304" w:name="Tc_bZFthjysHkm9I1drMn_SIw_2_2"/>
      <w:bookmarkStart w:id="2305" w:name="Tc_LO6xJaz0DUuAqnBm6L36TQ_1_2"/>
      <w:bookmarkEnd w:id="2298"/>
      <w:bookmarkEnd w:id="2299"/>
      <w:bookmarkEnd w:id="2300"/>
      <w:bookmarkEnd w:id="2301"/>
      <w:bookmarkEnd w:id="2302"/>
      <w:bookmarkEnd w:id="2303"/>
      <w:bookmarkEnd w:id="2304"/>
      <w:bookmarkEnd w:id="2305"/>
    </w:p>
    <w:tbl>
      <w:tblPr>
        <w:tblW w:w="2792" w:type="dxa"/>
        <w:jc w:val="left"/>
        <w:tblInd w:w="0" w:type="dxa"/>
        <w:tblLayout w:type="fixed"/>
        <w:tblCellMar>
          <w:top w:w="0" w:type="dxa"/>
          <w:left w:w="0" w:type="dxa"/>
          <w:bottom w:w="0" w:type="dxa"/>
          <w:right w:w="0" w:type="dxa"/>
        </w:tblCellMar>
      </w:tblPr>
      <w:tblGrid>
        <w:gridCol w:w="226"/>
        <w:gridCol w:w="256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25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long-term investments</w:t>
            </w:r>
          </w:p>
        </w:tc>
      </w:tr>
    </w:tbl>
    <w:p>
      <w:pPr>
        <w:pStyle w:val="TextBody"/>
        <w:bidi w:val="0"/>
        <w:spacing w:before="0" w:after="0"/>
        <w:ind w:left="0" w:right="0" w:hanging="0"/>
        <w:jc w:val="left"/>
        <w:rPr/>
      </w:pPr>
      <w:r>
        <w:rPr/>
        <w:t>​</w:t>
      </w:r>
    </w:p>
    <w:tbl>
      <w:tblPr>
        <w:tblW w:w="9805" w:type="dxa"/>
        <w:jc w:val="left"/>
        <w:tblInd w:w="0" w:type="dxa"/>
        <w:tblLayout w:type="fixed"/>
        <w:tblCellMar>
          <w:top w:w="0" w:type="dxa"/>
          <w:left w:w="0" w:type="dxa"/>
          <w:bottom w:w="0" w:type="dxa"/>
          <w:right w:w="0" w:type="dxa"/>
        </w:tblCellMar>
      </w:tblPr>
      <w:tblGrid>
        <w:gridCol w:w="7621"/>
        <w:gridCol w:w="326"/>
        <w:gridCol w:w="691"/>
        <w:gridCol w:w="326"/>
        <w:gridCol w:w="841"/>
      </w:tblGrid>
      <w:tr>
        <w:trPr/>
        <w:tc>
          <w:tcPr>
            <w:tcW w:w="7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839335" cy="175260"/>
                      <wp:effectExtent l="0" t="0" r="0" b="0"/>
                      <wp:wrapNone/>
                      <wp:docPr id="521" name="Frame514"/>
                      <a:graphic xmlns:a="http://schemas.openxmlformats.org/drawingml/2006/main">
                        <a:graphicData uri="http://schemas.microsoft.com/office/word/2010/wordprocessingShape">
                          <wps:wsp>
                            <wps:cNvSpPr txBox="1"/>
                            <wps:spPr>
                              <a:xfrm>
                                <a:off x="0" y="0"/>
                                <a:ext cx="483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2"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438785" cy="175260"/>
                      <wp:effectExtent l="0" t="0" r="0" b="0"/>
                      <wp:wrapNone/>
                      <wp:docPr id="523" name="Frame5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4" name="Frame5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34035" cy="175260"/>
                      <wp:effectExtent l="0" t="0" r="0" b="0"/>
                      <wp:wrapNone/>
                      <wp:docPr id="525" name="Frame51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5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76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6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Available-for-sale debt investment (Note 2(k))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r>
      <w:tr>
        <w:trPr/>
        <w:tc>
          <w:tcPr>
            <w:tcW w:w="76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Investments in equity securities without readily determinable fair values </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16,152</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13,775</w:t>
            </w:r>
          </w:p>
        </w:tc>
      </w:tr>
      <w:tr>
        <w:trPr/>
        <w:tc>
          <w:tcPr>
            <w:tcW w:w="76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other long-term investments, gross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16,152</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16,775</w:t>
            </w:r>
          </w:p>
        </w:tc>
      </w:tr>
      <w:tr>
        <w:trPr/>
        <w:tc>
          <w:tcPr>
            <w:tcW w:w="76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Impairment of investments in equity securities without readily determinable fair values</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(4,038)</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(10,805)</w:t>
            </w:r>
          </w:p>
        </w:tc>
      </w:tr>
      <w:tr>
        <w:trPr/>
        <w:tc>
          <w:tcPr>
            <w:tcW w:w="76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12,114</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5,970</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other long-term investments consist of (i) available-for-sale debt investments (see Note 2(k)), and (ii) securities without readily determinable fair value and over which the Group has neither significant influence nor control through investments in common stock or in-substance common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306" w:name="Narr_h7yKFSe0F0ywJPr5-K3jhQ"/>
      <w:bookmarkStart w:id="2307" w:name="Tc_h3hABGO6r0OzULH0Ihuf8Q_9_0"/>
      <w:bookmarkStart w:id="2308" w:name="Tc_mO8IyM5lp0imEH1HJ-jsVQ_8_0"/>
      <w:bookmarkStart w:id="2309" w:name="Tc_65NMZE3fq0e1Ln5Yy8zpCQ_7_0"/>
      <w:bookmarkStart w:id="2310" w:name="Tc_o5ZvPtetXUKphQdA_Ipubw_6_2"/>
      <w:bookmarkStart w:id="2311" w:name="Tc_jG1mpTqk40-WDT6ffbUBdQ_6_0"/>
      <w:bookmarkStart w:id="2312" w:name="Tc_ve7Bw3PrK0GERV1yqXU7Fw_5_0"/>
      <w:bookmarkStart w:id="2313" w:name="Tc_gjcmsMMcLUuldanjBks_oA_4_0"/>
      <w:bookmarkStart w:id="2314" w:name="Tc_ZafUNTALBkGRoY-3oYV8HQ_3_4"/>
      <w:bookmarkStart w:id="2315" w:name="Tc_G9ccitzBhUOQ07VI2FNVCQ_3_2"/>
      <w:bookmarkStart w:id="2316" w:name="Tc_HD0w-w-VWUuzvHEKSzsadQ_2_2"/>
      <w:bookmarkStart w:id="2317" w:name="Tc_yqrv9XmcRkSIqxN7VGYgKA_1_2"/>
      <w:bookmarkStart w:id="2318" w:name="Narr_h7yKFSe0F0ywJPr5-K3jhQ"/>
      <w:bookmarkStart w:id="2319" w:name="Tc_h3hABGO6r0OzULH0Ihuf8Q_9_0"/>
      <w:bookmarkStart w:id="2320" w:name="Tc_mO8IyM5lp0imEH1HJ-jsVQ_8_0"/>
      <w:bookmarkStart w:id="2321" w:name="Tc_65NMZE3fq0e1Ln5Yy8zpCQ_7_0"/>
      <w:bookmarkStart w:id="2322" w:name="Tc_o5ZvPtetXUKphQdA_Ipubw_6_2"/>
      <w:bookmarkStart w:id="2323" w:name="Tc_jG1mpTqk40-WDT6ffbUBdQ_6_0"/>
      <w:bookmarkStart w:id="2324" w:name="Tc_ve7Bw3PrK0GERV1yqXU7Fw_5_0"/>
      <w:bookmarkStart w:id="2325" w:name="Tc_gjcmsMMcLUuldanjBks_oA_4_0"/>
      <w:bookmarkStart w:id="2326" w:name="Tc_ZafUNTALBkGRoY-3oYV8HQ_3_4"/>
      <w:bookmarkStart w:id="2327" w:name="Tc_G9ccitzBhUOQ07VI2FNVCQ_3_2"/>
      <w:bookmarkStart w:id="2328" w:name="Tc_HD0w-w-VWUuzvHEKSzsadQ_2_2"/>
      <w:bookmarkStart w:id="2329" w:name="Tc_yqrv9XmcRkSIqxN7VGYgKA_1_2"/>
      <w:bookmarkEnd w:id="2318"/>
      <w:bookmarkEnd w:id="2319"/>
      <w:bookmarkEnd w:id="2320"/>
      <w:bookmarkEnd w:id="2321"/>
      <w:bookmarkEnd w:id="2322"/>
      <w:bookmarkEnd w:id="2323"/>
      <w:bookmarkEnd w:id="2324"/>
      <w:bookmarkEnd w:id="2325"/>
      <w:bookmarkEnd w:id="2326"/>
      <w:bookmarkEnd w:id="2327"/>
      <w:bookmarkEnd w:id="2328"/>
      <w:bookmarkEnd w:id="2329"/>
    </w:p>
    <w:tbl>
      <w:tblPr>
        <w:tblW w:w="3827" w:type="dxa"/>
        <w:jc w:val="left"/>
        <w:tblInd w:w="0" w:type="dxa"/>
        <w:tblLayout w:type="fixed"/>
        <w:tblCellMar>
          <w:top w:w="0" w:type="dxa"/>
          <w:left w:w="0" w:type="dxa"/>
          <w:bottom w:w="0" w:type="dxa"/>
          <w:right w:w="0" w:type="dxa"/>
        </w:tblCellMar>
      </w:tblPr>
      <w:tblGrid>
        <w:gridCol w:w="226"/>
        <w:gridCol w:w="360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36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long-term investments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Movement of investments in equity securities without readily determinable fair values for the years ended December 31, 2021 and 2022 is as follows:</w:t>
      </w:r>
    </w:p>
    <w:p>
      <w:pPr>
        <w:pStyle w:val="TextBody"/>
        <w:bidi w:val="0"/>
        <w:spacing w:before="0" w:after="0"/>
        <w:ind w:left="0" w:right="0" w:hanging="0"/>
        <w:jc w:val="left"/>
        <w:rPr/>
      </w:pPr>
      <w:r>
        <w:rPr/>
        <w:t>​</w:t>
      </w:r>
    </w:p>
    <w:tbl>
      <w:tblPr>
        <w:tblW w:w="6220" w:type="dxa"/>
        <w:jc w:val="left"/>
        <w:tblInd w:w="0" w:type="dxa"/>
        <w:tblLayout w:type="fixed"/>
        <w:tblCellMar>
          <w:top w:w="0" w:type="dxa"/>
          <w:left w:w="0" w:type="dxa"/>
          <w:bottom w:w="0" w:type="dxa"/>
          <w:right w:w="0" w:type="dxa"/>
        </w:tblCellMar>
      </w:tblPr>
      <w:tblGrid>
        <w:gridCol w:w="4036"/>
        <w:gridCol w:w="326"/>
        <w:gridCol w:w="691"/>
        <w:gridCol w:w="326"/>
        <w:gridCol w:w="84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562860" cy="175260"/>
                      <wp:effectExtent l="0" t="0" r="0" b="0"/>
                      <wp:wrapNone/>
                      <wp:docPr id="526" name="Frame519"/>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175260"/>
                      <wp:effectExtent l="0" t="0" r="0" b="0"/>
                      <wp:wrapNone/>
                      <wp:docPr id="527"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38785" cy="175260"/>
                      <wp:effectExtent l="0" t="0" r="0" b="0"/>
                      <wp:wrapNone/>
                      <wp:docPr id="528" name="Frame5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29" name="Frame5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534035" cy="175260"/>
                      <wp:effectExtent l="0" t="0" r="0" b="0"/>
                      <wp:wrapNone/>
                      <wp:docPr id="530" name="Frame52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5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4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5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Balance at the beginning of year </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11,575</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12,114</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Investments made/transferred from prepayments </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4,502</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 to short-term investments</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Impairment </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(4,038)</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(10,805)</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Exchange differences </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Balance at the end of year </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12,114</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2,970</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used measurement alternative for recording equity investments without readily determinable fair values at cost, less impairment, adjusted for subsequent observable price changes. Based on ASU 2016-01, entities that elect the measurement alternative will report changes in the carrying value of the equity investments in current earnings. If measurement alternative is used, changes in the carrying value of the equity investment will be recognized whenever there are observable price changes in orderly transactions for the identical or similar investment of the same issuer, and impairment charges will be recorded when any impairment indicators are noted and the fair value is lower than the carrying value.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with the assistance of an independent valuer, assessed the fair value of certain investments as of the balance sheet date, using significant unobservable input including price-to-sales multiples of comparable companies and a discount for lack of marketability (the “DLOM”). The Group concluded that impairment was warranted for certain investments as of December 31, 2021 and 2022 and recognized impairment charges for investments without readily determinable fair value of US$nil, US$4,038 and US$10,805 for the years ended December 31, 2020, 2021 and 2022, respectively, which are related to investees in sports nutrition products business, e-commerce platforms business, publishing and logistics business, information technology business, gaming business and advertising business whose financial performance was unsatisfactory with no obvious upturn or potential financing solutions in the foreseeable future.</w:t>
      </w:r>
    </w:p>
    <w:p>
      <w:pPr>
        <w:pStyle w:val="Normal"/>
        <w:bidi w:val="0"/>
        <w:spacing w:before="0" w:after="0"/>
        <w:jc w:val="left"/>
        <w:rPr>
          <w:sz w:val="4"/>
          <w:szCs w:val="4"/>
        </w:rPr>
      </w:pPr>
      <w:r>
        <w:rPr>
          <w:sz w:val="4"/>
          <w:szCs w:val="4"/>
        </w:rPr>
      </w:r>
      <w:bookmarkStart w:id="2330" w:name="Tc_m_HYLTr5kkeSDwhejlaVgA_5_0"/>
      <w:bookmarkStart w:id="2331" w:name="Tc_nCdjEbpGxEKCfwo8Oxp2Xw_4_0"/>
      <w:bookmarkStart w:id="2332" w:name="Tc_-0lzvJLr20CO_R3iWcaAbg_3_0"/>
      <w:bookmarkStart w:id="2333" w:name="Tc_qdP8reSeG0e3OQfmMntjng_2_4"/>
      <w:bookmarkStart w:id="2334" w:name="Tc_H3KXbVk6GkuVrn3-CVQYQw_2_2"/>
      <w:bookmarkStart w:id="2335" w:name="Tc_4eCd3lF6JEK0mUhShV6VyQ_1_2"/>
      <w:bookmarkStart w:id="2336" w:name="Tc_m_HYLTr5kkeSDwhejlaVgA_5_0"/>
      <w:bookmarkStart w:id="2337" w:name="Tc_nCdjEbpGxEKCfwo8Oxp2Xw_4_0"/>
      <w:bookmarkStart w:id="2338" w:name="Tc_-0lzvJLr20CO_R3iWcaAbg_3_0"/>
      <w:bookmarkStart w:id="2339" w:name="Tc_qdP8reSeG0e3OQfmMntjng_2_4"/>
      <w:bookmarkStart w:id="2340" w:name="Tc_H3KXbVk6GkuVrn3-CVQYQw_2_2"/>
      <w:bookmarkStart w:id="2341" w:name="Tc_4eCd3lF6JEK0mUhShV6VyQ_1_2"/>
      <w:bookmarkEnd w:id="2336"/>
      <w:bookmarkEnd w:id="2337"/>
      <w:bookmarkEnd w:id="2338"/>
      <w:bookmarkEnd w:id="2339"/>
      <w:bookmarkEnd w:id="2340"/>
      <w:bookmarkEnd w:id="2341"/>
    </w:p>
    <w:tbl>
      <w:tblPr>
        <w:tblW w:w="2417" w:type="dxa"/>
        <w:jc w:val="left"/>
        <w:tblInd w:w="0" w:type="dxa"/>
        <w:tblLayout w:type="fixed"/>
        <w:tblCellMar>
          <w:top w:w="0" w:type="dxa"/>
          <w:left w:w="0" w:type="dxa"/>
          <w:bottom w:w="0" w:type="dxa"/>
          <w:right w:w="0" w:type="dxa"/>
        </w:tblCellMar>
      </w:tblPr>
      <w:tblGrid>
        <w:gridCol w:w="226"/>
        <w:gridCol w:w="219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21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Accounts receivable, net</w:t>
            </w:r>
          </w:p>
        </w:tc>
      </w:tr>
    </w:tbl>
    <w:p>
      <w:pPr>
        <w:pStyle w:val="TextBody"/>
        <w:bidi w:val="0"/>
        <w:spacing w:before="0" w:after="0"/>
        <w:ind w:left="0" w:right="0" w:hanging="0"/>
        <w:jc w:val="left"/>
        <w:rPr/>
      </w:pPr>
      <w:r>
        <w:rPr/>
        <w:t>​</w:t>
      </w:r>
    </w:p>
    <w:tbl>
      <w:tblPr>
        <w:tblW w:w="5830" w:type="dxa"/>
        <w:jc w:val="left"/>
        <w:tblInd w:w="0" w:type="dxa"/>
        <w:tblLayout w:type="fixed"/>
        <w:tblCellMar>
          <w:top w:w="0" w:type="dxa"/>
          <w:left w:w="0" w:type="dxa"/>
          <w:bottom w:w="0" w:type="dxa"/>
          <w:right w:w="0" w:type="dxa"/>
        </w:tblCellMar>
      </w:tblPr>
      <w:tblGrid>
        <w:gridCol w:w="3601"/>
        <w:gridCol w:w="266"/>
        <w:gridCol w:w="796"/>
        <w:gridCol w:w="326"/>
        <w:gridCol w:w="84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286635" cy="175260"/>
                      <wp:effectExtent l="0" t="0" r="0" b="0"/>
                      <wp:wrapNone/>
                      <wp:docPr id="531" name="Frame524"/>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68910" cy="175260"/>
                      <wp:effectExtent l="0" t="0" r="0" b="0"/>
                      <wp:wrapNone/>
                      <wp:docPr id="532" name="Frame52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05460" cy="175260"/>
                      <wp:effectExtent l="0" t="0" r="0" b="0"/>
                      <wp:wrapNone/>
                      <wp:docPr id="533" name="Frame5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34" name="Frame5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34035" cy="175260"/>
                      <wp:effectExtent l="0" t="0" r="0" b="0"/>
                      <wp:wrapNone/>
                      <wp:docPr id="535" name="Frame52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w:t>
            </w:r>
          </w:p>
        </w:tc>
        <w:tc>
          <w:tcPr>
            <w:tcW w:w="19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60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gross (Note)</w:t>
            </w:r>
          </w:p>
        </w:tc>
        <w:tc>
          <w:tcPr>
            <w:tcW w:w="26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210,047</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101,771</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 (Note 2(j))</w:t>
            </w:r>
          </w:p>
        </w:tc>
        <w:tc>
          <w:tcPr>
            <w:tcW w:w="26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(22,786)</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(37,215)</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26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187,261</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64,556</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the balance includes bills receivable of US$478 which represent short-term notes receivable issued by reputable financial institutions that entitle the Group to receive the full face amount from the financial institutions at maturity, which generally range from </w:t>
      </w:r>
      <w:r>
        <w:rPr>
          <w:rFonts w:ascii="Times New Roman;Times;serif" w:hAnsi="Times New Roman;Times;serif"/>
          <w:b w:val="false"/>
          <w:i w:val="false"/>
          <w:caps w:val="false"/>
          <w:smallCaps w:val="false"/>
          <w:sz w:val="20"/>
        </w:rPr>
        <w:t>five</w:t>
      </w:r>
      <w:r>
        <w:rPr>
          <w:rFonts w:ascii="Times New Roman;Times;serif" w:hAnsi="Times New Roman;Times;serif"/>
          <w:sz w:val="20"/>
        </w:rPr>
        <w:t> to six months from the date of issuance.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342" w:name="Tc_t_0U0qaq2EWIEPx88JW4zg_14_0"/>
      <w:bookmarkStart w:id="2343" w:name="Tc_I6jT7jB28Uq8MbktPkdIBw_13_2"/>
      <w:bookmarkStart w:id="2344" w:name="Tc_kJmwKmZiH0avPS_BXKSjRw_13_0"/>
      <w:bookmarkStart w:id="2345" w:name="Tc_d07akYg4TUm5LS7U8UetZA_12_0"/>
      <w:bookmarkStart w:id="2346" w:name="Tc_x8Ag9u7GPEyYtF_PTDWAPA_11_0"/>
      <w:bookmarkStart w:id="2347" w:name="Tc_ear5PjRu1U-xc3OvpuCeBQ_9_0"/>
      <w:bookmarkStart w:id="2348" w:name="Tc_3bUQobi8G0q9xG5CSxfrBg_8_0"/>
      <w:bookmarkStart w:id="2349" w:name="Tc_ifbdEOfC3Ui8cu0VNRHMmg_7_0"/>
      <w:bookmarkStart w:id="2350" w:name="Tc_rwITQVNpDUizJeR7oaLn_w_6_0"/>
      <w:bookmarkStart w:id="2351" w:name="Tc_fqD6LiTVe0Ow9Mconq8aVw_5_0"/>
      <w:bookmarkStart w:id="2352" w:name="Tc_c7jfeg2pn0u8D9KjlsT88g_4_0"/>
      <w:bookmarkStart w:id="2353" w:name="Tc_wI1jT0FXDkyLc9t0DxU02Q_3_0"/>
      <w:bookmarkStart w:id="2354" w:name="Tc_SR7jNDGnoECPn0A69dNs6g_2_4"/>
      <w:bookmarkStart w:id="2355" w:name="Tc_XCsDTntuB0ehM5USSZJvjg_2_2"/>
      <w:bookmarkStart w:id="2356" w:name="Tc_hP5lu4zr6kCzzh7Wr7L9DQ_1_2"/>
      <w:bookmarkStart w:id="2357" w:name="_c4787178_f153_4344_9cb7_1fda736d9674"/>
      <w:bookmarkStart w:id="2358" w:name="Tc_t_0U0qaq2EWIEPx88JW4zg_14_0"/>
      <w:bookmarkStart w:id="2359" w:name="Tc_I6jT7jB28Uq8MbktPkdIBw_13_2"/>
      <w:bookmarkStart w:id="2360" w:name="Tc_kJmwKmZiH0avPS_BXKSjRw_13_0"/>
      <w:bookmarkStart w:id="2361" w:name="Tc_d07akYg4TUm5LS7U8UetZA_12_0"/>
      <w:bookmarkStart w:id="2362" w:name="Tc_x8Ag9u7GPEyYtF_PTDWAPA_11_0"/>
      <w:bookmarkStart w:id="2363" w:name="Tc_ear5PjRu1U-xc3OvpuCeBQ_9_0"/>
      <w:bookmarkStart w:id="2364" w:name="Tc_3bUQobi8G0q9xG5CSxfrBg_8_0"/>
      <w:bookmarkStart w:id="2365" w:name="Tc_ifbdEOfC3Ui8cu0VNRHMmg_7_0"/>
      <w:bookmarkStart w:id="2366" w:name="Tc_rwITQVNpDUizJeR7oaLn_w_6_0"/>
      <w:bookmarkStart w:id="2367" w:name="Tc_fqD6LiTVe0Ow9Mconq8aVw_5_0"/>
      <w:bookmarkStart w:id="2368" w:name="Tc_c7jfeg2pn0u8D9KjlsT88g_4_0"/>
      <w:bookmarkStart w:id="2369" w:name="Tc_wI1jT0FXDkyLc9t0DxU02Q_3_0"/>
      <w:bookmarkStart w:id="2370" w:name="Tc_SR7jNDGnoECPn0A69dNs6g_2_4"/>
      <w:bookmarkStart w:id="2371" w:name="Tc_XCsDTntuB0ehM5USSZJvjg_2_2"/>
      <w:bookmarkStart w:id="2372" w:name="Tc_hP5lu4zr6kCzzh7Wr7L9DQ_1_2"/>
      <w:bookmarkStart w:id="2373" w:name="_c4787178_f153_4344_9cb7_1fda736d9674"/>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p>
    <w:tbl>
      <w:tblPr>
        <w:tblW w:w="1502" w:type="dxa"/>
        <w:jc w:val="left"/>
        <w:tblInd w:w="0" w:type="dxa"/>
        <w:tblLayout w:type="fixed"/>
        <w:tblCellMar>
          <w:top w:w="0" w:type="dxa"/>
          <w:left w:w="0" w:type="dxa"/>
          <w:bottom w:w="0" w:type="dxa"/>
          <w:right w:w="0" w:type="dxa"/>
        </w:tblCellMar>
      </w:tblPr>
      <w:tblGrid>
        <w:gridCol w:w="331"/>
        <w:gridCol w:w="117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11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assets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Other assets consist of the following:</w:t>
      </w:r>
    </w:p>
    <w:p>
      <w:pPr>
        <w:pStyle w:val="TextBody"/>
        <w:bidi w:val="0"/>
        <w:spacing w:before="0" w:after="0"/>
        <w:ind w:left="0" w:right="0" w:hanging="0"/>
        <w:jc w:val="left"/>
        <w:rPr/>
      </w:pPr>
      <w:r>
        <w:rPr/>
        <w:t>​</w:t>
      </w:r>
    </w:p>
    <w:tbl>
      <w:tblPr>
        <w:tblW w:w="6220" w:type="dxa"/>
        <w:jc w:val="left"/>
        <w:tblInd w:w="0" w:type="dxa"/>
        <w:tblLayout w:type="fixed"/>
        <w:tblCellMar>
          <w:top w:w="0" w:type="dxa"/>
          <w:left w:w="0" w:type="dxa"/>
          <w:bottom w:w="0" w:type="dxa"/>
          <w:right w:w="0" w:type="dxa"/>
        </w:tblCellMar>
      </w:tblPr>
      <w:tblGrid>
        <w:gridCol w:w="4276"/>
        <w:gridCol w:w="326"/>
        <w:gridCol w:w="676"/>
        <w:gridCol w:w="266"/>
        <w:gridCol w:w="676"/>
      </w:tblGrid>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6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w:t>
            </w:r>
          </w:p>
        </w:tc>
        <w:tc>
          <w:tcPr>
            <w:tcW w:w="26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7,520</w:t>
            </w:r>
          </w:p>
        </w:tc>
        <w:tc>
          <w:tcPr>
            <w:tcW w:w="26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interest receivable, net (Notes 2(j), 10(i))</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12,295</w:t>
            </w:r>
          </w:p>
        </w:tc>
        <w:tc>
          <w:tcPr>
            <w:tcW w:w="26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interest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6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recoverable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w:t>
            </w:r>
          </w:p>
        </w:tc>
        <w:tc>
          <w:tcPr>
            <w:tcW w:w="26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26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24,957</w:t>
            </w:r>
          </w:p>
        </w:tc>
        <w:tc>
          <w:tcPr>
            <w:tcW w:w="26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Rental deposits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26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 net (Notes 2(j), 10(i))</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6,073</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w:t>
            </w:r>
          </w:p>
        </w:tc>
        <w:tc>
          <w:tcPr>
            <w:tcW w:w="26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r>
      <w:tr>
        <w:trPr/>
        <w:tc>
          <w:tcPr>
            <w:tcW w:w="42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26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7,629</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49"/>
        <w:gridCol w:w="9832"/>
      </w:tblGrid>
      <w:tr>
        <w:trPr/>
        <w:tc>
          <w:tcPr>
            <w:tcW w:w="124" w:type="dxa"/>
            <w:tcBorders/>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of December 31, 2021, the loans were granted to certain equity investees of the Group at an interest rate of at 6%</w:t>
            </w:r>
            <w:r>
              <w:rPr>
                <w:caps w:val="false"/>
                <w:smallCaps w:val="false"/>
              </w:rPr>
              <w:t xml:space="preserve"> </w:t>
            </w:r>
            <w:r>
              <w:rPr>
                <w:rFonts w:ascii="Times New Roman;Times;serif" w:hAnsi="Times New Roman;Times;serif"/>
                <w:b w:val="false"/>
                <w:i w:val="false"/>
                <w:caps w:val="false"/>
                <w:smallCaps w:val="false"/>
                <w:sz w:val="20"/>
              </w:rPr>
              <w:t>per annum. The loan receivables together with the related interest receivables were unsecured and due on demand or within one year from the end of the reporting period.</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As of December 31, 2022, the loans were granted one equity investee of the Group at an interest rate of 6% per annum. The loan receivables together with the related interest receivables were unsecured and expected to be recovered beyond one year from the end of the reporting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374" w:name="Tc_ACmLRJwfM0OLPldogqbldA_7_0"/>
      <w:bookmarkStart w:id="2375" w:name="Tc_s-IvPZvlEUa7ywth7cHgGw_6_0"/>
      <w:bookmarkStart w:id="2376" w:name="Tc_Iuf-7B5C6k2hrCFQc6SN1A_5_0"/>
      <w:bookmarkStart w:id="2377" w:name="Tc_hZb6Dk_S30i3wpoMTDxTKQ_4_0"/>
      <w:bookmarkStart w:id="2378" w:name="Tc_Jce6lUuTBUud-P7LAR_3Pw_3_0"/>
      <w:bookmarkStart w:id="2379" w:name="Tc_sr8fxockX06cebDKCZwgJg_2_6"/>
      <w:bookmarkStart w:id="2380" w:name="Tc_AQFM55p7Ek-DrUBQmkhBEQ_2_4"/>
      <w:bookmarkStart w:id="2381" w:name="Tc_MxXgLjOdCU2KoWLDxmVMlg_2_2"/>
      <w:bookmarkStart w:id="2382" w:name="Tc_acjHZW-mMkSwD8xh_JsC3A_1_2"/>
      <w:bookmarkStart w:id="2383" w:name="Tc_U3lKo4Z1lUilyNF1U0FQ1A_12_0"/>
      <w:bookmarkStart w:id="2384" w:name="Tc_15sTfKhko0-y5jsHnPwOfg_11_0"/>
      <w:bookmarkStart w:id="2385" w:name="Tc_RnbJRXXeqkmx-pXPnC_cAA_10_2"/>
      <w:bookmarkStart w:id="2386" w:name="Tc_wwGtvONahkGloGBYDvZCuA_10_0"/>
      <w:bookmarkStart w:id="2387" w:name="Tc_JO-_BinXzUK27qGb4dtd6g_9_0"/>
      <w:bookmarkStart w:id="2388" w:name="Tc_7Hk1H--lmEmisnUWCufcKw_8_0"/>
      <w:bookmarkStart w:id="2389" w:name="Tc_XwMX6sN6J0Wkz4xvlQLxuQ_7_0"/>
      <w:bookmarkStart w:id="2390" w:name="Tc_In49vW5sBU28bHjXBYI07g_6_0"/>
      <w:bookmarkStart w:id="2391" w:name="Tc_EwRl4QK7fUm1XmFoIV-c4Q_5_0"/>
      <w:bookmarkStart w:id="2392" w:name="Tc_7FhH5dh6zUWlQnylvUGgJg_4_0"/>
      <w:bookmarkStart w:id="2393" w:name="Tc_9vg09OicCEGrMErat8rJlA_3_0"/>
      <w:bookmarkStart w:id="2394" w:name="Tc_kmeJ1e_DD0-bl6_B78hLMg_2_4"/>
      <w:bookmarkStart w:id="2395" w:name="Tc_Qb4OCjxG50mEpuH3-8H2ig_2_2"/>
      <w:bookmarkStart w:id="2396" w:name="Tc_6sa4i80g9UKLh_ec1K4pOQ_1_2"/>
      <w:bookmarkStart w:id="2397" w:name="Tc_ACmLRJwfM0OLPldogqbldA_7_0"/>
      <w:bookmarkStart w:id="2398" w:name="Tc_s-IvPZvlEUa7ywth7cHgGw_6_0"/>
      <w:bookmarkStart w:id="2399" w:name="Tc_Iuf-7B5C6k2hrCFQc6SN1A_5_0"/>
      <w:bookmarkStart w:id="2400" w:name="Tc_hZb6Dk_S30i3wpoMTDxTKQ_4_0"/>
      <w:bookmarkStart w:id="2401" w:name="Tc_Jce6lUuTBUud-P7LAR_3Pw_3_0"/>
      <w:bookmarkStart w:id="2402" w:name="Tc_sr8fxockX06cebDKCZwgJg_2_6"/>
      <w:bookmarkStart w:id="2403" w:name="Tc_AQFM55p7Ek-DrUBQmkhBEQ_2_4"/>
      <w:bookmarkStart w:id="2404" w:name="Tc_MxXgLjOdCU2KoWLDxmVMlg_2_2"/>
      <w:bookmarkStart w:id="2405" w:name="Tc_acjHZW-mMkSwD8xh_JsC3A_1_2"/>
      <w:bookmarkStart w:id="2406" w:name="Tc_U3lKo4Z1lUilyNF1U0FQ1A_12_0"/>
      <w:bookmarkStart w:id="2407" w:name="Tc_15sTfKhko0-y5jsHnPwOfg_11_0"/>
      <w:bookmarkStart w:id="2408" w:name="Tc_RnbJRXXeqkmx-pXPnC_cAA_10_2"/>
      <w:bookmarkStart w:id="2409" w:name="Tc_wwGtvONahkGloGBYDvZCuA_10_0"/>
      <w:bookmarkStart w:id="2410" w:name="Tc_JO-_BinXzUK27qGb4dtd6g_9_0"/>
      <w:bookmarkStart w:id="2411" w:name="Tc_7Hk1H--lmEmisnUWCufcKw_8_0"/>
      <w:bookmarkStart w:id="2412" w:name="Tc_XwMX6sN6J0Wkz4xvlQLxuQ_7_0"/>
      <w:bookmarkStart w:id="2413" w:name="Tc_In49vW5sBU28bHjXBYI07g_6_0"/>
      <w:bookmarkStart w:id="2414" w:name="Tc_EwRl4QK7fUm1XmFoIV-c4Q_5_0"/>
      <w:bookmarkStart w:id="2415" w:name="Tc_7FhH5dh6zUWlQnylvUGgJg_4_0"/>
      <w:bookmarkStart w:id="2416" w:name="Tc_9vg09OicCEGrMErat8rJlA_3_0"/>
      <w:bookmarkStart w:id="2417" w:name="Tc_kmeJ1e_DD0-bl6_B78hLMg_2_4"/>
      <w:bookmarkStart w:id="2418" w:name="Tc_Qb4OCjxG50mEpuH3-8H2ig_2_2"/>
      <w:bookmarkStart w:id="2419" w:name="Tc_6sa4i80g9UKLh_ec1K4pOQ_1_2"/>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p>
    <w:tbl>
      <w:tblPr>
        <w:tblW w:w="2882" w:type="dxa"/>
        <w:jc w:val="left"/>
        <w:tblInd w:w="0" w:type="dxa"/>
        <w:tblLayout w:type="fixed"/>
        <w:tblCellMar>
          <w:top w:w="0" w:type="dxa"/>
          <w:left w:w="0" w:type="dxa"/>
          <w:bottom w:w="0" w:type="dxa"/>
          <w:right w:w="0" w:type="dxa"/>
        </w:tblCellMar>
      </w:tblPr>
      <w:tblGrid>
        <w:gridCol w:w="331"/>
        <w:gridCol w:w="255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11</w:t>
            </w:r>
          </w:p>
        </w:tc>
        <w:tc>
          <w:tcPr>
            <w:tcW w:w="255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bidi w:val="0"/>
        <w:spacing w:before="0" w:after="0"/>
        <w:ind w:left="0" w:right="0" w:hanging="0"/>
        <w:jc w:val="left"/>
        <w:rPr/>
      </w:pPr>
      <w:r>
        <w:rPr/>
        <w:t>​</w:t>
      </w:r>
    </w:p>
    <w:tbl>
      <w:tblPr>
        <w:tblW w:w="6130" w:type="dxa"/>
        <w:jc w:val="left"/>
        <w:tblInd w:w="0" w:type="dxa"/>
        <w:tblLayout w:type="fixed"/>
        <w:tblCellMar>
          <w:top w:w="0" w:type="dxa"/>
          <w:left w:w="0" w:type="dxa"/>
          <w:bottom w:w="0" w:type="dxa"/>
          <w:right w:w="0" w:type="dxa"/>
        </w:tblCellMar>
      </w:tblPr>
      <w:tblGrid>
        <w:gridCol w:w="4051"/>
        <w:gridCol w:w="326"/>
        <w:gridCol w:w="691"/>
        <w:gridCol w:w="326"/>
        <w:gridCol w:w="73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572385" cy="175260"/>
                      <wp:effectExtent l="0" t="0" r="0" b="0"/>
                      <wp:wrapNone/>
                      <wp:docPr id="536" name="Frame529"/>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37" name="Frame5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38785" cy="175260"/>
                      <wp:effectExtent l="0" t="0" r="0" b="0"/>
                      <wp:wrapNone/>
                      <wp:docPr id="538" name="Frame53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39"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67360" cy="175260"/>
                      <wp:effectExtent l="0" t="0" r="0" b="0"/>
                      <wp:wrapNone/>
                      <wp:docPr id="540" name="Frame53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5,035</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5,065</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2,585</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8,917</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9,157</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(6,918)</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impairment losses (Note 2(r))</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241</w:t>
            </w:r>
          </w:p>
        </w:tc>
      </w:tr>
    </w:tbl>
    <w:p>
      <w:pPr>
        <w:pStyle w:val="TextBody"/>
        <w:bidi w:val="0"/>
        <w:spacing w:before="0" w:after="0"/>
        <w:ind w:left="0" w:right="0" w:hanging="0"/>
        <w:jc w:val="left"/>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Depreciation expense recognized for the years ended December 31, 2020, 2021 and 2022 are summarized as follows:</w:t>
      </w:r>
    </w:p>
    <w:p>
      <w:pPr>
        <w:pStyle w:val="TextBody"/>
        <w:bidi w:val="0"/>
        <w:spacing w:before="0" w:after="0"/>
        <w:ind w:left="0" w:right="0" w:hanging="0"/>
        <w:jc w:val="left"/>
        <w:rPr/>
      </w:pPr>
      <w:r>
        <w:rPr/>
        <w:t>​</w:t>
      </w:r>
    </w:p>
    <w:tbl>
      <w:tblPr>
        <w:tblW w:w="6084" w:type="dxa"/>
        <w:jc w:val="left"/>
        <w:tblInd w:w="0" w:type="dxa"/>
        <w:tblLayout w:type="fixed"/>
        <w:tblCellMar>
          <w:top w:w="0" w:type="dxa"/>
          <w:left w:w="0" w:type="dxa"/>
          <w:bottom w:w="0" w:type="dxa"/>
          <w:right w:w="0" w:type="dxa"/>
        </w:tblCellMar>
      </w:tblPr>
      <w:tblGrid>
        <w:gridCol w:w="3091"/>
        <w:gridCol w:w="326"/>
        <w:gridCol w:w="589"/>
        <w:gridCol w:w="411"/>
        <w:gridCol w:w="589"/>
        <w:gridCol w:w="411"/>
        <w:gridCol w:w="667"/>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962785" cy="175260"/>
                      <wp:effectExtent l="0" t="0" r="0" b="0"/>
                      <wp:wrapNone/>
                      <wp:docPr id="541" name="Frame534"/>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42"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374015" cy="175260"/>
                      <wp:effectExtent l="0" t="0" r="0" b="0"/>
                      <wp:wrapNone/>
                      <wp:docPr id="543" name="Frame536"/>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60985" cy="175260"/>
                      <wp:effectExtent l="0" t="0" r="0" b="0"/>
                      <wp:wrapNone/>
                      <wp:docPr id="544" name="Frame537"/>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374015" cy="175260"/>
                      <wp:effectExtent l="0" t="0" r="0" b="0"/>
                      <wp:wrapNone/>
                      <wp:docPr id="545" name="Frame538"/>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60985" cy="175260"/>
                      <wp:effectExtent l="0" t="0" r="0" b="0"/>
                      <wp:wrapNone/>
                      <wp:docPr id="546" name="Frame539"/>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23545" cy="175260"/>
                      <wp:effectExtent l="0" t="0" r="0" b="0"/>
                      <wp:wrapNone/>
                      <wp:docPr id="547" name="Frame540"/>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09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center"/>
              <w:rPr/>
            </w:pPr>
            <w:r>
              <w:rPr/>
              <w:t>    </w:t>
            </w:r>
          </w:p>
        </w:tc>
        <w:tc>
          <w:tcPr>
            <w:tcW w:w="5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411" w:type="dxa"/>
            <w:tcBorders/>
            <w:vAlign w:val="center"/>
          </w:tcPr>
          <w:p>
            <w:pPr>
              <w:pStyle w:val="TableContents"/>
              <w:bidi w:val="0"/>
              <w:spacing w:before="0" w:after="0"/>
              <w:ind w:left="0" w:right="0" w:hanging="0"/>
              <w:jc w:val="center"/>
              <w:rPr/>
            </w:pPr>
            <w:r>
              <w:rPr/>
              <w:t>    </w:t>
            </w:r>
          </w:p>
        </w:tc>
        <w:tc>
          <w:tcPr>
            <w:tcW w:w="5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11" w:type="dxa"/>
            <w:tcBorders/>
            <w:vAlign w:val="center"/>
          </w:tcPr>
          <w:p>
            <w:pPr>
              <w:pStyle w:val="TableContents"/>
              <w:bidi w:val="0"/>
              <w:spacing w:before="0" w:after="0"/>
              <w:ind w:left="0" w:right="0" w:hanging="0"/>
              <w:jc w:val="center"/>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11" w:type="dxa"/>
            <w:tcBorders/>
            <w:shd w:fill="CCEEFF" w:val="clear"/>
            <w:vAlign w:val="center"/>
          </w:tcPr>
          <w:p>
            <w:pPr>
              <w:pStyle w:val="TableContents"/>
              <w:bidi w:val="0"/>
              <w:spacing w:before="0" w:after="0"/>
              <w:ind w:left="0" w:right="0" w:hanging="0"/>
              <w:jc w:val="left"/>
              <w:rPr/>
            </w:pPr>
            <w:r>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11"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11"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411"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411" w:type="dxa"/>
            <w:tcBorders/>
            <w:shd w:fill="CCEEFF" w:val="clear"/>
            <w:vAlign w:val="center"/>
          </w:tcPr>
          <w:p>
            <w:pPr>
              <w:pStyle w:val="TableContents"/>
              <w:bidi w:val="0"/>
              <w:spacing w:before="0" w:after="0"/>
              <w:ind w:left="0" w:right="0" w:hanging="0"/>
              <w:jc w:val="left"/>
              <w:rPr/>
            </w:pPr>
            <w:r>
              <w:rPr/>
              <w:t> </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411"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5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411" w:type="dxa"/>
            <w:tcBorders/>
            <w:vAlign w:val="center"/>
          </w:tcPr>
          <w:p>
            <w:pPr>
              <w:pStyle w:val="TableContents"/>
              <w:bidi w:val="0"/>
              <w:spacing w:before="0" w:after="0"/>
              <w:ind w:left="0" w:right="0" w:hanging="0"/>
              <w:jc w:val="left"/>
              <w:rPr/>
            </w:pPr>
            <w:r>
              <w:rPr/>
              <w:t> </w:t>
            </w:r>
          </w:p>
        </w:tc>
        <w:tc>
          <w:tcPr>
            <w:tcW w:w="5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411" w:type="dxa"/>
            <w:tcBorders/>
            <w:vAlign w:val="center"/>
          </w:tcPr>
          <w:p>
            <w:pPr>
              <w:pStyle w:val="TableContents"/>
              <w:bidi w:val="0"/>
              <w:spacing w:before="0" w:after="0"/>
              <w:ind w:left="0" w:right="0" w:hanging="0"/>
              <w:jc w:val="left"/>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5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411" w:type="dxa"/>
            <w:tcBorders/>
            <w:shd w:fill="CCEEFF" w:val="clear"/>
            <w:vAlign w:val="center"/>
          </w:tcPr>
          <w:p>
            <w:pPr>
              <w:pStyle w:val="TableContents"/>
              <w:bidi w:val="0"/>
              <w:spacing w:before="0" w:after="0"/>
              <w:ind w:left="0" w:right="0" w:hanging="0"/>
              <w:jc w:val="left"/>
              <w:rPr/>
            </w:pPr>
            <w:r>
              <w:rPr/>
              <w:t> </w:t>
            </w:r>
          </w:p>
        </w:tc>
        <w:tc>
          <w:tcPr>
            <w:tcW w:w="5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411" w:type="dxa"/>
            <w:tcBorders/>
            <w:shd w:fill="CCEEFF" w:val="clear"/>
            <w:vAlign w:val="center"/>
          </w:tcPr>
          <w:p>
            <w:pPr>
              <w:pStyle w:val="TableContents"/>
              <w:bidi w:val="0"/>
              <w:spacing w:before="0" w:after="0"/>
              <w:ind w:left="0" w:right="0" w:hanging="0"/>
              <w:jc w:val="left"/>
              <w:rPr/>
            </w:pPr>
            <w:r>
              <w:rPr/>
              <w:t> </w:t>
            </w:r>
          </w:p>
        </w:tc>
        <w:tc>
          <w:tcPr>
            <w:tcW w:w="6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420" w:name="Tc_3Z8w0TmG1UOyukD3KNavlg_14_0"/>
      <w:bookmarkStart w:id="2421" w:name="Tc_YRYny6_cXkiEj7EMa6Kxdw_13_0"/>
      <w:bookmarkStart w:id="2422" w:name="Tc_oxv4m-3gkkWQGOwBGO7SKw_12_2"/>
      <w:bookmarkStart w:id="2423" w:name="Tc_T3d-4qNmAkuTU15-GbgGlg_12_0"/>
      <w:bookmarkStart w:id="2424" w:name="Tc_kjFUJ6wWoUWdppU2fyR2UQ_11_0"/>
      <w:bookmarkStart w:id="2425" w:name="Tc_ZwQkFavI60uIvyy9vCrdQQ_10_0"/>
      <w:bookmarkStart w:id="2426" w:name="Tc_dAgz2rnMTk-EVCL102CrKA_9_0"/>
      <w:bookmarkStart w:id="2427" w:name="Tc_CUSQ6wvA4kKienWHJdnN0g_8_0"/>
      <w:bookmarkStart w:id="2428" w:name="Tc_nlehF5bdqk6ZdYeNETIueA_7_0"/>
      <w:bookmarkStart w:id="2429" w:name="Tc_KwwPQzTx10eKb-Yr3ye6jw_6_0"/>
      <w:bookmarkStart w:id="2430" w:name="Tc_TRzxWDsUW0Kk8FOWYHzwqw_5_0"/>
      <w:bookmarkStart w:id="2431" w:name="Tc_v9vU8R0Y_E-5_vBbbwILig_4_0"/>
      <w:bookmarkStart w:id="2432" w:name="Tc_0d_q2jsBA0yRYbcQL3gPYA_3_0"/>
      <w:bookmarkStart w:id="2433" w:name="Tc_q-ubbqR90E6-sjZCqSysWQ_2_4"/>
      <w:bookmarkStart w:id="2434" w:name="Tc_BMMZGApchUGQTnxFEjes5A_2_2"/>
      <w:bookmarkStart w:id="2435" w:name="Tc_dRLN2_VXyEq_iOPWBIm4XQ_1_2"/>
      <w:bookmarkStart w:id="2436" w:name="Tc_3Z8w0TmG1UOyukD3KNavlg_14_0"/>
      <w:bookmarkStart w:id="2437" w:name="Tc_YRYny6_cXkiEj7EMa6Kxdw_13_0"/>
      <w:bookmarkStart w:id="2438" w:name="Tc_oxv4m-3gkkWQGOwBGO7SKw_12_2"/>
      <w:bookmarkStart w:id="2439" w:name="Tc_T3d-4qNmAkuTU15-GbgGlg_12_0"/>
      <w:bookmarkStart w:id="2440" w:name="Tc_kjFUJ6wWoUWdppU2fyR2UQ_11_0"/>
      <w:bookmarkStart w:id="2441" w:name="Tc_ZwQkFavI60uIvyy9vCrdQQ_10_0"/>
      <w:bookmarkStart w:id="2442" w:name="Tc_dAgz2rnMTk-EVCL102CrKA_9_0"/>
      <w:bookmarkStart w:id="2443" w:name="Tc_CUSQ6wvA4kKienWHJdnN0g_8_0"/>
      <w:bookmarkStart w:id="2444" w:name="Tc_nlehF5bdqk6ZdYeNETIueA_7_0"/>
      <w:bookmarkStart w:id="2445" w:name="Tc_KwwPQzTx10eKb-Yr3ye6jw_6_0"/>
      <w:bookmarkStart w:id="2446" w:name="Tc_TRzxWDsUW0Kk8FOWYHzwqw_5_0"/>
      <w:bookmarkStart w:id="2447" w:name="Tc_v9vU8R0Y_E-5_vBbbwILig_4_0"/>
      <w:bookmarkStart w:id="2448" w:name="Tc_0d_q2jsBA0yRYbcQL3gPYA_3_0"/>
      <w:bookmarkStart w:id="2449" w:name="Tc_q-ubbqR90E6-sjZCqSysWQ_2_4"/>
      <w:bookmarkStart w:id="2450" w:name="Tc_BMMZGApchUGQTnxFEjes5A_2_2"/>
      <w:bookmarkStart w:id="2451" w:name="Tc_dRLN2_VXyEq_iOPWBIm4XQ_1_2"/>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p>
    <w:tbl>
      <w:tblPr>
        <w:tblW w:w="2222" w:type="dxa"/>
        <w:jc w:val="left"/>
        <w:tblInd w:w="0" w:type="dxa"/>
        <w:tblLayout w:type="fixed"/>
        <w:tblCellMar>
          <w:top w:w="0" w:type="dxa"/>
          <w:left w:w="0" w:type="dxa"/>
          <w:bottom w:w="0" w:type="dxa"/>
          <w:right w:w="0" w:type="dxa"/>
        </w:tblCellMar>
      </w:tblPr>
      <w:tblGrid>
        <w:gridCol w:w="331"/>
        <w:gridCol w:w="189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12</w:t>
            </w:r>
          </w:p>
        </w:tc>
        <w:tc>
          <w:tcPr>
            <w:tcW w:w="189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Intangible assets, net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Intangible assets consist of the following:</w:t>
      </w:r>
    </w:p>
    <w:p>
      <w:pPr>
        <w:pStyle w:val="TextBody"/>
        <w:bidi w:val="0"/>
        <w:spacing w:before="0" w:after="0"/>
        <w:ind w:left="0" w:right="0" w:hanging="0"/>
        <w:jc w:val="left"/>
        <w:rPr/>
      </w:pPr>
      <w:r>
        <w:rPr/>
        <w:t>​</w:t>
      </w:r>
    </w:p>
    <w:tbl>
      <w:tblPr>
        <w:tblW w:w="6340" w:type="dxa"/>
        <w:jc w:val="left"/>
        <w:tblInd w:w="0" w:type="dxa"/>
        <w:tblLayout w:type="fixed"/>
        <w:tblCellMar>
          <w:top w:w="0" w:type="dxa"/>
          <w:left w:w="0" w:type="dxa"/>
          <w:bottom w:w="0" w:type="dxa"/>
          <w:right w:w="0" w:type="dxa"/>
        </w:tblCellMar>
      </w:tblPr>
      <w:tblGrid>
        <w:gridCol w:w="4051"/>
        <w:gridCol w:w="326"/>
        <w:gridCol w:w="796"/>
        <w:gridCol w:w="326"/>
        <w:gridCol w:w="84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572385" cy="175260"/>
                      <wp:effectExtent l="0" t="0" r="0" b="0"/>
                      <wp:wrapNone/>
                      <wp:docPr id="548" name="Frame541"/>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7010" cy="175260"/>
                      <wp:effectExtent l="0" t="0" r="0" b="0"/>
                      <wp:wrapNone/>
                      <wp:docPr id="549" name="Frame5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505460" cy="175260"/>
                      <wp:effectExtent l="0" t="0" r="0" b="0"/>
                      <wp:wrapNone/>
                      <wp:docPr id="550" name="Frame5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51" name="Frame5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534035" cy="175260"/>
                      <wp:effectExtent l="0" t="0" r="0" b="0"/>
                      <wp:wrapNone/>
                      <wp:docPr id="552" name="Frame54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6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23,673</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23,802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technologies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2,135</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Brand name</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backlog</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Advertising contract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53,287</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53,287</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80,984</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81,088</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(27,336)</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(30,326)</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impairment losses (Note 2(r))</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(49,778)</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53,713</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991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452" w:name="Tc_E1_4thdtMkiwvxVKdhpZ_Q_7_0"/>
      <w:bookmarkStart w:id="2453" w:name="Tc_7p6qmn6Y7kWCxbMIJMEOTg_6_0"/>
      <w:bookmarkStart w:id="2454" w:name="Tc_1ZVF3gwn9E-OUMMTq1NtDA_5_0"/>
      <w:bookmarkStart w:id="2455" w:name="Tc_nhklmaf5vUK8_0HNpPVlzw_4_2"/>
      <w:bookmarkStart w:id="2456" w:name="Tc_kgxDqwqdrUuyP900XfvuQA_3_2"/>
      <w:bookmarkStart w:id="2457" w:name="Tc_RcYrgrChY0OkIq5XXaOqqg_2_2"/>
      <w:bookmarkStart w:id="2458" w:name="Tc_MeqyKIKX302iS0reALMn9A_1_2"/>
      <w:bookmarkStart w:id="2459" w:name="_68b5a5de_795e_4ca1_907c_b9504d81b1ea"/>
      <w:bookmarkStart w:id="2460" w:name="Tc_a_eOBOuTp0SNRw2FnQsAZA_5_0"/>
      <w:bookmarkStart w:id="2461" w:name="Tc_0H88IPXdeUK7nNqQGlmu6w_4_2"/>
      <w:bookmarkStart w:id="2462" w:name="Tc_FBi30FpwxE2CuahDq5geQQ_4_0"/>
      <w:bookmarkStart w:id="2463" w:name="Tc_ST8yWv4wAk6kEasRK7w71A_3_0"/>
      <w:bookmarkStart w:id="2464" w:name="Tc_Tl10vezi7UqW8r5I9rkMgQ_2_6"/>
      <w:bookmarkStart w:id="2465" w:name="Tc_eq8raxz3-U67PntFzWk_pA_2_4"/>
      <w:bookmarkStart w:id="2466" w:name="Tc_7x2kZMgtO0202ZvG2VDAMA_2_2"/>
      <w:bookmarkStart w:id="2467" w:name="Tc_kmO3mys1Nkmafh4AZdvg2A_1_2"/>
      <w:bookmarkStart w:id="2468" w:name="Tc_E1_4thdtMkiwvxVKdhpZ_Q_7_0"/>
      <w:bookmarkStart w:id="2469" w:name="Tc_7p6qmn6Y7kWCxbMIJMEOTg_6_0"/>
      <w:bookmarkStart w:id="2470" w:name="Tc_1ZVF3gwn9E-OUMMTq1NtDA_5_0"/>
      <w:bookmarkStart w:id="2471" w:name="Tc_nhklmaf5vUK8_0HNpPVlzw_4_2"/>
      <w:bookmarkStart w:id="2472" w:name="Tc_kgxDqwqdrUuyP900XfvuQA_3_2"/>
      <w:bookmarkStart w:id="2473" w:name="Tc_RcYrgrChY0OkIq5XXaOqqg_2_2"/>
      <w:bookmarkStart w:id="2474" w:name="Tc_MeqyKIKX302iS0reALMn9A_1_2"/>
      <w:bookmarkStart w:id="2475" w:name="_68b5a5de_795e_4ca1_907c_b9504d81b1ea"/>
      <w:bookmarkStart w:id="2476" w:name="Tc_a_eOBOuTp0SNRw2FnQsAZA_5_0"/>
      <w:bookmarkStart w:id="2477" w:name="Tc_0H88IPXdeUK7nNqQGlmu6w_4_2"/>
      <w:bookmarkStart w:id="2478" w:name="Tc_FBi30FpwxE2CuahDq5geQQ_4_0"/>
      <w:bookmarkStart w:id="2479" w:name="Tc_ST8yWv4wAk6kEasRK7w71A_3_0"/>
      <w:bookmarkStart w:id="2480" w:name="Tc_Tl10vezi7UqW8r5I9rkMgQ_2_6"/>
      <w:bookmarkStart w:id="2481" w:name="Tc_eq8raxz3-U67PntFzWk_pA_2_4"/>
      <w:bookmarkStart w:id="2482" w:name="Tc_7x2kZMgtO0202ZvG2VDAMA_2_2"/>
      <w:bookmarkStart w:id="2483" w:name="Tc_kmO3mys1Nkmafh4AZdvg2A_1_2"/>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p>
    <w:tbl>
      <w:tblPr>
        <w:tblW w:w="3257" w:type="dxa"/>
        <w:jc w:val="left"/>
        <w:tblInd w:w="0" w:type="dxa"/>
        <w:tblLayout w:type="fixed"/>
        <w:tblCellMar>
          <w:top w:w="0" w:type="dxa"/>
          <w:left w:w="0" w:type="dxa"/>
          <w:bottom w:w="0" w:type="dxa"/>
          <w:right w:w="0" w:type="dxa"/>
        </w:tblCellMar>
      </w:tblPr>
      <w:tblGrid>
        <w:gridCol w:w="331"/>
        <w:gridCol w:w="2926"/>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12</w:t>
            </w:r>
          </w:p>
        </w:tc>
        <w:tc>
          <w:tcPr>
            <w:tcW w:w="29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Intangible assets, net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Amortization expense recognized for the years ended December 31, 2020, 2021 and 2022 are summarized as follows:</w:t>
      </w:r>
    </w:p>
    <w:p>
      <w:pPr>
        <w:pStyle w:val="TextBody"/>
        <w:bidi w:val="0"/>
        <w:spacing w:before="0" w:after="0"/>
        <w:ind w:left="0" w:right="0" w:hanging="0"/>
        <w:jc w:val="left"/>
        <w:rPr/>
      </w:pPr>
      <w:r>
        <w:rPr/>
        <w:t>​</w:t>
      </w:r>
    </w:p>
    <w:tbl>
      <w:tblPr>
        <w:tblW w:w="6084" w:type="dxa"/>
        <w:jc w:val="left"/>
        <w:tblInd w:w="0" w:type="dxa"/>
        <w:tblLayout w:type="fixed"/>
        <w:tblCellMar>
          <w:top w:w="0" w:type="dxa"/>
          <w:left w:w="0" w:type="dxa"/>
          <w:bottom w:w="0" w:type="dxa"/>
          <w:right w:w="0" w:type="dxa"/>
        </w:tblCellMar>
      </w:tblPr>
      <w:tblGrid>
        <w:gridCol w:w="3091"/>
        <w:gridCol w:w="326"/>
        <w:gridCol w:w="616"/>
        <w:gridCol w:w="351"/>
        <w:gridCol w:w="616"/>
        <w:gridCol w:w="351"/>
        <w:gridCol w:w="733"/>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962785" cy="175260"/>
                      <wp:effectExtent l="0" t="0" r="0" b="0"/>
                      <wp:wrapNone/>
                      <wp:docPr id="553" name="Frame546"/>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7010" cy="175260"/>
                      <wp:effectExtent l="0" t="0" r="0" b="0"/>
                      <wp:wrapNone/>
                      <wp:docPr id="554" name="Frame5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391160" cy="175260"/>
                      <wp:effectExtent l="0" t="0" r="0" b="0"/>
                      <wp:wrapNone/>
                      <wp:docPr id="555" name="Frame54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22885" cy="175260"/>
                      <wp:effectExtent l="0" t="0" r="0" b="0"/>
                      <wp:wrapNone/>
                      <wp:docPr id="556" name="Frame549"/>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391160" cy="175260"/>
                      <wp:effectExtent l="0" t="0" r="0" b="0"/>
                      <wp:wrapNone/>
                      <wp:docPr id="557" name="Frame55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22885" cy="175260"/>
                      <wp:effectExtent l="0" t="0" r="0" b="0"/>
                      <wp:wrapNone/>
                      <wp:docPr id="558" name="Frame551"/>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465455" cy="175260"/>
                      <wp:effectExtent l="0" t="0" r="0" b="0"/>
                      <wp:wrapNone/>
                      <wp:docPr id="559" name="Frame552"/>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51" w:type="dxa"/>
            <w:tcBorders/>
            <w:vAlign w:val="center"/>
          </w:tcPr>
          <w:p>
            <w:pPr>
              <w:pStyle w:val="TableContents"/>
              <w:bidi w:val="0"/>
              <w:spacing w:before="0" w:after="1"/>
              <w:ind w:left="0" w:right="0" w:hanging="0"/>
              <w:jc w:val="center"/>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51" w:type="dxa"/>
            <w:tcBorders/>
            <w:vAlign w:val="center"/>
          </w:tcPr>
          <w:p>
            <w:pPr>
              <w:pStyle w:val="TableContents"/>
              <w:bidi w:val="0"/>
              <w:spacing w:before="0" w:after="1"/>
              <w:ind w:left="0" w:right="0" w:hanging="0"/>
              <w:jc w:val="center"/>
              <w:rPr/>
            </w:pPr>
            <w:r>
              <w:rPr/>
              <w:t>    </w:t>
            </w:r>
          </w:p>
        </w:tc>
        <w:tc>
          <w:tcPr>
            <w:tcW w:w="7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4,187</w:t>
            </w:r>
          </w:p>
        </w:tc>
        <w:tc>
          <w:tcPr>
            <w:tcW w:w="35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3,070</w:t>
            </w:r>
          </w:p>
        </w:tc>
        <w:tc>
          <w:tcPr>
            <w:tcW w:w="351" w:type="dxa"/>
            <w:tcBorders/>
            <w:shd w:fill="CCEEFF" w:val="clear"/>
            <w:vAlign w:val="center"/>
          </w:tcPr>
          <w:p>
            <w:pPr>
              <w:pStyle w:val="TableContents"/>
              <w:bidi w:val="0"/>
              <w:spacing w:before="0" w:after="1"/>
              <w:ind w:left="0" w:right="0" w:hanging="0"/>
              <w:jc w:val="left"/>
              <w:rPr/>
            </w:pPr>
            <w:r>
              <w:rPr/>
              <w:t> </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2,783</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w:t>
            </w:r>
          </w:p>
        </w:tc>
        <w:tc>
          <w:tcPr>
            <w:tcW w:w="35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51" w:type="dxa"/>
            <w:tcBorders/>
            <w:vAlign w:val="center"/>
          </w:tcPr>
          <w:p>
            <w:pPr>
              <w:pStyle w:val="TableContents"/>
              <w:bidi w:val="0"/>
              <w:spacing w:before="0" w:after="1"/>
              <w:ind w:left="0" w:right="0" w:hanging="0"/>
              <w:jc w:val="left"/>
              <w:rPr/>
            </w:pPr>
            <w:r>
              <w:rPr/>
              <w:t> </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51" w:type="dxa"/>
            <w:tcBorders/>
            <w:shd w:fill="CCEEFF" w:val="cle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51" w:type="dxa"/>
            <w:tcBorders/>
            <w:shd w:fill="CCEEFF" w:val="clear"/>
            <w:vAlign w:val="center"/>
          </w:tcPr>
          <w:p>
            <w:pPr>
              <w:pStyle w:val="TableContents"/>
              <w:bidi w:val="0"/>
              <w:spacing w:before="0" w:after="1"/>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4,189</w:t>
            </w:r>
          </w:p>
        </w:tc>
        <w:tc>
          <w:tcPr>
            <w:tcW w:w="351" w:type="dxa"/>
            <w:tcBorders/>
            <w:vAlign w:val="center"/>
          </w:tcPr>
          <w:p>
            <w:pPr>
              <w:pStyle w:val="TableContents"/>
              <w:bidi w:val="0"/>
              <w:spacing w:before="0" w:after="1"/>
              <w:ind w:left="0" w:right="0" w:hanging="0"/>
              <w:jc w:val="left"/>
              <w:rPr/>
            </w:pPr>
            <w:r>
              <w:rPr/>
              <w:t> </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3,238</w:t>
            </w:r>
          </w:p>
        </w:tc>
        <w:tc>
          <w:tcPr>
            <w:tcW w:w="351" w:type="dxa"/>
            <w:tcBorders/>
            <w:vAlign w:val="center"/>
          </w:tcPr>
          <w:p>
            <w:pPr>
              <w:pStyle w:val="TableContents"/>
              <w:bidi w:val="0"/>
              <w:spacing w:before="0" w:after="1"/>
              <w:ind w:left="0" w:right="0" w:hanging="0"/>
              <w:jc w:val="left"/>
              <w:rPr/>
            </w:pPr>
            <w:r>
              <w:rPr/>
              <w:t> </w:t>
            </w:r>
          </w:p>
        </w:tc>
        <w:tc>
          <w:tcPr>
            <w:tcW w:w="7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2,990</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estimated aggregate amortization expense for each of the next three years as of December 31, 2022 is:</w:t>
      </w:r>
    </w:p>
    <w:tbl>
      <w:tblPr>
        <w:tblW w:w="1993" w:type="dxa"/>
        <w:jc w:val="left"/>
        <w:tblInd w:w="0" w:type="dxa"/>
        <w:tblLayout w:type="fixed"/>
        <w:tblCellMar>
          <w:top w:w="0" w:type="dxa"/>
          <w:left w:w="0" w:type="dxa"/>
          <w:bottom w:w="0" w:type="dxa"/>
          <w:right w:w="0" w:type="dxa"/>
        </w:tblCellMar>
      </w:tblPr>
      <w:tblGrid>
        <w:gridCol w:w="541"/>
        <w:gridCol w:w="326"/>
        <w:gridCol w:w="1126"/>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343535" cy="175260"/>
                      <wp:effectExtent l="0" t="0" r="0" b="0"/>
                      <wp:wrapNone/>
                      <wp:docPr id="560" name="Frame55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1" name="Frame5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715010" cy="175260"/>
                      <wp:effectExtent l="0" t="0" r="0" b="0"/>
                      <wp:wrapNone/>
                      <wp:docPr id="562" name="Frame55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intangible</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991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484" w:name="Tc_dOOdJx30CES-N0fkox4Khg_9_6"/>
      <w:bookmarkStart w:id="2485" w:name="Tc_uEhVTKaOsEC-zw5E6azt2Q_9_4"/>
      <w:bookmarkStart w:id="2486" w:name="Tc_EG1FJrjWv02o2JecHcjeCw_9_2"/>
      <w:bookmarkStart w:id="2487" w:name="Tc_-YZuS5L8Qk6NFh5RJZzBVw_9_0"/>
      <w:bookmarkStart w:id="2488" w:name="Tc_IXQpaQNubkupJFWKokIggA_8_2"/>
      <w:bookmarkStart w:id="2489" w:name="Tc_uzqrafFp00K7CPLxeX3eRA_8_0"/>
      <w:bookmarkStart w:id="2490" w:name="Tc_-R8N9cgPdUSpRJ2F1lZ19g_7_0"/>
      <w:bookmarkStart w:id="2491" w:name="Tc_dFfejezBV0q7ZVATKEq8Fw_6_0"/>
      <w:bookmarkStart w:id="2492" w:name="Tc_L3UMkgYgfU-LvZfSf-JoiQ_5_2"/>
      <w:bookmarkStart w:id="2493" w:name="Tc_EIZrDQx3kEuG-agfhbc7ow_5_0"/>
      <w:bookmarkStart w:id="2494" w:name="Tc_y2m_sFmHMUyZNZDMBN72xA_4_2"/>
      <w:bookmarkStart w:id="2495" w:name="Tc_1o788TX4wEGHUE42_b4ssA_4_0"/>
      <w:bookmarkStart w:id="2496" w:name="Tc_wjSNW3AdhECLCshefPiSKw_3_0"/>
      <w:bookmarkStart w:id="2497" w:name="Tc_sYNQAhLoO0CB0WXHSeJRGw_2_6"/>
      <w:bookmarkStart w:id="2498" w:name="Tc_Qp0mcMjc4067coNHPnppdw_2_4"/>
      <w:bookmarkStart w:id="2499" w:name="Tc_aw5-wplJ40eE_ncFS-z_4g_2_2"/>
      <w:bookmarkStart w:id="2500" w:name="Tc_tudO-4TtT0agFZVKfXpaWg_1_4"/>
      <w:bookmarkStart w:id="2501" w:name="Tc_DHGlnYp_I0OJLLh1UpbDpw_1_2"/>
      <w:bookmarkStart w:id="2502" w:name="Tc_dOOdJx30CES-N0fkox4Khg_9_6"/>
      <w:bookmarkStart w:id="2503" w:name="Tc_uEhVTKaOsEC-zw5E6azt2Q_9_4"/>
      <w:bookmarkStart w:id="2504" w:name="Tc_EG1FJrjWv02o2JecHcjeCw_9_2"/>
      <w:bookmarkStart w:id="2505" w:name="Tc_-YZuS5L8Qk6NFh5RJZzBVw_9_0"/>
      <w:bookmarkStart w:id="2506" w:name="Tc_IXQpaQNubkupJFWKokIggA_8_2"/>
      <w:bookmarkStart w:id="2507" w:name="Tc_uzqrafFp00K7CPLxeX3eRA_8_0"/>
      <w:bookmarkStart w:id="2508" w:name="Tc_-R8N9cgPdUSpRJ2F1lZ19g_7_0"/>
      <w:bookmarkStart w:id="2509" w:name="Tc_dFfejezBV0q7ZVATKEq8Fw_6_0"/>
      <w:bookmarkStart w:id="2510" w:name="Tc_L3UMkgYgfU-LvZfSf-JoiQ_5_2"/>
      <w:bookmarkStart w:id="2511" w:name="Tc_EIZrDQx3kEuG-agfhbc7ow_5_0"/>
      <w:bookmarkStart w:id="2512" w:name="Tc_y2m_sFmHMUyZNZDMBN72xA_4_2"/>
      <w:bookmarkStart w:id="2513" w:name="Tc_1o788TX4wEGHUE42_b4ssA_4_0"/>
      <w:bookmarkStart w:id="2514" w:name="Tc_wjSNW3AdhECLCshefPiSKw_3_0"/>
      <w:bookmarkStart w:id="2515" w:name="Tc_sYNQAhLoO0CB0WXHSeJRGw_2_6"/>
      <w:bookmarkStart w:id="2516" w:name="Tc_Qp0mcMjc4067coNHPnppdw_2_4"/>
      <w:bookmarkStart w:id="2517" w:name="Tc_aw5-wplJ40eE_ncFS-z_4g_2_2"/>
      <w:bookmarkStart w:id="2518" w:name="Tc_tudO-4TtT0agFZVKfXpaWg_1_4"/>
      <w:bookmarkStart w:id="2519" w:name="Tc_DHGlnYp_I0OJLLh1UpbDpw_1_2"/>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p>
    <w:tbl>
      <w:tblPr>
        <w:tblW w:w="1262" w:type="dxa"/>
        <w:jc w:val="left"/>
        <w:tblInd w:w="0" w:type="dxa"/>
        <w:tblLayout w:type="fixed"/>
        <w:tblCellMar>
          <w:top w:w="0" w:type="dxa"/>
          <w:left w:w="0" w:type="dxa"/>
          <w:bottom w:w="0" w:type="dxa"/>
          <w:right w:w="0" w:type="dxa"/>
        </w:tblCellMar>
      </w:tblPr>
      <w:tblGrid>
        <w:gridCol w:w="331"/>
        <w:gridCol w:w="93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13</w:t>
            </w:r>
          </w:p>
        </w:tc>
        <w:tc>
          <w:tcPr>
            <w:tcW w:w="9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Goodwill</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Movements on goodwill during the year were as follows:</w:t>
      </w:r>
    </w:p>
    <w:p>
      <w:pPr>
        <w:pStyle w:val="TextBody"/>
        <w:bidi w:val="0"/>
        <w:spacing w:before="0" w:after="0"/>
        <w:ind w:left="0" w:right="0" w:hanging="0"/>
        <w:jc w:val="left"/>
        <w:rPr/>
      </w:pPr>
      <w:r>
        <w:rPr/>
        <w:t>​</w:t>
      </w:r>
    </w:p>
    <w:tbl>
      <w:tblPr>
        <w:tblW w:w="9367" w:type="dxa"/>
        <w:jc w:val="left"/>
        <w:tblInd w:w="0" w:type="dxa"/>
        <w:tblLayout w:type="fixed"/>
        <w:tblCellMar>
          <w:top w:w="0" w:type="dxa"/>
          <w:left w:w="0" w:type="dxa"/>
          <w:bottom w:w="0" w:type="dxa"/>
          <w:right w:w="0" w:type="dxa"/>
        </w:tblCellMar>
      </w:tblPr>
      <w:tblGrid>
        <w:gridCol w:w="5821"/>
        <w:gridCol w:w="326"/>
        <w:gridCol w:w="871"/>
        <w:gridCol w:w="326"/>
        <w:gridCol w:w="856"/>
        <w:gridCol w:w="326"/>
        <w:gridCol w:w="841"/>
      </w:tblGrid>
      <w:tr>
        <w:trPr/>
        <w:tc>
          <w:tcPr>
            <w:tcW w:w="5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3696335" cy="175260"/>
                      <wp:effectExtent l="0" t="0" r="0" b="0"/>
                      <wp:wrapNone/>
                      <wp:docPr id="563" name="Frame556"/>
                      <a:graphic xmlns:a="http://schemas.openxmlformats.org/drawingml/2006/main">
                        <a:graphicData uri="http://schemas.microsoft.com/office/word/2010/wordprocessingShape">
                          <wps:wsp>
                            <wps:cNvSpPr txBox="1"/>
                            <wps:spPr>
                              <a:xfrm>
                                <a:off x="0" y="0"/>
                                <a:ext cx="3696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4" name="Frame5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553085" cy="175260"/>
                      <wp:effectExtent l="0" t="0" r="0" b="0"/>
                      <wp:wrapNone/>
                      <wp:docPr id="565" name="Frame55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07010" cy="175260"/>
                      <wp:effectExtent l="0" t="0" r="0" b="0"/>
                      <wp:wrapNone/>
                      <wp:docPr id="566" name="Frame5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543560" cy="175260"/>
                      <wp:effectExtent l="0" t="0" r="0" b="0"/>
                      <wp:wrapNone/>
                      <wp:docPr id="567" name="Frame56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7010" cy="175260"/>
                      <wp:effectExtent l="0" t="0" r="0" b="0"/>
                      <wp:wrapNone/>
                      <wp:docPr id="568"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534035" cy="175260"/>
                      <wp:effectExtent l="0" t="0" r="0" b="0"/>
                      <wp:wrapNone/>
                      <wp:docPr id="569" name="Frame56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Marketing</w:t>
            </w:r>
          </w:p>
        </w:tc>
        <w:tc>
          <w:tcPr>
            <w:tcW w:w="326"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Enterprise</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5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1, 2021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53,024</w:t>
            </w:r>
          </w:p>
        </w:tc>
        <w:tc>
          <w:tcPr>
            <w:tcW w:w="326" w:type="dxa"/>
            <w:tcBorders/>
            <w:shd w:fill="CCEEFF" w:val="clear"/>
            <w:vAlign w:val="center"/>
          </w:tcPr>
          <w:p>
            <w:pPr>
              <w:pStyle w:val="TableContents"/>
              <w:bidi w:val="0"/>
              <w:spacing w:before="0" w:after="1"/>
              <w:ind w:left="0" w:right="0" w:hanging="0"/>
              <w:jc w:val="righ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21,395</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74,419</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arising from acquisitions during the year (Notes 4(c) and (d))</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5,905</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5,905</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December 31, 2021</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53,024</w:t>
            </w:r>
          </w:p>
        </w:tc>
        <w:tc>
          <w:tcPr>
            <w:tcW w:w="326" w:type="dxa"/>
            <w:tcBorders/>
            <w:vAlign w:val="center"/>
          </w:tcPr>
          <w:p>
            <w:pPr>
              <w:pStyle w:val="TableContents"/>
              <w:bidi w:val="0"/>
              <w:spacing w:before="0" w:after="1"/>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28,650</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81,674</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(Note 2(q))</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(53,024)</w:t>
            </w:r>
          </w:p>
        </w:tc>
        <w:tc>
          <w:tcPr>
            <w:tcW w:w="326" w:type="dxa"/>
            <w:tcBorders/>
            <w:shd w:fill="CCEEFF" w:val="clear"/>
            <w:vAlign w:val="center"/>
          </w:tcPr>
          <w:p>
            <w:pPr>
              <w:pStyle w:val="TableContents"/>
              <w:bidi w:val="0"/>
              <w:spacing w:before="0" w:after="1"/>
              <w:ind w:left="0" w:right="0" w:hanging="0"/>
              <w:jc w:val="righ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(27,113)</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(80,137)</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520" w:name="Tc_gL1B6OC_ukOQz8yByPv7pQ_4_0"/>
      <w:bookmarkStart w:id="2521" w:name="Tc_zcr6eZy19kO4V7UM7YVL7A_3_0"/>
      <w:bookmarkStart w:id="2522" w:name="Tc_p-G_u3T6_k2gqMAKKseXfA_2_6"/>
      <w:bookmarkStart w:id="2523" w:name="Tc_Q9NvwwsA0UySzZACYQxpvA_2_4"/>
      <w:bookmarkStart w:id="2524" w:name="Tc_kfXUzCqW6ku9e7U9d8w4SA_2_2"/>
      <w:bookmarkStart w:id="2525" w:name="Tc_NlbHAXJZMUW-ZuiwHhushQ_1_2"/>
      <w:bookmarkStart w:id="2526" w:name="Tc_BloWblFTtEC0uB7EYmFYqA_4_0"/>
      <w:bookmarkStart w:id="2527" w:name="Tc_k48bnkui10yPIf5HbgiYYQ_3_0"/>
      <w:bookmarkStart w:id="2528" w:name="Tc_w43z9lNC7EuqPInGyUR3Ig_2_6"/>
      <w:bookmarkStart w:id="2529" w:name="Tc_3NhpCTd1QE2b37ZRHbyMtQ_2_4"/>
      <w:bookmarkStart w:id="2530" w:name="Tc_OFUTCOLbKE6CCsClrx7rOg_2_2"/>
      <w:bookmarkStart w:id="2531" w:name="Tc_ePZoFHkvX0amAUFKwylRUQ_1_2"/>
      <w:bookmarkStart w:id="2532" w:name="Tc_WTJqtn2b60GQxJO6qZ_iTg_6_0"/>
      <w:bookmarkStart w:id="2533" w:name="Tc_bkC4uzPiV069RMPSl9K1jA_5_0"/>
      <w:bookmarkStart w:id="2534" w:name="Tc_dn4mJvIL-k6m7brmsIO0Kg_4_0"/>
      <w:bookmarkStart w:id="2535" w:name="Tc_oMsmTYLRzkG52sTbiVoEnw_3_0"/>
      <w:bookmarkStart w:id="2536" w:name="Tc_BSOXlDBJ4kqulU9HH2xobA_2_0"/>
      <w:bookmarkStart w:id="2537" w:name="Tc_HCvGkgx5K0GSjxRpcyzCeA_1_0"/>
      <w:bookmarkStart w:id="2538" w:name="_baf64995_dc8c_4a86_9f11_8f839988723f"/>
      <w:bookmarkStart w:id="2539" w:name="Tc_gL1B6OC_ukOQz8yByPv7pQ_4_0"/>
      <w:bookmarkStart w:id="2540" w:name="Tc_zcr6eZy19kO4V7UM7YVL7A_3_0"/>
      <w:bookmarkStart w:id="2541" w:name="Tc_p-G_u3T6_k2gqMAKKseXfA_2_6"/>
      <w:bookmarkStart w:id="2542" w:name="Tc_Q9NvwwsA0UySzZACYQxpvA_2_4"/>
      <w:bookmarkStart w:id="2543" w:name="Tc_kfXUzCqW6ku9e7U9d8w4SA_2_2"/>
      <w:bookmarkStart w:id="2544" w:name="Tc_NlbHAXJZMUW-ZuiwHhushQ_1_2"/>
      <w:bookmarkStart w:id="2545" w:name="Tc_BloWblFTtEC0uB7EYmFYqA_4_0"/>
      <w:bookmarkStart w:id="2546" w:name="Tc_k48bnkui10yPIf5HbgiYYQ_3_0"/>
      <w:bookmarkStart w:id="2547" w:name="Tc_w43z9lNC7EuqPInGyUR3Ig_2_6"/>
      <w:bookmarkStart w:id="2548" w:name="Tc_3NhpCTd1QE2b37ZRHbyMtQ_2_4"/>
      <w:bookmarkStart w:id="2549" w:name="Tc_OFUTCOLbKE6CCsClrx7rOg_2_2"/>
      <w:bookmarkStart w:id="2550" w:name="Tc_ePZoFHkvX0amAUFKwylRUQ_1_2"/>
      <w:bookmarkStart w:id="2551" w:name="Tc_WTJqtn2b60GQxJO6qZ_iTg_6_0"/>
      <w:bookmarkStart w:id="2552" w:name="Tc_bkC4uzPiV069RMPSl9K1jA_5_0"/>
      <w:bookmarkStart w:id="2553" w:name="Tc_dn4mJvIL-k6m7brmsIO0Kg_4_0"/>
      <w:bookmarkStart w:id="2554" w:name="Tc_oMsmTYLRzkG52sTbiVoEnw_3_0"/>
      <w:bookmarkStart w:id="2555" w:name="Tc_BSOXlDBJ4kqulU9HH2xobA_2_0"/>
      <w:bookmarkStart w:id="2556" w:name="Tc_HCvGkgx5K0GSjxRpcyzCeA_1_0"/>
      <w:bookmarkStart w:id="2557" w:name="_baf64995_dc8c_4a86_9f11_8f839988723f"/>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p>
    <w:tbl>
      <w:tblPr>
        <w:tblW w:w="1952" w:type="dxa"/>
        <w:jc w:val="left"/>
        <w:tblInd w:w="0" w:type="dxa"/>
        <w:tblLayout w:type="fixed"/>
        <w:tblCellMar>
          <w:top w:w="0" w:type="dxa"/>
          <w:left w:w="0" w:type="dxa"/>
          <w:bottom w:w="0" w:type="dxa"/>
          <w:right w:w="0" w:type="dxa"/>
        </w:tblCellMar>
      </w:tblPr>
      <w:tblGrid>
        <w:gridCol w:w="331"/>
        <w:gridCol w:w="162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14</w:t>
            </w:r>
          </w:p>
        </w:tc>
        <w:tc>
          <w:tcPr>
            <w:tcW w:w="162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Lease accounting</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has operating leases primarily for office and operation space. The lease term is generally specified in lease agreements, however certain agreements provide for lease term extensions or early termination options. To determine the period for the estimated future lease payments, the Group evaluates whether it is reasonably certain that it will exercise the option at the commencement date and periodically thereafter. The lease terms of the Group’s operating leases generally ranged from 12 to 36 months (2021: 12 to 36 months), and the weighted average remaining lease term as of December 31, 2022 was 22 months (2021: 21 months).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To determine the estimated future lease payments, the Group reviews each of its lease agreements to identify the various payment components. The Group includes only the actual lease components in its determination of future lease payments for all the leases. Once the estimated future lease payments are determined, the Group uses a discount rate to calculate the present value of the future lease payments. During the year ended December 31, 2022, a weighted average discount rate of</w:t>
      </w:r>
      <w:r>
        <w:rPr>
          <w:rFonts w:ascii="Times New Roman;Times;serif" w:hAnsi="Times New Roman;Times;serif"/>
          <w:color w:val="808080"/>
          <w:sz w:val="20"/>
        </w:rPr>
        <w:t> </w:t>
      </w:r>
      <w:r>
        <w:rPr>
          <w:rFonts w:ascii="Times New Roman;Times;serif" w:hAnsi="Times New Roman;Times;serif"/>
          <w:sz w:val="20"/>
        </w:rPr>
        <w:t>4.9% (2021: 4.3%) has been applied to the remaining lease payments to calculate the lease liabilities included within the consolidated balance sheets. This represents the incremental borrowing rate the Group would be subject to on borrowings from its available revolving debt agreements.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right-of-use assets of the Group, net of accumulated amortization and impairment, amounted to US$3,834 and US$1,292 as of December 31, 2021 and 2022, respectively. The following table presents the maturity of the Group’s operating lease liabilities as of December 31, 2022.</w:t>
      </w:r>
    </w:p>
    <w:tbl>
      <w:tblPr>
        <w:tblW w:w="4933" w:type="dxa"/>
        <w:jc w:val="left"/>
        <w:tblInd w:w="0" w:type="dxa"/>
        <w:tblLayout w:type="fixed"/>
        <w:tblCellMar>
          <w:top w:w="0" w:type="dxa"/>
          <w:left w:w="0" w:type="dxa"/>
          <w:bottom w:w="0" w:type="dxa"/>
          <w:right w:w="0" w:type="dxa"/>
        </w:tblCellMar>
      </w:tblPr>
      <w:tblGrid>
        <w:gridCol w:w="3931"/>
        <w:gridCol w:w="326"/>
        <w:gridCol w:w="67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496185" cy="175260"/>
                      <wp:effectExtent l="0" t="0" r="0" b="0"/>
                      <wp:wrapNone/>
                      <wp:docPr id="570" name="Frame563"/>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7010" cy="175260"/>
                      <wp:effectExtent l="0" t="0" r="0" b="0"/>
                      <wp:wrapNone/>
                      <wp:docPr id="571" name="Frame5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429260" cy="175260"/>
                      <wp:effectExtent l="0" t="0" r="0" b="0"/>
                      <wp:wrapNone/>
                      <wp:docPr id="572" name="Frame5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payments (undiscounted)</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3,762</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 (discounted)</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3,531</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Lease expenses for these leases are recognized on a straight-line basis over the lease term. For short-term leases over which the Group has elected not to apply the recognition requirements of ASC 842, the Group has recognized the lease payments as expenses on a straight-line basis over the lease term. For the years ended December 31, 2020, 2021 and 2022, total lease cost is comprised of the following:</w:t>
      </w:r>
    </w:p>
    <w:p>
      <w:pPr>
        <w:pStyle w:val="TextBody"/>
        <w:bidi w:val="0"/>
        <w:spacing w:before="0" w:after="0"/>
        <w:ind w:left="0" w:right="0" w:hanging="0"/>
        <w:jc w:val="left"/>
        <w:rPr/>
      </w:pPr>
      <w:r>
        <w:rPr/>
        <w:t>​</w:t>
      </w:r>
    </w:p>
    <w:tbl>
      <w:tblPr>
        <w:tblW w:w="6429" w:type="dxa"/>
        <w:jc w:val="left"/>
        <w:tblInd w:w="0" w:type="dxa"/>
        <w:tblLayout w:type="fixed"/>
        <w:tblCellMar>
          <w:top w:w="0" w:type="dxa"/>
          <w:left w:w="0" w:type="dxa"/>
          <w:bottom w:w="0" w:type="dxa"/>
          <w:right w:w="0" w:type="dxa"/>
        </w:tblCellMar>
      </w:tblPr>
      <w:tblGrid>
        <w:gridCol w:w="3436"/>
        <w:gridCol w:w="326"/>
        <w:gridCol w:w="616"/>
        <w:gridCol w:w="351"/>
        <w:gridCol w:w="616"/>
        <w:gridCol w:w="351"/>
        <w:gridCol w:w="733"/>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81860" cy="175260"/>
                      <wp:effectExtent l="0" t="0" r="0" b="0"/>
                      <wp:wrapNone/>
                      <wp:docPr id="573" name="Frame566"/>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4" name="Frame5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391160" cy="175260"/>
                      <wp:effectExtent l="0" t="0" r="0" b="0"/>
                      <wp:wrapNone/>
                      <wp:docPr id="575" name="Frame56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22885" cy="175260"/>
                      <wp:effectExtent l="0" t="0" r="0" b="0"/>
                      <wp:wrapNone/>
                      <wp:docPr id="576" name="Frame569"/>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391160" cy="175260"/>
                      <wp:effectExtent l="0" t="0" r="0" b="0"/>
                      <wp:wrapNone/>
                      <wp:docPr id="577" name="Frame57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22885" cy="175260"/>
                      <wp:effectExtent l="0" t="0" r="0" b="0"/>
                      <wp:wrapNone/>
                      <wp:docPr id="578" name="Frame571"/>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465455" cy="175260"/>
                      <wp:effectExtent l="0" t="0" r="0" b="0"/>
                      <wp:wrapNone/>
                      <wp:docPr id="579" name="Frame572"/>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51" w:type="dxa"/>
            <w:tcBorders/>
            <w:vAlign w:val="center"/>
          </w:tcPr>
          <w:p>
            <w:pPr>
              <w:pStyle w:val="TableContents"/>
              <w:bidi w:val="0"/>
              <w:spacing w:before="0" w:after="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51" w:type="dxa"/>
            <w:tcBorders/>
            <w:vAlign w:val="center"/>
          </w:tcPr>
          <w:p>
            <w:pPr>
              <w:pStyle w:val="TableContents"/>
              <w:bidi w:val="0"/>
              <w:spacing w:before="0" w:after="0"/>
              <w:ind w:left="0" w:right="0" w:hanging="0"/>
              <w:jc w:val="center"/>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Relating to the operating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c>
          <w:tcPr>
            <w:tcW w:w="35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2,862</w:t>
            </w:r>
          </w:p>
        </w:tc>
        <w:tc>
          <w:tcPr>
            <w:tcW w:w="351"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Relating to short-term leases</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c>
          <w:tcPr>
            <w:tcW w:w="351"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w:t>
            </w:r>
          </w:p>
        </w:tc>
        <w:tc>
          <w:tcPr>
            <w:tcW w:w="351" w:type="dxa"/>
            <w:tcBorders/>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r>
      <w:tr>
        <w:trPr/>
        <w:tc>
          <w:tcPr>
            <w:tcW w:w="34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w:t>
            </w:r>
          </w:p>
        </w:tc>
        <w:tc>
          <w:tcPr>
            <w:tcW w:w="351"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4,380</w:t>
            </w:r>
          </w:p>
        </w:tc>
        <w:tc>
          <w:tcPr>
            <w:tcW w:w="351" w:type="dxa"/>
            <w:tcBorders/>
            <w:shd w:fill="CCEEFF" w:val="clear"/>
            <w:vAlign w:val="center"/>
          </w:tcPr>
          <w:p>
            <w:pPr>
              <w:pStyle w:val="TableContents"/>
              <w:bidi w:val="0"/>
              <w:spacing w:before="0" w:after="0"/>
              <w:ind w:left="0" w:right="0" w:hanging="0"/>
              <w:jc w:val="left"/>
              <w:rPr/>
            </w:pPr>
            <w:r>
              <w:rPr/>
              <w:t> </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3,729</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Supplemental cash flow information related to operating leases is as follows:</w:t>
      </w:r>
    </w:p>
    <w:p>
      <w:pPr>
        <w:pStyle w:val="TextBody"/>
        <w:bidi w:val="0"/>
        <w:spacing w:before="0" w:after="0"/>
        <w:ind w:left="0" w:right="0" w:hanging="0"/>
        <w:jc w:val="left"/>
        <w:rPr/>
      </w:pPr>
      <w:r>
        <w:rPr/>
        <w:t>​</w:t>
      </w:r>
    </w:p>
    <w:tbl>
      <w:tblPr>
        <w:tblW w:w="8814" w:type="dxa"/>
        <w:jc w:val="left"/>
        <w:tblInd w:w="0" w:type="dxa"/>
        <w:tblLayout w:type="fixed"/>
        <w:tblCellMar>
          <w:top w:w="0" w:type="dxa"/>
          <w:left w:w="0" w:type="dxa"/>
          <w:bottom w:w="0" w:type="dxa"/>
          <w:right w:w="0" w:type="dxa"/>
        </w:tblCellMar>
      </w:tblPr>
      <w:tblGrid>
        <w:gridCol w:w="5821"/>
        <w:gridCol w:w="326"/>
        <w:gridCol w:w="616"/>
        <w:gridCol w:w="351"/>
        <w:gridCol w:w="616"/>
        <w:gridCol w:w="351"/>
        <w:gridCol w:w="733"/>
      </w:tblGrid>
      <w:tr>
        <w:trPr/>
        <w:tc>
          <w:tcPr>
            <w:tcW w:w="5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3696335" cy="175260"/>
                      <wp:effectExtent l="0" t="0" r="0" b="0"/>
                      <wp:wrapNone/>
                      <wp:docPr id="580" name="Frame573"/>
                      <a:graphic xmlns:a="http://schemas.openxmlformats.org/drawingml/2006/main">
                        <a:graphicData uri="http://schemas.microsoft.com/office/word/2010/wordprocessingShape">
                          <wps:wsp>
                            <wps:cNvSpPr txBox="1"/>
                            <wps:spPr>
                              <a:xfrm>
                                <a:off x="0" y="0"/>
                                <a:ext cx="3696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07010" cy="175260"/>
                      <wp:effectExtent l="0" t="0" r="0" b="0"/>
                      <wp:wrapNone/>
                      <wp:docPr id="581" name="Frame5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391160" cy="175260"/>
                      <wp:effectExtent l="0" t="0" r="0" b="0"/>
                      <wp:wrapNone/>
                      <wp:docPr id="582" name="Frame57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22885" cy="175260"/>
                      <wp:effectExtent l="0" t="0" r="0" b="0"/>
                      <wp:wrapNone/>
                      <wp:docPr id="583" name="Frame576"/>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391160" cy="175260"/>
                      <wp:effectExtent l="0" t="0" r="0" b="0"/>
                      <wp:wrapNone/>
                      <wp:docPr id="584" name="Frame57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22885" cy="175260"/>
                      <wp:effectExtent l="0" t="0" r="0" b="0"/>
                      <wp:wrapNone/>
                      <wp:docPr id="585" name="Frame578"/>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65455" cy="175260"/>
                      <wp:effectExtent l="0" t="0" r="0" b="0"/>
                      <wp:wrapNone/>
                      <wp:docPr id="586" name="Frame579"/>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51" w:type="dxa"/>
            <w:tcBorders/>
            <w:vAlign w:val="center"/>
          </w:tcPr>
          <w:p>
            <w:pPr>
              <w:pStyle w:val="TableContents"/>
              <w:bidi w:val="0"/>
              <w:spacing w:before="0" w:after="0"/>
              <w:ind w:left="0" w:right="0" w:hanging="0"/>
              <w:jc w:val="center"/>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51" w:type="dxa"/>
            <w:tcBorders/>
            <w:vAlign w:val="center"/>
          </w:tcPr>
          <w:p>
            <w:pPr>
              <w:pStyle w:val="TableContents"/>
              <w:bidi w:val="0"/>
              <w:spacing w:before="0" w:after="0"/>
              <w:ind w:left="0" w:right="0" w:hanging="0"/>
              <w:jc w:val="center"/>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the rentals included in the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w:t>
            </w:r>
          </w:p>
        </w:tc>
        <w:tc>
          <w:tcPr>
            <w:tcW w:w="35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w:t>
            </w:r>
          </w:p>
        </w:tc>
        <w:tc>
          <w:tcPr>
            <w:tcW w:w="351"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operating lease liabilities</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2,710</w:t>
            </w:r>
          </w:p>
        </w:tc>
        <w:tc>
          <w:tcPr>
            <w:tcW w:w="351" w:type="dxa"/>
            <w:tcBorders/>
            <w:vAlign w:val="center"/>
          </w:tcPr>
          <w:p>
            <w:pPr>
              <w:pStyle w:val="TableContents"/>
              <w:bidi w:val="0"/>
              <w:spacing w:before="0" w:after="0"/>
              <w:ind w:left="0" w:right="0" w:hanging="0"/>
              <w:jc w:val="left"/>
              <w:rPr/>
            </w:pPr>
            <w:r>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w:t>
            </w:r>
          </w:p>
        </w:tc>
        <w:tc>
          <w:tcPr>
            <w:tcW w:w="351" w:type="dxa"/>
            <w:tcBorders/>
            <w:vAlign w:val="center"/>
          </w:tcPr>
          <w:p>
            <w:pPr>
              <w:pStyle w:val="TableContents"/>
              <w:bidi w:val="0"/>
              <w:spacing w:before="0" w:after="0"/>
              <w:ind w:left="0" w:right="0" w:hanging="0"/>
              <w:jc w:val="left"/>
              <w:rPr/>
            </w:pPr>
            <w:r>
              <w:rPr/>
              <w:t>​</w:t>
            </w:r>
          </w:p>
        </w:tc>
        <w:tc>
          <w:tcPr>
            <w:tcW w:w="7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2,988</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recognized impairment of right-of-use assets of US$nil, US$nil and US$2,365 for the years ended December 31, 2020, 2021 and 2022,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58" w:name="Tc_E9la4nZrQEK0_YOjL-L7PQ_8_0"/>
      <w:bookmarkStart w:id="2559" w:name="Tc_DoiDMpqnXUWRu8RbUGpuCQ_7_0"/>
      <w:bookmarkStart w:id="2560" w:name="Tc_HTYZmS0pZkGN2nZE5KuXig_6_0"/>
      <w:bookmarkStart w:id="2561" w:name="Tc_7_7aL7XI5E-zFw0x6ckhzw_5_0"/>
      <w:bookmarkStart w:id="2562" w:name="Tc_LZO1HI03OkOI3aQ-ObZ8aQ_4_0"/>
      <w:bookmarkStart w:id="2563" w:name="Tc_r-ebLaXk30Owt7R5acRKSA_3_4"/>
      <w:bookmarkStart w:id="2564" w:name="Tc_7Qf139P8VkChmzhSKk5XWA_3_2"/>
      <w:bookmarkStart w:id="2565" w:name="Tc_iqYzJu-JIUyOx1wdLhDcFQ_2_2"/>
      <w:bookmarkStart w:id="2566" w:name="Tc_alTVD1wW2UuR-h8mIR_DlQ_1_2"/>
      <w:bookmarkStart w:id="2567" w:name="Tc_jeIcUZpSL0-nzmHej14xUA_3_0"/>
      <w:bookmarkStart w:id="2568" w:name="Tc_Y0evCA82BEevUuYcGk3_pg_2_4"/>
      <w:bookmarkStart w:id="2569" w:name="Tc_GGvDndQiREGqFliG_TB3gQ_2_2"/>
      <w:bookmarkStart w:id="2570" w:name="Tc_cS2yrKtl2k-0o-mim41f4w_1_2"/>
      <w:bookmarkStart w:id="2571" w:name="Tc_E9la4nZrQEK0_YOjL-L7PQ_8_0"/>
      <w:bookmarkStart w:id="2572" w:name="Tc_DoiDMpqnXUWRu8RbUGpuCQ_7_0"/>
      <w:bookmarkStart w:id="2573" w:name="Tc_HTYZmS0pZkGN2nZE5KuXig_6_0"/>
      <w:bookmarkStart w:id="2574" w:name="Tc_7_7aL7XI5E-zFw0x6ckhzw_5_0"/>
      <w:bookmarkStart w:id="2575" w:name="Tc_LZO1HI03OkOI3aQ-ObZ8aQ_4_0"/>
      <w:bookmarkStart w:id="2576" w:name="Tc_r-ebLaXk30Owt7R5acRKSA_3_4"/>
      <w:bookmarkStart w:id="2577" w:name="Tc_7Qf139P8VkChmzhSKk5XWA_3_2"/>
      <w:bookmarkStart w:id="2578" w:name="Tc_iqYzJu-JIUyOx1wdLhDcFQ_2_2"/>
      <w:bookmarkStart w:id="2579" w:name="Tc_alTVD1wW2UuR-h8mIR_DlQ_1_2"/>
      <w:bookmarkStart w:id="2580" w:name="Tc_jeIcUZpSL0-nzmHej14xUA_3_0"/>
      <w:bookmarkStart w:id="2581" w:name="Tc_Y0evCA82BEevUuYcGk3_pg_2_4"/>
      <w:bookmarkStart w:id="2582" w:name="Tc_GGvDndQiREGqFliG_TB3gQ_2_2"/>
      <w:bookmarkStart w:id="2583" w:name="Tc_cS2yrKtl2k-0o-mim41f4w_1_2"/>
      <w:bookmarkEnd w:id="2571"/>
      <w:bookmarkEnd w:id="2572"/>
      <w:bookmarkEnd w:id="2573"/>
      <w:bookmarkEnd w:id="2574"/>
      <w:bookmarkEnd w:id="2575"/>
      <w:bookmarkEnd w:id="2576"/>
      <w:bookmarkEnd w:id="2577"/>
      <w:bookmarkEnd w:id="2578"/>
      <w:bookmarkEnd w:id="2579"/>
      <w:bookmarkEnd w:id="2580"/>
      <w:bookmarkEnd w:id="2581"/>
      <w:bookmarkEnd w:id="2582"/>
      <w:bookmarkEnd w:id="2583"/>
    </w:p>
    <w:tbl>
      <w:tblPr>
        <w:tblW w:w="1952" w:type="dxa"/>
        <w:jc w:val="left"/>
        <w:tblInd w:w="0" w:type="dxa"/>
        <w:tblLayout w:type="fixed"/>
        <w:tblCellMar>
          <w:top w:w="0" w:type="dxa"/>
          <w:left w:w="0" w:type="dxa"/>
          <w:bottom w:w="0" w:type="dxa"/>
          <w:right w:w="0" w:type="dxa"/>
        </w:tblCellMar>
      </w:tblPr>
      <w:tblGrid>
        <w:gridCol w:w="331"/>
        <w:gridCol w:w="162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15</w:t>
            </w:r>
          </w:p>
        </w:tc>
        <w:tc>
          <w:tcPr>
            <w:tcW w:w="162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Deferred revenue</w:t>
            </w:r>
          </w:p>
        </w:tc>
      </w:tr>
    </w:tbl>
    <w:p>
      <w:pPr>
        <w:pStyle w:val="TextBody"/>
        <w:bidi w:val="0"/>
        <w:spacing w:before="0" w:after="0"/>
        <w:ind w:left="0" w:right="0" w:hanging="0"/>
        <w:jc w:val="left"/>
        <w:rPr/>
      </w:pPr>
      <w:r>
        <w:rPr/>
        <w:t>​</w:t>
      </w:r>
    </w:p>
    <w:tbl>
      <w:tblPr>
        <w:tblW w:w="4210" w:type="dxa"/>
        <w:jc w:val="left"/>
        <w:tblInd w:w="0" w:type="dxa"/>
        <w:tblLayout w:type="fixed"/>
        <w:tblCellMar>
          <w:top w:w="0" w:type="dxa"/>
          <w:left w:w="0" w:type="dxa"/>
          <w:bottom w:w="0" w:type="dxa"/>
          <w:right w:w="0" w:type="dxa"/>
        </w:tblCellMar>
      </w:tblPr>
      <w:tblGrid>
        <w:gridCol w:w="2161"/>
        <w:gridCol w:w="326"/>
        <w:gridCol w:w="676"/>
        <w:gridCol w:w="326"/>
        <w:gridCol w:w="72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372235" cy="175260"/>
                      <wp:effectExtent l="0" t="0" r="0" b="0"/>
                      <wp:wrapNone/>
                      <wp:docPr id="587" name="Frame58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88" name="Frame5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429260" cy="175260"/>
                      <wp:effectExtent l="0" t="0" r="0" b="0"/>
                      <wp:wrapNone/>
                      <wp:docPr id="589" name="Frame5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07010" cy="175260"/>
                      <wp:effectExtent l="0" t="0" r="0" b="0"/>
                      <wp:wrapNone/>
                      <wp:docPr id="590" name="Frame5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457835" cy="175260"/>
                      <wp:effectExtent l="0" t="0" r="0" b="0"/>
                      <wp:wrapNone/>
                      <wp:docPr id="591" name="Frame58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current</w:t>
            </w:r>
          </w:p>
        </w:tc>
        <w:tc>
          <w:tcPr>
            <w:tcW w:w="326" w:type="dxa"/>
            <w:tcBorders/>
            <w:shd w:fill="CCEEFF" w:val="clear"/>
            <w:vAlign w:val="center"/>
          </w:tcPr>
          <w:p>
            <w:pPr>
              <w:pStyle w:val="TableContents"/>
              <w:bidi w:val="0"/>
              <w:spacing w:before="0" w:after="0"/>
              <w:ind w:left="0" w:right="0" w:hanging="0"/>
              <w:jc w:val="center"/>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22,802</w:t>
            </w:r>
          </w:p>
        </w:tc>
        <w:tc>
          <w:tcPr>
            <w:tcW w:w="326" w:type="dxa"/>
            <w:tcBorders/>
            <w:shd w:fill="CCEEFF" w:val="clear"/>
            <w:vAlign w:val="center"/>
          </w:tcPr>
          <w:p>
            <w:pPr>
              <w:pStyle w:val="TableContents"/>
              <w:bidi w:val="0"/>
              <w:spacing w:before="0" w:after="0"/>
              <w:ind w:left="0" w:right="0" w:hanging="0"/>
              <w:jc w:val="center"/>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16,975</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Changes in deferred revenue balance for the years ended December 31, 2021 and 2022 were as follows:</w:t>
      </w:r>
    </w:p>
    <w:p>
      <w:pPr>
        <w:pStyle w:val="TextBody"/>
        <w:bidi w:val="0"/>
        <w:spacing w:before="0" w:after="0"/>
        <w:ind w:left="0" w:right="0" w:hanging="0"/>
        <w:jc w:val="left"/>
        <w:rPr/>
      </w:pPr>
      <w:r>
        <w:rPr/>
        <w:t>​</w:t>
      </w:r>
    </w:p>
    <w:tbl>
      <w:tblPr>
        <w:tblW w:w="6115" w:type="dxa"/>
        <w:jc w:val="left"/>
        <w:tblInd w:w="0" w:type="dxa"/>
        <w:tblLayout w:type="fixed"/>
        <w:tblCellMar>
          <w:top w:w="0" w:type="dxa"/>
          <w:left w:w="0" w:type="dxa"/>
          <w:bottom w:w="0" w:type="dxa"/>
          <w:right w:w="0" w:type="dxa"/>
        </w:tblCellMar>
      </w:tblPr>
      <w:tblGrid>
        <w:gridCol w:w="3721"/>
        <w:gridCol w:w="326"/>
        <w:gridCol w:w="901"/>
        <w:gridCol w:w="326"/>
        <w:gridCol w:w="84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362835" cy="175260"/>
                      <wp:effectExtent l="0" t="0" r="0" b="0"/>
                      <wp:wrapNone/>
                      <wp:docPr id="592" name="Frame585"/>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07010" cy="175260"/>
                      <wp:effectExtent l="0" t="0" r="0" b="0"/>
                      <wp:wrapNone/>
                      <wp:docPr id="593" name="Frame5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572135" cy="175260"/>
                      <wp:effectExtent l="0" t="0" r="0" b="0"/>
                      <wp:wrapNone/>
                      <wp:docPr id="594" name="Frame58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7010" cy="175260"/>
                      <wp:effectExtent l="0" t="0" r="0" b="0"/>
                      <wp:wrapNone/>
                      <wp:docPr id="595" name="Frame5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534035" cy="175260"/>
                      <wp:effectExtent l="0" t="0" r="0" b="0"/>
                      <wp:wrapNone/>
                      <wp:docPr id="596" name="Frame58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6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28,199</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22,802</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to deferred revenue</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135,292</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72,300</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 as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(141,156)</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(77,887)</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22,802</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16,975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84" w:name="Tc_llA0yXqM_E6hHTraTnVsWw_3_2"/>
      <w:bookmarkStart w:id="2585" w:name="Tc_ojcT0wP190GAbFiWBXcegg_3_0"/>
      <w:bookmarkStart w:id="2586" w:name="Tc_7OH3dlxVG0-y6nDk9UBg4g_2_0"/>
      <w:bookmarkStart w:id="2587" w:name="Tc_fTJib7ByeUSvYYCgZ0FkFw_1_0"/>
      <w:bookmarkStart w:id="2588" w:name="_722afb91_ac27_4b8a_84f1_d9f6014dc40a"/>
      <w:bookmarkStart w:id="2589" w:name="Tc_3fGkTa9yk0S3Dz47IGIH-w_13_0"/>
      <w:bookmarkStart w:id="2590" w:name="Tc_6aN8UwTtgEuKxxSWU3ZqTw_12_0"/>
      <w:bookmarkStart w:id="2591" w:name="Tc_xD9iP1twTECS0rG8BSVXzg_11_2"/>
      <w:bookmarkStart w:id="2592" w:name="Tc_qMKgQr7QU0KWjTAaAM6wqw_11_0"/>
      <w:bookmarkStart w:id="2593" w:name="Tc_Ma8TcgwamU2VHlThALDINA_10_4"/>
      <w:bookmarkStart w:id="2594" w:name="Tc__4KNm2JcSU-hWaZn6qmNuA_10_0"/>
      <w:bookmarkStart w:id="2595" w:name="Tc_jGEFxzO48kW6x5wRhdug3Q_9_0"/>
      <w:bookmarkStart w:id="2596" w:name="Tc_STaF6aDjqk6WB5Ioa4NrgA_8_0"/>
      <w:bookmarkStart w:id="2597" w:name="Tc_TBnOESfaJEmaCYGwZBzsUA_7_0"/>
      <w:bookmarkStart w:id="2598" w:name="Tc_nJzGj-yTl0Gjx3d-NyJgHg_6_0"/>
      <w:bookmarkStart w:id="2599" w:name="Tc_NqhTkPaj2E2ahFa_MKVtTg_5_0"/>
      <w:bookmarkStart w:id="2600" w:name="Tc_qpwRhBq2K0aN5fcDRRk7ng_4_0"/>
      <w:bookmarkStart w:id="2601" w:name="Tc_y8Aot-GpEEGN7cCR0RDpOw_3_0"/>
      <w:bookmarkStart w:id="2602" w:name="Tc_XEE5xzTspkCSfIvt6ONJMw_2_4"/>
      <w:bookmarkStart w:id="2603" w:name="Tc_ktRPeOfqzEmFWqpbUD8psw_2_2"/>
      <w:bookmarkStart w:id="2604" w:name="Tc_ZlhiVYGPNUKDo3O8HtvA0A_1_2"/>
      <w:bookmarkStart w:id="2605" w:name="_8cb67010_8c3a_456e_866a_80e7c3e77563"/>
      <w:bookmarkStart w:id="2606" w:name="Tc_llA0yXqM_E6hHTraTnVsWw_3_2"/>
      <w:bookmarkStart w:id="2607" w:name="Tc_ojcT0wP190GAbFiWBXcegg_3_0"/>
      <w:bookmarkStart w:id="2608" w:name="Tc_7OH3dlxVG0-y6nDk9UBg4g_2_0"/>
      <w:bookmarkStart w:id="2609" w:name="Tc_fTJib7ByeUSvYYCgZ0FkFw_1_0"/>
      <w:bookmarkStart w:id="2610" w:name="_722afb91_ac27_4b8a_84f1_d9f6014dc40a"/>
      <w:bookmarkStart w:id="2611" w:name="Tc_3fGkTa9yk0S3Dz47IGIH-w_13_0"/>
      <w:bookmarkStart w:id="2612" w:name="Tc_6aN8UwTtgEuKxxSWU3ZqTw_12_0"/>
      <w:bookmarkStart w:id="2613" w:name="Tc_xD9iP1twTECS0rG8BSVXzg_11_2"/>
      <w:bookmarkStart w:id="2614" w:name="Tc_qMKgQr7QU0KWjTAaAM6wqw_11_0"/>
      <w:bookmarkStart w:id="2615" w:name="Tc_Ma8TcgwamU2VHlThALDINA_10_4"/>
      <w:bookmarkStart w:id="2616" w:name="Tc__4KNm2JcSU-hWaZn6qmNuA_10_0"/>
      <w:bookmarkStart w:id="2617" w:name="Tc_jGEFxzO48kW6x5wRhdug3Q_9_0"/>
      <w:bookmarkStart w:id="2618" w:name="Tc_STaF6aDjqk6WB5Ioa4NrgA_8_0"/>
      <w:bookmarkStart w:id="2619" w:name="Tc_TBnOESfaJEmaCYGwZBzsUA_7_0"/>
      <w:bookmarkStart w:id="2620" w:name="Tc_nJzGj-yTl0Gjx3d-NyJgHg_6_0"/>
      <w:bookmarkStart w:id="2621" w:name="Tc_NqhTkPaj2E2ahFa_MKVtTg_5_0"/>
      <w:bookmarkStart w:id="2622" w:name="Tc_qpwRhBq2K0aN5fcDRRk7ng_4_0"/>
      <w:bookmarkStart w:id="2623" w:name="Tc_y8Aot-GpEEGN7cCR0RDpOw_3_0"/>
      <w:bookmarkStart w:id="2624" w:name="Tc_XEE5xzTspkCSfIvt6ONJMw_2_4"/>
      <w:bookmarkStart w:id="2625" w:name="Tc_ktRPeOfqzEmFWqpbUD8psw_2_2"/>
      <w:bookmarkStart w:id="2626" w:name="Tc_ZlhiVYGPNUKDo3O8HtvA0A_1_2"/>
      <w:bookmarkStart w:id="2627" w:name="_8cb67010_8c3a_456e_866a_80e7c3e77563"/>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p>
    <w:tbl>
      <w:tblPr>
        <w:tblW w:w="3722" w:type="dxa"/>
        <w:jc w:val="left"/>
        <w:tblInd w:w="0" w:type="dxa"/>
        <w:tblLayout w:type="fixed"/>
        <w:tblCellMar>
          <w:top w:w="0" w:type="dxa"/>
          <w:left w:w="0" w:type="dxa"/>
          <w:bottom w:w="0" w:type="dxa"/>
          <w:right w:w="0" w:type="dxa"/>
        </w:tblCellMar>
      </w:tblPr>
      <w:tblGrid>
        <w:gridCol w:w="331"/>
        <w:gridCol w:w="339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16</w:t>
            </w:r>
          </w:p>
        </w:tc>
        <w:tc>
          <w:tcPr>
            <w:tcW w:w="339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Accrued liabilities and other liabilities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Accrued liabilities and other liabilities consist of the following:</w:t>
      </w:r>
    </w:p>
    <w:p>
      <w:pPr>
        <w:pStyle w:val="TextBody"/>
        <w:bidi w:val="0"/>
        <w:spacing w:before="0" w:after="0"/>
        <w:ind w:left="0" w:right="0" w:hanging="0"/>
        <w:jc w:val="left"/>
        <w:rPr/>
      </w:pPr>
      <w:r>
        <w:rPr/>
        <w:t>​</w:t>
      </w:r>
    </w:p>
    <w:tbl>
      <w:tblPr>
        <w:tblW w:w="7600" w:type="dxa"/>
        <w:jc w:val="left"/>
        <w:tblInd w:w="0" w:type="dxa"/>
        <w:tblLayout w:type="fixed"/>
        <w:tblCellMar>
          <w:top w:w="0" w:type="dxa"/>
          <w:left w:w="0" w:type="dxa"/>
          <w:bottom w:w="0" w:type="dxa"/>
          <w:right w:w="0" w:type="dxa"/>
        </w:tblCellMar>
      </w:tblPr>
      <w:tblGrid>
        <w:gridCol w:w="5491"/>
        <w:gridCol w:w="326"/>
        <w:gridCol w:w="676"/>
        <w:gridCol w:w="326"/>
        <w:gridCol w:w="781"/>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3486785" cy="175260"/>
                      <wp:effectExtent l="0" t="0" r="0" b="0"/>
                      <wp:wrapNone/>
                      <wp:docPr id="597" name="Frame590"/>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07010" cy="175260"/>
                      <wp:effectExtent l="0" t="0" r="0" b="0"/>
                      <wp:wrapNone/>
                      <wp:docPr id="598" name="Frame5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429260" cy="175260"/>
                      <wp:effectExtent l="0" t="0" r="0" b="0"/>
                      <wp:wrapNone/>
                      <wp:docPr id="599" name="Frame5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07010" cy="175260"/>
                      <wp:effectExtent l="0" t="0" r="0" b="0"/>
                      <wp:wrapNone/>
                      <wp:docPr id="600" name="Frame5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495935" cy="175260"/>
                      <wp:effectExtent l="0" t="0" r="0" b="0"/>
                      <wp:wrapNone/>
                      <wp:docPr id="601" name="Frame5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  </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payable to customers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and other taxes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8,597</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deposit received from customers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employee benefits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10,567</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5,076</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4,048</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marketing and hosting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Contingent consideration payable (Note 4(b)) </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4,507</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Consideration payable (Note 4(b))</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from a former non-controlling interest shareholder (Note)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r>
      <w:tr>
        <w:trPr/>
        <w:tc>
          <w:tcPr>
            <w:tcW w:w="5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30,539</w:t>
            </w:r>
          </w:p>
        </w:tc>
      </w:tr>
    </w:tbl>
    <w:p>
      <w:pPr>
        <w:pStyle w:val="TextBody"/>
        <w:bidi w:val="0"/>
        <w:spacing w:before="0" w:after="0"/>
        <w:ind w:left="0" w:right="0" w:hanging="0"/>
        <w:jc w:val="left"/>
        <w:rPr/>
      </w:pPr>
      <w:r>
        <w:rPr/>
        <w:t>​</w:t>
      </w:r>
    </w:p>
    <w:tbl>
      <w:tblPr>
        <w:tblW w:w="4330" w:type="dxa"/>
        <w:jc w:val="left"/>
        <w:tblInd w:w="0" w:type="dxa"/>
        <w:tblLayout w:type="fixed"/>
        <w:tblCellMar>
          <w:top w:w="0" w:type="dxa"/>
          <w:left w:w="0" w:type="dxa"/>
          <w:bottom w:w="0" w:type="dxa"/>
          <w:right w:w="0" w:type="dxa"/>
        </w:tblCellMar>
      </w:tblPr>
      <w:tblGrid>
        <w:gridCol w:w="2941"/>
        <w:gridCol w:w="146"/>
        <w:gridCol w:w="421"/>
        <w:gridCol w:w="146"/>
        <w:gridCol w:w="67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867535" cy="175260"/>
                      <wp:effectExtent l="0" t="0" r="0" b="0"/>
                      <wp:wrapNone/>
                      <wp:docPr id="602" name="Frame595"/>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92710" cy="175260"/>
                      <wp:effectExtent l="0" t="0" r="0" b="0"/>
                      <wp:wrapNone/>
                      <wp:docPr id="603" name="Frame59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67335" cy="175260"/>
                      <wp:effectExtent l="0" t="0" r="0" b="0"/>
                      <wp:wrapNone/>
                      <wp:docPr id="604" name="Frame59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92710" cy="175260"/>
                      <wp:effectExtent l="0" t="0" r="0" b="0"/>
                      <wp:wrapNone/>
                      <wp:docPr id="605" name="Frame59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429260" cy="175260"/>
                      <wp:effectExtent l="0" t="0" r="0" b="0"/>
                      <wp:wrapNone/>
                      <wp:docPr id="606" name="Frame5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146"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center"/>
              <w:rPr/>
            </w:pPr>
            <w:r>
              <w:rPr/>
              <w:t>  </w:t>
            </w:r>
          </w:p>
        </w:tc>
        <w:tc>
          <w:tcPr>
            <w:tcW w:w="1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other income</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Consideration payable (Note 4(b)) </w:t>
            </w:r>
          </w:p>
        </w:tc>
        <w:tc>
          <w:tcPr>
            <w:tcW w:w="1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w:t>
            </w:r>
          </w:p>
        </w:tc>
      </w:tr>
      <w:tr>
        <w:trPr/>
        <w:tc>
          <w:tcPr>
            <w:tcW w:w="29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2,071</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the amount represents an advance from the seller of Optimal, a former non-controlling interest of the Company, for the purpose of replenishment of working capital of certain subsidiaries of the Company, which was unsecured, interest-free, and agreed to be repaid in December 2022. However, the repayment was delayed, in which US$500 is recorded as current liability as of 31 December 2022.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628" w:name="Tc_u9bn4D54OkKiPcgH57Qwxg_7_0"/>
      <w:bookmarkStart w:id="2629" w:name="Tc_bNsQ-EUzE0CVIQeUPEcKzQ_6_0"/>
      <w:bookmarkStart w:id="2630" w:name="Tc_J26t5nFzS0ypWIwxyStCsQ_5_0"/>
      <w:bookmarkStart w:id="2631" w:name="Tc_tlGMpG7rcUiIJGWiYpp5wg_4_0"/>
      <w:bookmarkStart w:id="2632" w:name="Tc_BRqPUDmfWkGg6vSHrvt4rQ_3_0"/>
      <w:bookmarkStart w:id="2633" w:name="Tc_W9e8zZOS6kGCL7dmDUcSTg_2_4"/>
      <w:bookmarkStart w:id="2634" w:name="Tc_ycRrENMPR02qK8Ns5X1O2A_2_2"/>
      <w:bookmarkStart w:id="2635" w:name="Tc_xHa7sOl5fEGSDHMtiopBmw_1_2"/>
      <w:bookmarkStart w:id="2636" w:name="Tc_u9bn4D54OkKiPcgH57Qwxg_7_0"/>
      <w:bookmarkStart w:id="2637" w:name="Tc_bNsQ-EUzE0CVIQeUPEcKzQ_6_0"/>
      <w:bookmarkStart w:id="2638" w:name="Tc_J26t5nFzS0ypWIwxyStCsQ_5_0"/>
      <w:bookmarkStart w:id="2639" w:name="Tc_tlGMpG7rcUiIJGWiYpp5wg_4_0"/>
      <w:bookmarkStart w:id="2640" w:name="Tc_BRqPUDmfWkGg6vSHrvt4rQ_3_0"/>
      <w:bookmarkStart w:id="2641" w:name="Tc_W9e8zZOS6kGCL7dmDUcSTg_2_4"/>
      <w:bookmarkStart w:id="2642" w:name="Tc_ycRrENMPR02qK8Ns5X1O2A_2_2"/>
      <w:bookmarkStart w:id="2643" w:name="Tc_xHa7sOl5fEGSDHMtiopBmw_1_2"/>
      <w:bookmarkEnd w:id="2636"/>
      <w:bookmarkEnd w:id="2637"/>
      <w:bookmarkEnd w:id="2638"/>
      <w:bookmarkEnd w:id="2639"/>
      <w:bookmarkEnd w:id="2640"/>
      <w:bookmarkEnd w:id="2641"/>
      <w:bookmarkEnd w:id="2642"/>
      <w:bookmarkEnd w:id="2643"/>
    </w:p>
    <w:tbl>
      <w:tblPr>
        <w:tblW w:w="1952" w:type="dxa"/>
        <w:jc w:val="left"/>
        <w:tblInd w:w="0" w:type="dxa"/>
        <w:tblLayout w:type="fixed"/>
        <w:tblCellMar>
          <w:top w:w="0" w:type="dxa"/>
          <w:left w:w="0" w:type="dxa"/>
          <w:bottom w:w="0" w:type="dxa"/>
          <w:right w:w="0" w:type="dxa"/>
        </w:tblCellMar>
      </w:tblPr>
      <w:tblGrid>
        <w:gridCol w:w="331"/>
        <w:gridCol w:w="162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17</w:t>
            </w:r>
          </w:p>
        </w:tc>
        <w:tc>
          <w:tcPr>
            <w:tcW w:w="162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Bank borrowings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096"/>
        <w:gridCol w:w="326"/>
        <w:gridCol w:w="676"/>
        <w:gridCol w:w="326"/>
        <w:gridCol w:w="781"/>
      </w:tblGrid>
      <w:tr>
        <w:trPr/>
        <w:tc>
          <w:tcPr>
            <w:tcW w:w="8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5140960" cy="175260"/>
                      <wp:effectExtent l="0" t="0" r="0" b="0"/>
                      <wp:wrapNone/>
                      <wp:docPr id="607" name="Frame600"/>
                      <a:graphic xmlns:a="http://schemas.openxmlformats.org/drawingml/2006/main">
                        <a:graphicData uri="http://schemas.microsoft.com/office/word/2010/wordprocessingShape">
                          <wps:wsp>
                            <wps:cNvSpPr txBox="1"/>
                            <wps:spPr>
                              <a:xfrm>
                                <a:off x="0" y="0"/>
                                <a:ext cx="514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07010" cy="175260"/>
                      <wp:effectExtent l="0" t="0" r="0" b="0"/>
                      <wp:wrapNone/>
                      <wp:docPr id="608" name="Frame6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429260" cy="175260"/>
                      <wp:effectExtent l="0" t="0" r="0" b="0"/>
                      <wp:wrapNone/>
                      <wp:docPr id="609" name="Frame6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07010" cy="175260"/>
                      <wp:effectExtent l="0" t="0" r="0" b="0"/>
                      <wp:wrapNone/>
                      <wp:docPr id="610" name="Frame6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495935" cy="175260"/>
                      <wp:effectExtent l="0" t="0" r="0" b="0"/>
                      <wp:wrapNone/>
                      <wp:docPr id="611" name="Frame6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8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1-year revolving loans denominated in RMB at interest rates of 5.22% (2021: 5.22%) per annum</w:t>
            </w:r>
          </w:p>
        </w:tc>
        <w:tc>
          <w:tcPr>
            <w:tcW w:w="32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31,912</w:t>
            </w:r>
          </w:p>
        </w:tc>
        <w:tc>
          <w:tcPr>
            <w:tcW w:w="32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18,411</w:t>
            </w:r>
          </w:p>
        </w:tc>
      </w:tr>
      <w:tr>
        <w:trPr/>
        <w:tc>
          <w:tcPr>
            <w:tcW w:w="80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Half-year revolving loans denominated in RMB at interest rates ranging from 3.00% to 5.00% (2021: 3.00% to 6.25%) per annum</w:t>
            </w:r>
          </w:p>
        </w:tc>
        <w:tc>
          <w:tcPr>
            <w:tcW w:w="3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26,691</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15,896</w:t>
            </w:r>
          </w:p>
        </w:tc>
      </w:tr>
      <w:tr>
        <w:trPr/>
        <w:tc>
          <w:tcPr>
            <w:tcW w:w="8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service trade loans denominated in HK$ at interest rates ranging from 8.6% to 8.64% (2021: 4.35% to 4.43%) per annum</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0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3-month revolving loan denominated in RMB at an interest rate of 3.00% (2021: 3.00%) per annum</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9,917</w:t>
            </w:r>
          </w:p>
        </w:tc>
        <w:tc>
          <w:tcPr>
            <w:tcW w:w="326"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7,876</w:t>
            </w:r>
          </w:p>
        </w:tc>
      </w:tr>
      <w:tr>
        <w:trPr/>
        <w:tc>
          <w:tcPr>
            <w:tcW w:w="8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1-year term loans denominated in RMB at interest rates ranging from 3.65% to 4% (2021: 3.85% to 4.50%) per annum</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6,926</w:t>
            </w:r>
          </w:p>
        </w:tc>
        <w:tc>
          <w:tcPr>
            <w:tcW w:w="326" w:type="dxa"/>
            <w:tcBorders/>
            <w:shd w:fill="CCEEFF" w:val="cle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2,096</w:t>
            </w:r>
          </w:p>
        </w:tc>
      </w:tr>
      <w:tr>
        <w:trPr/>
        <w:tc>
          <w:tcPr>
            <w:tcW w:w="8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75,530</w:t>
            </w:r>
          </w:p>
        </w:tc>
        <w:tc>
          <w:tcPr>
            <w:tcW w:w="326" w:type="dxa"/>
            <w:tcBorders/>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44,283</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Corporate guarantee by the Company, bank deposits of the Group of US$22,543</w:t>
            </w:r>
            <w:r>
              <w:rPr>
                <w:caps w:val="false"/>
                <w:smallCaps w:val="false"/>
              </w:rPr>
              <w:t xml:space="preserve"> </w:t>
            </w:r>
            <w:r>
              <w:rPr>
                <w:rFonts w:ascii="Times New Roman;Times;serif" w:hAnsi="Times New Roman;Times;serif"/>
                <w:b w:val="false"/>
                <w:i w:val="false"/>
                <w:caps w:val="false"/>
                <w:smallCaps w:val="false"/>
                <w:sz w:val="20"/>
              </w:rPr>
              <w:t>(2021: US$36,146) and accounts receivable of the Group of US$5</w:t>
            </w:r>
            <w:r>
              <w:rPr>
                <w:caps w:val="false"/>
                <w:smallCaps w:val="false"/>
              </w:rPr>
              <w:t xml:space="preserve"> </w:t>
            </w:r>
            <w:r>
              <w:rPr>
                <w:rFonts w:ascii="Times New Roman;Times;serif" w:hAnsi="Times New Roman;Times;serif"/>
                <w:b w:val="false"/>
                <w:i w:val="false"/>
                <w:caps w:val="false"/>
                <w:smallCaps w:val="false"/>
                <w:sz w:val="20"/>
              </w:rPr>
              <w:t>(2021: US$18,250) are provided as pledge to secure the obligations under the facilities from certain banks.</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Out of the total banking facilities of US$213,289</w:t>
            </w:r>
            <w:r>
              <w:rPr>
                <w:caps w:val="false"/>
                <w:smallCaps w:val="false"/>
              </w:rPr>
              <w:t xml:space="preserve"> </w:t>
            </w:r>
            <w:r>
              <w:rPr>
                <w:rFonts w:ascii="Times New Roman;Times;serif" w:hAnsi="Times New Roman;Times;serif"/>
                <w:b w:val="false"/>
                <w:i w:val="false"/>
                <w:caps w:val="false"/>
                <w:smallCaps w:val="false"/>
                <w:sz w:val="20"/>
              </w:rPr>
              <w:t>and US$165,288</w:t>
            </w:r>
            <w:r>
              <w:rPr>
                <w:caps w:val="false"/>
                <w:smallCaps w:val="false"/>
              </w:rPr>
              <w:t xml:space="preserve"> </w:t>
            </w:r>
            <w:r>
              <w:rPr>
                <w:rFonts w:ascii="Times New Roman;Times;serif" w:hAnsi="Times New Roman;Times;serif"/>
                <w:b w:val="false"/>
                <w:i w:val="false"/>
                <w:caps w:val="false"/>
                <w:smallCaps w:val="false"/>
                <w:sz w:val="20"/>
              </w:rPr>
              <w:t>available to the Group as of December 31, 2021 and 2022, respectively, US$75,530</w:t>
            </w:r>
            <w:r>
              <w:rPr>
                <w:caps w:val="false"/>
                <w:smallCaps w:val="false"/>
              </w:rPr>
              <w:t xml:space="preserve"> </w:t>
            </w:r>
            <w:r>
              <w:rPr>
                <w:rFonts w:ascii="Times New Roman;Times;serif" w:hAnsi="Times New Roman;Times;serif"/>
                <w:b w:val="false"/>
                <w:i w:val="false"/>
                <w:caps w:val="false"/>
                <w:smallCaps w:val="false"/>
                <w:sz w:val="20"/>
              </w:rPr>
              <w:t>and US$44,283</w:t>
            </w:r>
            <w:r>
              <w:rPr>
                <w:caps w:val="false"/>
                <w:smallCaps w:val="false"/>
              </w:rPr>
              <w:t xml:space="preserve"> </w:t>
            </w:r>
            <w:r>
              <w:rPr>
                <w:rFonts w:ascii="Times New Roman;Times;serif" w:hAnsi="Times New Roman;Times;serif"/>
                <w:b w:val="false"/>
                <w:i w:val="false"/>
                <w:caps w:val="false"/>
                <w:smallCaps w:val="false"/>
                <w:sz w:val="20"/>
              </w:rPr>
              <w:t>have been utilized by the Group as of December 31, 2021 and 2022, respectively. As of December 31, 2021 and 2022, total undrawn revolving, service trade and term loan facilities amounted to US$97,420, US$18,093</w:t>
            </w:r>
            <w:r>
              <w:rPr>
                <w:caps w:val="false"/>
                <w:smallCaps w:val="false"/>
              </w:rPr>
              <w:t xml:space="preserve"> </w:t>
            </w:r>
            <w:r>
              <w:rPr>
                <w:rFonts w:ascii="Times New Roman;Times;serif" w:hAnsi="Times New Roman;Times;serif"/>
                <w:b w:val="false"/>
                <w:i w:val="false"/>
                <w:caps w:val="false"/>
                <w:smallCaps w:val="false"/>
                <w:sz w:val="20"/>
              </w:rPr>
              <w:t>and US$5,492</w:t>
            </w:r>
            <w:r>
              <w:rPr>
                <w:caps w:val="false"/>
                <w:smallCaps w:val="false"/>
              </w:rPr>
              <w:t xml:space="preserve"> </w:t>
            </w:r>
            <w:r>
              <w:rPr>
                <w:rFonts w:ascii="Times New Roman;Times;serif" w:hAnsi="Times New Roman;Times;serif"/>
                <w:b w:val="false"/>
                <w:i w:val="false"/>
                <w:caps w:val="false"/>
                <w:smallCaps w:val="false"/>
                <w:sz w:val="20"/>
              </w:rPr>
              <w:t>(2021: US$115,338, US$18,013</w:t>
            </w:r>
            <w:r>
              <w:rPr>
                <w:caps w:val="false"/>
                <w:smallCaps w:val="false"/>
              </w:rPr>
              <w:t xml:space="preserve"> </w:t>
            </w:r>
            <w:r>
              <w:rPr>
                <w:rFonts w:ascii="Times New Roman;Times;serif" w:hAnsi="Times New Roman;Times;serif"/>
                <w:b w:val="false"/>
                <w:i w:val="false"/>
                <w:caps w:val="false"/>
                <w:smallCaps w:val="false"/>
                <w:sz w:val="20"/>
              </w:rPr>
              <w:t>and US$4,408) respectively. Total undrawn facilities available for draw-down as of December 31, 2021 and 2022, net of bank deposits that would need to be pledged as restricted cash upon utilization of the facilities, amounted to US$33,326</w:t>
            </w:r>
            <w:r>
              <w:rPr>
                <w:caps w:val="false"/>
                <w:smallCaps w:val="false"/>
              </w:rPr>
              <w:t xml:space="preserve"> </w:t>
            </w:r>
            <w:r>
              <w:rPr>
                <w:rFonts w:ascii="Times New Roman;Times;serif" w:hAnsi="Times New Roman;Times;serif"/>
                <w:b w:val="false"/>
                <w:i w:val="false"/>
                <w:caps w:val="false"/>
                <w:smallCaps w:val="false"/>
                <w:sz w:val="20"/>
              </w:rPr>
              <w:t>and US$41,235, respectively. Subsequent to December 31, 2022, available facilities from certain banks to the Group were reduced whereby total undrawn facilities available for draw-down, net of bank deposits that would need to be pledged as restricted cash upon utilization of the facilities as of February 28, 2023 dropped to US$17,395.</w:t>
            </w:r>
          </w:p>
        </w:tc>
      </w:tr>
    </w:tbl>
    <w:tbl>
      <w:tblPr>
        <w:tblW w:w="10205" w:type="dxa"/>
        <w:jc w:val="left"/>
        <w:tblInd w:w="0" w:type="dxa"/>
        <w:tblLayout w:type="fixed"/>
        <w:tblCellMar>
          <w:top w:w="28" w:type="dxa"/>
          <w:left w:w="28" w:type="dxa"/>
          <w:bottom w:w="28" w:type="dxa"/>
          <w:right w:w="28" w:type="dxa"/>
        </w:tblCellMar>
      </w:tblPr>
      <w:tblGrid>
        <w:gridCol w:w="124"/>
        <w:gridCol w:w="362"/>
        <w:gridCol w:w="9719"/>
      </w:tblGrid>
      <w:tr>
        <w:trPr/>
        <w:tc>
          <w:tcPr>
            <w:tcW w:w="124" w:type="dxa"/>
            <w:tcBorders/>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a financial covenant (minimum quarterly EBITDA as defined in the banking facilities agreements) as set out in one of the loan agreements has been breached. The Group has obtained waiver letter such that the bank would not demand immediate repayment from the Group. As of December 31, 2022, no financial covenants as set out in these loan agreements were breached.</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weighted average interest rate for bank borrowings outstanding as of December 31, 2021 and 2022 was 4.64% and 4.48% per annum, respectively. Other than those shown above, the Company did not have any significant capital and other commitments, long-term obligations, or guarantees as of December 31, 2021 and 2022.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644" w:name="Tc_YSFm72v9g02lmb1I6sGbAw_10_8"/>
      <w:bookmarkStart w:id="2645" w:name="Tc_lMkMAGkSa0OUfY1KpneQow_10_6"/>
      <w:bookmarkStart w:id="2646" w:name="Tc_rckRfYlNMUKEAl_jZhTTLQ_10_4"/>
      <w:bookmarkStart w:id="2647" w:name="Tc_09Hwpy3UPku2Wtx7vkqjbw_10_2"/>
      <w:bookmarkStart w:id="2648" w:name="Tc_soXAWIUgAECNMSj0-659Hg_10_0"/>
      <w:bookmarkStart w:id="2649" w:name="Tc_dfugu7oq5UC2uKp-cqeQaw_9_6"/>
      <w:bookmarkStart w:id="2650" w:name="Tc_Jx9lVucTYECa3JXZvhQD1w_9_4"/>
      <w:bookmarkStart w:id="2651" w:name="Tc_PP2aFyW3G0a3bajLimzEbA_9_0"/>
      <w:bookmarkStart w:id="2652" w:name="Tc_FFHYXDPZPkeC-QjatB4rxA_8_0"/>
      <w:bookmarkStart w:id="2653" w:name="Tc_QWVmE7CMZkGyz4r8yL-MFg_7_4"/>
      <w:bookmarkStart w:id="2654" w:name="Tc_W5fDbKPZxU6p93bkjnu0OA_7_2"/>
      <w:bookmarkStart w:id="2655" w:name="Tc_y57Nv7yAk06b0ZFuiOVGdw_7_0"/>
      <w:bookmarkStart w:id="2656" w:name="Tc_EWmBDPWnNUq7YHHfYo1x7A_6_4"/>
      <w:bookmarkStart w:id="2657" w:name="Tc_djy0sD25bU-meH0tfTaWng_6_2"/>
      <w:bookmarkStart w:id="2658" w:name="Tc_NGNnkih_K0mVqVlJmSQ9ng_6_0"/>
      <w:bookmarkStart w:id="2659" w:name="Tc_kP9fWLe9z0emhLslJo6jiA_5_0"/>
      <w:bookmarkStart w:id="2660" w:name="Tc_HW-j7j3I6kynwwsldlpAMA_4_0"/>
      <w:bookmarkStart w:id="2661" w:name="Tc_FGoPM9ZaVEORHOxBYc_2eQ_3_6"/>
      <w:bookmarkStart w:id="2662" w:name="Tc_8vhir5eJBUiAEICegPThSQ_3_0"/>
      <w:bookmarkStart w:id="2663" w:name="Tc_VJbTs8b2XkOW1OZyC2yV9A_2_8"/>
      <w:bookmarkStart w:id="2664" w:name="Tc_PZ7HfaAKRkSqiGIFV3OaNQ_2_6"/>
      <w:bookmarkStart w:id="2665" w:name="Tc_CAsu_CWV2U6APdhh8FddHw_2_4"/>
      <w:bookmarkStart w:id="2666" w:name="Tc_y8YJ4npKyUSz2hHskImgBA_2_2"/>
      <w:bookmarkStart w:id="2667" w:name="Tc_FPFw_hJMlUavfwvNgEfNYw_1_6"/>
      <w:bookmarkStart w:id="2668" w:name="Tc_0x-MvqI5pke-JQTg59YvMw_1_4"/>
      <w:bookmarkStart w:id="2669" w:name="Tc_-XsoKGZ0wESD3TeQjhsdhw_1_2"/>
      <w:bookmarkStart w:id="2670" w:name="_2f122a7a_390b_4ef7_a212_c5d6e84c0346"/>
      <w:bookmarkStart w:id="2671" w:name="Tc_IhVMLzcmI06q4R3TI4Tj2A_8_0"/>
      <w:bookmarkStart w:id="2672" w:name="Tc_h91sFZt5HkeZIWvC1Q8Utw_7_0"/>
      <w:bookmarkStart w:id="2673" w:name="Tc_cEVQpnRr3UiiHa3Ez0X4Iw_6_0"/>
      <w:bookmarkStart w:id="2674" w:name="Tc_s_quruWNIUOdZ9WFcXNC0w_5_0"/>
      <w:bookmarkStart w:id="2675" w:name="Tc_Bx3bNoVWgkq0kFaIfhdr4g_4_0"/>
      <w:bookmarkStart w:id="2676" w:name="Tc_9q7WCtsqEUqf5fhJs4nqrQ_3_8"/>
      <w:bookmarkStart w:id="2677" w:name="Tc_Ky3GCMQGUkyxbwotBQHwLQ_3_6"/>
      <w:bookmarkStart w:id="2678" w:name="Tc_LxI7Re_Sc0KplgdYELokBQ_3_4"/>
      <w:bookmarkStart w:id="2679" w:name="Tc_emdMr-NLFU2wo7jgO9LDbQ_3_2"/>
      <w:bookmarkStart w:id="2680" w:name="Tc_U8qx9S9nyEa7tuifwogSyA_3_0"/>
      <w:bookmarkStart w:id="2681" w:name="Tc_j3HOZQWtnUuvZx5ub-JHxQ_2_8"/>
      <w:bookmarkStart w:id="2682" w:name="Tc_bC_Cq9hhp0Gi_HBsZ-l0WQ_2_6"/>
      <w:bookmarkStart w:id="2683" w:name="Tc_qKiS6TI1OUa7Q5SXCPEl-w_1_8"/>
      <w:bookmarkStart w:id="2684" w:name="Tc_YSFm72v9g02lmb1I6sGbAw_10_8"/>
      <w:bookmarkStart w:id="2685" w:name="Tc_lMkMAGkSa0OUfY1KpneQow_10_6"/>
      <w:bookmarkStart w:id="2686" w:name="Tc_rckRfYlNMUKEAl_jZhTTLQ_10_4"/>
      <w:bookmarkStart w:id="2687" w:name="Tc_09Hwpy3UPku2Wtx7vkqjbw_10_2"/>
      <w:bookmarkStart w:id="2688" w:name="Tc_soXAWIUgAECNMSj0-659Hg_10_0"/>
      <w:bookmarkStart w:id="2689" w:name="Tc_dfugu7oq5UC2uKp-cqeQaw_9_6"/>
      <w:bookmarkStart w:id="2690" w:name="Tc_Jx9lVucTYECa3JXZvhQD1w_9_4"/>
      <w:bookmarkStart w:id="2691" w:name="Tc_PP2aFyW3G0a3bajLimzEbA_9_0"/>
      <w:bookmarkStart w:id="2692" w:name="Tc_FFHYXDPZPkeC-QjatB4rxA_8_0"/>
      <w:bookmarkStart w:id="2693" w:name="Tc_QWVmE7CMZkGyz4r8yL-MFg_7_4"/>
      <w:bookmarkStart w:id="2694" w:name="Tc_W5fDbKPZxU6p93bkjnu0OA_7_2"/>
      <w:bookmarkStart w:id="2695" w:name="Tc_y57Nv7yAk06b0ZFuiOVGdw_7_0"/>
      <w:bookmarkStart w:id="2696" w:name="Tc_EWmBDPWnNUq7YHHfYo1x7A_6_4"/>
      <w:bookmarkStart w:id="2697" w:name="Tc_djy0sD25bU-meH0tfTaWng_6_2"/>
      <w:bookmarkStart w:id="2698" w:name="Tc_NGNnkih_K0mVqVlJmSQ9ng_6_0"/>
      <w:bookmarkStart w:id="2699" w:name="Tc_kP9fWLe9z0emhLslJo6jiA_5_0"/>
      <w:bookmarkStart w:id="2700" w:name="Tc_HW-j7j3I6kynwwsldlpAMA_4_0"/>
      <w:bookmarkStart w:id="2701" w:name="Tc_FGoPM9ZaVEORHOxBYc_2eQ_3_6"/>
      <w:bookmarkStart w:id="2702" w:name="Tc_8vhir5eJBUiAEICegPThSQ_3_0"/>
      <w:bookmarkStart w:id="2703" w:name="Tc_VJbTs8b2XkOW1OZyC2yV9A_2_8"/>
      <w:bookmarkStart w:id="2704" w:name="Tc_PZ7HfaAKRkSqiGIFV3OaNQ_2_6"/>
      <w:bookmarkStart w:id="2705" w:name="Tc_CAsu_CWV2U6APdhh8FddHw_2_4"/>
      <w:bookmarkStart w:id="2706" w:name="Tc_y8YJ4npKyUSz2hHskImgBA_2_2"/>
      <w:bookmarkStart w:id="2707" w:name="Tc_FPFw_hJMlUavfwvNgEfNYw_1_6"/>
      <w:bookmarkStart w:id="2708" w:name="Tc_0x-MvqI5pke-JQTg59YvMw_1_4"/>
      <w:bookmarkStart w:id="2709" w:name="Tc_-XsoKGZ0wESD3TeQjhsdhw_1_2"/>
      <w:bookmarkStart w:id="2710" w:name="_2f122a7a_390b_4ef7_a212_c5d6e84c0346"/>
      <w:bookmarkStart w:id="2711" w:name="Tc_IhVMLzcmI06q4R3TI4Tj2A_8_0"/>
      <w:bookmarkStart w:id="2712" w:name="Tc_h91sFZt5HkeZIWvC1Q8Utw_7_0"/>
      <w:bookmarkStart w:id="2713" w:name="Tc_cEVQpnRr3UiiHa3Ez0X4Iw_6_0"/>
      <w:bookmarkStart w:id="2714" w:name="Tc_s_quruWNIUOdZ9WFcXNC0w_5_0"/>
      <w:bookmarkStart w:id="2715" w:name="Tc_Bx3bNoVWgkq0kFaIfhdr4g_4_0"/>
      <w:bookmarkStart w:id="2716" w:name="Tc_9q7WCtsqEUqf5fhJs4nqrQ_3_8"/>
      <w:bookmarkStart w:id="2717" w:name="Tc_Ky3GCMQGUkyxbwotBQHwLQ_3_6"/>
      <w:bookmarkStart w:id="2718" w:name="Tc_LxI7Re_Sc0KplgdYELokBQ_3_4"/>
      <w:bookmarkStart w:id="2719" w:name="Tc_emdMr-NLFU2wo7jgO9LDbQ_3_2"/>
      <w:bookmarkStart w:id="2720" w:name="Tc_U8qx9S9nyEa7tuifwogSyA_3_0"/>
      <w:bookmarkStart w:id="2721" w:name="Tc_j3HOZQWtnUuvZx5ub-JHxQ_2_8"/>
      <w:bookmarkStart w:id="2722" w:name="Tc_bC_Cq9hhp0Gi_HBsZ-l0WQ_2_6"/>
      <w:bookmarkStart w:id="2723" w:name="Tc_qKiS6TI1OUa7Q5SXCPEl-w_1_8"/>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p>
    <w:tbl>
      <w:tblPr>
        <w:tblW w:w="3047" w:type="dxa"/>
        <w:jc w:val="left"/>
        <w:tblInd w:w="0" w:type="dxa"/>
        <w:tblLayout w:type="fixed"/>
        <w:tblCellMar>
          <w:top w:w="0" w:type="dxa"/>
          <w:left w:w="0" w:type="dxa"/>
          <w:bottom w:w="0" w:type="dxa"/>
          <w:right w:w="0" w:type="dxa"/>
        </w:tblCellMar>
      </w:tblPr>
      <w:tblGrid>
        <w:gridCol w:w="331"/>
        <w:gridCol w:w="2716"/>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18</w:t>
            </w:r>
          </w:p>
        </w:tc>
        <w:tc>
          <w:tcPr>
            <w:tcW w:w="271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Convertible notes at fair value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has issued certain convertible notes in September 2018 (the “2018 Notes”), November 2019 (the “November 2019 Notes”), December 2019 (the “December 2019 Notes”), January 2020 (the “January 2020 Notes”) and July 2020 (the “July 2020 Notes”). The November 2019 Notes and December 2019 Notes together are referred to as the “2019 Notes”. The January 2020 Notes and July 2020 Notes together are referred to as the “2020 Notes”. There were no outstanding convertible notes as of December 31, 2021 and 2022.</w:t>
      </w:r>
    </w:p>
    <w:p>
      <w:pPr>
        <w:pStyle w:val="TextBody"/>
        <w:bidi w:val="0"/>
        <w:spacing w:before="0" w:after="0"/>
        <w:ind w:left="0" w:right="0" w:hanging="0"/>
        <w:jc w:val="left"/>
        <w:rPr/>
      </w:pPr>
      <w:r>
        <w:rPr/>
        <w:t>​</w:t>
      </w:r>
    </w:p>
    <w:tbl>
      <w:tblPr>
        <w:tblW w:w="8839" w:type="dxa"/>
        <w:jc w:val="left"/>
        <w:tblInd w:w="0" w:type="dxa"/>
        <w:tblLayout w:type="fixed"/>
        <w:tblCellMar>
          <w:top w:w="0" w:type="dxa"/>
          <w:left w:w="0" w:type="dxa"/>
          <w:bottom w:w="0" w:type="dxa"/>
          <w:right w:w="0" w:type="dxa"/>
        </w:tblCellMar>
      </w:tblPr>
      <w:tblGrid>
        <w:gridCol w:w="1936"/>
        <w:gridCol w:w="326"/>
        <w:gridCol w:w="1726"/>
        <w:gridCol w:w="326"/>
        <w:gridCol w:w="1726"/>
        <w:gridCol w:w="326"/>
        <w:gridCol w:w="1426"/>
        <w:gridCol w:w="326"/>
        <w:gridCol w:w="721"/>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229360" cy="175260"/>
                      <wp:effectExtent l="0" t="0" r="0" b="0"/>
                      <wp:wrapNone/>
                      <wp:docPr id="612" name="Frame605"/>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7010" cy="175260"/>
                      <wp:effectExtent l="0" t="0" r="0" b="0"/>
                      <wp:wrapNone/>
                      <wp:docPr id="613" name="Frame6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096010" cy="175260"/>
                      <wp:effectExtent l="0" t="0" r="0" b="0"/>
                      <wp:wrapNone/>
                      <wp:docPr id="614" name="Frame607"/>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07010" cy="175260"/>
                      <wp:effectExtent l="0" t="0" r="0" b="0"/>
                      <wp:wrapNone/>
                      <wp:docPr id="615" name="Frame6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096010" cy="175260"/>
                      <wp:effectExtent l="0" t="0" r="0" b="0"/>
                      <wp:wrapNone/>
                      <wp:docPr id="616" name="Frame609"/>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07010" cy="175260"/>
                      <wp:effectExtent l="0" t="0" r="0" b="0"/>
                      <wp:wrapNone/>
                      <wp:docPr id="617" name="Frame6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905510" cy="175260"/>
                      <wp:effectExtent l="0" t="0" r="0" b="0"/>
                      <wp:wrapNone/>
                      <wp:docPr id="618" name="Frame611"/>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07010" cy="175260"/>
                      <wp:effectExtent l="0" t="0" r="0" b="0"/>
                      <wp:wrapNone/>
                      <wp:docPr id="619" name="Frame6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457835" cy="175260"/>
                      <wp:effectExtent l="0" t="0" r="0" b="0"/>
                      <wp:wrapNone/>
                      <wp:docPr id="620" name="Frame61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Coupon</w:t>
            </w:r>
          </w:p>
        </w:tc>
      </w:tr>
      <w:tr>
        <w:trPr/>
        <w:tc>
          <w:tcPr>
            <w:tcW w:w="19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amounts</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r>
      <w:tr>
        <w:trPr/>
        <w:tc>
          <w:tcPr>
            <w:tcW w:w="1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Convertible notes</w:t>
            </w:r>
          </w:p>
        </w:tc>
        <w:tc>
          <w:tcPr>
            <w:tcW w:w="326" w:type="dxa"/>
            <w:tcBorders/>
            <w:vAlign w:val="center"/>
          </w:tcPr>
          <w:p>
            <w:pPr>
              <w:pStyle w:val="TableContents"/>
              <w:bidi w:val="0"/>
              <w:spacing w:before="0" w:after="0"/>
              <w:ind w:left="0" w:right="0" w:hanging="0"/>
              <w:jc w:val="center"/>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Issue date</w:t>
            </w:r>
          </w:p>
        </w:tc>
        <w:tc>
          <w:tcPr>
            <w:tcW w:w="326" w:type="dxa"/>
            <w:tcBorders/>
            <w:vAlign w:val="center"/>
          </w:tcPr>
          <w:p>
            <w:pPr>
              <w:pStyle w:val="TableContents"/>
              <w:bidi w:val="0"/>
              <w:spacing w:before="0" w:after="0"/>
              <w:ind w:left="0" w:right="0" w:hanging="0"/>
              <w:jc w:val="center"/>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326" w:type="dxa"/>
            <w:tcBorders/>
            <w:vAlign w:val="center"/>
          </w:tcPr>
          <w:p>
            <w:pPr>
              <w:pStyle w:val="TableContents"/>
              <w:bidi w:val="0"/>
              <w:spacing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2018 Notes</w:t>
            </w:r>
          </w:p>
        </w:tc>
        <w:tc>
          <w:tcPr>
            <w:tcW w:w="326" w:type="dxa"/>
            <w:tcBorders/>
            <w:shd w:fill="CCEEFF" w:val="clear"/>
            <w:vAlign w:val="center"/>
          </w:tcPr>
          <w:p>
            <w:pPr>
              <w:pStyle w:val="TableContents"/>
              <w:bidi w:val="0"/>
              <w:spacing w:before="0" w:after="0"/>
              <w:ind w:left="0" w:right="0" w:hanging="0"/>
              <w:jc w:val="center"/>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12, 2018</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12, 2023</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2019 Notes</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11, 2019</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11, 2022</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2019 Notes</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16, 2019</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16, 2022</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2020 Notes</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23, 2020</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12, 2023</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2020 Notes</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30, 2020</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12, 2023</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movement of transactions of these convertible notes during the year ended December 31, 2020 is shown in the table below.</w:t>
      </w:r>
    </w:p>
    <w:p>
      <w:pPr>
        <w:pStyle w:val="TextBody"/>
        <w:bidi w:val="0"/>
        <w:spacing w:before="0" w:after="240"/>
        <w:ind w:left="720" w:right="0" w:hanging="0"/>
        <w:jc w:val="both"/>
        <w:rPr/>
      </w:pPr>
      <w:r>
        <w:rPr/>
        <w:t>​</w:t>
      </w:r>
    </w:p>
    <w:tbl>
      <w:tblPr>
        <w:tblW w:w="10144" w:type="dxa"/>
        <w:jc w:val="left"/>
        <w:tblInd w:w="0" w:type="dxa"/>
        <w:tblLayout w:type="fixed"/>
        <w:tblCellMar>
          <w:top w:w="0" w:type="dxa"/>
          <w:left w:w="0" w:type="dxa"/>
          <w:bottom w:w="0" w:type="dxa"/>
          <w:right w:w="0" w:type="dxa"/>
        </w:tblCellMar>
      </w:tblPr>
      <w:tblGrid>
        <w:gridCol w:w="5611"/>
        <w:gridCol w:w="326"/>
        <w:gridCol w:w="796"/>
        <w:gridCol w:w="326"/>
        <w:gridCol w:w="796"/>
        <w:gridCol w:w="326"/>
        <w:gridCol w:w="796"/>
        <w:gridCol w:w="326"/>
        <w:gridCol w:w="841"/>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3562985" cy="175260"/>
                      <wp:effectExtent l="0" t="0" r="0" b="0"/>
                      <wp:wrapNone/>
                      <wp:docPr id="621" name="Frame614"/>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07010" cy="175260"/>
                      <wp:effectExtent l="0" t="0" r="0" b="0"/>
                      <wp:wrapNone/>
                      <wp:docPr id="622" name="Frame6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505460" cy="175260"/>
                      <wp:effectExtent l="0" t="0" r="0" b="0"/>
                      <wp:wrapNone/>
                      <wp:docPr id="623" name="Frame6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07010" cy="175260"/>
                      <wp:effectExtent l="0" t="0" r="0" b="0"/>
                      <wp:wrapNone/>
                      <wp:docPr id="624" name="Frame6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505460" cy="175260"/>
                      <wp:effectExtent l="0" t="0" r="0" b="0"/>
                      <wp:wrapNone/>
                      <wp:docPr id="625" name="Frame6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07010" cy="175260"/>
                      <wp:effectExtent l="0" t="0" r="0" b="0"/>
                      <wp:wrapNone/>
                      <wp:docPr id="626" name="Frame6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505460" cy="175260"/>
                      <wp:effectExtent l="0" t="0" r="0" b="0"/>
                      <wp:wrapNone/>
                      <wp:docPr id="627" name="Frame6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07010" cy="175260"/>
                      <wp:effectExtent l="0" t="0" r="0" b="0"/>
                      <wp:wrapNone/>
                      <wp:docPr id="628" name="Frame6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534035" cy="175260"/>
                      <wp:effectExtent l="0" t="0" r="0" b="0"/>
                      <wp:wrapNone/>
                      <wp:docPr id="629" name="Frame62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2018</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pPr>
            <w:r>
              <w:rPr/>
              <w:t>​</w: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1, 2020</w:t>
            </w:r>
          </w:p>
        </w:tc>
        <w:tc>
          <w:tcPr>
            <w:tcW w:w="32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19,182</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29,826</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49,008</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ended December 31, 2020</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w:t>
            </w:r>
          </w:p>
        </w:tc>
        <w:tc>
          <w:tcPr>
            <w:tcW w:w="32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issuance</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19,184</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19,184</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convertible notes upon exercise of call option (Note (v))</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11,466</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11,466</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convertible notes (Note (iii))</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(7,630)</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(30,271)</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(30,994)</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(68,895)</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Redemption of convertible notes (Note (iv))</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2020</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38"/>
        <w:gridCol w:w="9843"/>
      </w:tblGrid>
      <w:tr>
        <w:trPr/>
        <w:tc>
          <w:tcPr>
            <w:tcW w:w="124" w:type="dxa"/>
            <w:tcBorders/>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All the convertible notes together with the embedding conversion options are recognized as financial liabilities</w:t>
            </w:r>
            <w:r>
              <w:rPr>
                <w:caps w:val="false"/>
                <w:smallCaps w:val="false"/>
              </w:rPr>
              <w:t xml:space="preserve"> </w:t>
            </w:r>
            <w:r>
              <w:rPr>
                <w:rFonts w:ascii="Times New Roman;Times;serif" w:hAnsi="Times New Roman;Times;serif"/>
                <w:b w:val="false"/>
                <w:i w:val="false"/>
                <w:caps w:val="false"/>
                <w:smallCaps w:val="false"/>
                <w:sz w:val="20"/>
              </w:rPr>
              <w:t>whereby the Company has elected the fair value option under ASC 825-10 to measure the entire instrument at fair value with realized or unrealized gains and losses recorded in the consolidated statements of comprehensive loss. Also, ASC 825-10-25-11 requires financial instrument that is legally a single contract not to be separated into parts for purposes of applying the fair value option.</w:t>
            </w:r>
          </w:p>
        </w:tc>
      </w:tr>
    </w:tbl>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Issuance costs related to the convertible notes for which the fair value option is elected amounting to US$4,556</w:t>
            </w:r>
            <w:r>
              <w:rPr>
                <w:caps w:val="false"/>
                <w:smallCaps w:val="false"/>
              </w:rPr>
              <w:t xml:space="preserve"> </w:t>
            </w:r>
            <w:r>
              <w:rPr>
                <w:rFonts w:ascii="Times New Roman;Times;serif" w:hAnsi="Times New Roman;Times;serif"/>
                <w:b w:val="false"/>
                <w:i w:val="false"/>
                <w:caps w:val="false"/>
                <w:smallCaps w:val="false"/>
                <w:sz w:val="20"/>
              </w:rPr>
              <w:t>and US$44</w:t>
            </w:r>
            <w:r>
              <w:rPr>
                <w:caps w:val="false"/>
                <w:smallCaps w:val="false"/>
              </w:rPr>
              <w:t xml:space="preserve"> </w:t>
            </w:r>
            <w:r>
              <w:rPr>
                <w:rFonts w:ascii="Times New Roman;Times;serif" w:hAnsi="Times New Roman;Times;serif"/>
                <w:b w:val="false"/>
                <w:i w:val="false"/>
                <w:caps w:val="false"/>
                <w:smallCaps w:val="false"/>
                <w:sz w:val="20"/>
              </w:rPr>
              <w:t>for the years ended December 31, 2019 and 2020 respectively. Such costs have been recognized in earnings as incurred and not deferred in accordance with ASC 825-10-25-3.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724" w:name="Tc_qpIJfz76PUWZH3DGG6kHqg_3_0"/>
      <w:bookmarkStart w:id="2725" w:name="Tc_RNUjsG6mok6ZgYJQLAgSWQ_2_0"/>
      <w:bookmarkStart w:id="2726" w:name="Tc_f-fixRPmiUKTzuxtk9d-Mg_1_4"/>
      <w:bookmarkStart w:id="2727" w:name="Tc_tSMFg5HQpUaKCvX9Qw4Ajw_1_2"/>
      <w:bookmarkStart w:id="2728" w:name="Tc_Hawk-e37KECbf0iDa_SOVw_1_0"/>
      <w:bookmarkStart w:id="2729" w:name="Tc_iQCg5HU_N0CvHzAEWJWWQQ_15_2"/>
      <w:bookmarkStart w:id="2730" w:name="Tc_M6oxp5FJdkuSZ1rRjqaGEQ_15_0"/>
      <w:bookmarkStart w:id="2731" w:name="Tc_wvOAybbk3kGyvlEyYsEkIQ_14_2"/>
      <w:bookmarkStart w:id="2732" w:name="Tc_RnqLJr9Xgka9e1XQJjR9ig_14_0"/>
      <w:bookmarkStart w:id="2733" w:name="Tc_BF8CTu5CMkK4CDi5q_hOgg_13_2"/>
      <w:bookmarkStart w:id="2734" w:name="Tc_Idt5Aoh_DEu4lxTFFYHKMQ_13_0"/>
      <w:bookmarkStart w:id="2735" w:name="Tc_cqEj3RyLjkGakXnAnwN-Fw_12_2"/>
      <w:bookmarkStart w:id="2736" w:name="Tc_aB9lE7THlkerEob1Of2ZIw_12_0"/>
      <w:bookmarkStart w:id="2737" w:name="Tc_G02zt0yUL0i59Rz_6dupgA_11_2"/>
      <w:bookmarkStart w:id="2738" w:name="Tc_RXh11lofJ0yJ8Au0dZ-Mhw_11_0"/>
      <w:bookmarkStart w:id="2739" w:name="Tc_qvoNvSXjq0m4N0qn9MIn2g_10_2"/>
      <w:bookmarkStart w:id="2740" w:name="Tc_ux7HVC_MEE265WHko5q9lg_10_0"/>
      <w:bookmarkStart w:id="2741" w:name="Tc_OOimI5VCtkytHYTOE2YB5w_9_2"/>
      <w:bookmarkStart w:id="2742" w:name="Tc_6trvcL5cMkKLpeusKwTYCw_9_0"/>
      <w:bookmarkStart w:id="2743" w:name="Tc_KSnlu_DxpEGRQmo2BhmFsA_8_0"/>
      <w:bookmarkStart w:id="2744" w:name="Tc_lvbf78ux8E6Zxqc5Y1bm5A_7_10"/>
      <w:bookmarkStart w:id="2745" w:name="Tc_ttH6NwTP7EGCaEyS1LHIWQ_7_8"/>
      <w:bookmarkStart w:id="2746" w:name="Tc_bV8DwhOkNUq_JIE4rU4kgQ_7_6"/>
      <w:bookmarkStart w:id="2747" w:name="Tc_lyk8OKdjn0yMUpuNrghxTA_7_4"/>
      <w:bookmarkStart w:id="2748" w:name="Tc_Z3Ycjvd530SQADwcbMbXVQ_7_2"/>
      <w:bookmarkStart w:id="2749" w:name="Tc_BP00FQPr2EmZwLiClBLwFA_7_0"/>
      <w:bookmarkStart w:id="2750" w:name="Tc_LlvJin_uqU-D4lOdGdxXZQ_6_10"/>
      <w:bookmarkStart w:id="2751" w:name="Tc_OK7pkxcnj0OLsuorBfPCGg_6_8"/>
      <w:bookmarkStart w:id="2752" w:name="Tc_50rV89dymU-10Kl1W-AARA_6_6"/>
      <w:bookmarkStart w:id="2753" w:name="Tc_r6rMy7yVf0WGtP7gHNJcZg_6_4"/>
      <w:bookmarkStart w:id="2754" w:name="Tc_OQj52cMBV0i_83m14b4EZg_5_10"/>
      <w:bookmarkStart w:id="2755" w:name="Tc_PBKgxXdEZUKBncLsxBHimg_5_8"/>
      <w:bookmarkStart w:id="2756" w:name="Tc_NIQpWPfLLkCiFPYzcKgVqg_5_6"/>
      <w:bookmarkStart w:id="2757" w:name="Tc_ZQCn_y5HSUadqUUuwac4AA_5_4"/>
      <w:bookmarkStart w:id="2758" w:name="Tc_mosQgafpmUW07u2i8184TA_4_10"/>
      <w:bookmarkStart w:id="2759" w:name="Tc_aCFe12gvE0GKkLjLYLlFtg_4_8"/>
      <w:bookmarkStart w:id="2760" w:name="Tc_VZxGJXjStkqBtqy9QBTS7A_3_10"/>
      <w:bookmarkStart w:id="2761" w:name="Tc_fGSDvV39JUmam_-4PCN0Gw_2_10"/>
      <w:bookmarkStart w:id="2762" w:name="Tc_ZFNISRVwMEW3S8ANzdDZ9g_1_10"/>
      <w:bookmarkStart w:id="2763" w:name="_f02bcf13_133d_4b65_830a_b75069b9d5de"/>
      <w:bookmarkStart w:id="2764" w:name="Tc_qpIJfz76PUWZH3DGG6kHqg_3_0"/>
      <w:bookmarkStart w:id="2765" w:name="Tc_RNUjsG6mok6ZgYJQLAgSWQ_2_0"/>
      <w:bookmarkStart w:id="2766" w:name="Tc_f-fixRPmiUKTzuxtk9d-Mg_1_4"/>
      <w:bookmarkStart w:id="2767" w:name="Tc_tSMFg5HQpUaKCvX9Qw4Ajw_1_2"/>
      <w:bookmarkStart w:id="2768" w:name="Tc_Hawk-e37KECbf0iDa_SOVw_1_0"/>
      <w:bookmarkStart w:id="2769" w:name="Tc_iQCg5HU_N0CvHzAEWJWWQQ_15_2"/>
      <w:bookmarkStart w:id="2770" w:name="Tc_M6oxp5FJdkuSZ1rRjqaGEQ_15_0"/>
      <w:bookmarkStart w:id="2771" w:name="Tc_wvOAybbk3kGyvlEyYsEkIQ_14_2"/>
      <w:bookmarkStart w:id="2772" w:name="Tc_RnqLJr9Xgka9e1XQJjR9ig_14_0"/>
      <w:bookmarkStart w:id="2773" w:name="Tc_BF8CTu5CMkK4CDi5q_hOgg_13_2"/>
      <w:bookmarkStart w:id="2774" w:name="Tc_Idt5Aoh_DEu4lxTFFYHKMQ_13_0"/>
      <w:bookmarkStart w:id="2775" w:name="Tc_cqEj3RyLjkGakXnAnwN-Fw_12_2"/>
      <w:bookmarkStart w:id="2776" w:name="Tc_aB9lE7THlkerEob1Of2ZIw_12_0"/>
      <w:bookmarkStart w:id="2777" w:name="Tc_G02zt0yUL0i59Rz_6dupgA_11_2"/>
      <w:bookmarkStart w:id="2778" w:name="Tc_RXh11lofJ0yJ8Au0dZ-Mhw_11_0"/>
      <w:bookmarkStart w:id="2779" w:name="Tc_qvoNvSXjq0m4N0qn9MIn2g_10_2"/>
      <w:bookmarkStart w:id="2780" w:name="Tc_ux7HVC_MEE265WHko5q9lg_10_0"/>
      <w:bookmarkStart w:id="2781" w:name="Tc_OOimI5VCtkytHYTOE2YB5w_9_2"/>
      <w:bookmarkStart w:id="2782" w:name="Tc_6trvcL5cMkKLpeusKwTYCw_9_0"/>
      <w:bookmarkStart w:id="2783" w:name="Tc_KSnlu_DxpEGRQmo2BhmFsA_8_0"/>
      <w:bookmarkStart w:id="2784" w:name="Tc_lvbf78ux8E6Zxqc5Y1bm5A_7_10"/>
      <w:bookmarkStart w:id="2785" w:name="Tc_ttH6NwTP7EGCaEyS1LHIWQ_7_8"/>
      <w:bookmarkStart w:id="2786" w:name="Tc_bV8DwhOkNUq_JIE4rU4kgQ_7_6"/>
      <w:bookmarkStart w:id="2787" w:name="Tc_lyk8OKdjn0yMUpuNrghxTA_7_4"/>
      <w:bookmarkStart w:id="2788" w:name="Tc_Z3Ycjvd530SQADwcbMbXVQ_7_2"/>
      <w:bookmarkStart w:id="2789" w:name="Tc_BP00FQPr2EmZwLiClBLwFA_7_0"/>
      <w:bookmarkStart w:id="2790" w:name="Tc_LlvJin_uqU-D4lOdGdxXZQ_6_10"/>
      <w:bookmarkStart w:id="2791" w:name="Tc_OK7pkxcnj0OLsuorBfPCGg_6_8"/>
      <w:bookmarkStart w:id="2792" w:name="Tc_50rV89dymU-10Kl1W-AARA_6_6"/>
      <w:bookmarkStart w:id="2793" w:name="Tc_r6rMy7yVf0WGtP7gHNJcZg_6_4"/>
      <w:bookmarkStart w:id="2794" w:name="Tc_OQj52cMBV0i_83m14b4EZg_5_10"/>
      <w:bookmarkStart w:id="2795" w:name="Tc_PBKgxXdEZUKBncLsxBHimg_5_8"/>
      <w:bookmarkStart w:id="2796" w:name="Tc_NIQpWPfLLkCiFPYzcKgVqg_5_6"/>
      <w:bookmarkStart w:id="2797" w:name="Tc_ZQCn_y5HSUadqUUuwac4AA_5_4"/>
      <w:bookmarkStart w:id="2798" w:name="Tc_mosQgafpmUW07u2i8184TA_4_10"/>
      <w:bookmarkStart w:id="2799" w:name="Tc_aCFe12gvE0GKkLjLYLlFtg_4_8"/>
      <w:bookmarkStart w:id="2800" w:name="Tc_VZxGJXjStkqBtqy9QBTS7A_3_10"/>
      <w:bookmarkStart w:id="2801" w:name="Tc_fGSDvV39JUmam_-4PCN0Gw_2_10"/>
      <w:bookmarkStart w:id="2802" w:name="Tc_ZFNISRVwMEW3S8ANzdDZ9g_1_10"/>
      <w:bookmarkStart w:id="2803" w:name="_f02bcf13_133d_4b65_830a_b75069b9d5de"/>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p>
    <w:tbl>
      <w:tblPr>
        <w:tblW w:w="4082" w:type="dxa"/>
        <w:jc w:val="left"/>
        <w:tblInd w:w="0" w:type="dxa"/>
        <w:tblLayout w:type="fixed"/>
        <w:tblCellMar>
          <w:top w:w="0" w:type="dxa"/>
          <w:left w:w="0" w:type="dxa"/>
          <w:bottom w:w="0" w:type="dxa"/>
          <w:right w:w="0" w:type="dxa"/>
        </w:tblCellMar>
      </w:tblPr>
      <w:tblGrid>
        <w:gridCol w:w="331"/>
        <w:gridCol w:w="3751"/>
      </w:tblGrid>
      <w:tr>
        <w:trPr/>
        <w:tc>
          <w:tcPr>
            <w:tcW w:w="3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18</w:t>
            </w:r>
          </w:p>
        </w:tc>
        <w:tc>
          <w:tcPr>
            <w:tcW w:w="375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Convertible notes at fair value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 (Continued)</w:t>
      </w:r>
    </w:p>
    <w:tbl>
      <w:tblPr>
        <w:tblW w:w="8676" w:type="dxa"/>
        <w:jc w:val="left"/>
        <w:tblInd w:w="0" w:type="dxa"/>
        <w:tblLayout w:type="fixed"/>
        <w:tblCellMar>
          <w:top w:w="28" w:type="dxa"/>
          <w:left w:w="28" w:type="dxa"/>
          <w:bottom w:w="28" w:type="dxa"/>
          <w:right w:w="28" w:type="dxa"/>
        </w:tblCellMar>
      </w:tblPr>
      <w:tblGrid>
        <w:gridCol w:w="124"/>
        <w:gridCol w:w="40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conversion of convertible notes for the year ended December 31, 2020 are as follows.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105"/>
        <w:gridCol w:w="326"/>
        <w:gridCol w:w="1533"/>
        <w:gridCol w:w="326"/>
        <w:gridCol w:w="826"/>
        <w:gridCol w:w="326"/>
        <w:gridCol w:w="931"/>
        <w:gridCol w:w="326"/>
        <w:gridCol w:w="972"/>
        <w:gridCol w:w="326"/>
        <w:gridCol w:w="1208"/>
      </w:tblGrid>
      <w:tr>
        <w:trPr/>
        <w:tc>
          <w:tcPr>
            <w:tcW w:w="3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971675" cy="175260"/>
                      <wp:effectExtent l="0" t="0" r="0" b="0"/>
                      <wp:wrapNone/>
                      <wp:docPr id="630" name="Frame623"/>
                      <a:graphic xmlns:a="http://schemas.openxmlformats.org/drawingml/2006/main">
                        <a:graphicData uri="http://schemas.microsoft.com/office/word/2010/wordprocessingShape">
                          <wps:wsp>
                            <wps:cNvSpPr txBox="1"/>
                            <wps:spPr>
                              <a:xfrm>
                                <a:off x="0" y="0"/>
                                <a:ext cx="1971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07010" cy="175260"/>
                      <wp:effectExtent l="0" t="0" r="0" b="0"/>
                      <wp:wrapNone/>
                      <wp:docPr id="631" name="Frame6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973455" cy="175260"/>
                      <wp:effectExtent l="0" t="0" r="0" b="0"/>
                      <wp:wrapNone/>
                      <wp:docPr id="632" name="Frame625"/>
                      <a:graphic xmlns:a="http://schemas.openxmlformats.org/drawingml/2006/main">
                        <a:graphicData uri="http://schemas.microsoft.com/office/word/2010/wordprocessingShape">
                          <wps:wsp>
                            <wps:cNvSpPr txBox="1"/>
                            <wps:spPr>
                              <a:xfrm>
                                <a:off x="0" y="0"/>
                                <a:ext cx="973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07010" cy="175260"/>
                      <wp:effectExtent l="0" t="0" r="0" b="0"/>
                      <wp:wrapNone/>
                      <wp:docPr id="633" name="Frame6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524510" cy="175260"/>
                      <wp:effectExtent l="0" t="0" r="0" b="0"/>
                      <wp:wrapNone/>
                      <wp:docPr id="634" name="Frame6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07010" cy="175260"/>
                      <wp:effectExtent l="0" t="0" r="0" b="0"/>
                      <wp:wrapNone/>
                      <wp:docPr id="635" name="Frame6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591185" cy="175260"/>
                      <wp:effectExtent l="0" t="0" r="0" b="0"/>
                      <wp:wrapNone/>
                      <wp:docPr id="636" name="Frame6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07010" cy="175260"/>
                      <wp:effectExtent l="0" t="0" r="0" b="0"/>
                      <wp:wrapNone/>
                      <wp:docPr id="637" name="Frame6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17220" cy="175260"/>
                      <wp:effectExtent l="0" t="0" r="0" b="0"/>
                      <wp:wrapNone/>
                      <wp:docPr id="638" name="Frame631"/>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07010" cy="175260"/>
                      <wp:effectExtent l="0" t="0" r="0" b="0"/>
                      <wp:wrapNone/>
                      <wp:docPr id="639" name="Frame6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767080" cy="175260"/>
                      <wp:effectExtent l="0" t="0" r="0" b="0"/>
                      <wp:wrapNone/>
                      <wp:docPr id="640" name="Frame633"/>
                      <a:graphic xmlns:a="http://schemas.openxmlformats.org/drawingml/2006/main">
                        <a:graphicData uri="http://schemas.microsoft.com/office/word/2010/wordprocessingShape">
                          <wps:wsp>
                            <wps:cNvSpPr txBox="1"/>
                            <wps:spPr>
                              <a:xfrm>
                                <a:off x="0" y="0"/>
                                <a:ext cx="767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0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1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0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of </w:t>
            </w:r>
          </w:p>
        </w:tc>
      </w:tr>
      <w:tr>
        <w:trPr/>
        <w:tc>
          <w:tcPr>
            <w:tcW w:w="31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0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converted </w:t>
            </w:r>
          </w:p>
        </w:tc>
      </w:tr>
      <w:tr>
        <w:trPr/>
        <w:tc>
          <w:tcPr>
            <w:tcW w:w="31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Conversion </w:t>
            </w:r>
          </w:p>
        </w:tc>
        <w:tc>
          <w:tcPr>
            <w:tcW w:w="326" w:type="dxa"/>
            <w:tcBorders/>
            <w:vAlign w:val="center"/>
          </w:tcPr>
          <w:p>
            <w:pPr>
              <w:pStyle w:val="TableContents"/>
              <w:bidi w:val="0"/>
              <w:spacing w:before="0" w:after="0"/>
              <w:ind w:left="0" w:right="0" w:hanging="0"/>
              <w:jc w:val="center"/>
              <w:rPr/>
            </w:pPr>
            <w:r>
              <w:rPr/>
              <w:t>​</w:t>
            </w:r>
          </w:p>
        </w:tc>
        <w:tc>
          <w:tcPr>
            <w:tcW w:w="120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convertible </w:t>
            </w:r>
          </w:p>
        </w:tc>
      </w:tr>
      <w:tr>
        <w:trPr/>
        <w:tc>
          <w:tcPr>
            <w:tcW w:w="31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Principal </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9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price per </w:t>
            </w:r>
          </w:p>
        </w:tc>
        <w:tc>
          <w:tcPr>
            <w:tcW w:w="326" w:type="dxa"/>
            <w:tcBorders/>
            <w:vAlign w:val="center"/>
          </w:tcPr>
          <w:p>
            <w:pPr>
              <w:pStyle w:val="TableContents"/>
              <w:bidi w:val="0"/>
              <w:spacing w:before="0" w:after="0"/>
              <w:ind w:left="0" w:right="0" w:hanging="0"/>
              <w:jc w:val="center"/>
              <w:rPr/>
            </w:pPr>
            <w:r>
              <w:rPr/>
              <w:t>​</w:t>
            </w:r>
          </w:p>
        </w:tc>
        <w:tc>
          <w:tcPr>
            <w:tcW w:w="120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notes as of the </w:t>
            </w:r>
          </w:p>
        </w:tc>
      </w:tr>
      <w:tr>
        <w:trPr/>
        <w:tc>
          <w:tcPr>
            <w:tcW w:w="31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ADSs </w:t>
            </w:r>
          </w:p>
        </w:tc>
        <w:tc>
          <w:tcPr>
            <w:tcW w:w="326" w:type="dxa"/>
            <w:tcBorders/>
            <w:vAlign w:val="center"/>
          </w:tcPr>
          <w:p>
            <w:pPr>
              <w:pStyle w:val="TableContents"/>
              <w:bidi w:val="0"/>
              <w:spacing w:before="0" w:after="0"/>
              <w:ind w:left="0" w:right="0" w:hanging="0"/>
              <w:jc w:val="center"/>
              <w:rPr/>
            </w:pPr>
            <w:r>
              <w:rPr/>
              <w:t>​</w:t>
            </w:r>
          </w:p>
        </w:tc>
        <w:tc>
          <w:tcPr>
            <w:tcW w:w="9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ADS</w:t>
            </w:r>
          </w:p>
        </w:tc>
        <w:tc>
          <w:tcPr>
            <w:tcW w:w="326" w:type="dxa"/>
            <w:tcBorders/>
            <w:vAlign w:val="center"/>
          </w:tcPr>
          <w:p>
            <w:pPr>
              <w:pStyle w:val="TableContents"/>
              <w:bidi w:val="0"/>
              <w:spacing w:before="0" w:after="0"/>
              <w:ind w:left="0" w:right="0" w:hanging="0"/>
              <w:jc w:val="center"/>
              <w:rPr/>
            </w:pPr>
            <w:r>
              <w:rPr/>
              <w:t>​</w:t>
            </w:r>
          </w:p>
        </w:tc>
        <w:tc>
          <w:tcPr>
            <w:tcW w:w="120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conversion </w:t>
            </w:r>
          </w:p>
        </w:tc>
      </w:tr>
      <w:tr>
        <w:trPr/>
        <w:tc>
          <w:tcPr>
            <w:tcW w:w="31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Convertible notes</w:t>
            </w:r>
          </w:p>
        </w:tc>
        <w:tc>
          <w:tcPr>
            <w:tcW w:w="326" w:type="dxa"/>
            <w:tcBorders/>
            <w:vAlign w:val="center"/>
          </w:tcPr>
          <w:p>
            <w:pPr>
              <w:pStyle w:val="TableContents"/>
              <w:bidi w:val="0"/>
              <w:spacing w:before="0" w:after="0"/>
              <w:ind w:left="0" w:right="0" w:hanging="0"/>
              <w:jc w:val="center"/>
              <w:rPr/>
            </w:pPr>
            <w:r>
              <w:rPr/>
              <w:t>    </w:t>
            </w:r>
          </w:p>
        </w:tc>
        <w:tc>
          <w:tcPr>
            <w:tcW w:w="15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Conversion date</w:t>
            </w:r>
          </w:p>
        </w:tc>
        <w:tc>
          <w:tcPr>
            <w:tcW w:w="326" w:type="dxa"/>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converted</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converted</w:t>
            </w:r>
          </w:p>
        </w:tc>
        <w:tc>
          <w:tcPr>
            <w:tcW w:w="326" w:type="dxa"/>
            <w:tcBorders/>
            <w:vAlign w:val="center"/>
          </w:tcPr>
          <w:p>
            <w:pPr>
              <w:pStyle w:val="TableContents"/>
              <w:bidi w:val="0"/>
              <w:spacing w:before="0" w:after="0"/>
              <w:ind w:left="0" w:right="0" w:hanging="0"/>
              <w:jc w:val="center"/>
              <w:rPr/>
            </w:pPr>
            <w:r>
              <w:rPr/>
              <w:t>    </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    </w:t>
            </w:r>
          </w:p>
        </w:tc>
        <w:tc>
          <w:tcPr>
            <w:tcW w:w="12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w:t>
            </w:r>
          </w:p>
        </w:tc>
      </w:tr>
      <w:tr>
        <w:trPr/>
        <w:tc>
          <w:tcPr>
            <w:tcW w:w="3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 ended December 31, 2020</w:t>
            </w:r>
          </w:p>
        </w:tc>
        <w:tc>
          <w:tcPr>
            <w:tcW w:w="326" w:type="dxa"/>
            <w:tcBorders/>
            <w:shd w:fill="CCEEFF" w:val="clear"/>
            <w:vAlign w:val="center"/>
          </w:tcPr>
          <w:p>
            <w:pPr>
              <w:pStyle w:val="TableContents"/>
              <w:bidi w:val="0"/>
              <w:spacing w:before="0" w:after="0"/>
              <w:ind w:left="0" w:right="0" w:hanging="0"/>
              <w:jc w:val="center"/>
              <w:rPr/>
            </w:pPr>
            <w:r>
              <w:rPr/>
              <w:t>​</w:t>
            </w:r>
          </w:p>
        </w:tc>
        <w:tc>
          <w:tcPr>
            <w:tcW w:w="153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72"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1208" w:type="dxa"/>
            <w:tcBorders/>
            <w:shd w:fill="CCEEFF" w:val="clear"/>
            <w:vAlign w:val="center"/>
          </w:tcPr>
          <w:p>
            <w:pPr>
              <w:pStyle w:val="TableContents"/>
              <w:bidi w:val="0"/>
              <w:spacing w:before="0" w:after="0"/>
              <w:ind w:left="0" w:right="0" w:hanging="0"/>
              <w:jc w:val="left"/>
              <w:rPr/>
            </w:pPr>
            <w:r>
              <w:rPr/>
              <w:t>  </w:t>
            </w:r>
          </w:p>
        </w:tc>
      </w:tr>
      <w:tr>
        <w:trPr/>
        <w:tc>
          <w:tcPr>
            <w:tcW w:w="3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2018 Notes</w:t>
            </w:r>
          </w:p>
        </w:tc>
        <w:tc>
          <w:tcPr>
            <w:tcW w:w="326" w:type="dxa"/>
            <w:tcBorders/>
            <w:vAlign w:val="center"/>
          </w:tcPr>
          <w:p>
            <w:pPr>
              <w:pStyle w:val="TableContents"/>
              <w:bidi w:val="0"/>
              <w:spacing w:before="0" w:after="0"/>
              <w:ind w:left="0" w:right="0" w:hanging="0"/>
              <w:jc w:val="center"/>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June 30, 2020</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24,805</w:t>
            </w:r>
          </w:p>
        </w:tc>
        <w:tc>
          <w:tcPr>
            <w:tcW w:w="326" w:type="dxa"/>
            <w:tcBorders/>
            <w:vAlign w:val="center"/>
          </w:tcPr>
          <w:p>
            <w:pPr>
              <w:pStyle w:val="TableContents"/>
              <w:bidi w:val="0"/>
              <w:spacing w:before="0" w:after="0"/>
              <w:ind w:left="0" w:right="0" w:hanging="0"/>
              <w:jc w:val="righ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40.31</w:t>
            </w:r>
          </w:p>
        </w:tc>
        <w:tc>
          <w:tcPr>
            <w:tcW w:w="326" w:type="dxa"/>
            <w:tcBorders/>
            <w:vAlign w:val="center"/>
          </w:tcPr>
          <w:p>
            <w:pPr>
              <w:pStyle w:val="TableContents"/>
              <w:bidi w:val="0"/>
              <w:spacing w:before="0" w:after="0"/>
              <w:ind w:left="0" w:right="0" w:hanging="0"/>
              <w:jc w:val="right"/>
              <w:rPr/>
            </w:pPr>
            <w:r>
              <w:rPr/>
              <w:t>​</w:t>
            </w:r>
          </w:p>
        </w:tc>
        <w:tc>
          <w:tcPr>
            <w:tcW w:w="12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w:t>
            </w:r>
          </w:p>
        </w:tc>
      </w:tr>
      <w:tr>
        <w:trPr/>
        <w:tc>
          <w:tcPr>
            <w:tcW w:w="3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2018 Notes</w:t>
            </w:r>
          </w:p>
        </w:tc>
        <w:tc>
          <w:tcPr>
            <w:tcW w:w="326" w:type="dxa"/>
            <w:tcBorders/>
            <w:shd w:fill="CCEEFF" w:val="clear"/>
            <w:vAlign w:val="center"/>
          </w:tcPr>
          <w:p>
            <w:pPr>
              <w:pStyle w:val="TableContents"/>
              <w:bidi w:val="0"/>
              <w:spacing w:before="0" w:after="0"/>
              <w:ind w:left="0" w:right="0" w:hanging="0"/>
              <w:jc w:val="center"/>
              <w:rPr/>
            </w:pPr>
            <w:r>
              <w:rPr/>
              <w:t>​</w:t>
            </w:r>
          </w:p>
        </w:tc>
        <w:tc>
          <w:tcPr>
            <w:tcW w:w="1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July 24, 2020</w:t>
            </w:r>
          </w:p>
        </w:tc>
        <w:tc>
          <w:tcPr>
            <w:tcW w:w="32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23,655</w:t>
            </w:r>
          </w:p>
        </w:tc>
        <w:tc>
          <w:tcPr>
            <w:tcW w:w="326" w:type="dxa"/>
            <w:tcBorders/>
            <w:shd w:fill="CCEEFF" w:val="clear"/>
            <w:vAlign w:val="center"/>
          </w:tcPr>
          <w:p>
            <w:pPr>
              <w:pStyle w:val="TableContents"/>
              <w:bidi w:val="0"/>
              <w:spacing w:before="0" w:after="0"/>
              <w:ind w:left="0" w:right="0" w:hanging="0"/>
              <w:jc w:val="right"/>
              <w:rPr/>
            </w:pPr>
            <w:r>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42.28</w:t>
            </w:r>
          </w:p>
        </w:tc>
        <w:tc>
          <w:tcPr>
            <w:tcW w:w="326" w:type="dxa"/>
            <w:tcBorders/>
            <w:shd w:fill="CCEEFF" w:val="clear"/>
            <w:vAlign w:val="center"/>
          </w:tcPr>
          <w:p>
            <w:pPr>
              <w:pStyle w:val="TableContents"/>
              <w:bidi w:val="0"/>
              <w:spacing w:before="0" w:after="0"/>
              <w:ind w:left="0" w:right="0" w:hanging="0"/>
              <w:jc w:val="right"/>
              <w:rPr/>
            </w:pPr>
            <w:r>
              <w:rPr/>
              <w:t>​</w:t>
            </w:r>
          </w:p>
        </w:tc>
        <w:tc>
          <w:tcPr>
            <w:tcW w:w="12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r>
      <w:tr>
        <w:trPr/>
        <w:tc>
          <w:tcPr>
            <w:tcW w:w="3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2018 Notes</w:t>
            </w:r>
          </w:p>
        </w:tc>
        <w:tc>
          <w:tcPr>
            <w:tcW w:w="326" w:type="dxa"/>
            <w:tcBorders/>
            <w:vAlign w:val="center"/>
          </w:tcPr>
          <w:p>
            <w:pPr>
              <w:pStyle w:val="TableContents"/>
              <w:bidi w:val="0"/>
              <w:spacing w:before="0" w:after="0"/>
              <w:ind w:left="0" w:right="0" w:hanging="0"/>
              <w:jc w:val="center"/>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August 11, 2020</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53,660</w:t>
            </w:r>
          </w:p>
        </w:tc>
        <w:tc>
          <w:tcPr>
            <w:tcW w:w="326" w:type="dxa"/>
            <w:tcBorders/>
            <w:vAlign w:val="center"/>
          </w:tcPr>
          <w:p>
            <w:pPr>
              <w:pStyle w:val="TableContents"/>
              <w:bidi w:val="0"/>
              <w:spacing w:before="0" w:after="0"/>
              <w:ind w:left="0" w:right="0" w:hanging="0"/>
              <w:jc w:val="righ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w:t>
            </w:r>
          </w:p>
        </w:tc>
        <w:tc>
          <w:tcPr>
            <w:tcW w:w="326" w:type="dxa"/>
            <w:tcBorders/>
            <w:vAlign w:val="center"/>
          </w:tcPr>
          <w:p>
            <w:pPr>
              <w:pStyle w:val="TableContents"/>
              <w:bidi w:val="0"/>
              <w:spacing w:before="0" w:after="0"/>
              <w:ind w:left="0" w:right="0" w:hanging="0"/>
              <w:jc w:val="right"/>
              <w:rPr/>
            </w:pPr>
            <w:r>
              <w:rPr/>
              <w:t>​</w:t>
            </w:r>
          </w:p>
        </w:tc>
        <w:tc>
          <w:tcPr>
            <w:tcW w:w="12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w:t>
            </w:r>
          </w:p>
        </w:tc>
      </w:tr>
      <w:tr>
        <w:trPr/>
        <w:tc>
          <w:tcPr>
            <w:tcW w:w="3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2019 Notes</w:t>
            </w:r>
          </w:p>
        </w:tc>
        <w:tc>
          <w:tcPr>
            <w:tcW w:w="326" w:type="dxa"/>
            <w:tcBorders/>
            <w:shd w:fill="CCEEFF" w:val="clear"/>
            <w:vAlign w:val="center"/>
          </w:tcPr>
          <w:p>
            <w:pPr>
              <w:pStyle w:val="TableContents"/>
              <w:bidi w:val="0"/>
              <w:spacing w:before="0" w:after="0"/>
              <w:ind w:left="0" w:right="0" w:hanging="0"/>
              <w:jc w:val="left"/>
              <w:rPr/>
            </w:pPr>
            <w:r>
              <w:rPr/>
              <w:t>​</w:t>
            </w:r>
          </w:p>
        </w:tc>
        <w:tc>
          <w:tcPr>
            <w:tcW w:w="1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February 18, 2020</w:t>
            </w:r>
          </w:p>
        </w:tc>
        <w:tc>
          <w:tcPr>
            <w:tcW w:w="32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2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512,821</w:t>
            </w:r>
          </w:p>
        </w:tc>
        <w:tc>
          <w:tcPr>
            <w:tcW w:w="326" w:type="dxa"/>
            <w:tcBorders/>
            <w:shd w:fill="CCEEFF" w:val="clear"/>
            <w:vAlign w:val="center"/>
          </w:tcPr>
          <w:p>
            <w:pPr>
              <w:pStyle w:val="TableContents"/>
              <w:bidi w:val="0"/>
              <w:spacing w:before="0" w:after="0"/>
              <w:ind w:left="0" w:right="0" w:hanging="0"/>
              <w:jc w:val="right"/>
              <w:rPr/>
            </w:pPr>
            <w:r>
              <w:rPr/>
              <w:t> </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26" w:type="dxa"/>
            <w:tcBorders/>
            <w:shd w:fill="CCEEFF" w:val="clear"/>
            <w:vAlign w:val="center"/>
          </w:tcPr>
          <w:p>
            <w:pPr>
              <w:pStyle w:val="TableContents"/>
              <w:bidi w:val="0"/>
              <w:spacing w:before="0" w:after="0"/>
              <w:ind w:left="0" w:right="0" w:hanging="0"/>
              <w:jc w:val="right"/>
              <w:rPr/>
            </w:pPr>
            <w:r>
              <w:rPr/>
              <w:t> </w:t>
            </w:r>
          </w:p>
        </w:tc>
        <w:tc>
          <w:tcPr>
            <w:tcW w:w="12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20,282</w:t>
            </w:r>
          </w:p>
        </w:tc>
      </w:tr>
      <w:tr>
        <w:trPr/>
        <w:tc>
          <w:tcPr>
            <w:tcW w:w="3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2019 Notes</w:t>
            </w:r>
          </w:p>
        </w:tc>
        <w:tc>
          <w:tcPr>
            <w:tcW w:w="326" w:type="dxa"/>
            <w:tcBorders/>
            <w:vAlign w:val="center"/>
          </w:tcPr>
          <w:p>
            <w:pPr>
              <w:pStyle w:val="TableContents"/>
              <w:bidi w:val="0"/>
              <w:spacing w:before="0" w:after="0"/>
              <w:ind w:left="0" w:right="0" w:hanging="0"/>
              <w:jc w:val="left"/>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February 18, 2020</w:t>
            </w:r>
          </w:p>
        </w:tc>
        <w:tc>
          <w:tcPr>
            <w:tcW w:w="32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256,410</w:t>
            </w:r>
          </w:p>
        </w:tc>
        <w:tc>
          <w:tcPr>
            <w:tcW w:w="326" w:type="dxa"/>
            <w:tcBorders/>
            <w:vAlign w:val="center"/>
          </w:tcPr>
          <w:p>
            <w:pPr>
              <w:pStyle w:val="TableContents"/>
              <w:bidi w:val="0"/>
              <w:spacing w:before="0" w:after="0"/>
              <w:ind w:left="0" w:right="0" w:hanging="0"/>
              <w:jc w:val="right"/>
              <w:rPr/>
            </w:pPr>
            <w:r>
              <w:rPr/>
              <w:t> </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26" w:type="dxa"/>
            <w:tcBorders/>
            <w:vAlign w:val="center"/>
          </w:tcPr>
          <w:p>
            <w:pPr>
              <w:pStyle w:val="TableContents"/>
              <w:bidi w:val="0"/>
              <w:spacing w:before="0" w:after="0"/>
              <w:ind w:left="0" w:right="0" w:hanging="0"/>
              <w:jc w:val="right"/>
              <w:rPr/>
            </w:pPr>
            <w:r>
              <w:rPr/>
              <w:t> </w:t>
            </w:r>
          </w:p>
        </w:tc>
        <w:tc>
          <w:tcPr>
            <w:tcW w:w="12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9,989</w:t>
            </w:r>
          </w:p>
        </w:tc>
      </w:tr>
      <w:tr>
        <w:trPr/>
        <w:tc>
          <w:tcPr>
            <w:tcW w:w="3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2020 Notes</w:t>
            </w:r>
          </w:p>
        </w:tc>
        <w:tc>
          <w:tcPr>
            <w:tcW w:w="326" w:type="dxa"/>
            <w:tcBorders/>
            <w:shd w:fill="CCEEFF" w:val="clear"/>
            <w:vAlign w:val="center"/>
          </w:tcPr>
          <w:p>
            <w:pPr>
              <w:pStyle w:val="TableContents"/>
              <w:bidi w:val="0"/>
              <w:spacing w:before="0" w:after="0"/>
              <w:ind w:left="0" w:right="0" w:hanging="0"/>
              <w:jc w:val="left"/>
              <w:rPr/>
            </w:pPr>
            <w:r>
              <w:rPr/>
              <w:t>​</w:t>
            </w:r>
          </w:p>
        </w:tc>
        <w:tc>
          <w:tcPr>
            <w:tcW w:w="1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February 3, 2020</w:t>
            </w:r>
          </w:p>
        </w:tc>
        <w:tc>
          <w:tcPr>
            <w:tcW w:w="32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32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108,887</w:t>
            </w:r>
          </w:p>
        </w:tc>
        <w:tc>
          <w:tcPr>
            <w:tcW w:w="326" w:type="dxa"/>
            <w:tcBorders/>
            <w:shd w:fill="CCEEFF" w:val="clear"/>
            <w:vAlign w:val="center"/>
          </w:tcPr>
          <w:p>
            <w:pPr>
              <w:pStyle w:val="TableContents"/>
              <w:bidi w:val="0"/>
              <w:spacing w:before="0" w:after="0"/>
              <w:ind w:left="0" w:right="0" w:hanging="0"/>
              <w:jc w:val="right"/>
              <w:rPr/>
            </w:pPr>
            <w:r>
              <w:rPr/>
              <w:t> </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31.68</w:t>
            </w:r>
          </w:p>
        </w:tc>
        <w:tc>
          <w:tcPr>
            <w:tcW w:w="326" w:type="dxa"/>
            <w:tcBorders/>
            <w:shd w:fill="CCEEFF" w:val="clear"/>
            <w:vAlign w:val="center"/>
          </w:tcPr>
          <w:p>
            <w:pPr>
              <w:pStyle w:val="TableContents"/>
              <w:bidi w:val="0"/>
              <w:spacing w:before="0" w:after="0"/>
              <w:ind w:left="0" w:right="0" w:hanging="0"/>
              <w:jc w:val="right"/>
              <w:rPr/>
            </w:pPr>
            <w:r>
              <w:rPr/>
              <w:t> </w:t>
            </w:r>
          </w:p>
        </w:tc>
        <w:tc>
          <w:tcPr>
            <w:tcW w:w="12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r>
      <w:tr>
        <w:trPr/>
        <w:tc>
          <w:tcPr>
            <w:tcW w:w="3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2020 Notes</w:t>
            </w:r>
          </w:p>
        </w:tc>
        <w:tc>
          <w:tcPr>
            <w:tcW w:w="326" w:type="dxa"/>
            <w:tcBorders/>
            <w:vAlign w:val="center"/>
          </w:tcPr>
          <w:p>
            <w:pPr>
              <w:pStyle w:val="TableContents"/>
              <w:bidi w:val="0"/>
              <w:spacing w:before="0" w:after="0"/>
              <w:ind w:left="0" w:right="0" w:hanging="0"/>
              <w:jc w:val="left"/>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July 30, 2020</w:t>
            </w:r>
          </w:p>
        </w:tc>
        <w:tc>
          <w:tcPr>
            <w:tcW w:w="326" w:type="dxa"/>
            <w:tcBorders/>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w:t>
            </w:r>
          </w:p>
        </w:tc>
        <w:tc>
          <w:tcPr>
            <w:tcW w:w="326" w:type="dxa"/>
            <w:tcBorders/>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385,169</w:t>
            </w:r>
          </w:p>
        </w:tc>
        <w:tc>
          <w:tcPr>
            <w:tcW w:w="326" w:type="dxa"/>
            <w:tcBorders/>
            <w:vAlign w:val="center"/>
          </w:tcPr>
          <w:p>
            <w:pPr>
              <w:pStyle w:val="TableContents"/>
              <w:bidi w:val="0"/>
              <w:spacing w:before="0" w:after="0"/>
              <w:ind w:left="0" w:right="0" w:hanging="0"/>
              <w:jc w:val="right"/>
              <w:rPr/>
            </w:pPr>
            <w:r>
              <w:rPr/>
              <w:t> </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34.01</w:t>
            </w:r>
          </w:p>
        </w:tc>
        <w:tc>
          <w:tcPr>
            <w:tcW w:w="326" w:type="dxa"/>
            <w:tcBorders/>
            <w:vAlign w:val="center"/>
          </w:tcPr>
          <w:p>
            <w:pPr>
              <w:pStyle w:val="TableContents"/>
              <w:bidi w:val="0"/>
              <w:spacing w:before="0" w:after="0"/>
              <w:ind w:left="0" w:right="0" w:hanging="0"/>
              <w:jc w:val="right"/>
              <w:rPr/>
            </w:pPr>
            <w:r>
              <w:rPr/>
              <w:t> </w:t>
            </w:r>
          </w:p>
        </w:tc>
        <w:tc>
          <w:tcPr>
            <w:tcW w:w="12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26,648</w:t>
            </w:r>
          </w:p>
        </w:tc>
      </w:tr>
      <w:tr>
        <w:trPr/>
        <w:tc>
          <w:tcPr>
            <w:tcW w:w="310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50,550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1,365,407</w:t>
            </w:r>
          </w:p>
        </w:tc>
        <w:tc>
          <w:tcPr>
            <w:tcW w:w="326"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68,895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591" w:type="dxa"/>
        <w:jc w:val="left"/>
        <w:tblInd w:w="0" w:type="dxa"/>
        <w:tblLayout w:type="fixed"/>
        <w:tblCellMar>
          <w:top w:w="28" w:type="dxa"/>
          <w:left w:w="28" w:type="dxa"/>
          <w:bottom w:w="28" w:type="dxa"/>
          <w:right w:w="28" w:type="dxa"/>
        </w:tblCellMar>
      </w:tblPr>
      <w:tblGrid>
        <w:gridCol w:w="124"/>
        <w:gridCol w:w="391"/>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redeemed the 2018 Notes on the following dates during the year ended December 31, 2020:</w:t>
            </w:r>
          </w:p>
        </w:tc>
      </w:tr>
    </w:tbl>
    <w:p>
      <w:pPr>
        <w:pStyle w:val="TextBody"/>
        <w:bidi w:val="0"/>
        <w:spacing w:before="0" w:after="0"/>
        <w:ind w:left="0" w:right="0" w:hanging="0"/>
        <w:jc w:val="left"/>
        <w:rPr/>
      </w:pPr>
      <w:r>
        <w:rPr/>
        <w:t>​</w:t>
      </w:r>
    </w:p>
    <w:tbl>
      <w:tblPr>
        <w:tblW w:w="6190" w:type="dxa"/>
        <w:jc w:val="left"/>
        <w:tblInd w:w="0" w:type="dxa"/>
        <w:tblLayout w:type="fixed"/>
        <w:tblCellMar>
          <w:top w:w="0" w:type="dxa"/>
          <w:left w:w="0" w:type="dxa"/>
          <w:bottom w:w="0" w:type="dxa"/>
          <w:right w:w="0" w:type="dxa"/>
        </w:tblCellMar>
      </w:tblPr>
      <w:tblGrid>
        <w:gridCol w:w="1501"/>
        <w:gridCol w:w="326"/>
        <w:gridCol w:w="1366"/>
        <w:gridCol w:w="326"/>
        <w:gridCol w:w="267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953135" cy="175260"/>
                      <wp:effectExtent l="0" t="0" r="0" b="0"/>
                      <wp:wrapNone/>
                      <wp:docPr id="641" name="Frame634"/>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07010" cy="175260"/>
                      <wp:effectExtent l="0" t="0" r="0" b="0"/>
                      <wp:wrapNone/>
                      <wp:docPr id="642" name="Frame6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867410" cy="175260"/>
                      <wp:effectExtent l="0" t="0" r="0" b="0"/>
                      <wp:wrapNone/>
                      <wp:docPr id="643" name="Frame636"/>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07010" cy="175260"/>
                      <wp:effectExtent l="0" t="0" r="0" b="0"/>
                      <wp:wrapNone/>
                      <wp:docPr id="644" name="Frame6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696085" cy="175260"/>
                      <wp:effectExtent l="0" t="0" r="0" b="0"/>
                      <wp:wrapNone/>
                      <wp:docPr id="645" name="Frame638"/>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Redemption date</w:t>
            </w:r>
          </w:p>
        </w:tc>
        <w:tc>
          <w:tcPr>
            <w:tcW w:w="326" w:type="dxa"/>
            <w:tcBorders/>
            <w:vAlign w:val="center"/>
          </w:tcPr>
          <w:p>
            <w:pPr>
              <w:pStyle w:val="TableContents"/>
              <w:bidi w:val="0"/>
              <w:spacing w:before="0" w:after="0"/>
              <w:ind w:left="0" w:right="0" w:hanging="0"/>
              <w:jc w:val="center"/>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amount</w:t>
            </w:r>
          </w:p>
        </w:tc>
        <w:tc>
          <w:tcPr>
            <w:tcW w:w="326" w:type="dxa"/>
            <w:tcBorders/>
            <w:vAlign w:val="center"/>
          </w:tcPr>
          <w:p>
            <w:pPr>
              <w:pStyle w:val="TableContents"/>
              <w:bidi w:val="0"/>
              <w:spacing w:before="0" w:after="0"/>
              <w:ind w:left="0" w:right="0" w:hanging="0"/>
              <w:jc w:val="center"/>
              <w:rPr/>
            </w:pPr>
            <w:r>
              <w:rPr/>
              <w:t>    </w:t>
            </w:r>
          </w:p>
        </w:tc>
        <w:tc>
          <w:tcPr>
            <w:tcW w:w="26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Consideration paid for redemption</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3, 2020</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w:t>
            </w:r>
          </w:p>
        </w:tc>
        <w:tc>
          <w:tcPr>
            <w:tcW w:w="326" w:type="dxa"/>
            <w:tcBorders/>
            <w:shd w:fill="CCEEFF" w:val="clear"/>
            <w:vAlign w:val="center"/>
          </w:tcPr>
          <w:p>
            <w:pPr>
              <w:pStyle w:val="TableContents"/>
              <w:bidi w:val="0"/>
              <w:spacing w:before="0" w:after="0"/>
              <w:ind w:left="0" w:right="0" w:hanging="0"/>
              <w:jc w:val="left"/>
              <w:rPr/>
            </w:pPr>
            <w:r>
              <w:rPr/>
              <w:t> </w:t>
            </w:r>
          </w:p>
        </w:tc>
        <w:tc>
          <w:tcPr>
            <w:tcW w:w="2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8,004</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2020</w:t>
            </w:r>
          </w:p>
        </w:tc>
        <w:tc>
          <w:tcPr>
            <w:tcW w:w="326" w:type="dxa"/>
            <w:tcBorders/>
            <w:vAlign w:val="center"/>
          </w:tcPr>
          <w:p>
            <w:pPr>
              <w:pStyle w:val="TableContents"/>
              <w:bidi w:val="0"/>
              <w:spacing w:before="0" w:after="0"/>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w:t>
            </w:r>
          </w:p>
        </w:tc>
        <w:tc>
          <w:tcPr>
            <w:tcW w:w="326" w:type="dxa"/>
            <w:tcBorders/>
            <w:vAlign w:val="center"/>
          </w:tcPr>
          <w:p>
            <w:pPr>
              <w:pStyle w:val="TableContents"/>
              <w:bidi w:val="0"/>
              <w:spacing w:before="0" w:after="0"/>
              <w:ind w:left="0" w:right="0" w:hanging="0"/>
              <w:jc w:val="left"/>
              <w:rPr/>
            </w:pPr>
            <w:r>
              <w:rPr/>
              <w:t> </w:t>
            </w:r>
          </w:p>
        </w:tc>
        <w:tc>
          <w:tcPr>
            <w:tcW w:w="26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7,192</w:t>
            </w:r>
          </w:p>
        </w:tc>
      </w:tr>
      <w:tr>
        <w:trPr/>
        <w:tc>
          <w:tcPr>
            <w:tcW w:w="15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w:t>
            </w:r>
          </w:p>
        </w:tc>
        <w:tc>
          <w:tcPr>
            <w:tcW w:w="326" w:type="dxa"/>
            <w:tcBorders/>
            <w:shd w:fill="CCEEFF" w:val="clear"/>
            <w:vAlign w:val="center"/>
          </w:tcPr>
          <w:p>
            <w:pPr>
              <w:pStyle w:val="TableContents"/>
              <w:bidi w:val="0"/>
              <w:spacing w:before="0" w:after="0"/>
              <w:ind w:left="0" w:right="0" w:hanging="0"/>
              <w:jc w:val="left"/>
              <w:rPr/>
            </w:pPr>
            <w:r>
              <w:rPr/>
              <w:t> </w:t>
            </w:r>
          </w:p>
        </w:tc>
        <w:tc>
          <w:tcPr>
            <w:tcW w:w="26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15,196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80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Pursuant to an agreement entered into with an independent investor on February 17, 2020, the Company agreed to issue the July 2020 Notes with principal amounts of US$13,100</w:t>
            </w:r>
            <w:r>
              <w:rPr>
                <w:caps w:val="false"/>
                <w:smallCaps w:val="false"/>
              </w:rPr>
              <w:t xml:space="preserve"> </w:t>
            </w:r>
            <w:r>
              <w:rPr>
                <w:rFonts w:ascii="Times New Roman;Times;serif" w:hAnsi="Times New Roman;Times;serif"/>
                <w:b w:val="false"/>
                <w:i w:val="false"/>
                <w:caps w:val="false"/>
                <w:smallCaps w:val="false"/>
                <w:sz w:val="20"/>
              </w:rPr>
              <w:t>upon receipt of total cash consideration of US$15,196</w:t>
            </w:r>
            <w:r>
              <w:rPr>
                <w:caps w:val="false"/>
                <w:smallCaps w:val="false"/>
              </w:rPr>
              <w:t xml:space="preserve"> </w:t>
            </w:r>
            <w:r>
              <w:rPr>
                <w:rFonts w:ascii="Times New Roman;Times;serif" w:hAnsi="Times New Roman;Times;serif"/>
                <w:b w:val="false"/>
                <w:i w:val="false"/>
                <w:caps w:val="false"/>
                <w:smallCaps w:val="false"/>
                <w:sz w:val="20"/>
              </w:rPr>
              <w:t>from the investor on or before June 16, 2020. This constitutes a call option written to the investor to purchase the July 2020 Notes (the “Call Option”) which is recorded as a derivative liability and measured at fair value. In June 2020, the Company has entered into an addendum with the independent investor to extend the payment due date from June 16, 2020 to July 31, 2020. The investor exercised the Call Option on July 30, 2020, upon which the Company issued the July 2020 Notes to the investor. On the same date, the investor converted the entire July 2020 Notes into 1,925,848</w:t>
            </w:r>
            <w:r>
              <w:rPr>
                <w:caps w:val="false"/>
                <w:smallCaps w:val="false"/>
              </w:rPr>
              <w:t xml:space="preserve"> </w:t>
            </w:r>
            <w:r>
              <w:rPr>
                <w:rFonts w:ascii="Times New Roman;Times;serif" w:hAnsi="Times New Roman;Times;serif"/>
                <w:b w:val="false"/>
                <w:i w:val="false"/>
                <w:caps w:val="false"/>
                <w:smallCaps w:val="false"/>
                <w:sz w:val="20"/>
              </w:rPr>
              <w:t>Class A ordinary shares of the Company.</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fair value of the Call Option recorded as derivative liabilities of US$11,466 as of July 30, 2020 was determined using a binomial model with the key assumptions being the volatility of 13.39% and risk-free rate of 0.09%. The volatility was based on the implied historical volatility of certain comparable companies. The risk-free interest rate is equal to the yield of US Treasury Strips with a maturity life equal to the time to maturity of the July 2020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804" w:name="Tc_St_6OYMhSEeFIgnQmEaNsw_7_0"/>
      <w:bookmarkStart w:id="2805" w:name="Tc_RU7QhEWJsEaCkPTjjASMJg_6_0"/>
      <w:bookmarkStart w:id="2806" w:name="Tc_kIghOnUnqke647MAWpH2gQ_4_0"/>
      <w:bookmarkStart w:id="2807" w:name="Tc__Jk6bHvwcU6RrKSNLtqxEA_3_0"/>
      <w:bookmarkStart w:id="2808" w:name="Tc_ijeL-Q_iJUyTM-MD-0wdiA_2_6"/>
      <w:bookmarkStart w:id="2809" w:name="Tc_QqEK_01Yqka6Oul9xEb26Q_2_4"/>
      <w:bookmarkStart w:id="2810" w:name="Tc_5pBxS5PWL0eSvXyejQTFhA_2_2"/>
      <w:bookmarkStart w:id="2811" w:name="Tc_50RLdd1w8USaFntovUwd8w_1_6"/>
      <w:bookmarkStart w:id="2812" w:name="Tc_aUiUfi80fkefcObqcfvVYw_1_4"/>
      <w:bookmarkStart w:id="2813" w:name="Tc_y8RWvVEu306HP9Ot8WD1Bw_1_2"/>
      <w:bookmarkStart w:id="2814" w:name="Tc_zyDhmSwgykmY4D3kpTny7g_1_0"/>
      <w:bookmarkStart w:id="2815" w:name="Tc_Pj6U0li2yEmt-QwLubHaPQ_12_0"/>
      <w:bookmarkStart w:id="2816" w:name="Tc_8duKrf6MJUCAFyOOTAuiUQ_11_0"/>
      <w:bookmarkStart w:id="2817" w:name="Tc_N68b8suqH0mn2j_5oU4qVQ_10_0"/>
      <w:bookmarkStart w:id="2818" w:name="Tc_UKcxP1PYUkOGbO1JJCi5kg_9_0"/>
      <w:bookmarkStart w:id="2819" w:name="Tc_r_LHMpT2ykCWDrlWptNZkw_8_0"/>
      <w:bookmarkStart w:id="2820" w:name="Tc_JqSpcWrYCES7iIoM31KhTw_7_0"/>
      <w:bookmarkStart w:id="2821" w:name="Tc_YXxxJoGUOkywmL3YBarEzQ_6_0"/>
      <w:bookmarkStart w:id="2822" w:name="Tc_yTf39U7ohUWgeCU7jZxKpQ_5_0"/>
      <w:bookmarkStart w:id="2823" w:name="Tc_DOAUJT_XZkqFkDDQC5r3vw_4_0"/>
      <w:bookmarkStart w:id="2824" w:name="Tc_Svi-8mdjX0CO36i2lOa3CQ_3_0"/>
      <w:bookmarkStart w:id="2825" w:name="Tc_jgmmRvROfESsmceCLPw81A_2_4"/>
      <w:bookmarkStart w:id="2826" w:name="Tc_z0IvnFxV-kqFWTo1Ae7K4w_2_2"/>
      <w:bookmarkStart w:id="2827" w:name="Tc_UpEKEkMaVkCGezBg4v6rhw_1_4"/>
      <w:bookmarkStart w:id="2828" w:name="Tc_83iGcPdm5E-wCbkdhUwfNw_1_2"/>
      <w:bookmarkStart w:id="2829" w:name="Tc_jcxI3WGe_UuQzLfKJAyM2A_1_0"/>
      <w:bookmarkStart w:id="2830" w:name="Tc_St_6OYMhSEeFIgnQmEaNsw_7_0"/>
      <w:bookmarkStart w:id="2831" w:name="Tc_RU7QhEWJsEaCkPTjjASMJg_6_0"/>
      <w:bookmarkStart w:id="2832" w:name="Tc_kIghOnUnqke647MAWpH2gQ_4_0"/>
      <w:bookmarkStart w:id="2833" w:name="Tc__Jk6bHvwcU6RrKSNLtqxEA_3_0"/>
      <w:bookmarkStart w:id="2834" w:name="Tc_ijeL-Q_iJUyTM-MD-0wdiA_2_6"/>
      <w:bookmarkStart w:id="2835" w:name="Tc_QqEK_01Yqka6Oul9xEb26Q_2_4"/>
      <w:bookmarkStart w:id="2836" w:name="Tc_5pBxS5PWL0eSvXyejQTFhA_2_2"/>
      <w:bookmarkStart w:id="2837" w:name="Tc_50RLdd1w8USaFntovUwd8w_1_6"/>
      <w:bookmarkStart w:id="2838" w:name="Tc_aUiUfi80fkefcObqcfvVYw_1_4"/>
      <w:bookmarkStart w:id="2839" w:name="Tc_y8RWvVEu306HP9Ot8WD1Bw_1_2"/>
      <w:bookmarkStart w:id="2840" w:name="Tc_zyDhmSwgykmY4D3kpTny7g_1_0"/>
      <w:bookmarkStart w:id="2841" w:name="Tc_Pj6U0li2yEmt-QwLubHaPQ_12_0"/>
      <w:bookmarkStart w:id="2842" w:name="Tc_8duKrf6MJUCAFyOOTAuiUQ_11_0"/>
      <w:bookmarkStart w:id="2843" w:name="Tc_N68b8suqH0mn2j_5oU4qVQ_10_0"/>
      <w:bookmarkStart w:id="2844" w:name="Tc_UKcxP1PYUkOGbO1JJCi5kg_9_0"/>
      <w:bookmarkStart w:id="2845" w:name="Tc_r_LHMpT2ykCWDrlWptNZkw_8_0"/>
      <w:bookmarkStart w:id="2846" w:name="Tc_JqSpcWrYCES7iIoM31KhTw_7_0"/>
      <w:bookmarkStart w:id="2847" w:name="Tc_YXxxJoGUOkywmL3YBarEzQ_6_0"/>
      <w:bookmarkStart w:id="2848" w:name="Tc_yTf39U7ohUWgeCU7jZxKpQ_5_0"/>
      <w:bookmarkStart w:id="2849" w:name="Tc_DOAUJT_XZkqFkDDQC5r3vw_4_0"/>
      <w:bookmarkStart w:id="2850" w:name="Tc_Svi-8mdjX0CO36i2lOa3CQ_3_0"/>
      <w:bookmarkStart w:id="2851" w:name="Tc_jgmmRvROfESsmceCLPw81A_2_4"/>
      <w:bookmarkStart w:id="2852" w:name="Tc_z0IvnFxV-kqFWTo1Ae7K4w_2_2"/>
      <w:bookmarkStart w:id="2853" w:name="Tc_UpEKEkMaVkCGezBg4v6rhw_1_4"/>
      <w:bookmarkStart w:id="2854" w:name="Tc_83iGcPdm5E-wCbkdhUwfNw_1_2"/>
      <w:bookmarkStart w:id="2855" w:name="Tc_jcxI3WGe_UuQzLfKJAyM2A_1_0"/>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p>
    <w:tbl>
      <w:tblPr>
        <w:tblW w:w="4082" w:type="dxa"/>
        <w:jc w:val="left"/>
        <w:tblInd w:w="0" w:type="dxa"/>
        <w:tblLayout w:type="fixed"/>
        <w:tblCellMar>
          <w:top w:w="0" w:type="dxa"/>
          <w:left w:w="0" w:type="dxa"/>
          <w:bottom w:w="0" w:type="dxa"/>
          <w:right w:w="0" w:type="dxa"/>
        </w:tblCellMar>
      </w:tblPr>
      <w:tblGrid>
        <w:gridCol w:w="331"/>
        <w:gridCol w:w="375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37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Convertible notes at fair value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 (Continued)</w:t>
      </w:r>
    </w:p>
    <w:tbl>
      <w:tblPr>
        <w:tblW w:w="10205" w:type="dxa"/>
        <w:jc w:val="left"/>
        <w:tblInd w:w="0" w:type="dxa"/>
        <w:tblLayout w:type="fixed"/>
        <w:tblCellMar>
          <w:top w:w="28" w:type="dxa"/>
          <w:left w:w="28" w:type="dxa"/>
          <w:bottom w:w="28" w:type="dxa"/>
          <w:right w:w="28" w:type="dxa"/>
        </w:tblCellMar>
      </w:tblPr>
      <w:tblGrid>
        <w:gridCol w:w="124"/>
        <w:gridCol w:w="342"/>
        <w:gridCol w:w="9739"/>
      </w:tblGrid>
      <w:tr>
        <w:trPr/>
        <w:tc>
          <w:tcPr>
            <w:tcW w:w="124" w:type="dxa"/>
            <w:tcBorders/>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7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2018 Notes, January 2020 Notes and July 2020 Notes as of the dates of conversion and the end of reporting periods were determined using Monte Carlo simulation, with key assumptions summarized in the below table. The volatility was based on the implied historical volatility of certain comparable companies. The risk-free interest rate is equal to the yield, as of the respective measurement dates, of the zero-coupon U.S. Treasury bill that commensurate with the remaining period until the maturity of the convertible notes.</w:t>
            </w:r>
          </w:p>
        </w:tc>
      </w:tr>
    </w:tbl>
    <w:p>
      <w:pPr>
        <w:pStyle w:val="TextBody"/>
        <w:bidi w:val="0"/>
        <w:spacing w:before="0" w:after="0"/>
        <w:ind w:left="0" w:right="0" w:hanging="0"/>
        <w:jc w:val="left"/>
        <w:rPr/>
      </w:pPr>
      <w:r>
        <w:rPr/>
        <w:t>​</w:t>
      </w:r>
    </w:p>
    <w:tbl>
      <w:tblPr>
        <w:tblW w:w="4529" w:type="dxa"/>
        <w:jc w:val="left"/>
        <w:tblInd w:w="0" w:type="dxa"/>
        <w:tblLayout w:type="fixed"/>
        <w:tblCellMar>
          <w:top w:w="0" w:type="dxa"/>
          <w:left w:w="0" w:type="dxa"/>
          <w:bottom w:w="0" w:type="dxa"/>
          <w:right w:w="0" w:type="dxa"/>
        </w:tblCellMar>
      </w:tblPr>
      <w:tblGrid>
        <w:gridCol w:w="1816"/>
        <w:gridCol w:w="326"/>
        <w:gridCol w:w="796"/>
        <w:gridCol w:w="326"/>
        <w:gridCol w:w="1111"/>
        <w:gridCol w:w="154"/>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1153160" cy="175260"/>
                      <wp:effectExtent l="0" t="0" r="0" b="0"/>
                      <wp:wrapNone/>
                      <wp:docPr id="646" name="Frame639"/>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07010" cy="175260"/>
                      <wp:effectExtent l="0" t="0" r="0" b="0"/>
                      <wp:wrapNone/>
                      <wp:docPr id="647" name="Frame6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505460" cy="175260"/>
                      <wp:effectExtent l="0" t="0" r="0" b="0"/>
                      <wp:wrapNone/>
                      <wp:docPr id="648" name="Frame6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07010" cy="175260"/>
                      <wp:effectExtent l="0" t="0" r="0" b="0"/>
                      <wp:wrapNone/>
                      <wp:docPr id="649" name="Frame6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705485" cy="175260"/>
                      <wp:effectExtent l="0" t="0" r="0" b="0"/>
                      <wp:wrapNone/>
                      <wp:docPr id="650" name="Frame64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97790" cy="175260"/>
                      <wp:effectExtent l="0" t="0" r="0" b="0"/>
                      <wp:wrapNone/>
                      <wp:docPr id="651" name="Frame64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Measurement date</w:t>
            </w:r>
          </w:p>
        </w:tc>
        <w:tc>
          <w:tcPr>
            <w:tcW w:w="326" w:type="dxa"/>
            <w:tcBorders/>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Volatility</w:t>
            </w:r>
          </w:p>
        </w:tc>
        <w:tc>
          <w:tcPr>
            <w:tcW w:w="326" w:type="dxa"/>
            <w:tcBorders/>
            <w:vAlign w:val="center"/>
          </w:tcPr>
          <w:p>
            <w:pPr>
              <w:pStyle w:val="TableContents"/>
              <w:bidi w:val="0"/>
              <w:spacing w:before="0" w:after="0"/>
              <w:ind w:left="0" w:right="0" w:hanging="0"/>
              <w:jc w:val="righ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Risk-free rate</w:t>
            </w:r>
          </w:p>
        </w:tc>
        <w:tc>
          <w:tcPr>
            <w:tcW w:w="154" w:type="dxa"/>
            <w:tcBorders/>
            <w:vAlign w:val="center"/>
          </w:tcPr>
          <w:p>
            <w:pPr>
              <w:pStyle w:val="TableContents"/>
              <w:bidi w:val="0"/>
              <w:spacing w:before="0" w:after="0"/>
              <w:ind w:left="0" w:right="0" w:hanging="0"/>
              <w:jc w:val="right"/>
              <w:rPr/>
            </w:pPr>
            <w:r>
              <w:rPr/>
              <w:t>​</w:t>
            </w:r>
          </w:p>
        </w:tc>
      </w:tr>
      <w:tr>
        <w:trPr/>
        <w:tc>
          <w:tcPr>
            <w:tcW w:w="18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54" w:type="dxa"/>
            <w:tcBorders/>
            <w:vAlign w:val="center"/>
          </w:tcPr>
          <w:p>
            <w:pPr>
              <w:pStyle w:val="TableContents"/>
              <w:bidi w:val="0"/>
              <w:spacing w:before="0" w:after="0"/>
              <w:ind w:left="0" w:right="0" w:hanging="0"/>
              <w:jc w:val="righ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2018 Notes</w:t>
            </w:r>
          </w:p>
        </w:tc>
        <w:tc>
          <w:tcPr>
            <w:tcW w:w="32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pPr>
            <w:r>
              <w:rPr/>
              <w:t>  </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3, 2020</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42.09</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154" w:type="dxa"/>
            <w:tcBorders/>
            <w:vAlign w:val="center"/>
          </w:tcPr>
          <w:p>
            <w:pPr>
              <w:pStyle w:val="TableContents"/>
              <w:bidi w:val="0"/>
              <w:spacing w:before="0" w:after="0"/>
              <w:ind w:left="0" w:right="0" w:hanging="0"/>
              <w:jc w:val="lef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2020</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45.38</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2020</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51.24</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154" w:type="dxa"/>
            <w:tcBorders/>
            <w:vAlign w:val="center"/>
          </w:tcPr>
          <w:p>
            <w:pPr>
              <w:pStyle w:val="TableContents"/>
              <w:bidi w:val="0"/>
              <w:spacing w:before="0" w:after="0"/>
              <w:ind w:left="0" w:right="0" w:hanging="0"/>
              <w:jc w:val="lef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24, 2020</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11, 2020</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49.75</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154" w:type="dxa"/>
            <w:tcBorders/>
            <w:vAlign w:val="center"/>
          </w:tcPr>
          <w:p>
            <w:pPr>
              <w:pStyle w:val="TableContents"/>
              <w:bidi w:val="0"/>
              <w:spacing w:before="0" w:after="0"/>
              <w:ind w:left="0" w:right="0" w:hanging="0"/>
              <w:jc w:val="lef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January 2020 Notes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3, 2020</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42.09</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154" w:type="dxa"/>
            <w:tcBorders/>
            <w:vAlign w:val="center"/>
          </w:tcPr>
          <w:p>
            <w:pPr>
              <w:pStyle w:val="TableContents"/>
              <w:bidi w:val="0"/>
              <w:spacing w:before="0" w:after="0"/>
              <w:ind w:left="0" w:right="0" w:hanging="0"/>
              <w:jc w:val="lef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July 2020 Notes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30, 2020</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49.45</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403"/>
        <w:gridCol w:w="9678"/>
      </w:tblGrid>
      <w:tr>
        <w:trPr/>
        <w:tc>
          <w:tcPr>
            <w:tcW w:w="124" w:type="dxa"/>
            <w:tcBorders/>
            <w:vAlign w:val="center"/>
          </w:tcPr>
          <w:p>
            <w:pPr>
              <w:pStyle w:val="TableContents"/>
              <w:bidi w:val="0"/>
              <w:spacing w:before="0" w:after="283"/>
              <w:jc w:val="left"/>
              <w:rPr>
                <w:sz w:val="4"/>
                <w:szCs w:val="4"/>
              </w:rPr>
            </w:pPr>
            <w:r>
              <w:rPr>
                <w:sz w:val="4"/>
                <w:szCs w:val="4"/>
              </w:rPr>
            </w:r>
          </w:p>
        </w:tc>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67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fair values of the 2020 Notes were determined using a binomial model with the key assumptions summarized in the below table. The volatility was based on the implied historical volatility of certain comparable companies. The risk-free interest rate is equal to the yield, as of the respective measurement dates, of a 5%</w:t>
            </w:r>
            <w:r>
              <w:rPr>
                <w:caps w:val="false"/>
                <w:smallCaps w:val="false"/>
              </w:rPr>
              <w:t xml:space="preserve"> </w:t>
            </w:r>
            <w:r>
              <w:rPr>
                <w:rFonts w:ascii="Times New Roman;Times;serif" w:hAnsi="Times New Roman;Times;serif"/>
                <w:b w:val="false"/>
                <w:i w:val="false"/>
                <w:caps w:val="false"/>
                <w:smallCaps w:val="false"/>
                <w:sz w:val="20"/>
              </w:rPr>
              <w:t>coupon U.S. Treasury bill that is commensurate with the remaining period until the maturity of the 2020 Notes. The bond yield was based on the yield of corporate bonds with comparable ratings.</w:t>
            </w:r>
          </w:p>
        </w:tc>
      </w:tr>
    </w:tbl>
    <w:p>
      <w:pPr>
        <w:pStyle w:val="TextBody"/>
        <w:bidi w:val="0"/>
        <w:spacing w:before="0" w:after="0"/>
        <w:ind w:left="0" w:right="0" w:hanging="0"/>
        <w:jc w:val="left"/>
        <w:rPr/>
      </w:pPr>
      <w:r>
        <w:rPr/>
        <w:t>​</w:t>
      </w:r>
    </w:p>
    <w:tbl>
      <w:tblPr>
        <w:tblW w:w="5891" w:type="dxa"/>
        <w:jc w:val="left"/>
        <w:tblInd w:w="0" w:type="dxa"/>
        <w:tblLayout w:type="fixed"/>
        <w:tblCellMar>
          <w:top w:w="0" w:type="dxa"/>
          <w:left w:w="0" w:type="dxa"/>
          <w:bottom w:w="0" w:type="dxa"/>
          <w:right w:w="0" w:type="dxa"/>
        </w:tblCellMar>
      </w:tblPr>
      <w:tblGrid>
        <w:gridCol w:w="1981"/>
        <w:gridCol w:w="326"/>
        <w:gridCol w:w="796"/>
        <w:gridCol w:w="326"/>
        <w:gridCol w:w="1111"/>
        <w:gridCol w:w="326"/>
        <w:gridCol w:w="871"/>
        <w:gridCol w:w="154"/>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1257935" cy="175260"/>
                      <wp:effectExtent l="0" t="0" r="0" b="0"/>
                      <wp:wrapNone/>
                      <wp:docPr id="652" name="Frame645"/>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07010" cy="175260"/>
                      <wp:effectExtent l="0" t="0" r="0" b="0"/>
                      <wp:wrapNone/>
                      <wp:docPr id="653" name="Frame6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505460" cy="175260"/>
                      <wp:effectExtent l="0" t="0" r="0" b="0"/>
                      <wp:wrapNone/>
                      <wp:docPr id="654" name="Frame6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07010" cy="175260"/>
                      <wp:effectExtent l="0" t="0" r="0" b="0"/>
                      <wp:wrapNone/>
                      <wp:docPr id="655" name="Frame6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705485" cy="175260"/>
                      <wp:effectExtent l="0" t="0" r="0" b="0"/>
                      <wp:wrapNone/>
                      <wp:docPr id="656" name="Frame64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07010" cy="175260"/>
                      <wp:effectExtent l="0" t="0" r="0" b="0"/>
                      <wp:wrapNone/>
                      <wp:docPr id="657" name="Frame6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553085" cy="175260"/>
                      <wp:effectExtent l="0" t="0" r="0" b="0"/>
                      <wp:wrapNone/>
                      <wp:docPr id="658" name="Frame65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97790" cy="175260"/>
                      <wp:effectExtent l="0" t="0" r="0" b="0"/>
                      <wp:wrapNone/>
                      <wp:docPr id="659" name="Frame65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Measurement date</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Volatility</w:t>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Risk-free rate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Bond yield</w:t>
            </w:r>
          </w:p>
        </w:tc>
        <w:tc>
          <w:tcPr>
            <w:tcW w:w="154"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0"/>
              <w:ind w:left="0" w:right="0" w:hanging="0"/>
              <w:jc w:val="left"/>
              <w:rPr/>
            </w:pPr>
            <w:r>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November 2019 Notes</w:t>
            </w:r>
          </w:p>
        </w:tc>
        <w:tc>
          <w:tcPr>
            <w:tcW w:w="32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center"/>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18, 2020</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44.02</w:t>
            </w:r>
          </w:p>
        </w:tc>
        <w:tc>
          <w:tcPr>
            <w:tcW w:w="326"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154" w:type="dxa"/>
            <w:tcBorders/>
            <w:vAlign w:val="center"/>
          </w:tcPr>
          <w:p>
            <w:pPr>
              <w:pStyle w:val="TableContents"/>
              <w:bidi w:val="0"/>
              <w:spacing w:before="0" w:after="0"/>
              <w:ind w:left="0" w:right="0" w:hanging="0"/>
              <w:jc w:val="left"/>
              <w:rPr/>
            </w:pPr>
            <w:r>
              <w:rPr/>
              <w:t>​</w:t>
            </w:r>
          </w:p>
        </w:tc>
      </w:tr>
      <w:tr>
        <w:trPr/>
        <w:tc>
          <w:tcPr>
            <w:tcW w:w="19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2019 Notes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18, 2020</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w:t>
            </w:r>
          </w:p>
        </w:tc>
        <w:tc>
          <w:tcPr>
            <w:tcW w:w="326"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CCEEFF" w:val="clear"/>
            <w:vAlign w:val="center"/>
          </w:tcPr>
          <w:p>
            <w:pPr>
              <w:pStyle w:val="TableContents"/>
              <w:bidi w:val="0"/>
              <w:spacing w:before="0" w:after="0"/>
              <w:ind w:left="0" w:right="0" w:hanging="0"/>
              <w:jc w:val="righ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both"/>
        <w:rPr/>
      </w:pPr>
      <w:r>
        <w:rPr/>
        <w:t>​</w:t>
      </w:r>
    </w:p>
    <w:tbl>
      <w:tblPr>
        <w:tblW w:w="1877" w:type="dxa"/>
        <w:jc w:val="left"/>
        <w:tblInd w:w="0" w:type="dxa"/>
        <w:tblLayout w:type="fixed"/>
        <w:tblCellMar>
          <w:top w:w="0" w:type="dxa"/>
          <w:left w:w="0" w:type="dxa"/>
          <w:bottom w:w="0" w:type="dxa"/>
          <w:right w:w="0" w:type="dxa"/>
        </w:tblCellMar>
      </w:tblPr>
      <w:tblGrid>
        <w:gridCol w:w="331"/>
        <w:gridCol w:w="154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15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Ordinary shares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and 2022, the Company is authorized to issue 100,000,000 shares of US$0.001 par value per ordinary share, out of which 80,000,000 shares are Class A ordinary shares and 20,000,000 shares are Class B ordinary shares. The holders of Class A ordinary shares shall have one vote in respect of each Class A ordinary share held and the holders of Class B ordinary shares shall have twenty votes in respect of each Class B ordinary share held.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On November 14, 2022, the Company changed the ratio of the American depository shares (“ADS”) representing its Class A ordinary shares from one ADS representing </w:t>
      </w:r>
      <w:r>
        <w:rPr>
          <w:rFonts w:ascii="Times New Roman;Times;serif" w:hAnsi="Times New Roman;Times;serif"/>
          <w:b w:val="false"/>
          <w:i w:val="false"/>
          <w:caps w:val="false"/>
          <w:smallCaps w:val="false"/>
          <w:sz w:val="20"/>
        </w:rPr>
        <w:t>one</w:t>
      </w:r>
      <w:r>
        <w:rPr>
          <w:rFonts w:ascii="Times New Roman;Times;serif" w:hAnsi="Times New Roman;Times;serif"/>
          <w:sz w:val="20"/>
        </w:rPr>
        <w:t>-half of one Class A ordinary shares to one ADS representing five Class A ordinary shares. For the ADS holders, the change in the ADS ratio will have the same effect as a one-for-</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reverse ADS split. There is no change to the Company’s Class A ordinary shares.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At the time the Company adopted the 2010 Employee Share Option Plan (the “2010 Share Option Plan”) and 2018 Post IPO Share Incentive Plan, the Company, together with the then shareholders, also decided to allot ordinary shares with par value of US$0.001 to Arda Holdings Limited (“Arda”), a British Virgin Islands company owned by Sammy Hsieh, Co-founder and Director of the Company at no consideration. Arda will only hold these ordinary shares on trust for the benefit of the employees who are under the 2010 Share Option Plan and 2018 Post IPO Share Incentive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purpose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No additional shares have been allotted during the years ended December 31, 2020, 2021 and 2022 to Arda. Arda does not hold any other assets or liabilities as of December 31, 2021 and 2022, nor earn any income nor incur any expenses for the years ended December 31, 2020, 2021 and 2022.</w:t>
      </w:r>
    </w:p>
    <w:p>
      <w:pPr>
        <w:pStyle w:val="Normal"/>
        <w:bidi w:val="0"/>
        <w:spacing w:before="0" w:after="0"/>
        <w:jc w:val="left"/>
        <w:rPr>
          <w:sz w:val="4"/>
          <w:szCs w:val="4"/>
        </w:rPr>
      </w:pPr>
      <w:r>
        <w:rPr>
          <w:sz w:val="4"/>
          <w:szCs w:val="4"/>
        </w:rPr>
      </w:r>
      <w:bookmarkStart w:id="2856" w:name="Tc_OYXR2ZWSR0GxnpFL9FEC8Q_7_0"/>
      <w:bookmarkStart w:id="2857" w:name="Tc_b9M2KFI9J0-O62em5vaA0g_6_0"/>
      <w:bookmarkStart w:id="2858" w:name="Tc_m2aH5u0Q-Eqb0yHx9WaNMw_5_0"/>
      <w:bookmarkStart w:id="2859" w:name="Tc_tSwhWFY2Z0qbl0HEH5AQ_Q_4_0"/>
      <w:bookmarkStart w:id="2860" w:name="Tc_hybEMT5fzkiur5K80DHGyw_3_4"/>
      <w:bookmarkStart w:id="2861" w:name="Tc_0QE9-E8xJk-s9XlgEw63uQ_3_2"/>
      <w:bookmarkStart w:id="2862" w:name="Tc_f-8WrfZVXUas7kaPw6Sv8Q_3_0"/>
      <w:bookmarkStart w:id="2863" w:name="Tc_gD5FHUrmVU60GjjU47dVPQ_2_2"/>
      <w:bookmarkStart w:id="2864" w:name="Tc_YTv0JE8C8Ued52lYix2Wng_1_2"/>
      <w:bookmarkStart w:id="2865" w:name="Tc_OYXR2ZWSR0GxnpFL9FEC8Q_7_0"/>
      <w:bookmarkStart w:id="2866" w:name="Tc_b9M2KFI9J0-O62em5vaA0g_6_0"/>
      <w:bookmarkStart w:id="2867" w:name="Tc_m2aH5u0Q-Eqb0yHx9WaNMw_5_0"/>
      <w:bookmarkStart w:id="2868" w:name="Tc_tSwhWFY2Z0qbl0HEH5AQ_Q_4_0"/>
      <w:bookmarkStart w:id="2869" w:name="Tc_hybEMT5fzkiur5K80DHGyw_3_4"/>
      <w:bookmarkStart w:id="2870" w:name="Tc_0QE9-E8xJk-s9XlgEw63uQ_3_2"/>
      <w:bookmarkStart w:id="2871" w:name="Tc_f-8WrfZVXUas7kaPw6Sv8Q_3_0"/>
      <w:bookmarkStart w:id="2872" w:name="Tc_gD5FHUrmVU60GjjU47dVPQ_2_2"/>
      <w:bookmarkStart w:id="2873" w:name="Tc_YTv0JE8C8Ued52lYix2Wng_1_2"/>
      <w:bookmarkEnd w:id="2865"/>
      <w:bookmarkEnd w:id="2866"/>
      <w:bookmarkEnd w:id="2867"/>
      <w:bookmarkEnd w:id="2868"/>
      <w:bookmarkEnd w:id="2869"/>
      <w:bookmarkEnd w:id="2870"/>
      <w:bookmarkEnd w:id="2871"/>
      <w:bookmarkEnd w:id="2872"/>
      <w:bookmarkEnd w:id="2873"/>
    </w:p>
    <w:tbl>
      <w:tblPr>
        <w:tblW w:w="2267" w:type="dxa"/>
        <w:jc w:val="left"/>
        <w:tblInd w:w="0" w:type="dxa"/>
        <w:tblLayout w:type="fixed"/>
        <w:tblCellMar>
          <w:top w:w="0" w:type="dxa"/>
          <w:left w:w="0" w:type="dxa"/>
          <w:bottom w:w="0" w:type="dxa"/>
          <w:right w:w="0" w:type="dxa"/>
        </w:tblCellMar>
      </w:tblPr>
      <w:tblGrid>
        <w:gridCol w:w="331"/>
        <w:gridCol w:w="193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19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Repurchase of shares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board of directors of the Company authorized certain share repurchase programs January 2020 (the “January 2020 Share Repurchase Program”), December 2020 (the “December 2020 Share Repurchase Program”) December 2021 (the “December 2021 Share Repurchase Program”) and December 2022 (the “December 2022 Share Repurchase Program”), respectively, as detailed in the below table.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53"/>
        <w:gridCol w:w="326"/>
        <w:gridCol w:w="1997"/>
        <w:gridCol w:w="326"/>
        <w:gridCol w:w="4203"/>
      </w:tblGrid>
      <w:tr>
        <w:trPr/>
        <w:tc>
          <w:tcPr>
            <w:tcW w:w="3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129155" cy="175260"/>
                      <wp:effectExtent l="0" t="0" r="0" b="0"/>
                      <wp:wrapNone/>
                      <wp:docPr id="660" name="Frame653"/>
                      <a:graphic xmlns:a="http://schemas.openxmlformats.org/drawingml/2006/main">
                        <a:graphicData uri="http://schemas.microsoft.com/office/word/2010/wordprocessingShape">
                          <wps:wsp>
                            <wps:cNvSpPr txBox="1"/>
                            <wps:spPr>
                              <a:xfrm>
                                <a:off x="0" y="0"/>
                                <a:ext cx="2129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07010" cy="175260"/>
                      <wp:effectExtent l="0" t="0" r="0" b="0"/>
                      <wp:wrapNone/>
                      <wp:docPr id="661" name="Frame6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1268095" cy="175260"/>
                      <wp:effectExtent l="0" t="0" r="0" b="0"/>
                      <wp:wrapNone/>
                      <wp:docPr id="662" name="Frame655"/>
                      <a:graphic xmlns:a="http://schemas.openxmlformats.org/drawingml/2006/main">
                        <a:graphicData uri="http://schemas.microsoft.com/office/word/2010/wordprocessingShape">
                          <wps:wsp>
                            <wps:cNvSpPr txBox="1"/>
                            <wps:spPr>
                              <a:xfrm>
                                <a:off x="0" y="0"/>
                                <a:ext cx="1268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07010" cy="175260"/>
                      <wp:effectExtent l="0" t="0" r="0" b="0"/>
                      <wp:wrapNone/>
                      <wp:docPr id="663" name="Frame6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668905" cy="175260"/>
                      <wp:effectExtent l="0" t="0" r="0" b="0"/>
                      <wp:wrapNone/>
                      <wp:docPr id="664" name="Frame657"/>
                      <a:graphic xmlns:a="http://schemas.openxmlformats.org/drawingml/2006/main">
                        <a:graphicData uri="http://schemas.microsoft.com/office/word/2010/wordprocessingShape">
                          <wps:wsp>
                            <wps:cNvSpPr txBox="1"/>
                            <wps:spPr>
                              <a:xfrm>
                                <a:off x="0" y="0"/>
                                <a:ext cx="266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value of </w:t>
            </w:r>
          </w:p>
        </w:tc>
        <w:tc>
          <w:tcPr>
            <w:tcW w:w="326" w:type="dxa"/>
            <w:tcBorders/>
            <w:vAlign w:val="center"/>
          </w:tcPr>
          <w:p>
            <w:pPr>
              <w:pStyle w:val="TableContents"/>
              <w:bidi w:val="0"/>
              <w:spacing w:before="0" w:after="0"/>
              <w:ind w:left="0" w:right="0" w:hanging="0"/>
              <w:jc w:val="center"/>
              <w:rPr/>
            </w:pPr>
            <w:r>
              <w:rPr/>
              <w:t>    </w:t>
            </w:r>
          </w:p>
        </w:tc>
        <w:tc>
          <w:tcPr>
            <w:tcW w:w="4203" w:type="dxa"/>
            <w:tcBorders/>
            <w:vAlign w:val="center"/>
          </w:tcPr>
          <w:p>
            <w:pPr>
              <w:pStyle w:val="TableContents"/>
              <w:bidi w:val="0"/>
              <w:spacing w:before="0" w:after="0"/>
              <w:ind w:left="0" w:right="0" w:hanging="0"/>
              <w:jc w:val="center"/>
              <w:rPr/>
            </w:pPr>
            <w:r>
              <w:rPr/>
              <w:t>​</w:t>
            </w:r>
          </w:p>
        </w:tc>
      </w:tr>
      <w:tr>
        <w:trPr/>
        <w:tc>
          <w:tcPr>
            <w:tcW w:w="33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9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 or ADSs of</w:t>
            </w:r>
          </w:p>
        </w:tc>
        <w:tc>
          <w:tcPr>
            <w:tcW w:w="326" w:type="dxa"/>
            <w:tcBorders/>
            <w:vAlign w:val="center"/>
          </w:tcPr>
          <w:p>
            <w:pPr>
              <w:pStyle w:val="TableContents"/>
              <w:bidi w:val="0"/>
              <w:spacing w:before="0" w:after="0"/>
              <w:ind w:left="0" w:right="0" w:hanging="0"/>
              <w:jc w:val="center"/>
              <w:rPr/>
            </w:pPr>
            <w:r>
              <w:rPr/>
              <w:t>​</w:t>
            </w:r>
          </w:p>
        </w:tc>
        <w:tc>
          <w:tcPr>
            <w:tcW w:w="4203" w:type="dxa"/>
            <w:tcBorders/>
            <w:vAlign w:val="center"/>
          </w:tcPr>
          <w:p>
            <w:pPr>
              <w:pStyle w:val="TableContents"/>
              <w:bidi w:val="0"/>
              <w:spacing w:before="0" w:after="0"/>
              <w:ind w:left="0" w:right="0" w:hanging="0"/>
              <w:jc w:val="center"/>
              <w:rPr/>
            </w:pPr>
            <w:r>
              <w:rPr/>
              <w:t>​</w:t>
            </w:r>
          </w:p>
        </w:tc>
      </w:tr>
      <w:tr>
        <w:trPr/>
        <w:tc>
          <w:tcPr>
            <w:tcW w:w="3353"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Repurchase program</w:t>
            </w:r>
          </w:p>
        </w:tc>
        <w:tc>
          <w:tcPr>
            <w:tcW w:w="326" w:type="dxa"/>
            <w:tcBorders/>
            <w:vAlign w:val="center"/>
          </w:tcPr>
          <w:p>
            <w:pPr>
              <w:pStyle w:val="TableContents"/>
              <w:bidi w:val="0"/>
              <w:spacing w:before="0" w:after="0"/>
              <w:ind w:left="0" w:right="0" w:hanging="0"/>
              <w:jc w:val="center"/>
              <w:rPr/>
            </w:pPr>
            <w:r>
              <w:rPr/>
              <w:t>    </w:t>
            </w:r>
          </w:p>
        </w:tc>
        <w:tc>
          <w:tcPr>
            <w:tcW w:w="19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Company to repurchase</w:t>
            </w:r>
          </w:p>
        </w:tc>
        <w:tc>
          <w:tcPr>
            <w:tcW w:w="326" w:type="dxa"/>
            <w:tcBorders/>
            <w:vAlign w:val="center"/>
          </w:tcPr>
          <w:p>
            <w:pPr>
              <w:pStyle w:val="TableContents"/>
              <w:bidi w:val="0"/>
              <w:spacing w:before="0" w:after="0"/>
              <w:ind w:left="0" w:right="0" w:hanging="0"/>
              <w:jc w:val="center"/>
              <w:rPr/>
            </w:pPr>
            <w:r>
              <w:rPr/>
              <w:t>    </w:t>
            </w:r>
          </w:p>
        </w:tc>
        <w:tc>
          <w:tcPr>
            <w:tcW w:w="42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 period</w:t>
            </w:r>
          </w:p>
        </w:tc>
      </w:tr>
      <w:tr>
        <w:trPr/>
        <w:tc>
          <w:tcPr>
            <w:tcW w:w="33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2020 Share Repurchase Program</w:t>
            </w:r>
          </w:p>
        </w:tc>
        <w:tc>
          <w:tcPr>
            <w:tcW w:w="326" w:type="dxa"/>
            <w:tcBorders/>
            <w:shd w:fill="CCEEFF" w:val="clear"/>
            <w:vAlign w:val="center"/>
          </w:tcPr>
          <w:p>
            <w:pPr>
              <w:pStyle w:val="TableContents"/>
              <w:bidi w:val="0"/>
              <w:spacing w:before="0" w:after="0"/>
              <w:ind w:left="0" w:right="0" w:hanging="0"/>
              <w:jc w:val="center"/>
              <w:rPr/>
            </w:pPr>
            <w:r>
              <w:rPr/>
              <w:t>​</w:t>
            </w:r>
          </w:p>
        </w:tc>
        <w:tc>
          <w:tcPr>
            <w:tcW w:w="1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bidi w:val="0"/>
              <w:spacing w:before="0" w:after="0"/>
              <w:ind w:left="0" w:right="0" w:hanging="0"/>
              <w:jc w:val="center"/>
              <w:rPr/>
            </w:pPr>
            <w:r>
              <w:rPr/>
              <w:t>​</w:t>
            </w:r>
          </w:p>
        </w:tc>
        <w:tc>
          <w:tcPr>
            <w:tcW w:w="42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Period from December 30, 2019 to December 29, 2020</w:t>
            </w:r>
          </w:p>
        </w:tc>
      </w:tr>
      <w:tr>
        <w:trPr/>
        <w:tc>
          <w:tcPr>
            <w:tcW w:w="33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2020 Share Repurchase Program</w:t>
            </w:r>
          </w:p>
        </w:tc>
        <w:tc>
          <w:tcPr>
            <w:tcW w:w="326" w:type="dxa"/>
            <w:tcBorders/>
            <w:vAlign w:val="center"/>
          </w:tcPr>
          <w:p>
            <w:pPr>
              <w:pStyle w:val="TableContents"/>
              <w:bidi w:val="0"/>
              <w:spacing w:before="0" w:after="0"/>
              <w:ind w:left="0" w:right="0" w:hanging="0"/>
              <w:jc w:val="center"/>
              <w:rPr/>
            </w:pPr>
            <w:r>
              <w:rPr/>
              <w:t>​</w:t>
            </w:r>
          </w:p>
        </w:tc>
        <w:tc>
          <w:tcPr>
            <w:tcW w:w="1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26" w:type="dxa"/>
            <w:tcBorders/>
            <w:vAlign w:val="center"/>
          </w:tcPr>
          <w:p>
            <w:pPr>
              <w:pStyle w:val="TableContents"/>
              <w:bidi w:val="0"/>
              <w:spacing w:before="0" w:after="0"/>
              <w:ind w:left="0" w:right="0" w:hanging="0"/>
              <w:jc w:val="center"/>
              <w:rPr/>
            </w:pPr>
            <w:r>
              <w:rPr/>
              <w:t>​</w:t>
            </w:r>
          </w:p>
        </w:tc>
        <w:tc>
          <w:tcPr>
            <w:tcW w:w="42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Period from December 30, 2020 to December 31, 2021</w:t>
            </w:r>
          </w:p>
        </w:tc>
      </w:tr>
      <w:tr>
        <w:trPr/>
        <w:tc>
          <w:tcPr>
            <w:tcW w:w="33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2021 Share Repurchase Program</w:t>
            </w:r>
          </w:p>
        </w:tc>
        <w:tc>
          <w:tcPr>
            <w:tcW w:w="326" w:type="dxa"/>
            <w:tcBorders/>
            <w:shd w:fill="CCEEFF" w:val="clear"/>
            <w:vAlign w:val="center"/>
          </w:tcPr>
          <w:p>
            <w:pPr>
              <w:pStyle w:val="TableContents"/>
              <w:bidi w:val="0"/>
              <w:spacing w:before="0" w:after="0"/>
              <w:ind w:left="0" w:right="0" w:hanging="0"/>
              <w:jc w:val="center"/>
              <w:rPr/>
            </w:pPr>
            <w:r>
              <w:rPr/>
              <w:t>​</w:t>
            </w:r>
          </w:p>
        </w:tc>
        <w:tc>
          <w:tcPr>
            <w:tcW w:w="1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26" w:type="dxa"/>
            <w:tcBorders/>
            <w:shd w:fill="CCEEFF" w:val="clear"/>
            <w:vAlign w:val="center"/>
          </w:tcPr>
          <w:p>
            <w:pPr>
              <w:pStyle w:val="TableContents"/>
              <w:bidi w:val="0"/>
              <w:spacing w:before="0" w:after="0"/>
              <w:ind w:left="0" w:right="0" w:hanging="0"/>
              <w:jc w:val="center"/>
              <w:rPr/>
            </w:pPr>
            <w:r>
              <w:rPr/>
              <w:t>​</w:t>
            </w:r>
          </w:p>
        </w:tc>
        <w:tc>
          <w:tcPr>
            <w:tcW w:w="42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Year ended December 31, 2022</w:t>
            </w:r>
          </w:p>
        </w:tc>
      </w:tr>
      <w:tr>
        <w:trPr/>
        <w:tc>
          <w:tcPr>
            <w:tcW w:w="33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2022 Share Repurchase Program</w:t>
            </w:r>
          </w:p>
        </w:tc>
        <w:tc>
          <w:tcPr>
            <w:tcW w:w="326" w:type="dxa"/>
            <w:tcBorders/>
            <w:vAlign w:val="center"/>
          </w:tcPr>
          <w:p>
            <w:pPr>
              <w:pStyle w:val="TableContents"/>
              <w:bidi w:val="0"/>
              <w:spacing w:before="0" w:after="0"/>
              <w:ind w:left="0" w:right="0" w:hanging="0"/>
              <w:jc w:val="left"/>
              <w:rPr/>
            </w:pPr>
            <w:r>
              <w:rPr/>
              <w:t> </w:t>
            </w:r>
          </w:p>
        </w:tc>
        <w:tc>
          <w:tcPr>
            <w:tcW w:w="1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vAlign w:val="center"/>
          </w:tcPr>
          <w:p>
            <w:pPr>
              <w:pStyle w:val="TableContents"/>
              <w:bidi w:val="0"/>
              <w:spacing w:before="0" w:after="0"/>
              <w:ind w:left="0" w:right="0" w:hanging="0"/>
              <w:jc w:val="left"/>
              <w:rPr/>
            </w:pPr>
            <w:r>
              <w:rPr/>
              <w:t> </w:t>
            </w:r>
          </w:p>
        </w:tc>
        <w:tc>
          <w:tcPr>
            <w:tcW w:w="420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Year ending December 31,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874" w:name="Tc_YE-iRPX-P0WZCLn7EDBDig_12_0"/>
      <w:bookmarkStart w:id="2875" w:name="Tc_C1VFQWRjN0Wj96oQ01sDiA_11_0"/>
      <w:bookmarkStart w:id="2876" w:name="Tc_5ewKLBVJK0mBCAGE5LBRxQ_10_0"/>
      <w:bookmarkStart w:id="2877" w:name="Tc_9qhRHKfrWEqhD_OlbyzQ6w_9_0"/>
      <w:bookmarkStart w:id="2878" w:name="Tc_eO2mlXWvTEGS2NIRZbCifw_8_0"/>
      <w:bookmarkStart w:id="2879" w:name="Tc_ZF6OD8i0H0qe56GDcIXygQ_7_0"/>
      <w:bookmarkStart w:id="2880" w:name="Tc_y4PGpDkhU0C1SZiYMz9wDw_6_0"/>
      <w:bookmarkStart w:id="2881" w:name="Tc_G4qg56L4RkKgBmOQSTU7GA_5_4"/>
      <w:bookmarkStart w:id="2882" w:name="Tc_kMCDxHbdOEORo1nJZe8YLQ_5_2"/>
      <w:bookmarkStart w:id="2883" w:name="Tc_M6aBONe3GESN4ceCoxIzng_5_0"/>
      <w:bookmarkStart w:id="2884" w:name="Tc_--dw7kROmUih-gmQu64PfQ_4_4"/>
      <w:bookmarkStart w:id="2885" w:name="Tc_x5JjJbUhrECa0F_1g-AzGw_4_2"/>
      <w:bookmarkStart w:id="2886" w:name="Tc_-eDw4OaC5E6nMHHWZ0vJtg_3_4"/>
      <w:bookmarkStart w:id="2887" w:name="Tc_cLWYNSYZkkCXx16fa97p2w_3_2"/>
      <w:bookmarkStart w:id="2888" w:name="Tc_ck_g1tg64keS9nIkupMSXw_2_2"/>
      <w:bookmarkStart w:id="2889" w:name="Tc_J0Lw-kkfs06bTN2oTMpXbw_1_2"/>
      <w:bookmarkStart w:id="2890" w:name="Tc_YE-iRPX-P0WZCLn7EDBDig_12_0"/>
      <w:bookmarkStart w:id="2891" w:name="Tc_C1VFQWRjN0Wj96oQ01sDiA_11_0"/>
      <w:bookmarkStart w:id="2892" w:name="Tc_5ewKLBVJK0mBCAGE5LBRxQ_10_0"/>
      <w:bookmarkStart w:id="2893" w:name="Tc_9qhRHKfrWEqhD_OlbyzQ6w_9_0"/>
      <w:bookmarkStart w:id="2894" w:name="Tc_eO2mlXWvTEGS2NIRZbCifw_8_0"/>
      <w:bookmarkStart w:id="2895" w:name="Tc_ZF6OD8i0H0qe56GDcIXygQ_7_0"/>
      <w:bookmarkStart w:id="2896" w:name="Tc_y4PGpDkhU0C1SZiYMz9wDw_6_0"/>
      <w:bookmarkStart w:id="2897" w:name="Tc_G4qg56L4RkKgBmOQSTU7GA_5_4"/>
      <w:bookmarkStart w:id="2898" w:name="Tc_kMCDxHbdOEORo1nJZe8YLQ_5_2"/>
      <w:bookmarkStart w:id="2899" w:name="Tc_M6aBONe3GESN4ceCoxIzng_5_0"/>
      <w:bookmarkStart w:id="2900" w:name="Tc_--dw7kROmUih-gmQu64PfQ_4_4"/>
      <w:bookmarkStart w:id="2901" w:name="Tc_x5JjJbUhrECa0F_1g-AzGw_4_2"/>
      <w:bookmarkStart w:id="2902" w:name="Tc_-eDw4OaC5E6nMHHWZ0vJtg_3_4"/>
      <w:bookmarkStart w:id="2903" w:name="Tc_cLWYNSYZkkCXx16fa97p2w_3_2"/>
      <w:bookmarkStart w:id="2904" w:name="Tc_ck_g1tg64keS9nIkupMSXw_2_2"/>
      <w:bookmarkStart w:id="2905" w:name="Tc_J0Lw-kkfs06bTN2oTMpXbw_1_2"/>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p>
    <w:tbl>
      <w:tblPr>
        <w:tblW w:w="3302" w:type="dxa"/>
        <w:jc w:val="left"/>
        <w:tblInd w:w="0" w:type="dxa"/>
        <w:tblLayout w:type="fixed"/>
        <w:tblCellMar>
          <w:top w:w="0" w:type="dxa"/>
          <w:left w:w="0" w:type="dxa"/>
          <w:bottom w:w="0" w:type="dxa"/>
          <w:right w:w="0" w:type="dxa"/>
        </w:tblCellMar>
      </w:tblPr>
      <w:tblGrid>
        <w:gridCol w:w="331"/>
        <w:gridCol w:w="297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29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Repurchase of shares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share repurchases may be made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Company deems appropriate.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is a summary of the shares repurchased by the Company during 2020, 2021 and 2022 under the repurchase programs. All shares were purchased through publicly purchasing from the open market.</w:t>
      </w:r>
    </w:p>
    <w:p>
      <w:pPr>
        <w:pStyle w:val="TextBody"/>
        <w:bidi w:val="0"/>
        <w:spacing w:before="0" w:after="0"/>
        <w:ind w:left="0" w:right="0" w:hanging="0"/>
        <w:jc w:val="left"/>
        <w:rPr/>
      </w:pPr>
      <w:r>
        <w:rPr/>
        <w:t>​</w:t>
      </w:r>
    </w:p>
    <w:tbl>
      <w:tblPr>
        <w:tblW w:w="6505" w:type="dxa"/>
        <w:jc w:val="left"/>
        <w:tblInd w:w="0" w:type="dxa"/>
        <w:tblLayout w:type="fixed"/>
        <w:tblCellMar>
          <w:top w:w="0" w:type="dxa"/>
          <w:left w:w="0" w:type="dxa"/>
          <w:bottom w:w="0" w:type="dxa"/>
          <w:right w:w="0" w:type="dxa"/>
        </w:tblCellMar>
      </w:tblPr>
      <w:tblGrid>
        <w:gridCol w:w="3601"/>
        <w:gridCol w:w="326"/>
        <w:gridCol w:w="1336"/>
        <w:gridCol w:w="326"/>
        <w:gridCol w:w="91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286635" cy="175260"/>
                      <wp:effectExtent l="0" t="0" r="0" b="0"/>
                      <wp:wrapNone/>
                      <wp:docPr id="665" name="Frame658"/>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07010" cy="175260"/>
                      <wp:effectExtent l="0" t="0" r="0" b="0"/>
                      <wp:wrapNone/>
                      <wp:docPr id="666" name="Frame6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848360" cy="175260"/>
                      <wp:effectExtent l="0" t="0" r="0" b="0"/>
                      <wp:wrapNone/>
                      <wp:docPr id="667" name="Frame660"/>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07010" cy="175260"/>
                      <wp:effectExtent l="0" t="0" r="0" b="0"/>
                      <wp:wrapNone/>
                      <wp:docPr id="668" name="Frame6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581660" cy="175260"/>
                      <wp:effectExtent l="0" t="0" r="0" b="0"/>
                      <wp:wrapNone/>
                      <wp:docPr id="669" name="Frame66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number of </w:t>
            </w:r>
          </w:p>
        </w:tc>
        <w:tc>
          <w:tcPr>
            <w:tcW w:w="32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ADSs purchased </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part of the </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3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publicly </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price paid </w:t>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center"/>
              <w:rPr/>
            </w:pPr>
            <w:r>
              <w:rPr/>
              <w:t>​</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ADS</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2020 Share Repurchase Program</w:t>
            </w:r>
          </w:p>
        </w:tc>
        <w:tc>
          <w:tcPr>
            <w:tcW w:w="326" w:type="dxa"/>
            <w:tcBorders/>
            <w:shd w:fill="CCEEFF" w:val="clear"/>
            <w:vAlign w:val="center"/>
          </w:tcPr>
          <w:p>
            <w:pPr>
              <w:pStyle w:val="TableContents"/>
              <w:bidi w:val="0"/>
              <w:spacing w:before="0" w:after="0"/>
              <w:ind w:left="0" w:right="0" w:hanging="0"/>
              <w:jc w:val="center"/>
              <w:rPr/>
            </w:pPr>
            <w:r>
              <w:rPr/>
              <w:t>​</w:t>
            </w:r>
          </w:p>
        </w:tc>
        <w:tc>
          <w:tcPr>
            <w:tcW w:w="13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For the year ended December 31, 2020</w:t>
            </w:r>
          </w:p>
        </w:tc>
        <w:tc>
          <w:tcPr>
            <w:tcW w:w="326"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76,808</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70.892</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2020 Share Repurchase Program</w:t>
            </w:r>
          </w:p>
        </w:tc>
        <w:tc>
          <w:tcPr>
            <w:tcW w:w="326" w:type="dxa"/>
            <w:tcBorders/>
            <w:shd w:fill="CCEEFF" w:val="clear"/>
            <w:vAlign w:val="center"/>
          </w:tcPr>
          <w:p>
            <w:pPr>
              <w:pStyle w:val="TableContents"/>
              <w:bidi w:val="0"/>
              <w:spacing w:before="0" w:after="0"/>
              <w:ind w:left="0" w:right="0" w:hanging="0"/>
              <w:jc w:val="center"/>
              <w:rPr/>
            </w:pPr>
            <w:r>
              <w:rPr/>
              <w:t>​</w:t>
            </w:r>
          </w:p>
        </w:tc>
        <w:tc>
          <w:tcPr>
            <w:tcW w:w="13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For the year ended December 31, 2020</w:t>
            </w:r>
          </w:p>
        </w:tc>
        <w:tc>
          <w:tcPr>
            <w:tcW w:w="326"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83.686</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For the year ended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120,992</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88.324</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2021 Share Repurchase Program</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For the year ended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731,881</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906" w:name="Tc_Cc0ItyT3d067UW7wY8FSUg_22_0"/>
      <w:bookmarkStart w:id="2907" w:name="Tc__D9j6wnxnka7VGOHqqH2_w_21_0"/>
      <w:bookmarkStart w:id="2908" w:name="Tc_WENuG0xtR0KVvo9DvEYWiQ_20_6"/>
      <w:bookmarkStart w:id="2909" w:name="Tc_kdi0EXUhvUamdrvnTvVrrA_20_0"/>
      <w:bookmarkStart w:id="2910" w:name="Tc_iJlgWZaVvUK6PNdKj8KZtA_19_10"/>
      <w:bookmarkStart w:id="2911" w:name="Tc_5Za70Jh_d0CnovXGEXIdZg_19_8"/>
      <w:bookmarkStart w:id="2912" w:name="Tc_4mUjH20JR0yiZAnsCr1QlQ_19_6"/>
      <w:bookmarkStart w:id="2913" w:name="Tc_RcTe-3bZ40WTu4oRBtwShw_19_0"/>
      <w:bookmarkStart w:id="2914" w:name="Tc_GeqH1X5c3E2-rWZYDDtG_g_18_10"/>
      <w:bookmarkStart w:id="2915" w:name="Tc_KTtszE8jjEONwNU0IrxNag_18_8"/>
      <w:bookmarkStart w:id="2916" w:name="Tc_gWBylN2pqkWakL_Uet6b-w_18_6"/>
      <w:bookmarkStart w:id="2917" w:name="Tc_nwtHPjlUtk650ap6Mqd2Aw_18_0"/>
      <w:bookmarkStart w:id="2918" w:name="Tc_Cf64_Mw00kGgq9t_-kQJ6g_17_6"/>
      <w:bookmarkStart w:id="2919" w:name="Tc_dHGfj4tRZU6Y_fN2CFDvqA_17_0"/>
      <w:bookmarkStart w:id="2920" w:name="Tc_I0GOqd5UUU68rHt0oLjJrQ_16_0"/>
      <w:bookmarkStart w:id="2921" w:name="Tc_8nNGQTsxyEaERdldjqVUVg_15_0"/>
      <w:bookmarkStart w:id="2922" w:name="Tc_H8ReYZWTGU-oLBi6k1nnaA_14_6"/>
      <w:bookmarkStart w:id="2923" w:name="Tc_BRMOGdMyrk2HigAuvaedow_14_0"/>
      <w:bookmarkStart w:id="2924" w:name="Tc_eI1guzxIM0WY5LT37U6S7A_13_10"/>
      <w:bookmarkStart w:id="2925" w:name="Tc_4sdoMduVqkivNb1xJUtFKw_13_8"/>
      <w:bookmarkStart w:id="2926" w:name="Tc_lC0n9gVXP0aT8Dd9k8KHpg_13_6"/>
      <w:bookmarkStart w:id="2927" w:name="Tc_qLej4vR_VEmHQ4HUpO5bZw_13_0"/>
      <w:bookmarkStart w:id="2928" w:name="Tc_Ioc7UjQu1k6c6cWljNuXgw_12_6"/>
      <w:bookmarkStart w:id="2929" w:name="Tc_AJijwVT5G06fWNbvRP2vzw_12_0"/>
      <w:bookmarkStart w:id="2930" w:name="Tc_snQcBcYjgE2UQw92xnR10A_11_0"/>
      <w:bookmarkStart w:id="2931" w:name="Tc_7vN0dkHFzk6d10NJOuQkEA_10_0"/>
      <w:bookmarkStart w:id="2932" w:name="Tc_yjXKMYuvZkGZ9k_YOzf9QQ_9_6"/>
      <w:bookmarkStart w:id="2933" w:name="Tc_j1Ur-KTHaESQgwFWFaTpZg_9_0"/>
      <w:bookmarkStart w:id="2934" w:name="Tc_rv8tdK99vECS7CZ15QctvA_8_10"/>
      <w:bookmarkStart w:id="2935" w:name="Tc_PiW7qIwQz06oa1uGuqueFA_8_8"/>
      <w:bookmarkStart w:id="2936" w:name="Tc__WU_BPHIV0SbVy6YXI92RA_8_6"/>
      <w:bookmarkStart w:id="2937" w:name="Tc_LftktfnHyESz2_Fg3SIo_A_8_0"/>
      <w:bookmarkStart w:id="2938" w:name="Tc_QFm8f_PYwEy5fHlyHySYRw_7_6"/>
      <w:bookmarkStart w:id="2939" w:name="Tc_FU_b3ocfkUm2CilllUP6rw_7_0"/>
      <w:bookmarkStart w:id="2940" w:name="Tc_8Cyw3hSitky9oedeoWqyXw_6_10"/>
      <w:bookmarkStart w:id="2941" w:name="Tc_4lvKLS7gE0u1UKqmorb6Xg_6_8"/>
      <w:bookmarkStart w:id="2942" w:name="Tc_z6QQvmc9JkSmQl4gzsntFA_6_6"/>
      <w:bookmarkStart w:id="2943" w:name="Tc_4dOpmfK8mUSr8LvlYws0Zg_6_4"/>
      <w:bookmarkStart w:id="2944" w:name="Tc_p3T6Wq02b0y-NXvcUEFSaw_5_10"/>
      <w:bookmarkStart w:id="2945" w:name="Tc_LCntzv3EmUyNBOffRVyspQ_5_8"/>
      <w:bookmarkStart w:id="2946" w:name="Tc_sfOE7PrprkGRj4RTQfVcng_5_6"/>
      <w:bookmarkStart w:id="2947" w:name="Tc_hFUk-7wI0ECSQFcjr_Kh-w_5_4"/>
      <w:bookmarkStart w:id="2948" w:name="Tc_xg0UaMMDi0u9bECATzwTZQ_5_2"/>
      <w:bookmarkStart w:id="2949" w:name="Tc_qo4cwbWqb0ObFlR5vFfBCw_4_10"/>
      <w:bookmarkStart w:id="2950" w:name="Tc_HFaM0grEvkSjX9LxcBgeoQ_4_8"/>
      <w:bookmarkStart w:id="2951" w:name="Tc__gZ6u5ZxPEKz3_swSxkyiw_4_6"/>
      <w:bookmarkStart w:id="2952" w:name="Tc_0s5T_I12mE2PScicnHy9ww_4_4"/>
      <w:bookmarkStart w:id="2953" w:name="Tc_DMRw41FYyEK63PFQcPV5sQ_4_2"/>
      <w:bookmarkStart w:id="2954" w:name="Tc_s6P_SzZguEGipf6UBLHUuQ_3_10"/>
      <w:bookmarkStart w:id="2955" w:name="Tc_bKBvR-AAF02Z2NccBciaAQ_3_8"/>
      <w:bookmarkStart w:id="2956" w:name="Tc_-10T_x9gk0epVzTxpbud1A_3_6"/>
      <w:bookmarkStart w:id="2957" w:name="Tc_cXQXgPQcL0Cfn-vG73TfWg_3_4"/>
      <w:bookmarkStart w:id="2958" w:name="Tc_uNxtM18c-EeCsnC69cLBjg_3_2"/>
      <w:bookmarkStart w:id="2959" w:name="Tc_1uihRHHyfUm-yulvzzV--A_2_8"/>
      <w:bookmarkStart w:id="2960" w:name="Tc_go2QYfQOeEK2VgqvZakGKQ_2_6"/>
      <w:bookmarkStart w:id="2961" w:name="Tc_6l5XCgeqtkOadQBf8zFsmQ_2_4"/>
      <w:bookmarkStart w:id="2962" w:name="Tc_Lu85QQUERkyv3SGukCiB7g_1_8"/>
      <w:bookmarkStart w:id="2963" w:name="Tc_Cc0ItyT3d067UW7wY8FSUg_22_0"/>
      <w:bookmarkStart w:id="2964" w:name="Tc__D9j6wnxnka7VGOHqqH2_w_21_0"/>
      <w:bookmarkStart w:id="2965" w:name="Tc_WENuG0xtR0KVvo9DvEYWiQ_20_6"/>
      <w:bookmarkStart w:id="2966" w:name="Tc_kdi0EXUhvUamdrvnTvVrrA_20_0"/>
      <w:bookmarkStart w:id="2967" w:name="Tc_iJlgWZaVvUK6PNdKj8KZtA_19_10"/>
      <w:bookmarkStart w:id="2968" w:name="Tc_5Za70Jh_d0CnovXGEXIdZg_19_8"/>
      <w:bookmarkStart w:id="2969" w:name="Tc_4mUjH20JR0yiZAnsCr1QlQ_19_6"/>
      <w:bookmarkStart w:id="2970" w:name="Tc_RcTe-3bZ40WTu4oRBtwShw_19_0"/>
      <w:bookmarkStart w:id="2971" w:name="Tc_GeqH1X5c3E2-rWZYDDtG_g_18_10"/>
      <w:bookmarkStart w:id="2972" w:name="Tc_KTtszE8jjEONwNU0IrxNag_18_8"/>
      <w:bookmarkStart w:id="2973" w:name="Tc_gWBylN2pqkWakL_Uet6b-w_18_6"/>
      <w:bookmarkStart w:id="2974" w:name="Tc_nwtHPjlUtk650ap6Mqd2Aw_18_0"/>
      <w:bookmarkStart w:id="2975" w:name="Tc_Cf64_Mw00kGgq9t_-kQJ6g_17_6"/>
      <w:bookmarkStart w:id="2976" w:name="Tc_dHGfj4tRZU6Y_fN2CFDvqA_17_0"/>
      <w:bookmarkStart w:id="2977" w:name="Tc_I0GOqd5UUU68rHt0oLjJrQ_16_0"/>
      <w:bookmarkStart w:id="2978" w:name="Tc_8nNGQTsxyEaERdldjqVUVg_15_0"/>
      <w:bookmarkStart w:id="2979" w:name="Tc_H8ReYZWTGU-oLBi6k1nnaA_14_6"/>
      <w:bookmarkStart w:id="2980" w:name="Tc_BRMOGdMyrk2HigAuvaedow_14_0"/>
      <w:bookmarkStart w:id="2981" w:name="Tc_eI1guzxIM0WY5LT37U6S7A_13_10"/>
      <w:bookmarkStart w:id="2982" w:name="Tc_4sdoMduVqkivNb1xJUtFKw_13_8"/>
      <w:bookmarkStart w:id="2983" w:name="Tc_lC0n9gVXP0aT8Dd9k8KHpg_13_6"/>
      <w:bookmarkStart w:id="2984" w:name="Tc_qLej4vR_VEmHQ4HUpO5bZw_13_0"/>
      <w:bookmarkStart w:id="2985" w:name="Tc_Ioc7UjQu1k6c6cWljNuXgw_12_6"/>
      <w:bookmarkStart w:id="2986" w:name="Tc_AJijwVT5G06fWNbvRP2vzw_12_0"/>
      <w:bookmarkStart w:id="2987" w:name="Tc_snQcBcYjgE2UQw92xnR10A_11_0"/>
      <w:bookmarkStart w:id="2988" w:name="Tc_7vN0dkHFzk6d10NJOuQkEA_10_0"/>
      <w:bookmarkStart w:id="2989" w:name="Tc_yjXKMYuvZkGZ9k_YOzf9QQ_9_6"/>
      <w:bookmarkStart w:id="2990" w:name="Tc_j1Ur-KTHaESQgwFWFaTpZg_9_0"/>
      <w:bookmarkStart w:id="2991" w:name="Tc_rv8tdK99vECS7CZ15QctvA_8_10"/>
      <w:bookmarkStart w:id="2992" w:name="Tc_PiW7qIwQz06oa1uGuqueFA_8_8"/>
      <w:bookmarkStart w:id="2993" w:name="Tc__WU_BPHIV0SbVy6YXI92RA_8_6"/>
      <w:bookmarkStart w:id="2994" w:name="Tc_LftktfnHyESz2_Fg3SIo_A_8_0"/>
      <w:bookmarkStart w:id="2995" w:name="Tc_QFm8f_PYwEy5fHlyHySYRw_7_6"/>
      <w:bookmarkStart w:id="2996" w:name="Tc_FU_b3ocfkUm2CilllUP6rw_7_0"/>
      <w:bookmarkStart w:id="2997" w:name="Tc_8Cyw3hSitky9oedeoWqyXw_6_10"/>
      <w:bookmarkStart w:id="2998" w:name="Tc_4lvKLS7gE0u1UKqmorb6Xg_6_8"/>
      <w:bookmarkStart w:id="2999" w:name="Tc_z6QQvmc9JkSmQl4gzsntFA_6_6"/>
      <w:bookmarkStart w:id="3000" w:name="Tc_4dOpmfK8mUSr8LvlYws0Zg_6_4"/>
      <w:bookmarkStart w:id="3001" w:name="Tc_p3T6Wq02b0y-NXvcUEFSaw_5_10"/>
      <w:bookmarkStart w:id="3002" w:name="Tc_LCntzv3EmUyNBOffRVyspQ_5_8"/>
      <w:bookmarkStart w:id="3003" w:name="Tc_sfOE7PrprkGRj4RTQfVcng_5_6"/>
      <w:bookmarkStart w:id="3004" w:name="Tc_hFUk-7wI0ECSQFcjr_Kh-w_5_4"/>
      <w:bookmarkStart w:id="3005" w:name="Tc_xg0UaMMDi0u9bECATzwTZQ_5_2"/>
      <w:bookmarkStart w:id="3006" w:name="Tc_qo4cwbWqb0ObFlR5vFfBCw_4_10"/>
      <w:bookmarkStart w:id="3007" w:name="Tc_HFaM0grEvkSjX9LxcBgeoQ_4_8"/>
      <w:bookmarkStart w:id="3008" w:name="Tc__gZ6u5ZxPEKz3_swSxkyiw_4_6"/>
      <w:bookmarkStart w:id="3009" w:name="Tc_0s5T_I12mE2PScicnHy9ww_4_4"/>
      <w:bookmarkStart w:id="3010" w:name="Tc_DMRw41FYyEK63PFQcPV5sQ_4_2"/>
      <w:bookmarkStart w:id="3011" w:name="Tc_s6P_SzZguEGipf6UBLHUuQ_3_10"/>
      <w:bookmarkStart w:id="3012" w:name="Tc_bKBvR-AAF02Z2NccBciaAQ_3_8"/>
      <w:bookmarkStart w:id="3013" w:name="Tc_-10T_x9gk0epVzTxpbud1A_3_6"/>
      <w:bookmarkStart w:id="3014" w:name="Tc_cXQXgPQcL0Cfn-vG73TfWg_3_4"/>
      <w:bookmarkStart w:id="3015" w:name="Tc_uNxtM18c-EeCsnC69cLBjg_3_2"/>
      <w:bookmarkStart w:id="3016" w:name="Tc_1uihRHHyfUm-yulvzzV--A_2_8"/>
      <w:bookmarkStart w:id="3017" w:name="Tc_go2QYfQOeEK2VgqvZakGKQ_2_6"/>
      <w:bookmarkStart w:id="3018" w:name="Tc_6l5XCgeqtkOadQBf8zFsmQ_2_4"/>
      <w:bookmarkStart w:id="3019" w:name="Tc_Lu85QQUERkyv3SGukCiB7g_1_8"/>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p>
    <w:tbl>
      <w:tblPr>
        <w:tblW w:w="2732" w:type="dxa"/>
        <w:jc w:val="left"/>
        <w:tblInd w:w="0" w:type="dxa"/>
        <w:tblLayout w:type="fixed"/>
        <w:tblCellMar>
          <w:top w:w="0" w:type="dxa"/>
          <w:left w:w="0" w:type="dxa"/>
          <w:bottom w:w="0" w:type="dxa"/>
          <w:right w:w="0" w:type="dxa"/>
        </w:tblCellMar>
      </w:tblPr>
      <w:tblGrid>
        <w:gridCol w:w="331"/>
        <w:gridCol w:w="240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24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w:t>
            </w:r>
          </w:p>
        </w:tc>
      </w:tr>
    </w:tbl>
    <w:tbl>
      <w:tblPr>
        <w:tblW w:w="1997" w:type="dxa"/>
        <w:jc w:val="left"/>
        <w:tblInd w:w="0" w:type="dxa"/>
        <w:tblLayout w:type="fixed"/>
        <w:tblCellMar>
          <w:top w:w="0" w:type="dxa"/>
          <w:left w:w="0" w:type="dxa"/>
          <w:bottom w:w="0" w:type="dxa"/>
          <w:right w:w="0" w:type="dxa"/>
        </w:tblCellMar>
      </w:tblPr>
      <w:tblGrid>
        <w:gridCol w:w="346"/>
        <w:gridCol w:w="1651"/>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65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option plan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During the years ended December 31, 2020, 2021 and 2022, no share options were granted to non-employees, employees, officers and directors of the Group. The following table summarizes the share option activities for the years ended December 31, 2020, 2021 and 2022:</w:t>
      </w:r>
    </w:p>
    <w:p>
      <w:pPr>
        <w:pStyle w:val="TextBody"/>
        <w:bidi w:val="0"/>
        <w:spacing w:before="0" w:after="0"/>
        <w:ind w:left="0" w:right="0" w:hanging="0"/>
        <w:jc w:val="left"/>
        <w:rPr/>
      </w:pPr>
      <w:r>
        <w:rPr/>
        <w:t>​</w:t>
      </w:r>
    </w:p>
    <w:tbl>
      <w:tblPr>
        <w:tblW w:w="9991" w:type="dxa"/>
        <w:jc w:val="left"/>
        <w:tblInd w:w="0" w:type="dxa"/>
        <w:tblLayout w:type="fixed"/>
        <w:tblCellMar>
          <w:top w:w="0" w:type="dxa"/>
          <w:left w:w="0" w:type="dxa"/>
          <w:bottom w:w="0" w:type="dxa"/>
          <w:right w:w="0" w:type="dxa"/>
        </w:tblCellMar>
      </w:tblPr>
      <w:tblGrid>
        <w:gridCol w:w="4201"/>
        <w:gridCol w:w="266"/>
        <w:gridCol w:w="931"/>
        <w:gridCol w:w="266"/>
        <w:gridCol w:w="796"/>
        <w:gridCol w:w="266"/>
        <w:gridCol w:w="871"/>
        <w:gridCol w:w="266"/>
        <w:gridCol w:w="946"/>
        <w:gridCol w:w="266"/>
        <w:gridCol w:w="916"/>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667635" cy="175260"/>
                      <wp:effectExtent l="0" t="0" r="0" b="0"/>
                      <wp:wrapNone/>
                      <wp:docPr id="670" name="Frame663"/>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168910" cy="175260"/>
                      <wp:effectExtent l="0" t="0" r="0" b="0"/>
                      <wp:wrapNone/>
                      <wp:docPr id="671" name="Frame66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591185" cy="175260"/>
                      <wp:effectExtent l="0" t="0" r="0" b="0"/>
                      <wp:wrapNone/>
                      <wp:docPr id="672" name="Frame6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168910" cy="175260"/>
                      <wp:effectExtent l="0" t="0" r="0" b="0"/>
                      <wp:wrapNone/>
                      <wp:docPr id="673" name="Frame66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505460" cy="175260"/>
                      <wp:effectExtent l="0" t="0" r="0" b="0"/>
                      <wp:wrapNone/>
                      <wp:docPr id="674" name="Frame6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68910" cy="175260"/>
                      <wp:effectExtent l="0" t="0" r="0" b="0"/>
                      <wp:wrapNone/>
                      <wp:docPr id="675" name="Frame66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553085" cy="175260"/>
                      <wp:effectExtent l="0" t="0" r="0" b="0"/>
                      <wp:wrapNone/>
                      <wp:docPr id="676" name="Frame66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168910" cy="175260"/>
                      <wp:effectExtent l="0" t="0" r="0" b="0"/>
                      <wp:wrapNone/>
                      <wp:docPr id="677" name="Frame67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00710" cy="175260"/>
                      <wp:effectExtent l="0" t="0" r="0" b="0"/>
                      <wp:wrapNone/>
                      <wp:docPr id="678" name="Frame67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168910" cy="175260"/>
                      <wp:effectExtent l="0" t="0" r="0" b="0"/>
                      <wp:wrapNone/>
                      <wp:docPr id="679" name="Frame67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581660" cy="175260"/>
                      <wp:effectExtent l="0" t="0" r="0" b="0"/>
                      <wp:wrapNone/>
                      <wp:docPr id="680" name="Frame67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26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26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26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26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26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26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26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remaining </w:t>
            </w:r>
          </w:p>
        </w:tc>
        <w:tc>
          <w:tcPr>
            <w:tcW w:w="26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20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26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26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26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26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20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26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26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6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26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20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26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26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26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US$’000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2020</w:t>
            </w:r>
          </w:p>
        </w:tc>
        <w:tc>
          <w:tcPr>
            <w:tcW w:w="26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667,867</w:t>
            </w:r>
          </w:p>
        </w:tc>
        <w:tc>
          <w:tcPr>
            <w:tcW w:w="26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26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26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26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(235,765)</w:t>
            </w:r>
          </w:p>
        </w:tc>
        <w:tc>
          <w:tcPr>
            <w:tcW w:w="266" w:type="dxa"/>
            <w:tcBorders/>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266" w:type="dxa"/>
            <w:tcBorders/>
            <w:vAlign w:val="center"/>
          </w:tcPr>
          <w:p>
            <w:pPr>
              <w:pStyle w:val="TableContents"/>
              <w:bidi w:val="0"/>
              <w:spacing w:before="0" w:after="0"/>
              <w:ind w:left="0" w:right="0" w:hanging="0"/>
              <w:jc w:val="righ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vAlign w:val="center"/>
          </w:tcPr>
          <w:p>
            <w:pPr>
              <w:pStyle w:val="TableContents"/>
              <w:bidi w:val="0"/>
              <w:spacing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2020</w:t>
            </w:r>
          </w:p>
        </w:tc>
        <w:tc>
          <w:tcPr>
            <w:tcW w:w="266" w:type="dxa"/>
            <w:tcBorders/>
            <w:shd w:fill="CCEEFF" w:val="clear"/>
            <w:vAlign w:val="center"/>
          </w:tcPr>
          <w:p>
            <w:pPr>
              <w:pStyle w:val="TableContents"/>
              <w:bidi w:val="0"/>
              <w:spacing w:before="0" w:after="0"/>
              <w:ind w:left="0" w:right="0" w:hanging="0"/>
              <w:jc w:val="center"/>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432,102</w:t>
            </w:r>
          </w:p>
        </w:tc>
        <w:tc>
          <w:tcPr>
            <w:tcW w:w="266" w:type="dxa"/>
            <w:tcBorders/>
            <w:shd w:fill="CCEEFF" w:val="clear"/>
            <w:vAlign w:val="center"/>
          </w:tcPr>
          <w:p>
            <w:pPr>
              <w:pStyle w:val="TableContents"/>
              <w:bidi w:val="0"/>
              <w:spacing w:before="0" w:after="0"/>
              <w:ind w:left="0" w:right="0" w:hanging="0"/>
              <w:jc w:val="righ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w:t>
            </w:r>
          </w:p>
        </w:tc>
        <w:tc>
          <w:tcPr>
            <w:tcW w:w="266" w:type="dxa"/>
            <w:tcBorders/>
            <w:shd w:fill="CCEEFF" w:val="clear"/>
            <w:vAlign w:val="center"/>
          </w:tcPr>
          <w:p>
            <w:pPr>
              <w:pStyle w:val="TableContents"/>
              <w:bidi w:val="0"/>
              <w:spacing w:before="0" w:after="0"/>
              <w:ind w:left="0" w:right="0" w:hanging="0"/>
              <w:jc w:val="righ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shd w:fill="CCEEFF" w:val="clear"/>
            <w:vAlign w:val="center"/>
          </w:tcPr>
          <w:p>
            <w:pPr>
              <w:pStyle w:val="TableContents"/>
              <w:bidi w:val="0"/>
              <w:spacing w:before="0" w:after="0"/>
              <w:ind w:left="0" w:right="0" w:hanging="0"/>
              <w:jc w:val="righ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266" w:type="dxa"/>
            <w:tcBorders/>
            <w:shd w:fill="CCEEFF" w:val="clear"/>
            <w:vAlign w:val="center"/>
          </w:tcPr>
          <w:p>
            <w:pPr>
              <w:pStyle w:val="TableContents"/>
              <w:bidi w:val="0"/>
              <w:spacing w:before="0" w:after="0"/>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4,578</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31, 2020</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430,569</w:t>
            </w:r>
          </w:p>
        </w:tc>
        <w:tc>
          <w:tcPr>
            <w:tcW w:w="26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26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w:t>
            </w:r>
          </w:p>
        </w:tc>
        <w:tc>
          <w:tcPr>
            <w:tcW w:w="266"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26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to vest at December 31, 2020</w:t>
            </w:r>
          </w:p>
        </w:tc>
        <w:tc>
          <w:tcPr>
            <w:tcW w:w="26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431,245</w:t>
            </w:r>
          </w:p>
        </w:tc>
        <w:tc>
          <w:tcPr>
            <w:tcW w:w="26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266" w:type="dxa"/>
            <w:tcBorders/>
            <w:shd w:fill="CCEEFF" w:val="clear"/>
            <w:vAlign w:val="center"/>
          </w:tcPr>
          <w:p>
            <w:pPr>
              <w:pStyle w:val="TableContents"/>
              <w:bidi w:val="0"/>
              <w:spacing w:before="0" w:after="0"/>
              <w:ind w:left="0" w:right="0" w:hanging="0"/>
              <w:jc w:val="righ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266"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26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5,213</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2021</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432,102</w:t>
            </w:r>
          </w:p>
        </w:tc>
        <w:tc>
          <w:tcPr>
            <w:tcW w:w="26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w:t>
            </w:r>
          </w:p>
        </w:tc>
        <w:tc>
          <w:tcPr>
            <w:tcW w:w="26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26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4,578</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26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(117,788)</w:t>
            </w:r>
          </w:p>
        </w:tc>
        <w:tc>
          <w:tcPr>
            <w:tcW w:w="266" w:type="dxa"/>
            <w:tcBorders/>
            <w:shd w:fill="CCEEFF" w:val="cle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266" w:type="dxa"/>
            <w:tcBorders/>
            <w:shd w:fill="CCEEFF" w:val="clear"/>
            <w:vAlign w:val="center"/>
          </w:tcPr>
          <w:p>
            <w:pPr>
              <w:pStyle w:val="TableContents"/>
              <w:bidi w:val="0"/>
              <w:spacing w:before="0" w:after="0"/>
              <w:ind w:left="0" w:right="0" w:hanging="0"/>
              <w:jc w:val="righ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shd w:fill="CCEEFF" w:val="clear"/>
            <w:vAlign w:val="center"/>
          </w:tcPr>
          <w:p>
            <w:pPr>
              <w:pStyle w:val="TableContents"/>
              <w:bidi w:val="0"/>
              <w:spacing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shd w:fill="CCEEFF" w:val="cle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2021</w:t>
            </w:r>
          </w:p>
        </w:tc>
        <w:tc>
          <w:tcPr>
            <w:tcW w:w="26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314,314</w:t>
            </w:r>
          </w:p>
        </w:tc>
        <w:tc>
          <w:tcPr>
            <w:tcW w:w="266" w:type="dxa"/>
            <w:tcBorders/>
            <w:vAlign w:val="center"/>
          </w:tcPr>
          <w:p>
            <w:pPr>
              <w:pStyle w:val="TableContents"/>
              <w:bidi w:val="0"/>
              <w:spacing w:before="0" w:after="0"/>
              <w:ind w:left="0" w:right="0" w:hanging="0"/>
              <w:jc w:val="righ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w:t>
            </w:r>
          </w:p>
        </w:tc>
        <w:tc>
          <w:tcPr>
            <w:tcW w:w="266" w:type="dxa"/>
            <w:tcBorders/>
            <w:vAlign w:val="center"/>
          </w:tcPr>
          <w:p>
            <w:pPr>
              <w:pStyle w:val="TableContents"/>
              <w:bidi w:val="0"/>
              <w:spacing w:before="0" w:after="0"/>
              <w:ind w:left="0" w:right="0" w:hanging="0"/>
              <w:jc w:val="right"/>
              <w:rPr/>
            </w:pPr>
            <w:r>
              <w:rPr/>
              <w:t> </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vAlign w:val="center"/>
          </w:tcPr>
          <w:p>
            <w:pPr>
              <w:pStyle w:val="TableContents"/>
              <w:bidi w:val="0"/>
              <w:spacing w:before="0" w:after="0"/>
              <w:ind w:left="0" w:right="0" w:hanging="0"/>
              <w:jc w:val="righ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266" w:type="dxa"/>
            <w:tcBorders/>
            <w:vAlign w:val="center"/>
          </w:tcPr>
          <w:p>
            <w:pPr>
              <w:pStyle w:val="TableContents"/>
              <w:bidi w:val="0"/>
              <w:spacing w:before="0" w:after="0"/>
              <w:ind w:left="0" w:right="0" w:hanging="0"/>
              <w:jc w:val="righ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31, 2021</w:t>
            </w:r>
          </w:p>
        </w:tc>
        <w:tc>
          <w:tcPr>
            <w:tcW w:w="26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312,876</w:t>
            </w:r>
          </w:p>
        </w:tc>
        <w:tc>
          <w:tcPr>
            <w:tcW w:w="26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266" w:type="dxa"/>
            <w:tcBorders/>
            <w:shd w:fill="CCEEFF" w:val="clear"/>
            <w:vAlign w:val="center"/>
          </w:tcPr>
          <w:p>
            <w:pPr>
              <w:pStyle w:val="TableContents"/>
              <w:bidi w:val="0"/>
              <w:spacing w:before="0" w:after="0"/>
              <w:ind w:left="0" w:right="0" w:hanging="0"/>
              <w:jc w:val="righ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w:t>
            </w:r>
          </w:p>
        </w:tc>
        <w:tc>
          <w:tcPr>
            <w:tcW w:w="266"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26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to vest at December 31, 2021</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314,204</w:t>
            </w:r>
          </w:p>
        </w:tc>
        <w:tc>
          <w:tcPr>
            <w:tcW w:w="26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26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w:t>
            </w:r>
          </w:p>
        </w:tc>
        <w:tc>
          <w:tcPr>
            <w:tcW w:w="266"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26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2022</w:t>
            </w:r>
          </w:p>
        </w:tc>
        <w:tc>
          <w:tcPr>
            <w:tcW w:w="26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314,314</w:t>
            </w:r>
          </w:p>
        </w:tc>
        <w:tc>
          <w:tcPr>
            <w:tcW w:w="26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w:t>
            </w:r>
          </w:p>
        </w:tc>
        <w:tc>
          <w:tcPr>
            <w:tcW w:w="266" w:type="dxa"/>
            <w:tcBorders/>
            <w:shd w:fill="CCEEFF" w:val="clear"/>
            <w:vAlign w:val="center"/>
          </w:tcPr>
          <w:p>
            <w:pPr>
              <w:pStyle w:val="TableContents"/>
              <w:bidi w:val="0"/>
              <w:spacing w:before="0" w:after="0"/>
              <w:ind w:left="0" w:right="0" w:hanging="0"/>
              <w:jc w:val="righ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26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(25,341)</w:t>
            </w:r>
          </w:p>
        </w:tc>
        <w:tc>
          <w:tcPr>
            <w:tcW w:w="26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26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26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(14,143)</w:t>
            </w:r>
          </w:p>
        </w:tc>
        <w:tc>
          <w:tcPr>
            <w:tcW w:w="266" w:type="dxa"/>
            <w:tcBorders/>
            <w:shd w:fill="CCEEFF" w:val="cle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w:t>
            </w:r>
          </w:p>
        </w:tc>
        <w:tc>
          <w:tcPr>
            <w:tcW w:w="266" w:type="dxa"/>
            <w:tcBorders/>
            <w:shd w:fill="CCEEFF" w:val="clear"/>
            <w:vAlign w:val="center"/>
          </w:tcPr>
          <w:p>
            <w:pPr>
              <w:pStyle w:val="TableContents"/>
              <w:bidi w:val="0"/>
              <w:spacing w:before="0" w:after="0"/>
              <w:ind w:left="0" w:right="0" w:hanging="0"/>
              <w:jc w:val="righ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shd w:fill="CCEEFF" w:val="clear"/>
            <w:vAlign w:val="center"/>
          </w:tcPr>
          <w:p>
            <w:pPr>
              <w:pStyle w:val="TableContents"/>
              <w:bidi w:val="0"/>
              <w:spacing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shd w:fill="CCEEFF" w:val="cle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2022</w:t>
            </w:r>
          </w:p>
        </w:tc>
        <w:tc>
          <w:tcPr>
            <w:tcW w:w="26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274,830</w:t>
            </w:r>
          </w:p>
        </w:tc>
        <w:tc>
          <w:tcPr>
            <w:tcW w:w="266" w:type="dxa"/>
            <w:tcBorders/>
            <w:vAlign w:val="center"/>
          </w:tcPr>
          <w:p>
            <w:pPr>
              <w:pStyle w:val="TableContents"/>
              <w:bidi w:val="0"/>
              <w:spacing w:before="0" w:after="0"/>
              <w:ind w:left="0" w:right="0" w:hanging="0"/>
              <w:jc w:val="righ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266" w:type="dxa"/>
            <w:tcBorders/>
            <w:vAlign w:val="center"/>
          </w:tcPr>
          <w:p>
            <w:pPr>
              <w:pStyle w:val="TableContents"/>
              <w:bidi w:val="0"/>
              <w:spacing w:before="0" w:after="0"/>
              <w:ind w:left="0" w:right="0" w:hanging="0"/>
              <w:jc w:val="right"/>
              <w:rPr/>
            </w:pPr>
            <w:r>
              <w:rPr/>
              <w:t> </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66" w:type="dxa"/>
            <w:tcBorders/>
            <w:vAlign w:val="center"/>
          </w:tcPr>
          <w:p>
            <w:pPr>
              <w:pStyle w:val="TableContents"/>
              <w:bidi w:val="0"/>
              <w:spacing w:before="0" w:after="0"/>
              <w:ind w:left="0" w:right="0" w:hanging="0"/>
              <w:jc w:val="righ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266" w:type="dxa"/>
            <w:tcBorders/>
            <w:vAlign w:val="center"/>
          </w:tcPr>
          <w:p>
            <w:pPr>
              <w:pStyle w:val="TableContents"/>
              <w:bidi w:val="0"/>
              <w:spacing w:before="0" w:after="0"/>
              <w:ind w:left="0" w:right="0" w:hanging="0"/>
              <w:jc w:val="righ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31, 2022</w:t>
            </w:r>
          </w:p>
        </w:tc>
        <w:tc>
          <w:tcPr>
            <w:tcW w:w="26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273,392</w:t>
            </w:r>
          </w:p>
        </w:tc>
        <w:tc>
          <w:tcPr>
            <w:tcW w:w="26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266" w:type="dxa"/>
            <w:tcBorders/>
            <w:shd w:fill="CCEEFF" w:val="clear"/>
            <w:vAlign w:val="center"/>
          </w:tcPr>
          <w:p>
            <w:pPr>
              <w:pStyle w:val="TableContents"/>
              <w:bidi w:val="0"/>
              <w:spacing w:before="0" w:after="0"/>
              <w:ind w:left="0" w:right="0" w:hanging="0"/>
              <w:jc w:val="righ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w:t>
            </w:r>
          </w:p>
        </w:tc>
        <w:tc>
          <w:tcPr>
            <w:tcW w:w="266"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26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to vest at December 31, 2022</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274,720</w:t>
            </w:r>
          </w:p>
        </w:tc>
        <w:tc>
          <w:tcPr>
            <w:tcW w:w="26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266" w:type="dxa"/>
            <w:tcBorders/>
            <w:vAlign w:val="center"/>
          </w:tcPr>
          <w:p>
            <w:pPr>
              <w:pStyle w:val="TableContents"/>
              <w:bidi w:val="0"/>
              <w:spacing w:before="0" w:after="0"/>
              <w:ind w:left="0" w:right="0" w:hanging="0"/>
              <w:jc w:val="righ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266"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26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aggregate intrinsic value in the table above represents the difference between the estimated fair values of the Company’s ordinary shares as of December 31, 2021 and 2022 and the exercise price.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All share-based payments to employees are measured based on their grant-date fair values. Compensation expense is recognized based on the vesting schedule over the requisite service period. Total fair values of options vested and recognized as expenses for the years ended December 31, 2020, 2021 and 2022 were US$107, US$4 and US$nil, respectively.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2020, there was US$4 of unrecognized share-based compensation expenses related to share options, which were expected to be recognized over a weighted-average vesting period of 0.25 years. As of December 31, 2021 and 2022, there were no unrecognized share-based compensation expenses related to share options. To the extent the actual forfeiture rate is different from the Company’s estimate, the actual share-based compensation related to these awards may be different from the expectation.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binomial option pricing model is used to determine the fair value of the share options granted to employees and non-employees. There were no grant or modification of share options during the years ended December 31, 2020, 2021 and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3020" w:name="_44d6dace_3ce9_43ce_9d1d_df38ecb909a9"/>
      <w:bookmarkStart w:id="3021" w:name="Tc_9C3RgHLchEyofPws_CaIPw_24_0"/>
      <w:bookmarkStart w:id="3022" w:name="Tc_mIUg6FKTQkqtj_C2KYePBA_23_0"/>
      <w:bookmarkStart w:id="3023" w:name="Tc_SlVToPXDMkyDzkzruddfOw_22_0"/>
      <w:bookmarkStart w:id="3024" w:name="Tc_a5vL0H9Yl06V49iroFgtEw_21_0"/>
      <w:bookmarkStart w:id="3025" w:name="Tc_mkdSQ52hEE6v5H6YkodY_Q_20_0"/>
      <w:bookmarkStart w:id="3026" w:name="Tc_PR5jXZuVF02o7SAD8x4XrQ_19_0"/>
      <w:bookmarkStart w:id="3027" w:name="Tc_4L8jcsBmM0uvS6081DIB8Q_17_0"/>
      <w:bookmarkStart w:id="3028" w:name="Tc_EtQ0mcUfAkyRJo-VoXkrQA_16_0"/>
      <w:bookmarkStart w:id="3029" w:name="Tc_DuN_EAmtGUuAnK9XP3o8AA_15_0"/>
      <w:bookmarkStart w:id="3030" w:name="Tc_RN2q-P7tGk6sJE83S1UqIQ_14_0"/>
      <w:bookmarkStart w:id="3031" w:name="Tc_Lqn4-Zo3qEyP_WxQ0oYpWQ_13_0"/>
      <w:bookmarkStart w:id="3032" w:name="Tc_CImlj9cMLUmCzoyNku4aWA_12_0"/>
      <w:bookmarkStart w:id="3033" w:name="Tc_pLHjWH-svUiNl07deAITEw_10_0"/>
      <w:bookmarkStart w:id="3034" w:name="Tc_16A2aQVcNEygPSIrjUCgpw_9_0"/>
      <w:bookmarkStart w:id="3035" w:name="Tc_FZCK5tFmyUqzy1eaMgfUZQ_8_0"/>
      <w:bookmarkStart w:id="3036" w:name="Tc_pzrBX03qnE6U8LfdSwmQEA_7_0"/>
      <w:bookmarkStart w:id="3037" w:name="Tc_OxkiCixR2E2dqu81zI4okg_6_0"/>
      <w:bookmarkStart w:id="3038" w:name="Tc_OspVt0yUCkeVetUyrjNyKw_5_0"/>
      <w:bookmarkStart w:id="3039" w:name="Tc_jbELX-SptUaMFNg5ukI5tg_4_4"/>
      <w:bookmarkStart w:id="3040" w:name="Tc_a_Qc-cf4cE-AC2EXLnFTCg_4_2"/>
      <w:bookmarkStart w:id="3041" w:name="Tc_W-SFHUNkkUCd8gCaNKQZRQ_3_4"/>
      <w:bookmarkStart w:id="3042" w:name="Tc_Uk-Gr2m0b0mOW56tOU33lQ_3_2"/>
      <w:bookmarkStart w:id="3043" w:name="Tc_628sOiOdr0iJrAsREYOYow_2_4"/>
      <w:bookmarkStart w:id="3044" w:name="Tc_jBWdGjI3oUGT6mPxcbU5sw_1_4"/>
      <w:bookmarkStart w:id="3045" w:name="_44d6dace_3ce9_43ce_9d1d_df38ecb909a9"/>
      <w:bookmarkStart w:id="3046" w:name="Tc_9C3RgHLchEyofPws_CaIPw_24_0"/>
      <w:bookmarkStart w:id="3047" w:name="Tc_mIUg6FKTQkqtj_C2KYePBA_23_0"/>
      <w:bookmarkStart w:id="3048" w:name="Tc_SlVToPXDMkyDzkzruddfOw_22_0"/>
      <w:bookmarkStart w:id="3049" w:name="Tc_a5vL0H9Yl06V49iroFgtEw_21_0"/>
      <w:bookmarkStart w:id="3050" w:name="Tc_mkdSQ52hEE6v5H6YkodY_Q_20_0"/>
      <w:bookmarkStart w:id="3051" w:name="Tc_PR5jXZuVF02o7SAD8x4XrQ_19_0"/>
      <w:bookmarkStart w:id="3052" w:name="Tc_4L8jcsBmM0uvS6081DIB8Q_17_0"/>
      <w:bookmarkStart w:id="3053" w:name="Tc_EtQ0mcUfAkyRJo-VoXkrQA_16_0"/>
      <w:bookmarkStart w:id="3054" w:name="Tc_DuN_EAmtGUuAnK9XP3o8AA_15_0"/>
      <w:bookmarkStart w:id="3055" w:name="Tc_RN2q-P7tGk6sJE83S1UqIQ_14_0"/>
      <w:bookmarkStart w:id="3056" w:name="Tc_Lqn4-Zo3qEyP_WxQ0oYpWQ_13_0"/>
      <w:bookmarkStart w:id="3057" w:name="Tc_CImlj9cMLUmCzoyNku4aWA_12_0"/>
      <w:bookmarkStart w:id="3058" w:name="Tc_pLHjWH-svUiNl07deAITEw_10_0"/>
      <w:bookmarkStart w:id="3059" w:name="Tc_16A2aQVcNEygPSIrjUCgpw_9_0"/>
      <w:bookmarkStart w:id="3060" w:name="Tc_FZCK5tFmyUqzy1eaMgfUZQ_8_0"/>
      <w:bookmarkStart w:id="3061" w:name="Tc_pzrBX03qnE6U8LfdSwmQEA_7_0"/>
      <w:bookmarkStart w:id="3062" w:name="Tc_OxkiCixR2E2dqu81zI4okg_6_0"/>
      <w:bookmarkStart w:id="3063" w:name="Tc_OspVt0yUCkeVetUyrjNyKw_5_0"/>
      <w:bookmarkStart w:id="3064" w:name="Tc_jbELX-SptUaMFNg5ukI5tg_4_4"/>
      <w:bookmarkStart w:id="3065" w:name="Tc_a_Qc-cf4cE-AC2EXLnFTCg_4_2"/>
      <w:bookmarkStart w:id="3066" w:name="Tc_W-SFHUNkkUCd8gCaNKQZRQ_3_4"/>
      <w:bookmarkStart w:id="3067" w:name="Tc_Uk-Gr2m0b0mOW56tOU33lQ_3_2"/>
      <w:bookmarkStart w:id="3068" w:name="Tc_628sOiOdr0iJrAsREYOYow_2_4"/>
      <w:bookmarkStart w:id="3069" w:name="Tc_jBWdGjI3oUGT6mPxcbU5sw_1_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p>
    <w:tbl>
      <w:tblPr>
        <w:tblW w:w="3767" w:type="dxa"/>
        <w:jc w:val="left"/>
        <w:tblInd w:w="0" w:type="dxa"/>
        <w:tblLayout w:type="fixed"/>
        <w:tblCellMar>
          <w:top w:w="0" w:type="dxa"/>
          <w:left w:w="0" w:type="dxa"/>
          <w:bottom w:w="0" w:type="dxa"/>
          <w:right w:w="0" w:type="dxa"/>
        </w:tblCellMar>
      </w:tblPr>
      <w:tblGrid>
        <w:gridCol w:w="331"/>
        <w:gridCol w:w="343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34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 (Continued)</w:t>
            </w:r>
          </w:p>
        </w:tc>
      </w:tr>
    </w:tbl>
    <w:tbl>
      <w:tblPr>
        <w:tblW w:w="3002" w:type="dxa"/>
        <w:jc w:val="left"/>
        <w:tblInd w:w="0" w:type="dxa"/>
        <w:tblLayout w:type="fixed"/>
        <w:tblCellMar>
          <w:top w:w="0" w:type="dxa"/>
          <w:left w:w="0" w:type="dxa"/>
          <w:bottom w:w="0" w:type="dxa"/>
          <w:right w:w="0" w:type="dxa"/>
        </w:tblCellMar>
      </w:tblPr>
      <w:tblGrid>
        <w:gridCol w:w="346"/>
        <w:gridCol w:w="2656"/>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65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Post-IPO share incentive plan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post-IPO share incentive plan provides for the grant of incentive share options and RSUs to the Company’s employees, officers, directors or consultants. The Company’s board of directors administers the post-IPO share incentive plan, selects the individuals to whom options and RSUs will be granted, determines the number of options and RSUs to be granted, and the term and exercise price of each option and RSU.</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During the years ended December 31, 2020, 2021 and 2022, the Company granted RSUs to non-employees, employees, officers and directors of the Group. The following table summarizes the activity of the service-based RSUs for the year ended December 31, 2020, 2021 and 2022:</w:t>
      </w:r>
    </w:p>
    <w:p>
      <w:pPr>
        <w:pStyle w:val="TextBody"/>
        <w:bidi w:val="0"/>
        <w:spacing w:before="0" w:after="0"/>
        <w:ind w:left="0" w:right="0" w:hanging="0"/>
        <w:jc w:val="left"/>
        <w:rPr/>
      </w:pPr>
      <w:r>
        <w:rPr/>
        <w:t>​</w:t>
      </w:r>
    </w:p>
    <w:tbl>
      <w:tblPr>
        <w:tblW w:w="6445" w:type="dxa"/>
        <w:jc w:val="left"/>
        <w:tblInd w:w="0" w:type="dxa"/>
        <w:tblLayout w:type="fixed"/>
        <w:tblCellMar>
          <w:top w:w="0" w:type="dxa"/>
          <w:left w:w="0" w:type="dxa"/>
          <w:bottom w:w="0" w:type="dxa"/>
          <w:right w:w="0" w:type="dxa"/>
        </w:tblCellMar>
      </w:tblPr>
      <w:tblGrid>
        <w:gridCol w:w="3826"/>
        <w:gridCol w:w="326"/>
        <w:gridCol w:w="1051"/>
        <w:gridCol w:w="326"/>
        <w:gridCol w:w="916"/>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2429510" cy="175260"/>
                      <wp:effectExtent l="0" t="0" r="0" b="0"/>
                      <wp:wrapNone/>
                      <wp:docPr id="681" name="Frame674"/>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07010" cy="175260"/>
                      <wp:effectExtent l="0" t="0" r="0" b="0"/>
                      <wp:wrapNone/>
                      <wp:docPr id="682" name="Frame6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67385" cy="175260"/>
                      <wp:effectExtent l="0" t="0" r="0" b="0"/>
                      <wp:wrapNone/>
                      <wp:docPr id="683" name="Frame67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07010" cy="175260"/>
                      <wp:effectExtent l="0" t="0" r="0" b="0"/>
                      <wp:wrapNone/>
                      <wp:docPr id="684" name="Frame6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581660" cy="175260"/>
                      <wp:effectExtent l="0" t="0" r="0" b="0"/>
                      <wp:wrapNone/>
                      <wp:docPr id="685" name="Frame67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3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3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2020</w:t>
            </w:r>
          </w:p>
        </w:tc>
        <w:tc>
          <w:tcPr>
            <w:tcW w:w="326"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463,546</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(with a vesting period of 0 to 4 years)</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1,180,295</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(962,606)</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 (Note (ii))</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(46,730)</w:t>
            </w:r>
          </w:p>
        </w:tc>
        <w:tc>
          <w:tcPr>
            <w:tcW w:w="326" w:type="dxa"/>
            <w:tcBorders/>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2020</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634,505</w:t>
            </w:r>
          </w:p>
        </w:tc>
        <w:tc>
          <w:tcPr>
            <w:tcW w:w="326" w:type="dxa"/>
            <w:tcBorders/>
            <w:shd w:fill="CCEEFF" w:val="clear"/>
            <w:vAlign w:val="center"/>
          </w:tcPr>
          <w:p>
            <w:pPr>
              <w:pStyle w:val="TableContents"/>
              <w:bidi w:val="0"/>
              <w:spacing w:before="0" w:after="0"/>
              <w:ind w:left="0" w:right="0" w:hanging="0"/>
              <w:jc w:val="righ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at December 31, 2020</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620,245</w:t>
            </w:r>
          </w:p>
        </w:tc>
        <w:tc>
          <w:tcPr>
            <w:tcW w:w="326" w:type="dxa"/>
            <w:tcBorders/>
            <w:vAlign w:val="center"/>
          </w:tcPr>
          <w:p>
            <w:pPr>
              <w:pStyle w:val="TableContents"/>
              <w:bidi w:val="0"/>
              <w:spacing w:before="0" w:after="0"/>
              <w:ind w:left="0" w:right="0" w:hanging="0"/>
              <w:jc w:val="righ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r>
      <w:tr>
        <w:trPr/>
        <w:tc>
          <w:tcPr>
            <w:tcW w:w="3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2021</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634,505</w:t>
            </w:r>
          </w:p>
        </w:tc>
        <w:tc>
          <w:tcPr>
            <w:tcW w:w="32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(with a vesting period of 0 to 4 years)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716,265</w:t>
            </w:r>
          </w:p>
        </w:tc>
        <w:tc>
          <w:tcPr>
            <w:tcW w:w="32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(1,049,007)</w:t>
            </w:r>
          </w:p>
        </w:tc>
        <w:tc>
          <w:tcPr>
            <w:tcW w:w="32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 (Note (ii))</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(74,186)</w:t>
            </w:r>
          </w:p>
        </w:tc>
        <w:tc>
          <w:tcPr>
            <w:tcW w:w="326" w:type="dxa"/>
            <w:tcBorders/>
            <w:shd w:fill="CCEEFF" w:val="cle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2021</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227,577</w:t>
            </w:r>
          </w:p>
        </w:tc>
        <w:tc>
          <w:tcPr>
            <w:tcW w:w="326" w:type="dxa"/>
            <w:tcBorders/>
            <w:vAlign w:val="center"/>
          </w:tcPr>
          <w:p>
            <w:pPr>
              <w:pStyle w:val="TableContents"/>
              <w:bidi w:val="0"/>
              <w:spacing w:before="0" w:after="0"/>
              <w:ind w:left="0" w:right="0" w:hanging="0"/>
              <w:jc w:val="righ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209,878</w:t>
            </w:r>
          </w:p>
        </w:tc>
        <w:tc>
          <w:tcPr>
            <w:tcW w:w="326" w:type="dxa"/>
            <w:tcBorders/>
            <w:shd w:fill="CCEEFF" w:val="clear"/>
            <w:vAlign w:val="center"/>
          </w:tcPr>
          <w:p>
            <w:pPr>
              <w:pStyle w:val="TableContents"/>
              <w:bidi w:val="0"/>
              <w:spacing w:before="0" w:after="0"/>
              <w:ind w:left="0" w:right="0" w:hanging="0"/>
              <w:jc w:val="righ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227,577</w:t>
            </w:r>
          </w:p>
        </w:tc>
        <w:tc>
          <w:tcPr>
            <w:tcW w:w="32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(with a vesting period of 0 to 4 years)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301,850</w:t>
            </w:r>
          </w:p>
        </w:tc>
        <w:tc>
          <w:tcPr>
            <w:tcW w:w="32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(414,314)</w:t>
            </w:r>
          </w:p>
        </w:tc>
        <w:tc>
          <w:tcPr>
            <w:tcW w:w="32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 (Note (ii))</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c>
          <w:tcPr>
            <w:tcW w:w="326" w:type="dxa"/>
            <w:tcBorders/>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110,463</w:t>
            </w:r>
          </w:p>
        </w:tc>
        <w:tc>
          <w:tcPr>
            <w:tcW w:w="326" w:type="dxa"/>
            <w:tcBorders/>
            <w:shd w:fill="CCEEFF" w:val="clear"/>
            <w:vAlign w:val="center"/>
          </w:tcPr>
          <w:p>
            <w:pPr>
              <w:pStyle w:val="TableContents"/>
              <w:bidi w:val="0"/>
              <w:spacing w:before="0" w:after="0"/>
              <w:ind w:left="0" w:right="0" w:hanging="0"/>
              <w:jc w:val="righ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at December 31, 2022</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92,900</w:t>
            </w:r>
          </w:p>
        </w:tc>
        <w:tc>
          <w:tcPr>
            <w:tcW w:w="326" w:type="dxa"/>
            <w:tcBorders/>
            <w:vAlign w:val="center"/>
          </w:tcPr>
          <w:p>
            <w:pPr>
              <w:pStyle w:val="TableContents"/>
              <w:bidi w:val="0"/>
              <w:spacing w:before="0" w:after="0"/>
              <w:ind w:left="0" w:right="0" w:hanging="0"/>
              <w:jc w:val="righ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17.91</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43"/>
        <w:gridCol w:w="9838"/>
      </w:tblGrid>
      <w:tr>
        <w:trPr/>
        <w:tc>
          <w:tcPr>
            <w:tcW w:w="124" w:type="dxa"/>
            <w:tcBorders/>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All share-based payments to employees are measured based on their grant-date fair values. Compensation expense is recognized based on the vesting schedule over the requisite service period. Total fair values and intrinsic value of RSUs vested and recognized as expenses for the years ended December 31, 2020, 2021 and 2022 were US$6,142, US$11,965</w:t>
            </w:r>
            <w:r>
              <w:rPr>
                <w:caps w:val="false"/>
                <w:smallCaps w:val="false"/>
              </w:rPr>
              <w:t xml:space="preserve"> </w:t>
            </w:r>
            <w:r>
              <w:rPr>
                <w:rFonts w:ascii="Times New Roman;Times;serif" w:hAnsi="Times New Roman;Times;serif"/>
                <w:b w:val="false"/>
                <w:i w:val="false"/>
                <w:caps w:val="false"/>
                <w:smallCaps w:val="false"/>
                <w:sz w:val="20"/>
              </w:rPr>
              <w:t>and US$3,794</w:t>
            </w:r>
            <w:r>
              <w:rPr>
                <w:caps w:val="false"/>
                <w:smallCaps w:val="false"/>
              </w:rPr>
              <w:t xml:space="preserve"> </w:t>
            </w:r>
            <w:r>
              <w:rPr>
                <w:rFonts w:ascii="Times New Roman;Times;serif" w:hAnsi="Times New Roman;Times;serif"/>
                <w:b w:val="false"/>
                <w:i w:val="false"/>
                <w:caps w:val="false"/>
                <w:smallCaps w:val="false"/>
                <w:sz w:val="20"/>
              </w:rPr>
              <w:t>respectively.</w:t>
            </w:r>
          </w:p>
        </w:tc>
      </w:tr>
    </w:tbl>
    <w:tbl>
      <w:tblPr>
        <w:tblW w:w="10205" w:type="dxa"/>
        <w:jc w:val="left"/>
        <w:tblInd w:w="0" w:type="dxa"/>
        <w:tblLayout w:type="fixed"/>
        <w:tblCellMar>
          <w:top w:w="28" w:type="dxa"/>
          <w:left w:w="28" w:type="dxa"/>
          <w:bottom w:w="28" w:type="dxa"/>
          <w:right w:w="28" w:type="dxa"/>
        </w:tblCellMar>
      </w:tblPr>
      <w:tblGrid>
        <w:gridCol w:w="124"/>
        <w:gridCol w:w="303"/>
        <w:gridCol w:w="9778"/>
      </w:tblGrid>
      <w:tr>
        <w:trPr/>
        <w:tc>
          <w:tcPr>
            <w:tcW w:w="124" w:type="dxa"/>
            <w:tcBorders/>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Forfeitures are estimated at the time of grant. If necessary, forfeitures are revised in subsequent periods if actual forfeitures differ from those estimates. Based upon the Company’s expected forfeitures for RSUs granted, the directors of the Company estimated that its future forfeiture rate would be 1%</w:t>
            </w:r>
            <w:r>
              <w:rPr>
                <w:caps w:val="false"/>
                <w:smallCaps w:val="false"/>
              </w:rPr>
              <w:t xml:space="preserve"> </w:t>
            </w:r>
            <w:r>
              <w:rPr>
                <w:rFonts w:ascii="Times New Roman;Times;serif" w:hAnsi="Times New Roman;Times;serif"/>
                <w:b w:val="false"/>
                <w:i w:val="false"/>
                <w:caps w:val="false"/>
                <w:smallCaps w:val="false"/>
                <w:sz w:val="20"/>
              </w:rPr>
              <w:t>for employees and 0%</w:t>
            </w:r>
            <w:r>
              <w:rPr>
                <w:caps w:val="false"/>
                <w:smallCaps w:val="false"/>
              </w:rPr>
              <w:t xml:space="preserve"> </w:t>
            </w:r>
            <w:r>
              <w:rPr>
                <w:rFonts w:ascii="Times New Roman;Times;serif" w:hAnsi="Times New Roman;Times;serif"/>
                <w:b w:val="false"/>
                <w:i w:val="false"/>
                <w:caps w:val="false"/>
                <w:smallCaps w:val="false"/>
                <w:sz w:val="20"/>
              </w:rPr>
              <w:t>for non-employees in 2020, 2021 and 2022,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3070" w:name="Tc_ia5CzTQ0-UuT2gwqzSV8LA_5_3"/>
      <w:bookmarkStart w:id="3071" w:name="Tc_5ff-52Vfv0KdU-O0HBGgjQ_5_0"/>
      <w:bookmarkStart w:id="3072" w:name="Tc_G6-g3NYkGUaDeACv2mjchQ_4_3"/>
      <w:bookmarkStart w:id="3073" w:name="Tc_m9J-TwICU0CyIITYo3q7-g_4_0"/>
      <w:bookmarkStart w:id="3074" w:name="Tc_BTv5zo1O90609WP3ikXcHg_3_3"/>
      <w:bookmarkStart w:id="3075" w:name="Tc_K4Cy_VRFhEK-ECJJD7LInQ_3_0"/>
      <w:bookmarkStart w:id="3076" w:name="Tc_8BEOU5HxlEesmNJaIZiURQ_2_3"/>
      <w:bookmarkStart w:id="3077" w:name="Tc_oeXXB-3ke064da7kCchsBg_2_0"/>
      <w:bookmarkStart w:id="3078" w:name="Tc_OIHKS9rEH0OsASNyjwLoog_1_3"/>
      <w:bookmarkStart w:id="3079" w:name="Tc_nHhbKe3CikeP4bTrK_ZG9w_1_0"/>
      <w:bookmarkStart w:id="3080" w:name="Tc_ia5CzTQ0-UuT2gwqzSV8LA_5_3"/>
      <w:bookmarkStart w:id="3081" w:name="Tc_5ff-52Vfv0KdU-O0HBGgjQ_5_0"/>
      <w:bookmarkStart w:id="3082" w:name="Tc_G6-g3NYkGUaDeACv2mjchQ_4_3"/>
      <w:bookmarkStart w:id="3083" w:name="Tc_m9J-TwICU0CyIITYo3q7-g_4_0"/>
      <w:bookmarkStart w:id="3084" w:name="Tc_BTv5zo1O90609WP3ikXcHg_3_3"/>
      <w:bookmarkStart w:id="3085" w:name="Tc_K4Cy_VRFhEK-ECJJD7LInQ_3_0"/>
      <w:bookmarkStart w:id="3086" w:name="Tc_8BEOU5HxlEesmNJaIZiURQ_2_3"/>
      <w:bookmarkStart w:id="3087" w:name="Tc_oeXXB-3ke064da7kCchsBg_2_0"/>
      <w:bookmarkStart w:id="3088" w:name="Tc_OIHKS9rEH0OsASNyjwLoog_1_3"/>
      <w:bookmarkStart w:id="3089" w:name="Tc_nHhbKe3CikeP4bTrK_ZG9w_1_0"/>
      <w:bookmarkEnd w:id="3080"/>
      <w:bookmarkEnd w:id="3081"/>
      <w:bookmarkEnd w:id="3082"/>
      <w:bookmarkEnd w:id="3083"/>
      <w:bookmarkEnd w:id="3084"/>
      <w:bookmarkEnd w:id="3085"/>
      <w:bookmarkEnd w:id="3086"/>
      <w:bookmarkEnd w:id="3087"/>
      <w:bookmarkEnd w:id="3088"/>
      <w:bookmarkEnd w:id="3089"/>
    </w:p>
    <w:tbl>
      <w:tblPr>
        <w:tblW w:w="3767" w:type="dxa"/>
        <w:jc w:val="left"/>
        <w:tblInd w:w="0" w:type="dxa"/>
        <w:tblLayout w:type="fixed"/>
        <w:tblCellMar>
          <w:top w:w="0" w:type="dxa"/>
          <w:left w:w="0" w:type="dxa"/>
          <w:bottom w:w="0" w:type="dxa"/>
          <w:right w:w="0" w:type="dxa"/>
        </w:tblCellMar>
      </w:tblPr>
      <w:tblGrid>
        <w:gridCol w:w="331"/>
        <w:gridCol w:w="343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34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 (Continued)</w:t>
            </w:r>
          </w:p>
        </w:tc>
      </w:tr>
    </w:tbl>
    <w:tbl>
      <w:tblPr>
        <w:tblW w:w="4037" w:type="dxa"/>
        <w:jc w:val="left"/>
        <w:tblInd w:w="0" w:type="dxa"/>
        <w:tblLayout w:type="fixed"/>
        <w:tblCellMar>
          <w:top w:w="0" w:type="dxa"/>
          <w:left w:w="0" w:type="dxa"/>
          <w:bottom w:w="0" w:type="dxa"/>
          <w:right w:w="0" w:type="dxa"/>
        </w:tblCellMar>
      </w:tblPr>
      <w:tblGrid>
        <w:gridCol w:w="346"/>
        <w:gridCol w:w="369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36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Post-IPO share incentive plan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 (Continued)</w:t>
      </w:r>
    </w:p>
    <w:tbl>
      <w:tblPr>
        <w:tblW w:w="10205" w:type="dxa"/>
        <w:jc w:val="left"/>
        <w:tblInd w:w="0" w:type="dxa"/>
        <w:tblLayout w:type="fixed"/>
        <w:tblCellMar>
          <w:top w:w="28" w:type="dxa"/>
          <w:left w:w="28" w:type="dxa"/>
          <w:bottom w:w="28" w:type="dxa"/>
          <w:right w:w="28" w:type="dxa"/>
        </w:tblCellMar>
      </w:tblPr>
      <w:tblGrid>
        <w:gridCol w:w="124"/>
        <w:gridCol w:w="351"/>
        <w:gridCol w:w="9730"/>
      </w:tblGrid>
      <w:tr>
        <w:trPr/>
        <w:tc>
          <w:tcPr>
            <w:tcW w:w="124" w:type="dxa"/>
            <w:tcBorders/>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3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years ended December 31, 2019 and 2020, the Company has granted RSUs which are subject to certain market conditions based on achievement of stock prices of the Company. The Company determines the fair value of these RSUs as of the date of grant or modification using the Monte Carlo simulation model</w:t>
            </w:r>
            <w:r>
              <w:rPr>
                <w:caps w:val="false"/>
                <w:smallCaps w:val="false"/>
              </w:rPr>
              <w:t xml:space="preserve"> </w:t>
            </w:r>
            <w:r>
              <w:rPr>
                <w:rFonts w:ascii="Times New Roman;Times;serif" w:hAnsi="Times New Roman;Times;serif"/>
                <w:b w:val="false"/>
                <w:i w:val="false"/>
                <w:caps w:val="false"/>
                <w:smallCaps w:val="false"/>
                <w:sz w:val="20"/>
              </w:rPr>
              <w:t>which utilizes multiple input variables to determine the stock-based compensation expense with the following assumptions: historical volatility ranging from 37.36%</w:t>
            </w:r>
            <w:r>
              <w:rPr>
                <w:caps w:val="false"/>
                <w:smallCaps w:val="false"/>
              </w:rPr>
              <w:t xml:space="preserve"> </w:t>
            </w:r>
            <w:r>
              <w:rPr>
                <w:rFonts w:ascii="Times New Roman;Times;serif" w:hAnsi="Times New Roman;Times;serif"/>
                <w:b w:val="false"/>
                <w:i w:val="false"/>
                <w:caps w:val="false"/>
                <w:smallCaps w:val="false"/>
                <w:sz w:val="20"/>
              </w:rPr>
              <w:t>to 62.89%, 0% dividend yield, and risk-free interest rates ranging from 0.1%%</w:t>
            </w:r>
            <w:r>
              <w:rPr>
                <w:caps w:val="false"/>
                <w:smallCaps w:val="false"/>
              </w:rPr>
              <w:t xml:space="preserve"> </w:t>
            </w:r>
            <w:r>
              <w:rPr>
                <w:rFonts w:ascii="Times New Roman;Times;serif" w:hAnsi="Times New Roman;Times;serif"/>
                <w:b w:val="false"/>
                <w:i w:val="false"/>
                <w:caps w:val="false"/>
                <w:smallCaps w:val="false"/>
                <w:sz w:val="20"/>
              </w:rPr>
              <w:t>to 1.67%. The historical volatility was based on the average volatility of the comparable companies for the most recent 1-year period as of the date of grant or modification. The stock price projection for the Company assumes a 0%</w:t>
            </w:r>
            <w:r>
              <w:rPr>
                <w:caps w:val="false"/>
                <w:smallCaps w:val="false"/>
              </w:rPr>
              <w:t xml:space="preserve"> </w:t>
            </w:r>
            <w:r>
              <w:rPr>
                <w:rFonts w:ascii="Times New Roman;Times;serif" w:hAnsi="Times New Roman;Times;serif"/>
                <w:b w:val="false"/>
                <w:i w:val="false"/>
                <w:caps w:val="false"/>
                <w:smallCaps w:val="false"/>
                <w:sz w:val="20"/>
              </w:rPr>
              <w:t>dividend yield. This is mathematically equivalent to reinvesting dividends in the issuing entity over the performance period. The risk-free interest rate is equal to the yield, as of the measurement date, of the zero-coupon U.S. Treasury bill that is commensurate with the remaining performance measurement period.</w:t>
            </w:r>
          </w:p>
        </w:tc>
      </w:tr>
    </w:tbl>
    <w:tbl>
      <w:tblPr>
        <w:tblW w:w="4352" w:type="dxa"/>
        <w:jc w:val="left"/>
        <w:tblInd w:w="0" w:type="dxa"/>
        <w:tblLayout w:type="fixed"/>
        <w:tblCellMar>
          <w:top w:w="0" w:type="dxa"/>
          <w:left w:w="0" w:type="dxa"/>
          <w:bottom w:w="0" w:type="dxa"/>
          <w:right w:w="0" w:type="dxa"/>
        </w:tblCellMar>
      </w:tblPr>
      <w:tblGrid>
        <w:gridCol w:w="331"/>
        <w:gridCol w:w="4021"/>
      </w:tblGrid>
      <w:tr>
        <w:trPr/>
        <w:tc>
          <w:tcPr>
            <w:tcW w:w="3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402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warrants to an external consultant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In 2019, pursuant to the agreement executed between the Company and an external consultant (“Warrant Agreement”), the Company shall issue warrants to purchase up to 4,651,162 ADSs (“Warrants”) to the external consultant in exchange for its financial advisory services which the Warrants shall be vested upon the completion of raising a minimum of US$20,000 by the Company through issuing convertible notes or any equivalent financial instruments. In 2022, as a result of the change in the ADS conversion ratio from one ADS representing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-half of Class A ordinary share to one ADS representing five Class A ordinary shares, the number of ADSs that can be purchased upon exercise of the warrants was changed from 4,651,162 ADSs to 11,627,905 ADSs.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On December 9, 2019, the Company, based on the Warrant Agreement, issued the Warrants to the external consultant as the Company was able to successfully issue the November 2019 Notes. The exercise period of the Warrants commenced on December 16, 2020 at an exercise price of US$4.30 per ADS and was expired on December 16, 2022. In accordance with ASC 718, the measurement date for the vested warrants was December 9, 2019. The warrants issued to the consultant are classified as equity awards and measured based on the measurement date fair value of US$0.709 per warrant. During the years ended December 31, 2020, 2021 and 2022, no warrants were exercised.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Since all of the warrants granted were immediately vested, compensation expense of US$3,298 was immediately recognized with a corresponding credit to additional paid-in capital during the year ended December 31, 2019.</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fair value of the warrants granted on December 9, 2019 was estimated by using the binomial option pricing model with the following assumptions:</w:t>
      </w:r>
    </w:p>
    <w:p>
      <w:pPr>
        <w:pStyle w:val="TextBody"/>
        <w:bidi w:val="0"/>
        <w:spacing w:before="0" w:after="0"/>
        <w:ind w:left="0" w:right="0" w:hanging="0"/>
        <w:jc w:val="left"/>
        <w:rPr/>
      </w:pPr>
      <w:r>
        <w:rPr/>
        <w:t>​</w:t>
      </w:r>
    </w:p>
    <w:tbl>
      <w:tblPr>
        <w:tblW w:w="3434" w:type="dxa"/>
        <w:jc w:val="left"/>
        <w:tblInd w:w="0" w:type="dxa"/>
        <w:tblLayout w:type="fixed"/>
        <w:tblCellMar>
          <w:top w:w="0" w:type="dxa"/>
          <w:left w:w="0" w:type="dxa"/>
          <w:bottom w:w="0" w:type="dxa"/>
          <w:right w:w="0" w:type="dxa"/>
        </w:tblCellMar>
      </w:tblPr>
      <w:tblGrid>
        <w:gridCol w:w="2131"/>
        <w:gridCol w:w="266"/>
        <w:gridCol w:w="466"/>
        <w:gridCol w:w="57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353185" cy="175260"/>
                      <wp:effectExtent l="0" t="0" r="0" b="0"/>
                      <wp:wrapNone/>
                      <wp:docPr id="686" name="Frame679"/>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168910" cy="175260"/>
                      <wp:effectExtent l="0" t="0" r="0" b="0"/>
                      <wp:wrapNone/>
                      <wp:docPr id="687" name="Frame68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95910" cy="175260"/>
                      <wp:effectExtent l="0" t="0" r="0" b="0"/>
                      <wp:wrapNone/>
                      <wp:docPr id="688" name="Frame68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362585" cy="175260"/>
                      <wp:effectExtent l="0" t="0" r="0" b="0"/>
                      <wp:wrapNone/>
                      <wp:docPr id="689" name="Frame6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266" w:type="dxa"/>
            <w:tcBorders/>
            <w:shd w:fill="CCEEFF" w:val="clear"/>
            <w:vAlign w:val="center"/>
          </w:tcPr>
          <w:p>
            <w:pPr>
              <w:pStyle w:val="TableContents"/>
              <w:bidi w:val="0"/>
              <w:spacing w:before="0" w:after="1"/>
              <w:ind w:left="0" w:right="0" w:hanging="0"/>
              <w:jc w:val="center"/>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26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266"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warrant life</w:t>
            </w:r>
          </w:p>
        </w:tc>
        <w:tc>
          <w:tcPr>
            <w:tcW w:w="26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forfeiture rate</w:t>
            </w:r>
          </w:p>
        </w:tc>
        <w:tc>
          <w:tcPr>
            <w:tcW w:w="26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F-72</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3090" w:name="Tc_BkeL0tkuqUy8OM0ng3Prhg_7_0"/>
      <w:bookmarkStart w:id="3091" w:name="Tc_Sgf17cpLOE2jorE9LmKrIA_6_0"/>
      <w:bookmarkStart w:id="3092" w:name="Tc_rtm_9h46O0euv_Nxa-m40A_5_0"/>
      <w:bookmarkStart w:id="3093" w:name="Tc_FOCohL2TrU2Gxuitt4NhEg_4_0"/>
      <w:bookmarkStart w:id="3094" w:name="Tc_sLj5HO8z_Ea1v18kKtMwUA_3_0"/>
      <w:bookmarkStart w:id="3095" w:name="Tc_WETf4ZtxLkOSF_lmFMaQPQ_2_6"/>
      <w:bookmarkStart w:id="3096" w:name="Tc_UJ7trSkeSEmu4DxtE0Cb6A_2_4"/>
      <w:bookmarkStart w:id="3097" w:name="Tc_Yiq0CzE2EkGwyX-Wxe8qvA_2_2"/>
      <w:bookmarkStart w:id="3098" w:name="Tc_Xvn5Wh2-l0aM3iL-OPLrjQ_1_2"/>
      <w:bookmarkStart w:id="3099" w:name="Tc_BkeL0tkuqUy8OM0ng3Prhg_7_0"/>
      <w:bookmarkStart w:id="3100" w:name="Tc_Sgf17cpLOE2jorE9LmKrIA_6_0"/>
      <w:bookmarkStart w:id="3101" w:name="Tc_rtm_9h46O0euv_Nxa-m40A_5_0"/>
      <w:bookmarkStart w:id="3102" w:name="Tc_FOCohL2TrU2Gxuitt4NhEg_4_0"/>
      <w:bookmarkStart w:id="3103" w:name="Tc_sLj5HO8z_Ea1v18kKtMwUA_3_0"/>
      <w:bookmarkStart w:id="3104" w:name="Tc_WETf4ZtxLkOSF_lmFMaQPQ_2_6"/>
      <w:bookmarkStart w:id="3105" w:name="Tc_UJ7trSkeSEmu4DxtE0Cb6A_2_4"/>
      <w:bookmarkStart w:id="3106" w:name="Tc_Yiq0CzE2EkGwyX-Wxe8qvA_2_2"/>
      <w:bookmarkStart w:id="3107" w:name="Tc_Xvn5Wh2-l0aM3iL-OPLrjQ_1_2"/>
      <w:bookmarkEnd w:id="3099"/>
      <w:bookmarkEnd w:id="3100"/>
      <w:bookmarkEnd w:id="3101"/>
      <w:bookmarkEnd w:id="3102"/>
      <w:bookmarkEnd w:id="3103"/>
      <w:bookmarkEnd w:id="3104"/>
      <w:bookmarkEnd w:id="3105"/>
      <w:bookmarkEnd w:id="3106"/>
      <w:bookmarkEnd w:id="3107"/>
    </w:p>
    <w:tbl>
      <w:tblPr>
        <w:tblW w:w="3767" w:type="dxa"/>
        <w:jc w:val="left"/>
        <w:tblInd w:w="0" w:type="dxa"/>
        <w:tblLayout w:type="fixed"/>
        <w:tblCellMar>
          <w:top w:w="0" w:type="dxa"/>
          <w:left w:w="0" w:type="dxa"/>
          <w:bottom w:w="0" w:type="dxa"/>
          <w:right w:w="0" w:type="dxa"/>
        </w:tblCellMar>
      </w:tblPr>
      <w:tblGrid>
        <w:gridCol w:w="331"/>
        <w:gridCol w:w="343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34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 (Continued)</w:t>
            </w:r>
          </w:p>
        </w:tc>
      </w:tr>
    </w:tbl>
    <w:p>
      <w:pPr>
        <w:pStyle w:val="TextBody"/>
        <w:bidi w:val="0"/>
        <w:spacing w:before="0" w:after="240"/>
        <w:ind w:left="720" w:right="0" w:hanging="0"/>
        <w:jc w:val="both"/>
        <w:rPr/>
      </w:pPr>
      <w:r>
        <w:rPr/>
        <w:t>​</w:t>
      </w:r>
    </w:p>
    <w:tbl>
      <w:tblPr>
        <w:tblW w:w="2912" w:type="dxa"/>
        <w:jc w:val="left"/>
        <w:tblInd w:w="0" w:type="dxa"/>
        <w:tblLayout w:type="fixed"/>
        <w:tblCellMar>
          <w:top w:w="0" w:type="dxa"/>
          <w:left w:w="0" w:type="dxa"/>
          <w:bottom w:w="0" w:type="dxa"/>
          <w:right w:w="0" w:type="dxa"/>
        </w:tblCellMar>
      </w:tblPr>
      <w:tblGrid>
        <w:gridCol w:w="346"/>
        <w:gridCol w:w="2566"/>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5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shares to Baozun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Pursuant to the share subscription agreement entered into between Baozun Inc. and iClick (Note 1(d)), Baozun has subscribed for 649,349 newly issued Class B ordinary shares. The Class B ordinary shares were issued to Baozun at US$26.52 per share, which was at discount as compared to the fair value of US$28.88 (i.e. based on the closing stock price as of the date of share issuance). The discount of US$1,530 represented an incentive to Baozun to enter into the strategic cooperation framework agreement with the Company, which was recognized as share-based compensation expense in the consolidated statements of comprehensive loss during the year ended December 31, 2021.</w:t>
      </w:r>
    </w:p>
    <w:tbl>
      <w:tblPr>
        <w:tblW w:w="3662" w:type="dxa"/>
        <w:jc w:val="left"/>
        <w:tblInd w:w="0" w:type="dxa"/>
        <w:tblLayout w:type="fixed"/>
        <w:tblCellMar>
          <w:top w:w="0" w:type="dxa"/>
          <w:left w:w="0" w:type="dxa"/>
          <w:bottom w:w="0" w:type="dxa"/>
          <w:right w:w="0" w:type="dxa"/>
        </w:tblCellMar>
      </w:tblPr>
      <w:tblGrid>
        <w:gridCol w:w="331"/>
        <w:gridCol w:w="3331"/>
      </w:tblGrid>
      <w:tr>
        <w:trPr/>
        <w:tc>
          <w:tcPr>
            <w:tcW w:w="3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33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share-based compensation costs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Total share-based compensation costs recognized for the years ended December 31, 2020, 2021 and 2022 are as follows:</w:t>
      </w:r>
    </w:p>
    <w:p>
      <w:pPr>
        <w:pStyle w:val="TextBody"/>
        <w:bidi w:val="0"/>
        <w:spacing w:before="0" w:after="0"/>
        <w:ind w:left="0" w:right="0" w:hanging="0"/>
        <w:jc w:val="left"/>
        <w:rPr/>
      </w:pPr>
      <w:r>
        <w:rPr/>
        <w:t>​</w:t>
      </w:r>
    </w:p>
    <w:tbl>
      <w:tblPr>
        <w:tblW w:w="5306" w:type="dxa"/>
        <w:jc w:val="left"/>
        <w:tblInd w:w="0" w:type="dxa"/>
        <w:tblLayout w:type="fixed"/>
        <w:tblCellMar>
          <w:top w:w="0" w:type="dxa"/>
          <w:left w:w="0" w:type="dxa"/>
          <w:bottom w:w="0" w:type="dxa"/>
          <w:right w:w="0" w:type="dxa"/>
        </w:tblCellMar>
      </w:tblPr>
      <w:tblGrid>
        <w:gridCol w:w="2311"/>
        <w:gridCol w:w="326"/>
        <w:gridCol w:w="621"/>
        <w:gridCol w:w="289"/>
        <w:gridCol w:w="735"/>
        <w:gridCol w:w="289"/>
        <w:gridCol w:w="735"/>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1467485" cy="175260"/>
                      <wp:effectExtent l="0" t="0" r="0" b="0"/>
                      <wp:wrapNone/>
                      <wp:docPr id="690" name="Frame68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07010" cy="175260"/>
                      <wp:effectExtent l="0" t="0" r="0" b="0"/>
                      <wp:wrapNone/>
                      <wp:docPr id="691" name="Frame6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394335" cy="175260"/>
                      <wp:effectExtent l="0" t="0" r="0" b="0"/>
                      <wp:wrapNone/>
                      <wp:docPr id="692" name="Frame685"/>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183515" cy="175260"/>
                      <wp:effectExtent l="0" t="0" r="0" b="0"/>
                      <wp:wrapNone/>
                      <wp:docPr id="693" name="Frame686"/>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466725" cy="175260"/>
                      <wp:effectExtent l="0" t="0" r="0" b="0"/>
                      <wp:wrapNone/>
                      <wp:docPr id="694" name="Frame687"/>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83515" cy="175260"/>
                      <wp:effectExtent l="0" t="0" r="0" b="0"/>
                      <wp:wrapNone/>
                      <wp:docPr id="695" name="Frame688"/>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466725" cy="175260"/>
                      <wp:effectExtent l="0" t="0" r="0" b="0"/>
                      <wp:wrapNone/>
                      <wp:docPr id="696" name="Frame689"/>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89" w:type="dxa"/>
            <w:tcBorders/>
            <w:vAlign w:val="center"/>
          </w:tcPr>
          <w:p>
            <w:pPr>
              <w:pStyle w:val="TableContents"/>
              <w:bidi w:val="0"/>
              <w:spacing w:before="0" w:after="0"/>
              <w:ind w:left="0" w:right="0" w:hanging="0"/>
              <w:jc w:val="center"/>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89" w:type="dxa"/>
            <w:tcBorders/>
            <w:vAlign w:val="center"/>
          </w:tcPr>
          <w:p>
            <w:pPr>
              <w:pStyle w:val="TableContents"/>
              <w:bidi w:val="0"/>
              <w:spacing w:before="0" w:after="0"/>
              <w:ind w:left="0" w:right="0" w:hanging="0"/>
              <w:jc w:val="center"/>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0"/>
              <w:ind w:left="0" w:right="0" w:hanging="0"/>
              <w:jc w:val="center"/>
              <w:rPr/>
            </w:pPr>
            <w:r>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89" w:type="dxa"/>
            <w:tcBorders/>
            <w:shd w:fill="CCEEFF" w:val="clear"/>
            <w:vAlign w:val="center"/>
          </w:tcPr>
          <w:p>
            <w:pPr>
              <w:pStyle w:val="TableContents"/>
              <w:bidi w:val="0"/>
              <w:spacing w:before="0" w:after="0"/>
              <w:ind w:left="0" w:right="0" w:hanging="0"/>
              <w:jc w:val="center"/>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89" w:type="dxa"/>
            <w:tcBorders/>
            <w:shd w:fill="CCEEFF" w:val="clear"/>
            <w:vAlign w:val="center"/>
          </w:tcPr>
          <w:p>
            <w:pPr>
              <w:pStyle w:val="TableContents"/>
              <w:bidi w:val="0"/>
              <w:spacing w:before="0" w:after="0"/>
              <w:ind w:left="0" w:right="0" w:hanging="0"/>
              <w:jc w:val="center"/>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289"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289"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2,707</w:t>
            </w:r>
          </w:p>
        </w:tc>
        <w:tc>
          <w:tcPr>
            <w:tcW w:w="289"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9,991</w:t>
            </w:r>
          </w:p>
        </w:tc>
        <w:tc>
          <w:tcPr>
            <w:tcW w:w="289"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w:t>
            </w:r>
          </w:p>
        </w:tc>
        <w:tc>
          <w:tcPr>
            <w:tcW w:w="289" w:type="dxa"/>
            <w:tcBorders/>
            <w:vAlign w:val="center"/>
          </w:tcPr>
          <w:p>
            <w:pPr>
              <w:pStyle w:val="TableContents"/>
              <w:bidi w:val="0"/>
              <w:spacing w:before="0" w:after="0"/>
              <w:ind w:left="0" w:right="0" w:hanging="0"/>
              <w:jc w:val="lef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w:t>
            </w:r>
          </w:p>
        </w:tc>
        <w:tc>
          <w:tcPr>
            <w:tcW w:w="289" w:type="dxa"/>
            <w:tcBorders/>
            <w:vAlign w:val="center"/>
          </w:tcPr>
          <w:p>
            <w:pPr>
              <w:pStyle w:val="TableContents"/>
              <w:bidi w:val="0"/>
              <w:spacing w:before="0" w:after="0"/>
              <w:ind w:left="0" w:right="0" w:hanging="0"/>
              <w:jc w:val="lef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6,249</w:t>
            </w:r>
          </w:p>
        </w:tc>
        <w:tc>
          <w:tcPr>
            <w:tcW w:w="289" w:type="dxa"/>
            <w:tcBorders/>
            <w:shd w:fill="CCEEFF" w:val="clear"/>
            <w:vAlign w:val="center"/>
          </w:tcPr>
          <w:p>
            <w:pPr>
              <w:pStyle w:val="TableContents"/>
              <w:bidi w:val="0"/>
              <w:spacing w:before="0" w:after="0"/>
              <w:ind w:left="0" w:right="0" w:hanging="0"/>
              <w:jc w:val="left"/>
              <w:rPr/>
            </w:pPr>
            <w:r>
              <w:rPr/>
              <w:t> </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13,499</w:t>
            </w:r>
          </w:p>
        </w:tc>
        <w:tc>
          <w:tcPr>
            <w:tcW w:w="289" w:type="dxa"/>
            <w:tcBorders/>
            <w:shd w:fill="CCEEFF" w:val="clear"/>
            <w:vAlign w:val="center"/>
          </w:tcPr>
          <w:p>
            <w:pPr>
              <w:pStyle w:val="TableContents"/>
              <w:bidi w:val="0"/>
              <w:spacing w:before="0" w:after="0"/>
              <w:ind w:left="0" w:right="0" w:hanging="0"/>
              <w:jc w:val="left"/>
              <w:rPr/>
            </w:pPr>
            <w:r>
              <w:rPr/>
              <w:t> </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3,794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108" w:name="Tc_uAnOknWTE0G4ccv5Q74oWA_11_0"/>
      <w:bookmarkStart w:id="3109" w:name="Tc_5yBdSVck7kqQjOieXmvxTg_10_0"/>
      <w:bookmarkStart w:id="3110" w:name="Tc_HIFen3dXE0mNKur2SSZZRA_9_0"/>
      <w:bookmarkStart w:id="3111" w:name="Tc_Tvd-A5_wJ0WRmO9ap8eIMA_8_2"/>
      <w:bookmarkStart w:id="3112" w:name="Tc_2yasK3WNv0yvxlP4NzmM5w_8_0"/>
      <w:bookmarkStart w:id="3113" w:name="Tc_TbE01N8BKki7cc2hTvDBUw_7_0"/>
      <w:bookmarkStart w:id="3114" w:name="Tc_U9qbNlygZkyNEZaPX64L4A_6_0"/>
      <w:bookmarkStart w:id="3115" w:name="Tc_BFMFnW2XeUCZ0zCW7lSW5w_5_0"/>
      <w:bookmarkStart w:id="3116" w:name="Tc_T51qFuNEtkudRmEnDuc_wg_4_0"/>
      <w:bookmarkStart w:id="3117" w:name="Tc_rCej5VgTeUym2uacp0QvNg_3_0"/>
      <w:bookmarkStart w:id="3118" w:name="Tc_kuawII3vvEWLhAudSecjZA_2_6"/>
      <w:bookmarkStart w:id="3119" w:name="Tc_QE1PIOYvUEeLhZhH3bVS8w_2_4"/>
      <w:bookmarkStart w:id="3120" w:name="Tc_44rq-IzKJEqzQ9NEWz4C1g_2_2"/>
      <w:bookmarkStart w:id="3121" w:name="Tc_WkNbo9wrdEe3ccBWb9qOHQ_1_2"/>
      <w:bookmarkStart w:id="3122" w:name="_d67d579c_c8ea_4d77_a971_ac87e97c832b"/>
      <w:bookmarkStart w:id="3123" w:name="Tc_uAnOknWTE0G4ccv5Q74oWA_11_0"/>
      <w:bookmarkStart w:id="3124" w:name="Tc_5yBdSVck7kqQjOieXmvxTg_10_0"/>
      <w:bookmarkStart w:id="3125" w:name="Tc_HIFen3dXE0mNKur2SSZZRA_9_0"/>
      <w:bookmarkStart w:id="3126" w:name="Tc_Tvd-A5_wJ0WRmO9ap8eIMA_8_2"/>
      <w:bookmarkStart w:id="3127" w:name="Tc_2yasK3WNv0yvxlP4NzmM5w_8_0"/>
      <w:bookmarkStart w:id="3128" w:name="Tc_TbE01N8BKki7cc2hTvDBUw_7_0"/>
      <w:bookmarkStart w:id="3129" w:name="Tc_U9qbNlygZkyNEZaPX64L4A_6_0"/>
      <w:bookmarkStart w:id="3130" w:name="Tc_BFMFnW2XeUCZ0zCW7lSW5w_5_0"/>
      <w:bookmarkStart w:id="3131" w:name="Tc_T51qFuNEtkudRmEnDuc_wg_4_0"/>
      <w:bookmarkStart w:id="3132" w:name="Tc_rCej5VgTeUym2uacp0QvNg_3_0"/>
      <w:bookmarkStart w:id="3133" w:name="Tc_kuawII3vvEWLhAudSecjZA_2_6"/>
      <w:bookmarkStart w:id="3134" w:name="Tc_QE1PIOYvUEeLhZhH3bVS8w_2_4"/>
      <w:bookmarkStart w:id="3135" w:name="Tc_44rq-IzKJEqzQ9NEWz4C1g_2_2"/>
      <w:bookmarkStart w:id="3136" w:name="Tc_WkNbo9wrdEe3ccBWb9qOHQ_1_2"/>
      <w:bookmarkStart w:id="3137" w:name="_d67d579c_c8ea_4d77_a971_ac87e97c832b"/>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p>
    <w:tbl>
      <w:tblPr>
        <w:tblW w:w="2477" w:type="dxa"/>
        <w:jc w:val="left"/>
        <w:tblInd w:w="0" w:type="dxa"/>
        <w:tblLayout w:type="fixed"/>
        <w:tblCellMar>
          <w:top w:w="0" w:type="dxa"/>
          <w:left w:w="0" w:type="dxa"/>
          <w:bottom w:w="0" w:type="dxa"/>
          <w:right w:w="0" w:type="dxa"/>
        </w:tblCellMar>
      </w:tblPr>
      <w:tblGrid>
        <w:gridCol w:w="331"/>
        <w:gridCol w:w="214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21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gains/(losses), net</w:t>
            </w:r>
          </w:p>
        </w:tc>
      </w:tr>
    </w:tbl>
    <w:p>
      <w:pPr>
        <w:pStyle w:val="TextBody"/>
        <w:bidi w:val="0"/>
        <w:spacing w:before="0" w:after="0"/>
        <w:ind w:left="0" w:right="0" w:hanging="0"/>
        <w:jc w:val="left"/>
        <w:rPr/>
      </w:pPr>
      <w:r>
        <w:rPr/>
        <w:t>​</w:t>
      </w:r>
    </w:p>
    <w:tbl>
      <w:tblPr>
        <w:tblW w:w="7540" w:type="dxa"/>
        <w:jc w:val="left"/>
        <w:tblInd w:w="0" w:type="dxa"/>
        <w:tblLayout w:type="fixed"/>
        <w:tblCellMar>
          <w:top w:w="0" w:type="dxa"/>
          <w:left w:w="0" w:type="dxa"/>
          <w:bottom w:w="0" w:type="dxa"/>
          <w:right w:w="0" w:type="dxa"/>
        </w:tblCellMar>
      </w:tblPr>
      <w:tblGrid>
        <w:gridCol w:w="4546"/>
        <w:gridCol w:w="326"/>
        <w:gridCol w:w="578"/>
        <w:gridCol w:w="269"/>
        <w:gridCol w:w="700"/>
        <w:gridCol w:w="269"/>
        <w:gridCol w:w="852"/>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886710" cy="175260"/>
                      <wp:effectExtent l="0" t="0" r="0" b="0"/>
                      <wp:wrapNone/>
                      <wp:docPr id="697" name="Frame690"/>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207010" cy="175260"/>
                      <wp:effectExtent l="0" t="0" r="0" b="0"/>
                      <wp:wrapNone/>
                      <wp:docPr id="698" name="Frame6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367030" cy="175260"/>
                      <wp:effectExtent l="0" t="0" r="0" b="0"/>
                      <wp:wrapNone/>
                      <wp:docPr id="699" name="Frame692"/>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70815" cy="175260"/>
                      <wp:effectExtent l="0" t="0" r="0" b="0"/>
                      <wp:wrapNone/>
                      <wp:docPr id="700" name="Frame693"/>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444500" cy="175260"/>
                      <wp:effectExtent l="0" t="0" r="0" b="0"/>
                      <wp:wrapNone/>
                      <wp:docPr id="701" name="Frame694"/>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170815" cy="175260"/>
                      <wp:effectExtent l="0" t="0" r="0" b="0"/>
                      <wp:wrapNone/>
                      <wp:docPr id="702" name="Frame695"/>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541020" cy="175260"/>
                      <wp:effectExtent l="0" t="0" r="0" b="0"/>
                      <wp:wrapNone/>
                      <wp:docPr id="703" name="Frame696"/>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69" w:type="dxa"/>
            <w:tcBorders/>
            <w:vAlign w:val="center"/>
          </w:tcPr>
          <w:p>
            <w:pPr>
              <w:pStyle w:val="TableContents"/>
              <w:bidi w:val="0"/>
              <w:spacing w:before="0" w:after="0"/>
              <w:ind w:left="0" w:right="0" w:hanging="0"/>
              <w:jc w:val="center"/>
              <w:rPr/>
            </w:pPr>
            <w:r>
              <w:rPr/>
              <w:t>   </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69" w:type="dxa"/>
            <w:tcBorders/>
            <w:vAlign w:val="center"/>
          </w:tcPr>
          <w:p>
            <w:pPr>
              <w:pStyle w:val="TableContents"/>
              <w:bidi w:val="0"/>
              <w:spacing w:before="0" w:after="0"/>
              <w:ind w:left="0" w:right="0" w:hanging="0"/>
              <w:jc w:val="center"/>
              <w:rPr/>
            </w:pPr>
            <w:r>
              <w:rPr/>
              <w:t>   </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exchange (loss)/gain</w:t>
            </w:r>
          </w:p>
        </w:tc>
        <w:tc>
          <w:tcPr>
            <w:tcW w:w="326" w:type="dxa"/>
            <w:tcBorders/>
            <w:shd w:fill="CCEEFF" w:val="clear"/>
            <w:vAlign w:val="center"/>
          </w:tcPr>
          <w:p>
            <w:pPr>
              <w:pStyle w:val="TableContents"/>
              <w:bidi w:val="0"/>
              <w:spacing w:before="0" w:after="0"/>
              <w:ind w:left="0" w:right="0" w:hanging="0"/>
              <w:jc w:val="center"/>
              <w:rPr/>
            </w:pPr>
            <w:r>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269" w:type="dxa"/>
            <w:tcBorders/>
            <w:shd w:fill="CCEEFF" w:val="clear"/>
            <w:vAlign w:val="center"/>
          </w:tcPr>
          <w:p>
            <w:pPr>
              <w:pStyle w:val="TableContents"/>
              <w:bidi w:val="0"/>
              <w:spacing w:before="0" w:after="0"/>
              <w:ind w:left="0" w:right="0" w:hanging="0"/>
              <w:jc w:val="right"/>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269" w:type="dxa"/>
            <w:tcBorders/>
            <w:shd w:fill="CCEEFF" w:val="clear"/>
            <w:vAlign w:val="center"/>
          </w:tcPr>
          <w:p>
            <w:pPr>
              <w:pStyle w:val="TableContents"/>
              <w:bidi w:val="0"/>
              <w:spacing w:before="0" w:after="0"/>
              <w:ind w:left="0" w:right="0" w:hanging="0"/>
              <w:jc w:val="right"/>
              <w:rPr/>
            </w:pPr>
            <w:r>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advances from customers (Note (i))</w:t>
            </w:r>
          </w:p>
        </w:tc>
        <w:tc>
          <w:tcPr>
            <w:tcW w:w="326" w:type="dxa"/>
            <w:tcBorders/>
            <w:vAlign w:val="center"/>
          </w:tcPr>
          <w:p>
            <w:pPr>
              <w:pStyle w:val="TableContents"/>
              <w:bidi w:val="0"/>
              <w:spacing w:before="0" w:after="0"/>
              <w:ind w:left="0" w:right="0" w:hanging="0"/>
              <w:jc w:val="center"/>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269" w:type="dxa"/>
            <w:tcBorders/>
            <w:vAlign w:val="center"/>
          </w:tcPr>
          <w:p>
            <w:pPr>
              <w:pStyle w:val="TableContents"/>
              <w:bidi w:val="0"/>
              <w:spacing w:before="0" w:after="0"/>
              <w:ind w:left="0" w:right="0" w:hanging="0"/>
              <w:jc w:val="righ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w:t>
            </w:r>
          </w:p>
        </w:tc>
        <w:tc>
          <w:tcPr>
            <w:tcW w:w="269" w:type="dxa"/>
            <w:tcBorders/>
            <w:vAlign w:val="center"/>
          </w:tcPr>
          <w:p>
            <w:pPr>
              <w:pStyle w:val="TableContents"/>
              <w:bidi w:val="0"/>
              <w:spacing w:before="0" w:after="0"/>
              <w:ind w:left="0" w:right="0" w:hanging="0"/>
              <w:jc w:val="right"/>
              <w:rPr/>
            </w:pPr>
            <w:r>
              <w:rPr/>
              <w:t>​</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subsidy income (Note (ii))</w:t>
            </w:r>
          </w:p>
        </w:tc>
        <w:tc>
          <w:tcPr>
            <w:tcW w:w="326"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w:t>
            </w:r>
          </w:p>
        </w:tc>
        <w:tc>
          <w:tcPr>
            <w:tcW w:w="269" w:type="dxa"/>
            <w:tcBorders/>
            <w:shd w:fill="CCEEFF" w:val="clear"/>
            <w:vAlign w:val="center"/>
          </w:tcPr>
          <w:p>
            <w:pPr>
              <w:pStyle w:val="TableContents"/>
              <w:bidi w:val="0"/>
              <w:spacing w:before="0" w:after="0"/>
              <w:ind w:left="0" w:right="0" w:hanging="0"/>
              <w:jc w:val="right"/>
              <w:rPr/>
            </w:pPr>
            <w:r>
              <w:rPr/>
              <w:t> </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3,281</w:t>
            </w:r>
          </w:p>
        </w:tc>
        <w:tc>
          <w:tcPr>
            <w:tcW w:w="269" w:type="dxa"/>
            <w:tcBorders/>
            <w:shd w:fill="CCEEFF" w:val="clear"/>
            <w:vAlign w:val="center"/>
          </w:tcPr>
          <w:p>
            <w:pPr>
              <w:pStyle w:val="TableContents"/>
              <w:bidi w:val="0"/>
              <w:spacing w:before="0" w:after="0"/>
              <w:ind w:left="0" w:right="0" w:hanging="0"/>
              <w:jc w:val="right"/>
              <w:rPr/>
            </w:pPr>
            <w:r>
              <w:rPr/>
              <w:t> </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ADR reimbursement from depositary bank</w:t>
            </w:r>
          </w:p>
        </w:tc>
        <w:tc>
          <w:tcPr>
            <w:tcW w:w="326"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269" w:type="dxa"/>
            <w:tcBorders/>
            <w:vAlign w:val="center"/>
          </w:tcPr>
          <w:p>
            <w:pPr>
              <w:pStyle w:val="TableContents"/>
              <w:bidi w:val="0"/>
              <w:spacing w:before="0" w:after="0"/>
              <w:ind w:left="0" w:right="0" w:hanging="0"/>
              <w:jc w:val="righ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269"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gains/(losses) on 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c>
          <w:tcPr>
            <w:tcW w:w="269" w:type="dxa"/>
            <w:tcBorders/>
            <w:shd w:fill="CCEEFF" w:val="clear"/>
            <w:vAlign w:val="center"/>
          </w:tcPr>
          <w:p>
            <w:pPr>
              <w:pStyle w:val="TableContents"/>
              <w:bidi w:val="0"/>
              <w:spacing w:before="0" w:after="0"/>
              <w:ind w:left="0" w:right="0" w:hanging="0"/>
              <w:jc w:val="right"/>
              <w:rPr/>
            </w:pPr>
            <w:r>
              <w:rPr/>
              <w:t> </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269" w:type="dxa"/>
            <w:tcBorders/>
            <w:shd w:fill="CCEEFF" w:val="clear"/>
            <w:vAlign w:val="center"/>
          </w:tcPr>
          <w:p>
            <w:pPr>
              <w:pStyle w:val="TableContents"/>
              <w:bidi w:val="0"/>
              <w:spacing w:before="0" w:after="0"/>
              <w:ind w:left="0" w:right="0" w:hanging="0"/>
              <w:jc w:val="right"/>
              <w:rPr/>
            </w:pPr>
            <w:r>
              <w:rPr/>
              <w:t> </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on long-term investments</w:t>
            </w:r>
          </w:p>
        </w:tc>
        <w:tc>
          <w:tcPr>
            <w:tcW w:w="326"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pPr>
            <w:r>
              <w:rPr/>
              <w:t>—</w:t>
            </w:r>
          </w:p>
        </w:tc>
        <w:tc>
          <w:tcPr>
            <w:tcW w:w="269" w:type="dxa"/>
            <w:tcBorders/>
            <w:vAlign w:val="center"/>
          </w:tcPr>
          <w:p>
            <w:pPr>
              <w:pStyle w:val="TableContents"/>
              <w:bidi w:val="0"/>
              <w:spacing w:before="0" w:after="0"/>
              <w:ind w:left="0" w:right="0" w:hanging="0"/>
              <w:jc w:val="righ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(4,038)</w:t>
            </w:r>
          </w:p>
        </w:tc>
        <w:tc>
          <w:tcPr>
            <w:tcW w:w="269" w:type="dxa"/>
            <w:tcBorders/>
            <w:vAlign w:val="center"/>
          </w:tcPr>
          <w:p>
            <w:pPr>
              <w:pStyle w:val="TableContents"/>
              <w:bidi w:val="0"/>
              <w:spacing w:before="0" w:after="0"/>
              <w:ind w:left="0" w:right="0" w:hanging="0"/>
              <w:jc w:val="right"/>
              <w:rPr/>
            </w:pPr>
            <w:r>
              <w:rPr/>
              <w:t> </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(10,805)</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 in contingent consideration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269" w:type="dxa"/>
            <w:tcBorders/>
            <w:shd w:fill="CCEEFF" w:val="clear"/>
            <w:vAlign w:val="center"/>
          </w:tcPr>
          <w:p>
            <w:pPr>
              <w:pStyle w:val="TableContents"/>
              <w:bidi w:val="0"/>
              <w:spacing w:before="0" w:after="0"/>
              <w:ind w:left="0" w:right="0" w:hanging="0"/>
              <w:jc w:val="right"/>
              <w:rPr/>
            </w:pPr>
            <w:r>
              <w:rPr/>
              <w:t> </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269" w:type="dxa"/>
            <w:tcBorders/>
            <w:shd w:fill="CCEEFF" w:val="clear"/>
            <w:vAlign w:val="center"/>
          </w:tcPr>
          <w:p>
            <w:pPr>
              <w:pStyle w:val="TableContents"/>
              <w:bidi w:val="0"/>
              <w:spacing w:before="0" w:after="0"/>
              <w:ind w:left="0" w:right="0" w:hanging="0"/>
              <w:jc w:val="right"/>
              <w:rPr/>
            </w:pPr>
            <w:r>
              <w:rPr/>
              <w:t> </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(8,396)</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269" w:type="dxa"/>
            <w:tcBorders/>
            <w:vAlign w:val="center"/>
          </w:tcPr>
          <w:p>
            <w:pPr>
              <w:pStyle w:val="TableContents"/>
              <w:bidi w:val="0"/>
              <w:spacing w:before="0" w:after="0"/>
              <w:ind w:left="0" w:right="0" w:hanging="0"/>
              <w:jc w:val="right"/>
              <w:rPr/>
            </w:pPr>
            <w:r>
              <w:rPr/>
              <w:t> </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269" w:type="dxa"/>
            <w:tcBorders/>
            <w:vAlign w:val="center"/>
          </w:tcPr>
          <w:p>
            <w:pPr>
              <w:pStyle w:val="TableContents"/>
              <w:bidi w:val="0"/>
              <w:spacing w:before="0" w:after="0"/>
              <w:ind w:left="0" w:right="0" w:hanging="0"/>
              <w:jc w:val="right"/>
              <w:rPr/>
            </w:pPr>
            <w:r>
              <w:rPr/>
              <w:t> </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5,852</w:t>
            </w:r>
          </w:p>
        </w:tc>
        <w:tc>
          <w:tcPr>
            <w:tcW w:w="269" w:type="dxa"/>
            <w:tcBorders/>
            <w:shd w:fill="CCEEFF" w:val="clear"/>
            <w:vAlign w:val="center"/>
          </w:tcPr>
          <w:p>
            <w:pPr>
              <w:pStyle w:val="TableContents"/>
              <w:bidi w:val="0"/>
              <w:spacing w:before="0" w:after="0"/>
              <w:ind w:left="0" w:right="0" w:hanging="0"/>
              <w:jc w:val="right"/>
              <w:rPr/>
            </w:pPr>
            <w:r>
              <w:rPr/>
              <w:t> </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269" w:type="dxa"/>
            <w:tcBorders/>
            <w:shd w:fill="CCEEFF" w:val="clear"/>
            <w:vAlign w:val="center"/>
          </w:tcPr>
          <w:p>
            <w:pPr>
              <w:pStyle w:val="TableContents"/>
              <w:bidi w:val="0"/>
              <w:spacing w:before="0" w:after="0"/>
              <w:ind w:left="0" w:right="0" w:hanging="0"/>
              <w:jc w:val="right"/>
              <w:rPr/>
            </w:pPr>
            <w:r>
              <w:rPr/>
              <w:t> </w:t>
            </w:r>
          </w:p>
        </w:tc>
        <w:tc>
          <w:tcPr>
            <w:tcW w:w="8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(19,165)</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61"/>
        <w:gridCol w:w="9820"/>
      </w:tblGrid>
      <w:tr>
        <w:trPr/>
        <w:tc>
          <w:tcPr>
            <w:tcW w:w="124" w:type="dxa"/>
            <w:tcBorders/>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forfeited advances from customers are recognized as other gains when the contractual obligation of the Company to provide the agreed services no longer existed legally due to passage of time.</w:t>
            </w:r>
          </w:p>
        </w:tc>
      </w:tr>
    </w:tbl>
    <w:tbl>
      <w:tblPr>
        <w:tblW w:w="10205" w:type="dxa"/>
        <w:jc w:val="left"/>
        <w:tblInd w:w="0" w:type="dxa"/>
        <w:tblLayout w:type="fixed"/>
        <w:tblCellMar>
          <w:top w:w="28" w:type="dxa"/>
          <w:left w:w="28" w:type="dxa"/>
          <w:bottom w:w="28" w:type="dxa"/>
          <w:right w:w="28" w:type="dxa"/>
        </w:tblCellMar>
      </w:tblPr>
      <w:tblGrid>
        <w:gridCol w:w="124"/>
        <w:gridCol w:w="310"/>
        <w:gridCol w:w="9771"/>
      </w:tblGrid>
      <w:tr>
        <w:trPr/>
        <w:tc>
          <w:tcPr>
            <w:tcW w:w="124" w:type="dxa"/>
            <w:tcBorders/>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Government subsidy income mainly includes the wage subsidy from the Hong Kong government in 2022 and an additional 10%</w:t>
            </w:r>
            <w:r>
              <w:rPr>
                <w:caps w:val="false"/>
                <w:smallCaps w:val="false"/>
              </w:rPr>
              <w:t xml:space="preserve"> </w:t>
            </w:r>
            <w:r>
              <w:rPr>
                <w:rFonts w:ascii="Times New Roman;Times;serif" w:hAnsi="Times New Roman;Times;serif"/>
                <w:b w:val="false"/>
                <w:i w:val="false"/>
                <w:caps w:val="false"/>
                <w:smallCaps w:val="false"/>
                <w:sz w:val="20"/>
              </w:rPr>
              <w:t>VAT super-credit subsidy from the PRC government to offset against VAT payable for the period from April 1, 2019 to December 31, 2022.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F-73</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1427" w:type="dxa"/>
        <w:jc w:val="left"/>
        <w:tblInd w:w="0" w:type="dxa"/>
        <w:tblLayout w:type="fixed"/>
        <w:tblCellMar>
          <w:top w:w="0" w:type="dxa"/>
          <w:left w:w="0" w:type="dxa"/>
          <w:bottom w:w="0" w:type="dxa"/>
          <w:right w:w="0" w:type="dxa"/>
        </w:tblCellMar>
      </w:tblPr>
      <w:tblGrid>
        <w:gridCol w:w="331"/>
        <w:gridCol w:w="109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10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w:t>
            </w:r>
          </w:p>
        </w:tc>
      </w:tr>
    </w:tbl>
    <w:tbl>
      <w:tblPr>
        <w:tblW w:w="4097" w:type="dxa"/>
        <w:jc w:val="left"/>
        <w:tblInd w:w="0" w:type="dxa"/>
        <w:tblLayout w:type="fixed"/>
        <w:tblCellMar>
          <w:top w:w="0" w:type="dxa"/>
          <w:left w:w="0" w:type="dxa"/>
          <w:bottom w:w="0" w:type="dxa"/>
          <w:right w:w="0" w:type="dxa"/>
        </w:tblCellMar>
      </w:tblPr>
      <w:tblGrid>
        <w:gridCol w:w="346"/>
        <w:gridCol w:w="375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37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Cayman Islands and British Virgin Islands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current tax laws of Cayman Islands, the Company and its subsidiaries are not subject to tax on income or capital gains. Besides, upon payment of dividends by the Company to its shareholders, no Cayman Islands withholding tax will be imposed.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subsidiaries incorporated in the British Virgin Islands are not subject to income or capital gains taxes, estate duty, inheritance tax or gift tax. In addition, payment of dividends to the shareholders of the Company’s subsidiaries in the British Virgin Islands are not subject to withholding tax in the British Virgin Islands.</w:t>
      </w:r>
    </w:p>
    <w:tbl>
      <w:tblPr>
        <w:tblW w:w="2387" w:type="dxa"/>
        <w:jc w:val="left"/>
        <w:tblInd w:w="0" w:type="dxa"/>
        <w:tblLayout w:type="fixed"/>
        <w:tblCellMar>
          <w:top w:w="0" w:type="dxa"/>
          <w:left w:w="0" w:type="dxa"/>
          <w:bottom w:w="0" w:type="dxa"/>
          <w:right w:w="0" w:type="dxa"/>
        </w:tblCellMar>
      </w:tblPr>
      <w:tblGrid>
        <w:gridCol w:w="346"/>
        <w:gridCol w:w="204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20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Hong Kong profits tax</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Entities incorporated in Hong Kong are subject to Hong Kong profits tax. Under the two- tiered profits tax rates regime, the first HK$2 million assessable profits of the qualifying group company are subject to Hong Kong profits tax at a rate of 8.25% and the remaining profits are subject at a rate of 16.5% on the estimated assessable profits. The profits of group entities not qualifying for the two-tiered profits tax rates regime will continue to be taxed at a flat rate of 16.5%.</w:t>
      </w:r>
    </w:p>
    <w:tbl>
      <w:tblPr>
        <w:tblW w:w="3602" w:type="dxa"/>
        <w:jc w:val="left"/>
        <w:tblInd w:w="0" w:type="dxa"/>
        <w:tblLayout w:type="fixed"/>
        <w:tblCellMar>
          <w:top w:w="0" w:type="dxa"/>
          <w:left w:w="0" w:type="dxa"/>
          <w:bottom w:w="0" w:type="dxa"/>
          <w:right w:w="0" w:type="dxa"/>
        </w:tblCellMar>
      </w:tblPr>
      <w:tblGrid>
        <w:gridCol w:w="331"/>
        <w:gridCol w:w="327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3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PRC Enterprise Income Tax (“EIT”)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subsidiaries, VIE and VIE’s subsidiaries in the PRC are governed by the Enterprise Income Tax Law (“EIT Law”). Pursuant to the EIT Law and its implementation rules, enterprises in the PRC are generally subjected to tax at a statutory rate of 25%.</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High and new technology enterprises (“HNTE”) will enjoy a preferential enterprise income tax rate of 15% under the EIT Law. Some of the Company’s subsidiaries and a VIE’s subsidiary in the PRC are qualified as a HNTE under the EIT Law which are eligible for a preferential enterprise income tax rate of 15% for a period of three years so long as these entities obtain approval from relevant tax authority if they are profitable during the period.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Although there are undistributed earnings of the Company’s subsidiaries in the PRC that are available for distribution to the Company, the undistributed earnings of the Company’s subsidiaries located in the PRC are considered to be indefinitely reinvested, because the Company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PRC dividend withholding taxes that would be payable upon the distribution of those amounts to the Company as of December 31, 2021 and 2022. The undistributed earnings from the Company’s subsidiaries in the PRC as of December 31, 2021 and 2022 of US$1,324 and US$1,087 would be due if these earnings were remitted as dividends as of December 31, 2021 and 2022. An estimated foreign withholding taxes of US$66 and US$54 would be due if these earnings were remitted as dividends as of December 31, 2021 and 2022,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F-74</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3138" w:name="Tc_ai5-BolIak27pxdVUl9Ltw_6_0"/>
      <w:bookmarkStart w:id="3139" w:name="Tc_fkYYpdSFhEuYeQLvbUoOfQ_5_0"/>
      <w:bookmarkStart w:id="3140" w:name="Tc_WUOkXKUJlUS-B2eXcmBcwA_4_0"/>
      <w:bookmarkStart w:id="3141" w:name="Tc_XPaUW5KAq0SmIcEC7zfWeA_3_0"/>
      <w:bookmarkStart w:id="3142" w:name="Tc_gMdPrpjMcku5md5mBAvOqA_2_0"/>
      <w:bookmarkStart w:id="3143" w:name="Tc_DtZXh1n3nkeluo6Ah2FsEA_1_0"/>
      <w:bookmarkStart w:id="3144" w:name="Tc_rvIkQj2F9EyRfx5O8FvfRg_12_0"/>
      <w:bookmarkStart w:id="3145" w:name="Tc_h3WR5SShU0qJeb79Y1VQ7A_11_0"/>
      <w:bookmarkStart w:id="3146" w:name="Tc_u5fiQP4dkEyr8Ox5MgdVrg_10_0"/>
      <w:bookmarkStart w:id="3147" w:name="Tc_SJEp7e2AbU6zhq9qncQLMA_9_0"/>
      <w:bookmarkStart w:id="3148" w:name="Tc_oPPbuya59Umo37x5mT7Vpg_7_0"/>
      <w:bookmarkStart w:id="3149" w:name="Tc_V8HxWBocAU6mZmNAomAVcg_6_4"/>
      <w:bookmarkStart w:id="3150" w:name="Tc_qJRankc1CkeJEL2rDpkW9g_6_0"/>
      <w:bookmarkStart w:id="3151" w:name="Tc_e5vHuin33kC-hC4JpQ_gAg_5_0"/>
      <w:bookmarkStart w:id="3152" w:name="Tc_d0Zp9YH0eUCF3vAPzSHduQ_4_0"/>
      <w:bookmarkStart w:id="3153" w:name="Tc_bSTdr0rIeUuQTUFgUPet-w_3_0"/>
      <w:bookmarkStart w:id="3154" w:name="Tc_l_Pmy57_LE2zYrux21HVkw_2_4"/>
      <w:bookmarkStart w:id="3155" w:name="Tc_nBCgH_ieP0yVsJrTZOH90g_2_2"/>
      <w:bookmarkStart w:id="3156" w:name="Tc_Akj27bs6skK7Cw61vbbAjw_1_2"/>
      <w:bookmarkStart w:id="3157" w:name="Tc_HYLlzb0NUkKU8ocjd0xcRQ_5_0"/>
      <w:bookmarkStart w:id="3158" w:name="Tc_d-aBat-XgkWVvKMMYopJMA_4_0"/>
      <w:bookmarkStart w:id="3159" w:name="Tc_xoVGjqFq2kyW94CWFfiiKg_3_0"/>
      <w:bookmarkStart w:id="3160" w:name="Tc_DqXqouStMk-FPkDY9TMNrQ_2_6"/>
      <w:bookmarkStart w:id="3161" w:name="Tc_Jdz9KrkKjUWD_-xfRZTFIQ_2_4"/>
      <w:bookmarkStart w:id="3162" w:name="Tc_9YJvSFeybEOt1Kp6zzNIiw_2_2"/>
      <w:bookmarkStart w:id="3163" w:name="Tc_wC_TqFBQn0ieIyqyjZehkw_1_2"/>
      <w:bookmarkStart w:id="3164" w:name="Tc_ai5-BolIak27pxdVUl9Ltw_6_0"/>
      <w:bookmarkStart w:id="3165" w:name="Tc_fkYYpdSFhEuYeQLvbUoOfQ_5_0"/>
      <w:bookmarkStart w:id="3166" w:name="Tc_WUOkXKUJlUS-B2eXcmBcwA_4_0"/>
      <w:bookmarkStart w:id="3167" w:name="Tc_XPaUW5KAq0SmIcEC7zfWeA_3_0"/>
      <w:bookmarkStart w:id="3168" w:name="Tc_gMdPrpjMcku5md5mBAvOqA_2_0"/>
      <w:bookmarkStart w:id="3169" w:name="Tc_DtZXh1n3nkeluo6Ah2FsEA_1_0"/>
      <w:bookmarkStart w:id="3170" w:name="Tc_rvIkQj2F9EyRfx5O8FvfRg_12_0"/>
      <w:bookmarkStart w:id="3171" w:name="Tc_h3WR5SShU0qJeb79Y1VQ7A_11_0"/>
      <w:bookmarkStart w:id="3172" w:name="Tc_u5fiQP4dkEyr8Ox5MgdVrg_10_0"/>
      <w:bookmarkStart w:id="3173" w:name="Tc_SJEp7e2AbU6zhq9qncQLMA_9_0"/>
      <w:bookmarkStart w:id="3174" w:name="Tc_oPPbuya59Umo37x5mT7Vpg_7_0"/>
      <w:bookmarkStart w:id="3175" w:name="Tc_V8HxWBocAU6mZmNAomAVcg_6_4"/>
      <w:bookmarkStart w:id="3176" w:name="Tc_qJRankc1CkeJEL2rDpkW9g_6_0"/>
      <w:bookmarkStart w:id="3177" w:name="Tc_e5vHuin33kC-hC4JpQ_gAg_5_0"/>
      <w:bookmarkStart w:id="3178" w:name="Tc_d0Zp9YH0eUCF3vAPzSHduQ_4_0"/>
      <w:bookmarkStart w:id="3179" w:name="Tc_bSTdr0rIeUuQTUFgUPet-w_3_0"/>
      <w:bookmarkStart w:id="3180" w:name="Tc_l_Pmy57_LE2zYrux21HVkw_2_4"/>
      <w:bookmarkStart w:id="3181" w:name="Tc_nBCgH_ieP0yVsJrTZOH90g_2_2"/>
      <w:bookmarkStart w:id="3182" w:name="Tc_Akj27bs6skK7Cw61vbbAjw_1_2"/>
      <w:bookmarkStart w:id="3183" w:name="Tc_HYLlzb0NUkKU8ocjd0xcRQ_5_0"/>
      <w:bookmarkStart w:id="3184" w:name="Tc_d-aBat-XgkWVvKMMYopJMA_4_0"/>
      <w:bookmarkStart w:id="3185" w:name="Tc_xoVGjqFq2kyW94CWFfiiKg_3_0"/>
      <w:bookmarkStart w:id="3186" w:name="Tc_DqXqouStMk-FPkDY9TMNrQ_2_6"/>
      <w:bookmarkStart w:id="3187" w:name="Tc_Jdz9KrkKjUWD_-xfRZTFIQ_2_4"/>
      <w:bookmarkStart w:id="3188" w:name="Tc_9YJvSFeybEOt1Kp6zzNIiw_2_2"/>
      <w:bookmarkStart w:id="3189" w:name="Tc_wC_TqFBQn0ieIyqyjZehkw_1_2"/>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p>
    <w:tbl>
      <w:tblPr>
        <w:tblW w:w="2462" w:type="dxa"/>
        <w:jc w:val="left"/>
        <w:tblInd w:w="0" w:type="dxa"/>
        <w:tblLayout w:type="fixed"/>
        <w:tblCellMar>
          <w:top w:w="0" w:type="dxa"/>
          <w:left w:w="0" w:type="dxa"/>
          <w:bottom w:w="0" w:type="dxa"/>
          <w:right w:w="0" w:type="dxa"/>
        </w:tblCellMar>
      </w:tblPr>
      <w:tblGrid>
        <w:gridCol w:w="331"/>
        <w:gridCol w:w="213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21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 (Continued)</w:t>
            </w:r>
          </w:p>
        </w:tc>
      </w:tr>
    </w:tbl>
    <w:tbl>
      <w:tblPr>
        <w:tblW w:w="3467" w:type="dxa"/>
        <w:jc w:val="left"/>
        <w:tblInd w:w="0" w:type="dxa"/>
        <w:tblLayout w:type="fixed"/>
        <w:tblCellMar>
          <w:top w:w="0" w:type="dxa"/>
          <w:left w:w="0" w:type="dxa"/>
          <w:bottom w:w="0" w:type="dxa"/>
          <w:right w:w="0" w:type="dxa"/>
        </w:tblCellMar>
      </w:tblPr>
      <w:tblGrid>
        <w:gridCol w:w="346"/>
        <w:gridCol w:w="312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31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Composition of income tax expense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current and deferred portions of income tax expense included in the consolidated statements of comprehensive loss are as follows:</w:t>
      </w:r>
    </w:p>
    <w:p>
      <w:pPr>
        <w:pStyle w:val="TextBody"/>
        <w:bidi w:val="0"/>
        <w:spacing w:before="0" w:after="0"/>
        <w:ind w:left="0" w:right="0" w:hanging="0"/>
        <w:jc w:val="left"/>
        <w:rPr/>
      </w:pPr>
      <w:r>
        <w:rPr/>
        <w:t>​</w:t>
      </w:r>
    </w:p>
    <w:tbl>
      <w:tblPr>
        <w:tblW w:w="5380" w:type="dxa"/>
        <w:jc w:val="left"/>
        <w:tblInd w:w="0" w:type="dxa"/>
        <w:tblLayout w:type="fixed"/>
        <w:tblCellMar>
          <w:top w:w="0" w:type="dxa"/>
          <w:left w:w="0" w:type="dxa"/>
          <w:bottom w:w="0" w:type="dxa"/>
          <w:right w:w="0" w:type="dxa"/>
        </w:tblCellMar>
      </w:tblPr>
      <w:tblGrid>
        <w:gridCol w:w="2386"/>
        <w:gridCol w:w="326"/>
        <w:gridCol w:w="700"/>
        <w:gridCol w:w="269"/>
        <w:gridCol w:w="578"/>
        <w:gridCol w:w="269"/>
        <w:gridCol w:w="852"/>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1515110" cy="175260"/>
                      <wp:effectExtent l="0" t="0" r="0" b="0"/>
                      <wp:wrapNone/>
                      <wp:docPr id="704" name="Frame697"/>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07010" cy="175260"/>
                      <wp:effectExtent l="0" t="0" r="0" b="0"/>
                      <wp:wrapNone/>
                      <wp:docPr id="705" name="Frame6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444500" cy="175260"/>
                      <wp:effectExtent l="0" t="0" r="0" b="0"/>
                      <wp:wrapNone/>
                      <wp:docPr id="706" name="Frame699"/>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170815" cy="175260"/>
                      <wp:effectExtent l="0" t="0" r="0" b="0"/>
                      <wp:wrapNone/>
                      <wp:docPr id="707" name="Frame700"/>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367030" cy="175260"/>
                      <wp:effectExtent l="0" t="0" r="0" b="0"/>
                      <wp:wrapNone/>
                      <wp:docPr id="708" name="Frame701"/>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170815" cy="175260"/>
                      <wp:effectExtent l="0" t="0" r="0" b="0"/>
                      <wp:wrapNone/>
                      <wp:docPr id="709" name="Frame702"/>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541020" cy="175260"/>
                      <wp:effectExtent l="0" t="0" r="0" b="0"/>
                      <wp:wrapNone/>
                      <wp:docPr id="710" name="Frame703"/>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69" w:type="dxa"/>
            <w:tcBorders/>
            <w:vAlign w:val="center"/>
          </w:tcPr>
          <w:p>
            <w:pPr>
              <w:pStyle w:val="TableContents"/>
              <w:bidi w:val="0"/>
              <w:spacing w:before="0" w:after="0"/>
              <w:ind w:left="0" w:right="0" w:hanging="0"/>
              <w:jc w:val="center"/>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69" w:type="dxa"/>
            <w:tcBorders/>
            <w:vAlign w:val="center"/>
          </w:tcPr>
          <w:p>
            <w:pPr>
              <w:pStyle w:val="TableContents"/>
              <w:bidi w:val="0"/>
              <w:spacing w:before="0" w:after="0"/>
              <w:ind w:left="0" w:right="0" w:hanging="0"/>
              <w:jc w:val="center"/>
              <w:rPr/>
            </w:pPr>
            <w:r>
              <w:rPr/>
              <w:t>   </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 expense</w:t>
            </w:r>
          </w:p>
        </w:tc>
        <w:tc>
          <w:tcPr>
            <w:tcW w:w="326" w:type="dxa"/>
            <w:tcBorders/>
            <w:shd w:fill="CCEEFF" w:val="clear"/>
            <w:vAlign w:val="center"/>
          </w:tcPr>
          <w:p>
            <w:pPr>
              <w:pStyle w:val="TableContents"/>
              <w:bidi w:val="0"/>
              <w:spacing w:before="0" w:after="0"/>
              <w:ind w:left="0" w:right="0" w:hanging="0"/>
              <w:jc w:val="center"/>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2,784</w:t>
            </w:r>
          </w:p>
        </w:tc>
        <w:tc>
          <w:tcPr>
            <w:tcW w:w="269" w:type="dxa"/>
            <w:tcBorders/>
            <w:shd w:fill="CCEEFF" w:val="clear"/>
            <w:vAlign w:val="center"/>
          </w:tcPr>
          <w:p>
            <w:pPr>
              <w:pStyle w:val="TableContents"/>
              <w:bidi w:val="0"/>
              <w:spacing w:before="0" w:after="0"/>
              <w:ind w:left="0" w:right="0" w:hanging="0"/>
              <w:jc w:val="right"/>
              <w:rPr/>
            </w:pPr>
            <w:r>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w:t>
            </w:r>
          </w:p>
        </w:tc>
        <w:tc>
          <w:tcPr>
            <w:tcW w:w="269" w:type="dxa"/>
            <w:tcBorders/>
            <w:shd w:fill="CCEEFF" w:val="clear"/>
            <w:vAlign w:val="center"/>
          </w:tcPr>
          <w:p>
            <w:pPr>
              <w:pStyle w:val="TableContents"/>
              <w:bidi w:val="0"/>
              <w:spacing w:before="0" w:after="0"/>
              <w:ind w:left="0" w:right="0" w:hanging="0"/>
              <w:jc w:val="right"/>
              <w:rPr/>
            </w:pPr>
            <w:r>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benefits</w:t>
            </w:r>
          </w:p>
        </w:tc>
        <w:tc>
          <w:tcPr>
            <w:tcW w:w="326" w:type="dxa"/>
            <w:tcBorders/>
            <w:vAlign w:val="center"/>
          </w:tcPr>
          <w:p>
            <w:pPr>
              <w:pStyle w:val="TableContents"/>
              <w:bidi w:val="0"/>
              <w:spacing w:before="0" w:after="0"/>
              <w:ind w:left="0" w:right="0" w:hanging="0"/>
              <w:jc w:val="center"/>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w:t>
            </w:r>
          </w:p>
        </w:tc>
        <w:tc>
          <w:tcPr>
            <w:tcW w:w="269" w:type="dxa"/>
            <w:tcBorders/>
            <w:vAlign w:val="center"/>
          </w:tcPr>
          <w:p>
            <w:pPr>
              <w:pStyle w:val="TableContents"/>
              <w:bidi w:val="0"/>
              <w:spacing w:before="0" w:after="0"/>
              <w:ind w:left="0" w:right="0" w:hanging="0"/>
              <w:jc w:val="righ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269" w:type="dxa"/>
            <w:tcBorders/>
            <w:vAlign w:val="center"/>
          </w:tcPr>
          <w:p>
            <w:pPr>
              <w:pStyle w:val="TableContents"/>
              <w:bidi w:val="0"/>
              <w:spacing w:before="0" w:after="0"/>
              <w:ind w:left="0" w:right="0" w:hanging="0"/>
              <w:jc w:val="right"/>
              <w:rPr/>
            </w:pPr>
            <w:r>
              <w:rPr/>
              <w:t>​</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(11,557)</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expense/(credit)</w:t>
            </w:r>
          </w:p>
        </w:tc>
        <w:tc>
          <w:tcPr>
            <w:tcW w:w="326" w:type="dxa"/>
            <w:tcBorders/>
            <w:shd w:fill="CCEEFF" w:val="clear"/>
            <w:vAlign w:val="center"/>
          </w:tcPr>
          <w:p>
            <w:pPr>
              <w:pStyle w:val="TableContents"/>
              <w:bidi w:val="0"/>
              <w:spacing w:before="0" w:after="0"/>
              <w:ind w:left="0" w:right="0" w:hanging="0"/>
              <w:jc w:val="left"/>
              <w:rPr/>
            </w:pPr>
            <w:r>
              <w:rPr/>
              <w:t> </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269" w:type="dxa"/>
            <w:tcBorders/>
            <w:shd w:fill="CCEEFF" w:val="clear"/>
            <w:vAlign w:val="center"/>
          </w:tcPr>
          <w:p>
            <w:pPr>
              <w:pStyle w:val="TableContents"/>
              <w:bidi w:val="0"/>
              <w:spacing w:before="0" w:after="0"/>
              <w:ind w:left="0" w:right="0" w:hanging="0"/>
              <w:jc w:val="righ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269" w:type="dxa"/>
            <w:tcBorders/>
            <w:shd w:fill="CCEEFF" w:val="clear"/>
            <w:vAlign w:val="center"/>
          </w:tcPr>
          <w:p>
            <w:pPr>
              <w:pStyle w:val="TableContents"/>
              <w:bidi w:val="0"/>
              <w:spacing w:before="0" w:after="0"/>
              <w:ind w:left="0" w:right="0" w:hanging="0"/>
              <w:jc w:val="right"/>
              <w:rPr/>
            </w:pPr>
            <w:r>
              <w:rPr/>
              <w:t> </w:t>
            </w:r>
          </w:p>
        </w:tc>
        <w:tc>
          <w:tcPr>
            <w:tcW w:w="8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w:t>
            </w:r>
          </w:p>
        </w:tc>
      </w:tr>
    </w:tbl>
    <w:p>
      <w:pPr>
        <w:pStyle w:val="TextBody"/>
        <w:bidi w:val="0"/>
        <w:spacing w:before="0" w:after="0"/>
        <w:ind w:left="0" w:right="0" w:hanging="0"/>
        <w:jc w:val="left"/>
        <w:rPr/>
      </w:pPr>
      <w:r>
        <w:rPr/>
        <w:t>​</w:t>
      </w:r>
    </w:p>
    <w:tbl>
      <w:tblPr>
        <w:tblW w:w="3272" w:type="dxa"/>
        <w:jc w:val="left"/>
        <w:tblInd w:w="0" w:type="dxa"/>
        <w:tblLayout w:type="fixed"/>
        <w:tblCellMar>
          <w:top w:w="0" w:type="dxa"/>
          <w:left w:w="0" w:type="dxa"/>
          <w:bottom w:w="0" w:type="dxa"/>
          <w:right w:w="0" w:type="dxa"/>
        </w:tblCellMar>
      </w:tblPr>
      <w:tblGrid>
        <w:gridCol w:w="331"/>
        <w:gridCol w:w="294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29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Deferred tax assets and liabilities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Deferred taxes were measured using the enacted tax rates for the periods in which they are expected to be reversed. The tax effects of temporary differences that give rise to the deferred tax asset and deferred tax liability balances as of December 31, 2021 and 2022 are as follows:</w:t>
      </w:r>
    </w:p>
    <w:p>
      <w:pPr>
        <w:pStyle w:val="TextBody"/>
        <w:bidi w:val="0"/>
        <w:spacing w:before="0" w:after="0"/>
        <w:ind w:left="0" w:right="0" w:hanging="0"/>
        <w:jc w:val="left"/>
        <w:rPr/>
      </w:pPr>
      <w:r>
        <w:rPr/>
        <w:t>​</w:t>
      </w:r>
    </w:p>
    <w:tbl>
      <w:tblPr>
        <w:tblW w:w="5590" w:type="dxa"/>
        <w:jc w:val="left"/>
        <w:tblInd w:w="0" w:type="dxa"/>
        <w:tblLayout w:type="fixed"/>
        <w:tblCellMar>
          <w:top w:w="0" w:type="dxa"/>
          <w:left w:w="0" w:type="dxa"/>
          <w:bottom w:w="0" w:type="dxa"/>
          <w:right w:w="0" w:type="dxa"/>
        </w:tblCellMar>
      </w:tblPr>
      <w:tblGrid>
        <w:gridCol w:w="3466"/>
        <w:gridCol w:w="326"/>
        <w:gridCol w:w="796"/>
        <w:gridCol w:w="266"/>
        <w:gridCol w:w="73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2200910" cy="175260"/>
                      <wp:effectExtent l="0" t="0" r="0" b="0"/>
                      <wp:wrapNone/>
                      <wp:docPr id="711" name="Frame704"/>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07010" cy="175260"/>
                      <wp:effectExtent l="0" t="0" r="0" b="0"/>
                      <wp:wrapNone/>
                      <wp:docPr id="712" name="Frame7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505460" cy="175260"/>
                      <wp:effectExtent l="0" t="0" r="0" b="0"/>
                      <wp:wrapNone/>
                      <wp:docPr id="713" name="Frame70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168910" cy="175260"/>
                      <wp:effectExtent l="0" t="0" r="0" b="0"/>
                      <wp:wrapNone/>
                      <wp:docPr id="714" name="Frame70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467360" cy="175260"/>
                      <wp:effectExtent l="0" t="0" r="0" b="0"/>
                      <wp:wrapNone/>
                      <wp:docPr id="715" name="Frame70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6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  </w:t>
            </w:r>
          </w:p>
        </w:tc>
        <w:tc>
          <w:tcPr>
            <w:tcW w:w="266"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losses carried forward (Note (i))</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26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9,438</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payments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26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Temporary difference on deferred income</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26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 (Note (ii))</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26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(9,438)</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c>
          <w:tcPr>
            <w:tcW w:w="26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lef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intangible assets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(12,993)</w:t>
            </w:r>
          </w:p>
        </w:tc>
        <w:tc>
          <w:tcPr>
            <w:tcW w:w="26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Outside basis difference (Note (iii))</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26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26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(13,378)</w:t>
            </w:r>
          </w:p>
        </w:tc>
        <w:tc>
          <w:tcPr>
            <w:tcW w:w="266" w:type="dxa"/>
            <w:tcBorders/>
            <w:shd w:fill="CCEEFF" w:val="clear"/>
            <w:vAlign w:val="center"/>
          </w:tcPr>
          <w:p>
            <w:pPr>
              <w:pStyle w:val="TableContents"/>
              <w:bidi w:val="0"/>
              <w:spacing w:before="0" w:after="0"/>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tbl>
      <w:tblPr>
        <w:tblW w:w="2496" w:type="dxa"/>
        <w:jc w:val="left"/>
        <w:tblInd w:w="0" w:type="dxa"/>
        <w:tblLayout w:type="fixed"/>
        <w:tblCellMar>
          <w:top w:w="0" w:type="dxa"/>
          <w:left w:w="0" w:type="dxa"/>
          <w:bottom w:w="0" w:type="dxa"/>
          <w:right w:w="0" w:type="dxa"/>
        </w:tblCellMar>
      </w:tblPr>
      <w:tblGrid>
        <w:gridCol w:w="124"/>
        <w:gridCol w:w="28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20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Tax loss carried forward</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As of December 31, 2022, the Group had tax loss carryforwards of approximately US$47,071, which can be carried forward to offset future taxable income. The net operating tax loss carryforwards will begin to expire as follows:</w:t>
      </w:r>
    </w:p>
    <w:p>
      <w:pPr>
        <w:pStyle w:val="TextBody"/>
        <w:bidi w:val="0"/>
        <w:spacing w:before="0" w:after="0"/>
        <w:ind w:left="0" w:right="0" w:hanging="0"/>
        <w:jc w:val="left"/>
        <w:rPr/>
      </w:pPr>
      <w:r>
        <w:rPr/>
        <w:t>​</w:t>
      </w:r>
    </w:p>
    <w:tbl>
      <w:tblPr>
        <w:tblW w:w="3133" w:type="dxa"/>
        <w:jc w:val="left"/>
        <w:tblInd w:w="0" w:type="dxa"/>
        <w:tblLayout w:type="fixed"/>
        <w:tblCellMar>
          <w:top w:w="0" w:type="dxa"/>
          <w:left w:w="0" w:type="dxa"/>
          <w:bottom w:w="0" w:type="dxa"/>
          <w:right w:w="0" w:type="dxa"/>
        </w:tblCellMar>
      </w:tblPr>
      <w:tblGrid>
        <w:gridCol w:w="2026"/>
        <w:gridCol w:w="326"/>
        <w:gridCol w:w="78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1286510" cy="175260"/>
                      <wp:effectExtent l="0" t="0" r="0" b="0"/>
                      <wp:wrapNone/>
                      <wp:docPr id="716" name="Frame709"/>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07010" cy="175260"/>
                      <wp:effectExtent l="0" t="0" r="0" b="0"/>
                      <wp:wrapNone/>
                      <wp:docPr id="717" name="Frame7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495935" cy="175260"/>
                      <wp:effectExtent l="0" t="0" r="0" b="0"/>
                      <wp:wrapNone/>
                      <wp:docPr id="718" name="Frame7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center"/>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4,854</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8,183</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21,857</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loss with no expiry</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11,259</w:t>
            </w:r>
          </w:p>
        </w:tc>
      </w:tr>
      <w:tr>
        <w:trPr/>
        <w:tc>
          <w:tcPr>
            <w:tcW w:w="20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47,071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F-75</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3190" w:name="Tc_cvrGZ_I-vUuJ-KkVgd_9IA_6_0"/>
      <w:bookmarkStart w:id="3191" w:name="Tc_DtJeEiLT9k2GHV3vy5xYDw_5_0"/>
      <w:bookmarkStart w:id="3192" w:name="Tc_xJ-nJYsejkiemOw1NwQg0A_4_0"/>
      <w:bookmarkStart w:id="3193" w:name="Tc_xYLtGnyswUKPXvIa_bXKtQ_3_0"/>
      <w:bookmarkStart w:id="3194" w:name="Tc_meW2fr6FFEyD9FP_HDtnvg_2_6"/>
      <w:bookmarkStart w:id="3195" w:name="Tc_0RU3RCPbpE6aV0DkUA73Kw_2_4"/>
      <w:bookmarkStart w:id="3196" w:name="Tc_KOKP3q0lYkS6UaAF2IHPPg_2_2"/>
      <w:bookmarkStart w:id="3197" w:name="Tc_sE9U6rP8YkaQN8BybalPMQ_1_2"/>
      <w:bookmarkStart w:id="3198" w:name="Tc_cvrGZ_I-vUuJ-KkVgd_9IA_6_0"/>
      <w:bookmarkStart w:id="3199" w:name="Tc_DtJeEiLT9k2GHV3vy5xYDw_5_0"/>
      <w:bookmarkStart w:id="3200" w:name="Tc_xJ-nJYsejkiemOw1NwQg0A_4_0"/>
      <w:bookmarkStart w:id="3201" w:name="Tc_xYLtGnyswUKPXvIa_bXKtQ_3_0"/>
      <w:bookmarkStart w:id="3202" w:name="Tc_meW2fr6FFEyD9FP_HDtnvg_2_6"/>
      <w:bookmarkStart w:id="3203" w:name="Tc_0RU3RCPbpE6aV0DkUA73Kw_2_4"/>
      <w:bookmarkStart w:id="3204" w:name="Tc_KOKP3q0lYkS6UaAF2IHPPg_2_2"/>
      <w:bookmarkStart w:id="3205" w:name="Tc_sE9U6rP8YkaQN8BybalPMQ_1_2"/>
      <w:bookmarkEnd w:id="3198"/>
      <w:bookmarkEnd w:id="3199"/>
      <w:bookmarkEnd w:id="3200"/>
      <w:bookmarkEnd w:id="3201"/>
      <w:bookmarkEnd w:id="3202"/>
      <w:bookmarkEnd w:id="3203"/>
      <w:bookmarkEnd w:id="3204"/>
      <w:bookmarkEnd w:id="3205"/>
    </w:p>
    <w:tbl>
      <w:tblPr>
        <w:tblW w:w="2462" w:type="dxa"/>
        <w:jc w:val="left"/>
        <w:tblInd w:w="0" w:type="dxa"/>
        <w:tblLayout w:type="fixed"/>
        <w:tblCellMar>
          <w:top w:w="0" w:type="dxa"/>
          <w:left w:w="0" w:type="dxa"/>
          <w:bottom w:w="0" w:type="dxa"/>
          <w:right w:w="0" w:type="dxa"/>
        </w:tblCellMar>
      </w:tblPr>
      <w:tblGrid>
        <w:gridCol w:w="331"/>
        <w:gridCol w:w="213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21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 (Continued)</w:t>
            </w:r>
          </w:p>
        </w:tc>
      </w:tr>
    </w:tbl>
    <w:tbl>
      <w:tblPr>
        <w:tblW w:w="4307" w:type="dxa"/>
        <w:jc w:val="left"/>
        <w:tblInd w:w="0" w:type="dxa"/>
        <w:tblLayout w:type="fixed"/>
        <w:tblCellMar>
          <w:top w:w="0" w:type="dxa"/>
          <w:left w:w="0" w:type="dxa"/>
          <w:bottom w:w="0" w:type="dxa"/>
          <w:right w:w="0" w:type="dxa"/>
        </w:tblCellMar>
      </w:tblPr>
      <w:tblGrid>
        <w:gridCol w:w="331"/>
        <w:gridCol w:w="397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3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Deferred tax assets and liabilities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 (Continued)</w:t>
      </w:r>
    </w:p>
    <w:tbl>
      <w:tblPr>
        <w:tblW w:w="3531" w:type="dxa"/>
        <w:jc w:val="left"/>
        <w:tblInd w:w="0" w:type="dxa"/>
        <w:tblLayout w:type="fixed"/>
        <w:tblCellMar>
          <w:top w:w="0" w:type="dxa"/>
          <w:left w:w="0" w:type="dxa"/>
          <w:bottom w:w="0" w:type="dxa"/>
          <w:right w:w="0" w:type="dxa"/>
        </w:tblCellMar>
      </w:tblPr>
      <w:tblGrid>
        <w:gridCol w:w="124"/>
        <w:gridCol w:w="28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31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Tax loss carried forward (Continued)</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2018 to 2022 remain subject to examination by the tax authorities. There were no ongoing examinations by tax authorities as of December 31, 2021 and 2022.</w:t>
      </w:r>
    </w:p>
    <w:tbl>
      <w:tblPr>
        <w:tblW w:w="2301" w:type="dxa"/>
        <w:jc w:val="left"/>
        <w:tblInd w:w="0" w:type="dxa"/>
        <w:tblLayout w:type="fixed"/>
        <w:tblCellMar>
          <w:top w:w="28" w:type="dxa"/>
          <w:left w:w="28" w:type="dxa"/>
          <w:bottom w:w="28" w:type="dxa"/>
          <w:right w:w="28" w:type="dxa"/>
        </w:tblCellMar>
      </w:tblPr>
      <w:tblGrid>
        <w:gridCol w:w="124"/>
        <w:gridCol w:w="346"/>
        <w:gridCol w:w="183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Movement of valuation allowance is as follows:</w:t>
      </w:r>
    </w:p>
    <w:p>
      <w:pPr>
        <w:pStyle w:val="TextBody"/>
        <w:bidi w:val="0"/>
        <w:spacing w:before="0" w:after="0"/>
        <w:ind w:left="0" w:right="0" w:hanging="0"/>
        <w:jc w:val="left"/>
        <w:rPr/>
      </w:pPr>
      <w:r>
        <w:rPr/>
        <w:t>​</w:t>
      </w:r>
    </w:p>
    <w:tbl>
      <w:tblPr>
        <w:tblW w:w="4661" w:type="dxa"/>
        <w:jc w:val="left"/>
        <w:tblInd w:w="0" w:type="dxa"/>
        <w:tblLayout w:type="fixed"/>
        <w:tblCellMar>
          <w:top w:w="0" w:type="dxa"/>
          <w:left w:w="0" w:type="dxa"/>
          <w:bottom w:w="0" w:type="dxa"/>
          <w:right w:w="0" w:type="dxa"/>
        </w:tblCellMar>
      </w:tblPr>
      <w:tblGrid>
        <w:gridCol w:w="1666"/>
        <w:gridCol w:w="326"/>
        <w:gridCol w:w="696"/>
        <w:gridCol w:w="268"/>
        <w:gridCol w:w="696"/>
        <w:gridCol w:w="268"/>
        <w:gridCol w:w="74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1057910" cy="175260"/>
                      <wp:effectExtent l="0" t="0" r="0" b="0"/>
                      <wp:wrapNone/>
                      <wp:docPr id="719" name="Frame712"/>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07010" cy="175260"/>
                      <wp:effectExtent l="0" t="0" r="0" b="0"/>
                      <wp:wrapNone/>
                      <wp:docPr id="720" name="Frame7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441960" cy="175260"/>
                      <wp:effectExtent l="0" t="0" r="0" b="0"/>
                      <wp:wrapNone/>
                      <wp:docPr id="721" name="Frame714"/>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170180" cy="175260"/>
                      <wp:effectExtent l="0" t="0" r="0" b="0"/>
                      <wp:wrapNone/>
                      <wp:docPr id="722" name="Frame715"/>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441960" cy="175260"/>
                      <wp:effectExtent l="0" t="0" r="0" b="0"/>
                      <wp:wrapNone/>
                      <wp:docPr id="723" name="Frame716"/>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170180" cy="175260"/>
                      <wp:effectExtent l="0" t="0" r="0" b="0"/>
                      <wp:wrapNone/>
                      <wp:docPr id="724" name="Frame717"/>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470535" cy="175260"/>
                      <wp:effectExtent l="0" t="0" r="0" b="0"/>
                      <wp:wrapNone/>
                      <wp:docPr id="725" name="Frame718"/>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68" w:type="dxa"/>
            <w:tcBorders/>
            <w:vAlign w:val="center"/>
          </w:tcPr>
          <w:p>
            <w:pPr>
              <w:pStyle w:val="TableContents"/>
              <w:bidi w:val="0"/>
              <w:spacing w:before="0" w:after="0"/>
              <w:ind w:left="0" w:right="0" w:hanging="0"/>
              <w:jc w:val="center"/>
              <w:rPr/>
            </w:pPr>
            <w:r>
              <w:rPr/>
              <w:t>   </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68" w:type="dxa"/>
            <w:tcBorders/>
            <w:vAlign w:val="center"/>
          </w:tcPr>
          <w:p>
            <w:pPr>
              <w:pStyle w:val="TableContents"/>
              <w:bidi w:val="0"/>
              <w:spacing w:before="0" w:after="0"/>
              <w:ind w:left="0" w:right="0" w:hanging="0"/>
              <w:jc w:val="center"/>
              <w:rPr/>
            </w:pPr>
            <w:r>
              <w:rPr/>
              <w:t>   </w:t>
            </w:r>
          </w:p>
        </w:tc>
        <w:tc>
          <w:tcPr>
            <w:tcW w:w="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center"/>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5,923</w:t>
            </w:r>
          </w:p>
        </w:tc>
        <w:tc>
          <w:tcPr>
            <w:tcW w:w="268" w:type="dxa"/>
            <w:tcBorders/>
            <w:shd w:fill="CCEEFF" w:val="clear"/>
            <w:vAlign w:val="center"/>
          </w:tcPr>
          <w:p>
            <w:pPr>
              <w:pStyle w:val="TableContents"/>
              <w:bidi w:val="0"/>
              <w:spacing w:before="0" w:after="0"/>
              <w:ind w:left="0" w:right="0" w:hanging="0"/>
              <w:jc w:val="righ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4,365</w:t>
            </w:r>
          </w:p>
        </w:tc>
        <w:tc>
          <w:tcPr>
            <w:tcW w:w="268" w:type="dxa"/>
            <w:tcBorders/>
            <w:shd w:fill="CCEEFF" w:val="clear"/>
            <w:vAlign w:val="center"/>
          </w:tcPr>
          <w:p>
            <w:pPr>
              <w:pStyle w:val="TableContents"/>
              <w:bidi w:val="0"/>
              <w:spacing w:before="0" w:after="0"/>
              <w:ind w:left="0" w:right="0" w:hanging="0"/>
              <w:jc w:val="righ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w:t>
            </w:r>
          </w:p>
        </w:tc>
        <w:tc>
          <w:tcPr>
            <w:tcW w:w="268" w:type="dxa"/>
            <w:tcBorders/>
            <w:vAlign w:val="center"/>
          </w:tcPr>
          <w:p>
            <w:pPr>
              <w:pStyle w:val="TableContents"/>
              <w:bidi w:val="0"/>
              <w:spacing w:before="0" w:after="0"/>
              <w:ind w:left="0" w:right="0" w:hanging="0"/>
              <w:jc w:val="righ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w:t>
            </w:r>
          </w:p>
        </w:tc>
        <w:tc>
          <w:tcPr>
            <w:tcW w:w="268" w:type="dxa"/>
            <w:tcBorders/>
            <w:vAlign w:val="center"/>
          </w:tcPr>
          <w:p>
            <w:pPr>
              <w:pStyle w:val="TableContents"/>
              <w:bidi w:val="0"/>
              <w:spacing w:before="0" w:after="0"/>
              <w:ind w:left="0" w:right="0" w:hanging="0"/>
              <w:jc w:val="righ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6,105</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Reversals (Note)</w:t>
            </w:r>
          </w:p>
        </w:tc>
        <w:tc>
          <w:tcPr>
            <w:tcW w:w="326" w:type="dxa"/>
            <w:tcBorders/>
            <w:shd w:fill="CCEEFF" w:val="clear"/>
            <w:vAlign w:val="center"/>
          </w:tcPr>
          <w:p>
            <w:pPr>
              <w:pStyle w:val="TableContents"/>
              <w:bidi w:val="0"/>
              <w:spacing w:before="0" w:after="0"/>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(2,702)</w:t>
            </w:r>
          </w:p>
        </w:tc>
        <w:tc>
          <w:tcPr>
            <w:tcW w:w="268" w:type="dxa"/>
            <w:tcBorders/>
            <w:shd w:fill="CCEEFF" w:val="clear"/>
            <w:vAlign w:val="center"/>
          </w:tcPr>
          <w:p>
            <w:pPr>
              <w:pStyle w:val="TableContents"/>
              <w:bidi w:val="0"/>
              <w:spacing w:before="0" w:after="0"/>
              <w:ind w:left="0" w:right="0" w:hanging="0"/>
              <w:jc w:val="righ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w:t>
            </w:r>
          </w:p>
        </w:tc>
        <w:tc>
          <w:tcPr>
            <w:tcW w:w="268" w:type="dxa"/>
            <w:tcBorders/>
            <w:shd w:fill="CCEEFF" w:val="clear"/>
            <w:vAlign w:val="center"/>
          </w:tcPr>
          <w:p>
            <w:pPr>
              <w:pStyle w:val="TableContents"/>
              <w:bidi w:val="0"/>
              <w:spacing w:before="0" w:after="0"/>
              <w:ind w:left="0" w:right="0" w:hanging="0"/>
              <w:jc w:val="righ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vAlign w:val="center"/>
          </w:tcPr>
          <w:p>
            <w:pPr>
              <w:pStyle w:val="TableContents"/>
              <w:bidi w:val="0"/>
              <w:spacing w:before="0" w:after="0"/>
              <w:ind w:left="0" w:right="0" w:hanging="0"/>
              <w:jc w:val="left"/>
              <w:rPr/>
            </w:pPr>
            <w:r>
              <w:rPr/>
              <w:t> </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4,365</w:t>
            </w:r>
          </w:p>
        </w:tc>
        <w:tc>
          <w:tcPr>
            <w:tcW w:w="268" w:type="dxa"/>
            <w:tcBorders/>
            <w:vAlign w:val="center"/>
          </w:tcPr>
          <w:p>
            <w:pPr>
              <w:pStyle w:val="TableContents"/>
              <w:bidi w:val="0"/>
              <w:spacing w:before="0" w:after="0"/>
              <w:ind w:left="0" w:right="0" w:hanging="0"/>
              <w:jc w:val="right"/>
              <w:rPr/>
            </w:pPr>
            <w:r>
              <w:rPr/>
              <w:t> </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268" w:type="dxa"/>
            <w:tcBorders/>
            <w:vAlign w:val="center"/>
          </w:tcPr>
          <w:p>
            <w:pPr>
              <w:pStyle w:val="TableContents"/>
              <w:bidi w:val="0"/>
              <w:spacing w:before="0" w:after="0"/>
              <w:ind w:left="0" w:right="0" w:hanging="0"/>
              <w:jc w:val="right"/>
              <w:rPr/>
            </w:pPr>
            <w:r>
              <w:rPr/>
              <w:t> </w:t>
            </w:r>
          </w:p>
        </w:tc>
        <w:tc>
          <w:tcPr>
            <w:tcW w:w="7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9,438</w:t>
            </w:r>
          </w:p>
        </w:tc>
      </w:tr>
    </w:tbl>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reversals comprise tax loss carryforwards which have been utilized to offset taxable income during the years ended December 31, 2020, 2021 and 2022, respectively, and tax loss carryforwards which were expired in 2020, 2021 and 2022.</w:t>
      </w:r>
    </w:p>
    <w:tbl>
      <w:tblPr>
        <w:tblW w:w="2616" w:type="dxa"/>
        <w:jc w:val="left"/>
        <w:tblInd w:w="0" w:type="dxa"/>
        <w:tblLayout w:type="fixed"/>
        <w:tblCellMar>
          <w:top w:w="0" w:type="dxa"/>
          <w:left w:w="0" w:type="dxa"/>
          <w:bottom w:w="0" w:type="dxa"/>
          <w:right w:w="0" w:type="dxa"/>
        </w:tblCellMar>
      </w:tblPr>
      <w:tblGrid>
        <w:gridCol w:w="124"/>
        <w:gridCol w:w="40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20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Outside basis difference</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deferred tax liabilities are recorded for the undistributed earnings in the Group’s VIE and its subsidiaries in the PRC of US$1,422 and US$4,558 as of December 31, 2021 and 2022,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F-76</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3206" w:name="Tc_w3hg1BhiGkewpH0uRclpKA_11_0"/>
      <w:bookmarkStart w:id="3207" w:name="Tc_O_ijbjKF00SgoIf0lFUR5g_10_0"/>
      <w:bookmarkStart w:id="3208" w:name="Tc_wiD8GN1LJEyeJ3k4cRdt4g_9_0"/>
      <w:bookmarkStart w:id="3209" w:name="Tc_u4w5eeRVVkuidh8g59SVWQ_8_0"/>
      <w:bookmarkStart w:id="3210" w:name="Tc_lh0Kj3s6Z0O8CVXowQFhag_7_0"/>
      <w:bookmarkStart w:id="3211" w:name="Tc_Ig0EiPXy4k-5-gB-jr0ALA_6_0"/>
      <w:bookmarkStart w:id="3212" w:name="Tc_lSqsMUUqSkawmCvXj-Q-qg_5_0"/>
      <w:bookmarkStart w:id="3213" w:name="Tc_9XIWrIavd0OEOfj9Ygoe_w_4_0"/>
      <w:bookmarkStart w:id="3214" w:name="Tc_tQum0On0eki1MSbC3ZZenw_3_0"/>
      <w:bookmarkStart w:id="3215" w:name="Tc_U5-rpFyjaEuase5M1y28AA_2_6"/>
      <w:bookmarkStart w:id="3216" w:name="Tc_2Us_DKA_IEu6j7-PC0DqSA_2_4"/>
      <w:bookmarkStart w:id="3217" w:name="Tc_Y7-ekunFs0K-NfIKz0-08g_2_2"/>
      <w:bookmarkStart w:id="3218" w:name="Tc_bXM0YaaXT0iHVtJ85UVhZg_1_2"/>
      <w:bookmarkStart w:id="3219" w:name="_c7d21ce1_e92b_4265_91c7_4f79584e6db2"/>
      <w:bookmarkStart w:id="3220" w:name="Tc_w3hg1BhiGkewpH0uRclpKA_11_0"/>
      <w:bookmarkStart w:id="3221" w:name="Tc_O_ijbjKF00SgoIf0lFUR5g_10_0"/>
      <w:bookmarkStart w:id="3222" w:name="Tc_wiD8GN1LJEyeJ3k4cRdt4g_9_0"/>
      <w:bookmarkStart w:id="3223" w:name="Tc_u4w5eeRVVkuidh8g59SVWQ_8_0"/>
      <w:bookmarkStart w:id="3224" w:name="Tc_lh0Kj3s6Z0O8CVXowQFhag_7_0"/>
      <w:bookmarkStart w:id="3225" w:name="Tc_Ig0EiPXy4k-5-gB-jr0ALA_6_0"/>
      <w:bookmarkStart w:id="3226" w:name="Tc_lSqsMUUqSkawmCvXj-Q-qg_5_0"/>
      <w:bookmarkStart w:id="3227" w:name="Tc_9XIWrIavd0OEOfj9Ygoe_w_4_0"/>
      <w:bookmarkStart w:id="3228" w:name="Tc_tQum0On0eki1MSbC3ZZenw_3_0"/>
      <w:bookmarkStart w:id="3229" w:name="Tc_U5-rpFyjaEuase5M1y28AA_2_6"/>
      <w:bookmarkStart w:id="3230" w:name="Tc_2Us_DKA_IEu6j7-PC0DqSA_2_4"/>
      <w:bookmarkStart w:id="3231" w:name="Tc_Y7-ekunFs0K-NfIKz0-08g_2_2"/>
      <w:bookmarkStart w:id="3232" w:name="Tc_bXM0YaaXT0iHVtJ85UVhZg_1_2"/>
      <w:bookmarkStart w:id="3233" w:name="_c7d21ce1_e92b_4265_91c7_4f79584e6db2"/>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p>
    <w:tbl>
      <w:tblPr>
        <w:tblW w:w="2462" w:type="dxa"/>
        <w:jc w:val="left"/>
        <w:tblInd w:w="0" w:type="dxa"/>
        <w:tblLayout w:type="fixed"/>
        <w:tblCellMar>
          <w:top w:w="0" w:type="dxa"/>
          <w:left w:w="0" w:type="dxa"/>
          <w:bottom w:w="0" w:type="dxa"/>
          <w:right w:w="0" w:type="dxa"/>
        </w:tblCellMar>
      </w:tblPr>
      <w:tblGrid>
        <w:gridCol w:w="331"/>
        <w:gridCol w:w="213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21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 (Continued)</w:t>
            </w:r>
          </w:p>
        </w:tc>
      </w:tr>
    </w:tbl>
    <w:tbl>
      <w:tblPr>
        <w:tblW w:w="2627" w:type="dxa"/>
        <w:jc w:val="left"/>
        <w:tblInd w:w="0" w:type="dxa"/>
        <w:tblLayout w:type="fixed"/>
        <w:tblCellMar>
          <w:top w:w="0" w:type="dxa"/>
          <w:left w:w="0" w:type="dxa"/>
          <w:bottom w:w="0" w:type="dxa"/>
          <w:right w:w="0" w:type="dxa"/>
        </w:tblCellMar>
      </w:tblPr>
      <w:tblGrid>
        <w:gridCol w:w="301"/>
        <w:gridCol w:w="2326"/>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w:t>
            </w:r>
          </w:p>
        </w:tc>
        <w:tc>
          <w:tcPr>
            <w:tcW w:w="23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 reconciliation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Reconciliation between the expense of income taxes computed by applying the statutory tax rates to loss before income taxes and the actual provision for income taxes is as follows:</w:t>
      </w:r>
    </w:p>
    <w:p>
      <w:pPr>
        <w:pStyle w:val="TextBody"/>
        <w:bidi w:val="0"/>
        <w:spacing w:before="0" w:after="0"/>
        <w:ind w:left="0" w:right="0" w:hanging="0"/>
        <w:jc w:val="left"/>
        <w:rPr/>
      </w:pPr>
      <w:r>
        <w:rPr/>
        <w:t>​</w:t>
      </w:r>
    </w:p>
    <w:tbl>
      <w:tblPr>
        <w:tblW w:w="9472" w:type="dxa"/>
        <w:jc w:val="left"/>
        <w:tblInd w:w="0" w:type="dxa"/>
        <w:tblLayout w:type="fixed"/>
        <w:tblCellMar>
          <w:top w:w="0" w:type="dxa"/>
          <w:left w:w="0" w:type="dxa"/>
          <w:bottom w:w="0" w:type="dxa"/>
          <w:right w:w="0" w:type="dxa"/>
        </w:tblCellMar>
      </w:tblPr>
      <w:tblGrid>
        <w:gridCol w:w="6391"/>
        <w:gridCol w:w="326"/>
        <w:gridCol w:w="691"/>
        <w:gridCol w:w="266"/>
        <w:gridCol w:w="691"/>
        <w:gridCol w:w="266"/>
        <w:gridCol w:w="841"/>
      </w:tblGrid>
      <w:tr>
        <w:trPr/>
        <w:tc>
          <w:tcPr>
            <w:tcW w:w="6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4058285" cy="175260"/>
                      <wp:effectExtent l="0" t="0" r="0" b="0"/>
                      <wp:wrapNone/>
                      <wp:docPr id="726" name="Frame719"/>
                      <a:graphic xmlns:a="http://schemas.openxmlformats.org/drawingml/2006/main">
                        <a:graphicData uri="http://schemas.microsoft.com/office/word/2010/wordprocessingShape">
                          <wps:wsp>
                            <wps:cNvSpPr txBox="1"/>
                            <wps:spPr>
                              <a:xfrm>
                                <a:off x="0" y="0"/>
                                <a:ext cx="405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07010" cy="175260"/>
                      <wp:effectExtent l="0" t="0" r="0" b="0"/>
                      <wp:wrapNone/>
                      <wp:docPr id="727" name="Frame7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438785" cy="175260"/>
                      <wp:effectExtent l="0" t="0" r="0" b="0"/>
                      <wp:wrapNone/>
                      <wp:docPr id="728" name="Frame7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168910" cy="175260"/>
                      <wp:effectExtent l="0" t="0" r="0" b="0"/>
                      <wp:wrapNone/>
                      <wp:docPr id="729" name="Frame72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438785" cy="175260"/>
                      <wp:effectExtent l="0" t="0" r="0" b="0"/>
                      <wp:wrapNone/>
                      <wp:docPr id="730" name="Frame7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68910" cy="175260"/>
                      <wp:effectExtent l="0" t="0" r="0" b="0"/>
                      <wp:wrapNone/>
                      <wp:docPr id="731" name="Frame72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534035" cy="175260"/>
                      <wp:effectExtent l="0" t="0" r="0" b="0"/>
                      <wp:wrapNone/>
                      <wp:docPr id="732" name="Frame7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7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6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6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3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benefit calculated at statutory tax rates (Note i)</w:t>
            </w:r>
          </w:p>
        </w:tc>
        <w:tc>
          <w:tcPr>
            <w:tcW w:w="32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(3,291)</w:t>
            </w:r>
          </w:p>
        </w:tc>
        <w:tc>
          <w:tcPr>
            <w:tcW w:w="26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w:t>
            </w:r>
          </w:p>
        </w:tc>
        <w:tc>
          <w:tcPr>
            <w:tcW w:w="26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(53,491)</w:t>
            </w:r>
          </w:p>
        </w:tc>
      </w:tr>
      <w:tr>
        <w:trPr/>
        <w:tc>
          <w:tcPr>
            <w:tcW w:w="63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differences between statutory tax rates and foreign effective tax rates</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4,513</w:t>
            </w:r>
          </w:p>
        </w:tc>
        <w:tc>
          <w:tcPr>
            <w:tcW w:w="26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w:t>
            </w:r>
          </w:p>
        </w:tc>
        <w:tc>
          <w:tcPr>
            <w:tcW w:w="26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7,759</w:t>
            </w:r>
          </w:p>
        </w:tc>
      </w:tr>
      <w:tr>
        <w:trPr/>
        <w:tc>
          <w:tcPr>
            <w:tcW w:w="63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other income</w:t>
            </w:r>
          </w:p>
        </w:tc>
        <w:tc>
          <w:tcPr>
            <w:tcW w:w="32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26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26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63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expenses (Note ii)</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3,202</w:t>
            </w:r>
          </w:p>
        </w:tc>
        <w:tc>
          <w:tcPr>
            <w:tcW w:w="26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w:t>
            </w:r>
          </w:p>
        </w:tc>
        <w:tc>
          <w:tcPr>
            <w:tcW w:w="266"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29,167</w:t>
            </w:r>
          </w:p>
        </w:tc>
      </w:tr>
      <w:tr>
        <w:trPr/>
        <w:tc>
          <w:tcPr>
            <w:tcW w:w="63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w:t>
            </w:r>
          </w:p>
        </w:tc>
        <w:tc>
          <w:tcPr>
            <w:tcW w:w="26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266"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5,028</w:t>
            </w:r>
          </w:p>
        </w:tc>
      </w:tr>
      <w:tr>
        <w:trPr/>
        <w:tc>
          <w:tcPr>
            <w:tcW w:w="63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Outside basis difference (Note iii)</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26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266"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r>
      <w:tr>
        <w:trPr/>
        <w:tc>
          <w:tcPr>
            <w:tcW w:w="63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deduction of research and development expenses (Note iv)</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26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266"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r>
      <w:tr>
        <w:trPr/>
        <w:tc>
          <w:tcPr>
            <w:tcW w:w="63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266" w:type="dxa"/>
            <w:tcBorders/>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266" w:type="dxa"/>
            <w:tcBorders/>
            <w:vAlign w:val="center"/>
          </w:tcPr>
          <w:p>
            <w:pPr>
              <w:pStyle w:val="TableContents"/>
              <w:bidi w:val="0"/>
              <w:spacing w:before="0" w:after="0"/>
              <w:ind w:left="0" w:right="0" w:hanging="0"/>
              <w:jc w:val="righ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63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expense/(credit)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266" w:type="dxa"/>
            <w:tcBorders/>
            <w:shd w:fill="CCEEFF" w:val="clear"/>
            <w:vAlign w:val="center"/>
          </w:tcPr>
          <w:p>
            <w:pPr>
              <w:pStyle w:val="TableContents"/>
              <w:bidi w:val="0"/>
              <w:spacing w:before="0" w:after="0"/>
              <w:ind w:left="0" w:right="0" w:hanging="0"/>
              <w:jc w:val="righ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266" w:type="dxa"/>
            <w:tcBorders/>
            <w:shd w:fill="CCEEFF" w:val="clear"/>
            <w:vAlign w:val="center"/>
          </w:tcPr>
          <w:p>
            <w:pPr>
              <w:pStyle w:val="TableContents"/>
              <w:bidi w:val="0"/>
              <w:spacing w:before="0" w:after="0"/>
              <w:ind w:left="0" w:right="0" w:hanging="0"/>
              <w:jc w:val="righ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major operation was conducted out of the PRC. Accordingly, the Group prepared its tax rate reconciliation starting with the PRC statutory tax rate during the years ended December 31, 2020, 2021 and 2022.</w:t>
            </w:r>
          </w:p>
        </w:tc>
      </w:tr>
    </w:tbl>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Non-deductible expenses were mainly related to allowance for credit losses, share-based compensation expenses, fair value losses on derivative liabilities, convertible notes, impairment on long-term investments, impairment on goodwill and long-lived assets.</w:t>
            </w:r>
          </w:p>
        </w:tc>
      </w:tr>
    </w:tbl>
    <w:tbl>
      <w:tblPr>
        <w:tblW w:w="10205" w:type="dxa"/>
        <w:jc w:val="left"/>
        <w:tblInd w:w="0" w:type="dxa"/>
        <w:tblLayout w:type="fixed"/>
        <w:tblCellMar>
          <w:top w:w="28" w:type="dxa"/>
          <w:left w:w="28" w:type="dxa"/>
          <w:bottom w:w="28" w:type="dxa"/>
          <w:right w:w="28" w:type="dxa"/>
        </w:tblCellMar>
      </w:tblPr>
      <w:tblGrid>
        <w:gridCol w:w="124"/>
        <w:gridCol w:w="401"/>
        <w:gridCol w:w="9680"/>
      </w:tblGrid>
      <w:tr>
        <w:trPr/>
        <w:tc>
          <w:tcPr>
            <w:tcW w:w="124" w:type="dxa"/>
            <w:tcBorders/>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6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basis difference is related to undistributed earnings in the Group’s VIE and its subsidiaries in the PRC (Note 23(e)(iii)).</w:t>
            </w:r>
          </w:p>
        </w:tc>
      </w:tr>
    </w:tbl>
    <w:tbl>
      <w:tblPr>
        <w:tblW w:w="10205" w:type="dxa"/>
        <w:jc w:val="left"/>
        <w:tblInd w:w="0" w:type="dxa"/>
        <w:tblLayout w:type="fixed"/>
        <w:tblCellMar>
          <w:top w:w="28" w:type="dxa"/>
          <w:left w:w="28" w:type="dxa"/>
          <w:bottom w:w="28" w:type="dxa"/>
          <w:right w:w="28" w:type="dxa"/>
        </w:tblCellMar>
      </w:tblPr>
      <w:tblGrid>
        <w:gridCol w:w="124"/>
        <w:gridCol w:w="344"/>
        <w:gridCol w:w="9737"/>
      </w:tblGrid>
      <w:tr>
        <w:trPr/>
        <w:tc>
          <w:tcPr>
            <w:tcW w:w="124" w:type="dxa"/>
            <w:tcBorders/>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73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According to a policy promulgated by the State Tax Bureau of the PRC and effective from 2008 onwards, companies engaged in research and development activities are entitled to claim ranging from 150%</w:t>
            </w:r>
            <w:r>
              <w:rPr>
                <w:caps w:val="false"/>
                <w:smallCaps w:val="false"/>
              </w:rPr>
              <w:t xml:space="preserve"> </w:t>
            </w:r>
            <w:r>
              <w:rPr>
                <w:rFonts w:ascii="Times New Roman;Times;serif" w:hAnsi="Times New Roman;Times;serif"/>
                <w:b w:val="false"/>
                <w:i w:val="false"/>
                <w:caps w:val="false"/>
                <w:smallCaps w:val="false"/>
                <w:sz w:val="20"/>
              </w:rPr>
              <w:t>to 175%</w:t>
            </w:r>
            <w:r>
              <w:rPr>
                <w:caps w:val="false"/>
                <w:smallCaps w:val="false"/>
              </w:rPr>
              <w:t xml:space="preserve"> </w:t>
            </w:r>
            <w:r>
              <w:rPr>
                <w:rFonts w:ascii="Times New Roman;Times;serif" w:hAnsi="Times New Roman;Times;serif"/>
                <w:b w:val="false"/>
                <w:i w:val="false"/>
                <w:caps w:val="false"/>
                <w:smallCaps w:val="false"/>
                <w:sz w:val="20"/>
              </w:rPr>
              <w:t>of the research and development expenses so incurred in a period as tax deductible expenses in determining its tax assessable profits for that period. Certain PRC subsidiaries of the Company have applied such additional deduction for the year ended December 31, 2022.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F-77</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3234" w:name="Tc_CJAH7sIGuk68QyTw3tSwpw_3_0"/>
      <w:bookmarkStart w:id="3235" w:name="Tc_5TiHyF_1wEKs_ZO-UaH9kg_2_6"/>
      <w:bookmarkStart w:id="3236" w:name="Tc_GS_qoCSO0U2FRpc1nhUImQ_2_4"/>
      <w:bookmarkStart w:id="3237" w:name="Tc_pDDdimoOQkSKTO-CUefDAw_2_2"/>
      <w:bookmarkStart w:id="3238" w:name="Tc_TWqSoYr2LUygpZQe1bTopA_1_2"/>
      <w:bookmarkStart w:id="3239" w:name="Tc_sqrXiDH-TEutnTSfsS3gkQ_9_0"/>
      <w:bookmarkStart w:id="3240" w:name="Tc_l0VdhIsiyka_3CQoJq2N5Q_8_0"/>
      <w:bookmarkStart w:id="3241" w:name="Tc_NzGWnD1flEmUoXXmQDh9pA_7_0"/>
      <w:bookmarkStart w:id="3242" w:name="Tc_PSX4RQhAP0ODUG0mjxyRNg_6_0"/>
      <w:bookmarkStart w:id="3243" w:name="Tc_bcdOVWOkb0a-QJRXlBB6rA_5_0"/>
      <w:bookmarkStart w:id="3244" w:name="Tc_F63q-DOsaUuvtD_g5DRqrQ_4_0"/>
      <w:bookmarkStart w:id="3245" w:name="Tc_sfbnSIPTFEStXPzvbyR29Q_3_0"/>
      <w:bookmarkStart w:id="3246" w:name="Tc_2Dq9dSatikiS6SeVvS4B_g_2_6"/>
      <w:bookmarkStart w:id="3247" w:name="Tc_D78SUzrmQEWuyf2T8hiAdA_2_4"/>
      <w:bookmarkStart w:id="3248" w:name="Tc_71Pm2dnOd0-zN7sG_plC1Q_2_2"/>
      <w:bookmarkStart w:id="3249" w:name="Tc_Qz2lm84_yESTT48CmgD3Gw_1_2"/>
      <w:bookmarkStart w:id="3250" w:name="Tc_CJAH7sIGuk68QyTw3tSwpw_3_0"/>
      <w:bookmarkStart w:id="3251" w:name="Tc_5TiHyF_1wEKs_ZO-UaH9kg_2_6"/>
      <w:bookmarkStart w:id="3252" w:name="Tc_GS_qoCSO0U2FRpc1nhUImQ_2_4"/>
      <w:bookmarkStart w:id="3253" w:name="Tc_pDDdimoOQkSKTO-CUefDAw_2_2"/>
      <w:bookmarkStart w:id="3254" w:name="Tc_TWqSoYr2LUygpZQe1bTopA_1_2"/>
      <w:bookmarkStart w:id="3255" w:name="Tc_sqrXiDH-TEutnTSfsS3gkQ_9_0"/>
      <w:bookmarkStart w:id="3256" w:name="Tc_l0VdhIsiyka_3CQoJq2N5Q_8_0"/>
      <w:bookmarkStart w:id="3257" w:name="Tc_NzGWnD1flEmUoXXmQDh9pA_7_0"/>
      <w:bookmarkStart w:id="3258" w:name="Tc_PSX4RQhAP0ODUG0mjxyRNg_6_0"/>
      <w:bookmarkStart w:id="3259" w:name="Tc_bcdOVWOkb0a-QJRXlBB6rA_5_0"/>
      <w:bookmarkStart w:id="3260" w:name="Tc_F63q-DOsaUuvtD_g5DRqrQ_4_0"/>
      <w:bookmarkStart w:id="3261" w:name="Tc_sfbnSIPTFEStXPzvbyR29Q_3_0"/>
      <w:bookmarkStart w:id="3262" w:name="Tc_2Dq9dSatikiS6SeVvS4B_g_2_6"/>
      <w:bookmarkStart w:id="3263" w:name="Tc_D78SUzrmQEWuyf2T8hiAdA_2_4"/>
      <w:bookmarkStart w:id="3264" w:name="Tc_71Pm2dnOd0-zN7sG_plC1Q_2_2"/>
      <w:bookmarkStart w:id="3265" w:name="Tc_Qz2lm84_yESTT48CmgD3Gw_1_2"/>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p>
    <w:tbl>
      <w:tblPr>
        <w:tblW w:w="3437" w:type="dxa"/>
        <w:jc w:val="left"/>
        <w:tblInd w:w="0" w:type="dxa"/>
        <w:tblLayout w:type="fixed"/>
        <w:tblCellMar>
          <w:top w:w="0" w:type="dxa"/>
          <w:left w:w="0" w:type="dxa"/>
          <w:bottom w:w="0" w:type="dxa"/>
          <w:right w:w="0" w:type="dxa"/>
        </w:tblCellMar>
      </w:tblPr>
      <w:tblGrid>
        <w:gridCol w:w="331"/>
        <w:gridCol w:w="310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24</w:t>
            </w:r>
          </w:p>
        </w:tc>
        <w:tc>
          <w:tcPr>
            <w:tcW w:w="31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Basic and diluted net loss per share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Basic and diluted net loss per share for the years ended December 31, 2020, 2021 and 2022 are calculated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074"/>
        <w:gridCol w:w="326"/>
        <w:gridCol w:w="1036"/>
        <w:gridCol w:w="326"/>
        <w:gridCol w:w="1036"/>
        <w:gridCol w:w="326"/>
        <w:gridCol w:w="1081"/>
      </w:tblGrid>
      <w:tr>
        <w:trPr/>
        <w:tc>
          <w:tcPr>
            <w:tcW w:w="6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3856990" cy="175260"/>
                      <wp:effectExtent l="0" t="0" r="0" b="0"/>
                      <wp:wrapNone/>
                      <wp:docPr id="733" name="Frame726"/>
                      <a:graphic xmlns:a="http://schemas.openxmlformats.org/drawingml/2006/main">
                        <a:graphicData uri="http://schemas.microsoft.com/office/word/2010/wordprocessingShape">
                          <wps:wsp>
                            <wps:cNvSpPr txBox="1"/>
                            <wps:spPr>
                              <a:xfrm>
                                <a:off x="0" y="0"/>
                                <a:ext cx="3856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07010" cy="175260"/>
                      <wp:effectExtent l="0" t="0" r="0" b="0"/>
                      <wp:wrapNone/>
                      <wp:docPr id="734" name="Frame7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657860" cy="175260"/>
                      <wp:effectExtent l="0" t="0" r="0" b="0"/>
                      <wp:wrapNone/>
                      <wp:docPr id="735" name="Frame7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207010" cy="175260"/>
                      <wp:effectExtent l="0" t="0" r="0" b="0"/>
                      <wp:wrapNone/>
                      <wp:docPr id="736" name="Frame7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657860" cy="175260"/>
                      <wp:effectExtent l="0" t="0" r="0" b="0"/>
                      <wp:wrapNone/>
                      <wp:docPr id="737" name="Frame7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07010" cy="175260"/>
                      <wp:effectExtent l="0" t="0" r="0" b="0"/>
                      <wp:wrapNone/>
                      <wp:docPr id="738" name="Frame7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686435" cy="175260"/>
                      <wp:effectExtent l="0" t="0" r="0" b="0"/>
                      <wp:wrapNone/>
                      <wp:docPr id="739" name="Frame73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0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7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60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ordinary shareholders of the Company</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(12,618)</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(13,631)</w:t>
            </w:r>
          </w:p>
        </w:tc>
        <w:tc>
          <w:tcPr>
            <w:tcW w:w="32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r>
      <w:tr>
        <w:trPr/>
        <w:tc>
          <w:tcPr>
            <w:tcW w:w="60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 for basic and diluted net loss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(13,631)</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r>
      <w:tr>
        <w:trPr/>
        <w:tc>
          <w:tcPr>
            <w:tcW w:w="607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60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basic and diluted net loss per share - weighted average shares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39,368,436</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48,187,235</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50,420,225</w:t>
            </w:r>
          </w:p>
        </w:tc>
      </w:tr>
      <w:tr>
        <w:trPr/>
        <w:tc>
          <w:tcPr>
            <w:tcW w:w="60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net loss per share</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2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r>
      <w:tr>
        <w:trPr/>
        <w:tc>
          <w:tcPr>
            <w:tcW w:w="60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net loss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r>
    </w:tbl>
    <w:p>
      <w:pPr>
        <w:pStyle w:val="TextBody"/>
        <w:bidi w:val="0"/>
        <w:spacing w:before="0" w:after="0"/>
        <w:ind w:left="0" w:right="0" w:hanging="0"/>
        <w:jc w:val="left"/>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share options, RSUs, warrants and convertible notes were excluded from the computation of diluted net loss per ordinary share for the years presented because including them would have had an anti-dilutive effect.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following ordinary share equivalents were excluded from the computation of diluted net loss per ordinary share for the years presented because including them would have had an anti-dilutive effect:</w:t>
      </w:r>
    </w:p>
    <w:p>
      <w:pPr>
        <w:pStyle w:val="TextBody"/>
        <w:bidi w:val="0"/>
        <w:spacing w:before="0" w:after="0"/>
        <w:ind w:left="0" w:right="0" w:hanging="0"/>
        <w:jc w:val="left"/>
        <w:rPr/>
      </w:pPr>
      <w:r>
        <w:rPr/>
        <w:t>​</w:t>
      </w:r>
    </w:p>
    <w:tbl>
      <w:tblPr>
        <w:tblW w:w="8092" w:type="dxa"/>
        <w:jc w:val="left"/>
        <w:tblInd w:w="0" w:type="dxa"/>
        <w:tblLayout w:type="fixed"/>
        <w:tblCellMar>
          <w:top w:w="0" w:type="dxa"/>
          <w:left w:w="0" w:type="dxa"/>
          <w:bottom w:w="0" w:type="dxa"/>
          <w:right w:w="0" w:type="dxa"/>
        </w:tblCellMar>
      </w:tblPr>
      <w:tblGrid>
        <w:gridCol w:w="5446"/>
        <w:gridCol w:w="326"/>
        <w:gridCol w:w="571"/>
        <w:gridCol w:w="326"/>
        <w:gridCol w:w="571"/>
        <w:gridCol w:w="326"/>
        <w:gridCol w:w="526"/>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3458210" cy="175260"/>
                      <wp:effectExtent l="0" t="0" r="0" b="0"/>
                      <wp:wrapNone/>
                      <wp:docPr id="740" name="Frame733"/>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07010" cy="175260"/>
                      <wp:effectExtent l="0" t="0" r="0" b="0"/>
                      <wp:wrapNone/>
                      <wp:docPr id="741" name="Frame7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362585" cy="175260"/>
                      <wp:effectExtent l="0" t="0" r="0" b="0"/>
                      <wp:wrapNone/>
                      <wp:docPr id="742" name="Frame7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07010" cy="175260"/>
                      <wp:effectExtent l="0" t="0" r="0" b="0"/>
                      <wp:wrapNone/>
                      <wp:docPr id="743" name="Frame7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362585" cy="175260"/>
                      <wp:effectExtent l="0" t="0" r="0" b="0"/>
                      <wp:wrapNone/>
                      <wp:docPr id="744" name="Frame73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207010" cy="175260"/>
                      <wp:effectExtent l="0" t="0" r="0" b="0"/>
                      <wp:wrapNone/>
                      <wp:docPr id="745" name="Frame7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334010" cy="175260"/>
                      <wp:effectExtent l="0" t="0" r="0" b="0"/>
                      <wp:wrapNone/>
                      <wp:docPr id="746" name="Frame73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options, RSUs and warrants – weighted average (thousands)</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717" w:type="dxa"/>
        <w:jc w:val="left"/>
        <w:tblInd w:w="0" w:type="dxa"/>
        <w:tblLayout w:type="fixed"/>
        <w:tblCellMar>
          <w:top w:w="0" w:type="dxa"/>
          <w:left w:w="0" w:type="dxa"/>
          <w:bottom w:w="0" w:type="dxa"/>
          <w:right w:w="0" w:type="dxa"/>
        </w:tblCellMar>
      </w:tblPr>
      <w:tblGrid>
        <w:gridCol w:w="331"/>
        <w:gridCol w:w="238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25</w:t>
            </w:r>
          </w:p>
        </w:tc>
        <w:tc>
          <w:tcPr>
            <w:tcW w:w="23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Save as disclosed elsewhere in these consolidated financial statements, there were no transactions nor balances with related parties as of and for the years ended December 31, 2021 and 2022.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F-78</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3266" w:name="Tc_WyLNLaDSJUKa-2PDwIRIGQ_25_0"/>
      <w:bookmarkStart w:id="3267" w:name="Tc_4ejuDMJFQUm71zlNUtyz0A_24_0"/>
      <w:bookmarkStart w:id="3268" w:name="Tc_wUiiWLm1xEikYwtLM-xa7g_22_0"/>
      <w:bookmarkStart w:id="3269" w:name="Tc_yZifNENBK0ymOlk--kqysg_21_0"/>
      <w:bookmarkStart w:id="3270" w:name="Tc_tI8jJURVKUKVa_dTZNCOIw_20_0"/>
      <w:bookmarkStart w:id="3271" w:name="Tc_2vkjl3lVck-eQMcAvLqKAA_19_0"/>
      <w:bookmarkStart w:id="3272" w:name="Tc_kcGiMMWGfE2KjMol2cXzmg_18_0"/>
      <w:bookmarkStart w:id="3273" w:name="Tc_ibt2wiV-GEaPAcBKlKeCHw_16_0"/>
      <w:bookmarkStart w:id="3274" w:name="Tc_x-Fm7e3SX0OOfj2QZeAwDA_15_0"/>
      <w:bookmarkStart w:id="3275" w:name="Tc_CwIKA6PR-02FYFgmLxrsVA_14_0"/>
      <w:bookmarkStart w:id="3276" w:name="Tc_Zx_IVfkJ7UikXMxzUIaZmA_13_0"/>
      <w:bookmarkStart w:id="3277" w:name="Tc_eVhCpV7g802kqnucN673Ng_12_0"/>
      <w:bookmarkStart w:id="3278" w:name="Tc_mVIMgrtddEaLqt3dN2Ajbw_10_0"/>
      <w:bookmarkStart w:id="3279" w:name="Tc_gNSZBN0GZ0KnCfhbtyWsnQ_9_0"/>
      <w:bookmarkStart w:id="3280" w:name="Tc_K1xEKIYRcEOu4_z6tFTXxQ_7_0"/>
      <w:bookmarkStart w:id="3281" w:name="Tc_sx-1hUuIx0CzxUn1x-11Eg_6_0"/>
      <w:bookmarkStart w:id="3282" w:name="Tc_TIYdRVbXz0-DAH7RddO3xw_5_0"/>
      <w:bookmarkStart w:id="3283" w:name="Tc_tqdySF387UeQ0Y_BAZOshQ_4_0"/>
      <w:bookmarkStart w:id="3284" w:name="Tc_l8poTrDbGUavEKF0wf_6NQ_3_0"/>
      <w:bookmarkStart w:id="3285" w:name="Tc_FlZHDy2NDESi1saKYO1lhw_2_6"/>
      <w:bookmarkStart w:id="3286" w:name="Tc_o5B6WxBKQ0CBLF9ok-EyQw_2_4"/>
      <w:bookmarkStart w:id="3287" w:name="Tc_01pqcoaEOU25jeNn5V4Z9A_2_2"/>
      <w:bookmarkStart w:id="3288" w:name="Tc__o8o80IBIEiUnOzkuePw3Q_1_2"/>
      <w:bookmarkStart w:id="3289" w:name="Tc_WyLNLaDSJUKa-2PDwIRIGQ_25_0"/>
      <w:bookmarkStart w:id="3290" w:name="Tc_4ejuDMJFQUm71zlNUtyz0A_24_0"/>
      <w:bookmarkStart w:id="3291" w:name="Tc_wUiiWLm1xEikYwtLM-xa7g_22_0"/>
      <w:bookmarkStart w:id="3292" w:name="Tc_yZifNENBK0ymOlk--kqysg_21_0"/>
      <w:bookmarkStart w:id="3293" w:name="Tc_tI8jJURVKUKVa_dTZNCOIw_20_0"/>
      <w:bookmarkStart w:id="3294" w:name="Tc_2vkjl3lVck-eQMcAvLqKAA_19_0"/>
      <w:bookmarkStart w:id="3295" w:name="Tc_kcGiMMWGfE2KjMol2cXzmg_18_0"/>
      <w:bookmarkStart w:id="3296" w:name="Tc_ibt2wiV-GEaPAcBKlKeCHw_16_0"/>
      <w:bookmarkStart w:id="3297" w:name="Tc_x-Fm7e3SX0OOfj2QZeAwDA_15_0"/>
      <w:bookmarkStart w:id="3298" w:name="Tc_CwIKA6PR-02FYFgmLxrsVA_14_0"/>
      <w:bookmarkStart w:id="3299" w:name="Tc_Zx_IVfkJ7UikXMxzUIaZmA_13_0"/>
      <w:bookmarkStart w:id="3300" w:name="Tc_eVhCpV7g802kqnucN673Ng_12_0"/>
      <w:bookmarkStart w:id="3301" w:name="Tc_mVIMgrtddEaLqt3dN2Ajbw_10_0"/>
      <w:bookmarkStart w:id="3302" w:name="Tc_gNSZBN0GZ0KnCfhbtyWsnQ_9_0"/>
      <w:bookmarkStart w:id="3303" w:name="Tc_K1xEKIYRcEOu4_z6tFTXxQ_7_0"/>
      <w:bookmarkStart w:id="3304" w:name="Tc_sx-1hUuIx0CzxUn1x-11Eg_6_0"/>
      <w:bookmarkStart w:id="3305" w:name="Tc_TIYdRVbXz0-DAH7RddO3xw_5_0"/>
      <w:bookmarkStart w:id="3306" w:name="Tc_tqdySF387UeQ0Y_BAZOshQ_4_0"/>
      <w:bookmarkStart w:id="3307" w:name="Tc_l8poTrDbGUavEKF0wf_6NQ_3_0"/>
      <w:bookmarkStart w:id="3308" w:name="Tc_FlZHDy2NDESi1saKYO1lhw_2_6"/>
      <w:bookmarkStart w:id="3309" w:name="Tc_o5B6WxBKQ0CBLF9ok-EyQw_2_4"/>
      <w:bookmarkStart w:id="3310" w:name="Tc_01pqcoaEOU25jeNn5V4Z9A_2_2"/>
      <w:bookmarkStart w:id="3311" w:name="Tc__o8o80IBIEiUnOzkuePw3Q_1_2"/>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p>
    <w:tbl>
      <w:tblPr>
        <w:tblW w:w="1277" w:type="dxa"/>
        <w:jc w:val="left"/>
        <w:tblInd w:w="0" w:type="dxa"/>
        <w:tblLayout w:type="fixed"/>
        <w:tblCellMar>
          <w:top w:w="0" w:type="dxa"/>
          <w:left w:w="0" w:type="dxa"/>
          <w:bottom w:w="0" w:type="dxa"/>
          <w:right w:w="0" w:type="dxa"/>
        </w:tblCellMar>
      </w:tblPr>
      <w:tblGrid>
        <w:gridCol w:w="331"/>
        <w:gridCol w:w="94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26</w:t>
            </w:r>
          </w:p>
        </w:tc>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During the periods presented in these consolidated financial statements, the Group reports two operating segments: 1) Marketing Solutions, and 2) Enterprise Solutions. The Enterprise Solutions segment primarily reflects the results of the Group’s SaaS products and services the Group named its pre-existing online advertising service business as Marketing Solution business.</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The table below provides a summary of the Group’s breakdown of net revenues by type of goods or services and operating segment results for the years ended December 31, 2020, 2021 and 2022.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2020, 2021 and 2022.</w:t>
      </w:r>
    </w:p>
    <w:p>
      <w:pPr>
        <w:pStyle w:val="TextBody"/>
        <w:bidi w:val="0"/>
        <w:spacing w:before="0" w:after="0"/>
        <w:ind w:left="0" w:right="0" w:hanging="0"/>
        <w:jc w:val="left"/>
        <w:rPr/>
      </w:pPr>
      <w:r>
        <w:rPr/>
        <w:t>​</w:t>
      </w:r>
    </w:p>
    <w:tbl>
      <w:tblPr>
        <w:tblW w:w="6127" w:type="dxa"/>
        <w:jc w:val="left"/>
        <w:tblInd w:w="0" w:type="dxa"/>
        <w:tblLayout w:type="fixed"/>
        <w:tblCellMar>
          <w:top w:w="0" w:type="dxa"/>
          <w:left w:w="0" w:type="dxa"/>
          <w:bottom w:w="0" w:type="dxa"/>
          <w:right w:w="0" w:type="dxa"/>
        </w:tblCellMar>
      </w:tblPr>
      <w:tblGrid>
        <w:gridCol w:w="2401"/>
        <w:gridCol w:w="326"/>
        <w:gridCol w:w="901"/>
        <w:gridCol w:w="326"/>
        <w:gridCol w:w="901"/>
        <w:gridCol w:w="326"/>
        <w:gridCol w:w="946"/>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1524635" cy="175260"/>
                      <wp:effectExtent l="0" t="0" r="0" b="0"/>
                      <wp:wrapNone/>
                      <wp:docPr id="747" name="Frame740"/>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207010" cy="175260"/>
                      <wp:effectExtent l="0" t="0" r="0" b="0"/>
                      <wp:wrapNone/>
                      <wp:docPr id="748" name="Frame7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572135" cy="175260"/>
                      <wp:effectExtent l="0" t="0" r="0" b="0"/>
                      <wp:wrapNone/>
                      <wp:docPr id="749" name="Frame74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07010" cy="175260"/>
                      <wp:effectExtent l="0" t="0" r="0" b="0"/>
                      <wp:wrapNone/>
                      <wp:docPr id="750" name="Frame7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572135" cy="175260"/>
                      <wp:effectExtent l="0" t="0" r="0" b="0"/>
                      <wp:wrapNone/>
                      <wp:docPr id="751" name="Frame74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07010" cy="175260"/>
                      <wp:effectExtent l="0" t="0" r="0" b="0"/>
                      <wp:wrapNone/>
                      <wp:docPr id="752" name="Frame7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600710" cy="175260"/>
                      <wp:effectExtent l="0" t="0" r="0" b="0"/>
                      <wp:wrapNone/>
                      <wp:docPr id="753" name="Frame74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4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Solutions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Sales agent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5,834</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4,195</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Cost-plus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26,738</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26,062</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8,909</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Specified actions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193,280</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212,353</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94,498</w: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225,852</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242,610</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105,956</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SaaS products and services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28,893</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65,092</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63,124</w:t>
            </w:r>
          </w:p>
        </w:tc>
      </w:tr>
      <w:tr>
        <w:trPr/>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254,745</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307,702</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169,080</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Specified actions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(172,917)</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(194,912)</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(138,140)</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SaaS products and services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(8,565)</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(23,637)</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(35,072)</w:t>
            </w:r>
          </w:p>
        </w:tc>
      </w:tr>
      <w:tr>
        <w:trPr/>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(181,482)</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(218,549)</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(173,212)</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profit/(loss):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Sales agent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5,834</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4,195</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Cost-plus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26,738</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26,062</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8,909</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Specified actions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20,363</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17,441</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(43,642)</w:t>
            </w:r>
          </w:p>
        </w:tc>
      </w:tr>
      <w:tr>
        <w:trPr/>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52,935</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47,698</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(32,184)</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Solutions</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SaaS products and 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20,328</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41,455</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28,052</w: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73,263</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89,153</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F-79</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3312" w:name="Tc_XvJObMgOU0GBjV_rQrAOaA_4_0"/>
      <w:bookmarkStart w:id="3313" w:name="Tc_9xq4Q_rYdkuog7MFv2lMeA_3_4"/>
      <w:bookmarkStart w:id="3314" w:name="Tc_QuXuDk-ZhEyJYJlVAh5Sfw_3_0"/>
      <w:bookmarkStart w:id="3315" w:name="Tc_Dt83S2oRA0-yQ6OzhT6EBQ_2_4"/>
      <w:bookmarkStart w:id="3316" w:name="Tc_4WThMiqVSEqMXVwQSlrl5Q_2_2"/>
      <w:bookmarkStart w:id="3317" w:name="Tc_Z6YhblviCki51Ul3ZfmLwQ_1_2"/>
      <w:bookmarkStart w:id="3318" w:name="Tc_IIEDfB9rskO_17ZfYbH25g_5_0"/>
      <w:bookmarkStart w:id="3319" w:name="Tc_TN93g7uy8EuAw1YhlOAd4g_4_0"/>
      <w:bookmarkStart w:id="3320" w:name="Tc_-r1ZlVRq2UKLvwa3ae-eJg_3_0"/>
      <w:bookmarkStart w:id="3321" w:name="Tc_JyAZ31xYgEmnwL79vnb_Sw_2_6"/>
      <w:bookmarkStart w:id="3322" w:name="Tc_HiibPkRuXUamWAonyd2N3g_2_4"/>
      <w:bookmarkStart w:id="3323" w:name="Tc_hZOPAJxJOkuxdUTyyYsnvg_2_2"/>
      <w:bookmarkStart w:id="3324" w:name="Tc_cnP5FzQntku2Q8NJeH82xg_1_2"/>
      <w:bookmarkStart w:id="3325" w:name="Tc_XvJObMgOU0GBjV_rQrAOaA_4_0"/>
      <w:bookmarkStart w:id="3326" w:name="Tc_9xq4Q_rYdkuog7MFv2lMeA_3_4"/>
      <w:bookmarkStart w:id="3327" w:name="Tc_QuXuDk-ZhEyJYJlVAh5Sfw_3_0"/>
      <w:bookmarkStart w:id="3328" w:name="Tc_Dt83S2oRA0-yQ6OzhT6EBQ_2_4"/>
      <w:bookmarkStart w:id="3329" w:name="Tc_4WThMiqVSEqMXVwQSlrl5Q_2_2"/>
      <w:bookmarkStart w:id="3330" w:name="Tc_Z6YhblviCki51Ul3ZfmLwQ_1_2"/>
      <w:bookmarkStart w:id="3331" w:name="Tc_IIEDfB9rskO_17ZfYbH25g_5_0"/>
      <w:bookmarkStart w:id="3332" w:name="Tc_TN93g7uy8EuAw1YhlOAd4g_4_0"/>
      <w:bookmarkStart w:id="3333" w:name="Tc_-r1ZlVRq2UKLvwa3ae-eJg_3_0"/>
      <w:bookmarkStart w:id="3334" w:name="Tc_JyAZ31xYgEmnwL79vnb_Sw_2_6"/>
      <w:bookmarkStart w:id="3335" w:name="Tc_HiibPkRuXUamWAonyd2N3g_2_4"/>
      <w:bookmarkStart w:id="3336" w:name="Tc_hZOPAJxJOkuxdUTyyYsnvg_2_2"/>
      <w:bookmarkStart w:id="3337" w:name="Tc_cnP5FzQntku2Q8NJeH82xg_1_2"/>
      <w:bookmarkEnd w:id="3325"/>
      <w:bookmarkEnd w:id="3326"/>
      <w:bookmarkEnd w:id="3327"/>
      <w:bookmarkEnd w:id="3328"/>
      <w:bookmarkEnd w:id="3329"/>
      <w:bookmarkEnd w:id="3330"/>
      <w:bookmarkEnd w:id="3331"/>
      <w:bookmarkEnd w:id="3332"/>
      <w:bookmarkEnd w:id="3333"/>
      <w:bookmarkEnd w:id="3334"/>
      <w:bookmarkEnd w:id="3335"/>
      <w:bookmarkEnd w:id="3336"/>
      <w:bookmarkEnd w:id="3337"/>
    </w:p>
    <w:tbl>
      <w:tblPr>
        <w:tblW w:w="2312" w:type="dxa"/>
        <w:jc w:val="left"/>
        <w:tblInd w:w="0" w:type="dxa"/>
        <w:tblLayout w:type="fixed"/>
        <w:tblCellMar>
          <w:top w:w="0" w:type="dxa"/>
          <w:left w:w="0" w:type="dxa"/>
          <w:bottom w:w="0" w:type="dxa"/>
          <w:right w:w="0" w:type="dxa"/>
        </w:tblCellMar>
      </w:tblPr>
      <w:tblGrid>
        <w:gridCol w:w="331"/>
        <w:gridCol w:w="198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26</w:t>
            </w:r>
          </w:p>
        </w:tc>
        <w:tc>
          <w:tcPr>
            <w:tcW w:w="19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Segments (Continued)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currently does not allocate assets to all of its segments, as its CODM does not use such information to allocate resources or evaluate the performance of the operating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generated for the respective countries are summarized as follows:</w:t>
      </w:r>
    </w:p>
    <w:p>
      <w:pPr>
        <w:pStyle w:val="TextBody"/>
        <w:bidi w:val="0"/>
        <w:spacing w:before="0" w:after="0"/>
        <w:ind w:left="0" w:right="0" w:hanging="0"/>
        <w:jc w:val="left"/>
        <w:rPr/>
      </w:pPr>
      <w:r>
        <w:rPr/>
        <w:t>​</w:t>
      </w:r>
    </w:p>
    <w:tbl>
      <w:tblPr>
        <w:tblW w:w="4492" w:type="dxa"/>
        <w:jc w:val="left"/>
        <w:tblInd w:w="0" w:type="dxa"/>
        <w:tblLayout w:type="fixed"/>
        <w:tblCellMar>
          <w:top w:w="0" w:type="dxa"/>
          <w:left w:w="0" w:type="dxa"/>
          <w:bottom w:w="0" w:type="dxa"/>
          <w:right w:w="0" w:type="dxa"/>
        </w:tblCellMar>
      </w:tblPr>
      <w:tblGrid>
        <w:gridCol w:w="1066"/>
        <w:gridCol w:w="326"/>
        <w:gridCol w:w="781"/>
        <w:gridCol w:w="326"/>
        <w:gridCol w:w="781"/>
        <w:gridCol w:w="326"/>
        <w:gridCol w:w="88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676910" cy="175260"/>
                      <wp:effectExtent l="0" t="0" r="0" b="0"/>
                      <wp:wrapNone/>
                      <wp:docPr id="754" name="Frame74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07010" cy="175260"/>
                      <wp:effectExtent l="0" t="0" r="0" b="0"/>
                      <wp:wrapNone/>
                      <wp:docPr id="755" name="Frame7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495935" cy="175260"/>
                      <wp:effectExtent l="0" t="0" r="0" b="0"/>
                      <wp:wrapNone/>
                      <wp:docPr id="756" name="Frame7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07010" cy="175260"/>
                      <wp:effectExtent l="0" t="0" r="0" b="0"/>
                      <wp:wrapNone/>
                      <wp:docPr id="757" name="Frame7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495935" cy="175260"/>
                      <wp:effectExtent l="0" t="0" r="0" b="0"/>
                      <wp:wrapNone/>
                      <wp:docPr id="758" name="Frame7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207010" cy="175260"/>
                      <wp:effectExtent l="0" t="0" r="0" b="0"/>
                      <wp:wrapNone/>
                      <wp:docPr id="759" name="Frame7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562610" cy="175260"/>
                      <wp:effectExtent l="0" t="0" r="0" b="0"/>
                      <wp:wrapNone/>
                      <wp:docPr id="760" name="Frame75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214,444</w:t>
            </w:r>
          </w:p>
        </w:tc>
        <w:tc>
          <w:tcPr>
            <w:tcW w:w="326"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254,874</w:t>
            </w:r>
          </w:p>
        </w:tc>
        <w:tc>
          <w:tcPr>
            <w:tcW w:w="32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140,211</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40,197</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52,599</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28,661</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254,745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307,702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169,080</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long-lived assets are located in the following countries:</w:t>
      </w:r>
    </w:p>
    <w:p>
      <w:pPr>
        <w:pStyle w:val="TextBody"/>
        <w:bidi w:val="0"/>
        <w:spacing w:before="0" w:after="0"/>
        <w:ind w:left="0" w:right="0" w:hanging="0"/>
        <w:jc w:val="left"/>
        <w:rPr/>
      </w:pPr>
      <w:r>
        <w:rPr/>
        <w:t>​</w:t>
      </w:r>
    </w:p>
    <w:tbl>
      <w:tblPr>
        <w:tblW w:w="2997" w:type="dxa"/>
        <w:jc w:val="left"/>
        <w:tblInd w:w="0" w:type="dxa"/>
        <w:tblLayout w:type="fixed"/>
        <w:tblCellMar>
          <w:top w:w="0" w:type="dxa"/>
          <w:left w:w="0" w:type="dxa"/>
          <w:bottom w:w="0" w:type="dxa"/>
          <w:right w:w="0" w:type="dxa"/>
        </w:tblCellMar>
      </w:tblPr>
      <w:tblGrid>
        <w:gridCol w:w="1066"/>
        <w:gridCol w:w="326"/>
        <w:gridCol w:w="644"/>
        <w:gridCol w:w="367"/>
        <w:gridCol w:w="594"/>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676910" cy="175260"/>
                      <wp:effectExtent l="0" t="0" r="0" b="0"/>
                      <wp:wrapNone/>
                      <wp:docPr id="761" name="Frame75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207010" cy="175260"/>
                      <wp:effectExtent l="0" t="0" r="0" b="0"/>
                      <wp:wrapNone/>
                      <wp:docPr id="762" name="Frame7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408940" cy="175260"/>
                      <wp:effectExtent l="0" t="0" r="0" b="0"/>
                      <wp:wrapNone/>
                      <wp:docPr id="763" name="Frame756"/>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233045" cy="175260"/>
                      <wp:effectExtent l="0" t="0" r="0" b="0"/>
                      <wp:wrapNone/>
                      <wp:docPr id="764" name="Frame757"/>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377190" cy="175260"/>
                      <wp:effectExtent l="0" t="0" r="0" b="0"/>
                      <wp:wrapNone/>
                      <wp:docPr id="765" name="Frame758"/>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0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7" w:type="dxa"/>
            <w:tcBorders/>
            <w:vAlign w:val="center"/>
          </w:tcPr>
          <w:p>
            <w:pPr>
              <w:pStyle w:val="TableContents"/>
              <w:bidi w:val="0"/>
              <w:spacing w:before="0" w:after="0"/>
              <w:ind w:left="0" w:right="0" w:hanging="0"/>
              <w:jc w:val="right"/>
              <w:rPr/>
            </w:pPr>
            <w:r>
              <w:rPr/>
              <w:t>    </w:t>
            </w:r>
          </w:p>
        </w:tc>
        <w:tc>
          <w:tcPr>
            <w:tcW w:w="5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67"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26" w:type="dxa"/>
            <w:tcBorders/>
            <w:vAlign w:val="center"/>
          </w:tcPr>
          <w:p>
            <w:pPr>
              <w:pStyle w:val="TableContents"/>
              <w:bidi w:val="0"/>
              <w:spacing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67" w:type="dxa"/>
            <w:tcBorders/>
            <w:vAlign w:val="center"/>
          </w:tcPr>
          <w:p>
            <w:pPr>
              <w:pStyle w:val="TableContents"/>
              <w:bidi w:val="0"/>
              <w:spacing w:before="0" w:after="0"/>
              <w:ind w:left="0" w:right="0" w:hanging="0"/>
              <w:jc w:val="right"/>
              <w:rPr/>
            </w:pPr>
            <w:r>
              <w:rPr/>
              <w:t>​</w:t>
            </w:r>
          </w:p>
        </w:tc>
        <w:tc>
          <w:tcPr>
            <w:tcW w:w="5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w:t>
            </w:r>
          </w:p>
        </w:tc>
        <w:tc>
          <w:tcPr>
            <w:tcW w:w="367" w:type="dxa"/>
            <w:tcBorders/>
            <w:shd w:fill="CCEEFF" w:val="clear"/>
            <w:vAlign w:val="center"/>
          </w:tcPr>
          <w:p>
            <w:pPr>
              <w:pStyle w:val="TableContents"/>
              <w:bidi w:val="0"/>
              <w:spacing w:before="0" w:after="0"/>
              <w:ind w:left="0" w:right="0" w:hanging="0"/>
              <w:jc w:val="left"/>
              <w:rPr/>
            </w:pPr>
            <w:r>
              <w:rPr/>
              <w:t>​</w:t>
            </w:r>
          </w:p>
        </w:tc>
        <w:tc>
          <w:tcPr>
            <w:tcW w:w="59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tbl>
      <w:tblPr>
        <w:tblW w:w="3212" w:type="dxa"/>
        <w:jc w:val="left"/>
        <w:tblInd w:w="0" w:type="dxa"/>
        <w:tblLayout w:type="fixed"/>
        <w:tblCellMar>
          <w:top w:w="0" w:type="dxa"/>
          <w:left w:w="0" w:type="dxa"/>
          <w:bottom w:w="0" w:type="dxa"/>
          <w:right w:w="0" w:type="dxa"/>
        </w:tblCellMar>
      </w:tblPr>
      <w:tblGrid>
        <w:gridCol w:w="331"/>
        <w:gridCol w:w="288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27</w:t>
            </w:r>
          </w:p>
        </w:tc>
        <w:tc>
          <w:tcPr>
            <w:tcW w:w="28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tbl>
      <w:tblPr>
        <w:tblW w:w="1352" w:type="dxa"/>
        <w:jc w:val="left"/>
        <w:tblInd w:w="0" w:type="dxa"/>
        <w:tblLayout w:type="fixed"/>
        <w:tblCellMar>
          <w:top w:w="0" w:type="dxa"/>
          <w:left w:w="0" w:type="dxa"/>
          <w:bottom w:w="0" w:type="dxa"/>
          <w:right w:w="0" w:type="dxa"/>
        </w:tblCellMar>
      </w:tblPr>
      <w:tblGrid>
        <w:gridCol w:w="346"/>
        <w:gridCol w:w="100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10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Litigation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the ordinary course of the business, the Group is subject to periodic legal or administrative proceedings. As of December 31, 2022 the Group is not a party to any legal or administrative proceedings which will have a material adverse effect on the Group’s business, financial position, results of operations and cash flows.</w:t>
      </w:r>
    </w:p>
    <w:tbl>
      <w:tblPr>
        <w:tblW w:w="2312" w:type="dxa"/>
        <w:jc w:val="left"/>
        <w:tblInd w:w="0" w:type="dxa"/>
        <w:tblLayout w:type="fixed"/>
        <w:tblCellMar>
          <w:top w:w="0" w:type="dxa"/>
          <w:left w:w="0" w:type="dxa"/>
          <w:bottom w:w="0" w:type="dxa"/>
          <w:right w:w="0" w:type="dxa"/>
        </w:tblCellMar>
      </w:tblPr>
      <w:tblGrid>
        <w:gridCol w:w="346"/>
        <w:gridCol w:w="19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9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Capital commitments</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As of December 31, 2022 and 2021, the Group had no capital commitments.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F-80</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2162" w:type="dxa"/>
        <w:jc w:val="left"/>
        <w:tblInd w:w="0" w:type="dxa"/>
        <w:tblLayout w:type="fixed"/>
        <w:tblCellMar>
          <w:top w:w="0" w:type="dxa"/>
          <w:left w:w="0" w:type="dxa"/>
          <w:bottom w:w="0" w:type="dxa"/>
          <w:right w:w="0" w:type="dxa"/>
        </w:tblCellMar>
      </w:tblPr>
      <w:tblGrid>
        <w:gridCol w:w="331"/>
        <w:gridCol w:w="183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28</w:t>
            </w:r>
          </w:p>
        </w:tc>
        <w:tc>
          <w:tcPr>
            <w:tcW w:w="18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net assets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Relevant PRC laws and regulations permit payments of dividends by the Group’s subsidiaries, VIE and its subsidiaries incorporated in the PRC only out of their retained earnings, if any, as determined in accordance with PRC accounting standards and regulations. In addition, the Group’s subsidiaries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subsidiaries, VIE and its subsidiaries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subsidiaries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subsidiaries, VIE and its subsidiaries to satisfy any obligations of the Company.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Furthermore, cash transfers from the Company’s PRC subsidiaries to their parent companies outside of China are subject to PRC government control of currency conversion. Shortages in the availability of foreign currency at the time of requesting such conversion may temporarily delay the ability of the PRC subsidiaries and consolidated affiliated entities to remit sufficient foreign currency to pay dividends or other payments to the Company, or otherwise satisfy their foreign currency denominated obligations.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and 2022, the total restricted net assets of the Company’s subsidiaries and OptAim VIE incorporated in the PRC and subjected to restriction amounted to approximately US$69,749 and US$32,239, respectively. Except for the above there is no other restriction on the use of proceeds generated by the Company’s subsidiaries, VIE and VIE’s subsidiaries to satisfy any obligations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F-81</w:t>
      </w:r>
    </w:p>
    <w:p>
      <w:pPr>
        <w:pStyle w:val="TextBody"/>
        <w:bidi w:val="0"/>
        <w:spacing w:before="0" w:after="2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ADDITIONAL INFORMATION: CONDENSED FINANCIAL STATEMENTS OF PARENT COMPANY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subsidiaries together exceed 25% of consolidated net assets as of the end of the most recently completed fiscal year.</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VIE and VIE’s subsidiaries. Such investment is presented on the separate condensed balance sheets of the Company as “Investment in subsidiaries, VIE and VIE’s subsidiaries” and “Accumulated losses in excess of investment in subsidiaries, VIE and VIE’s subsidiaries.” The Company, its subsidiaries, VIE and VIE’s subsidiaries were included in the consolidated financial statements whereby the intercompany balances and transactions were eliminated upon consolidation. The Company’s share of income from its subsidiaries, VIE and VIE’s subsidiaries is reported as share of income from subsidiaries, VIE and VIE’s subsidiaries in the condensed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2021 and 2022, there were no material commitments or contingencies, significant provisions for long-term obligations or guarantees of the Company, except for those which have been separately disclosed in the consolidated financial statements, if any.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Inter-company charges, share-based compensation and other miscellaneous expenses for the years ended December 31, 2020, 2021 and 2022, which were previously recognized at the parent company level, had been pushed down to the WFOE/VIE level given the majority of services were provided to the WFOE/VIE entities.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condensed financial statements of the parent company should be read in conjunction with the Company’s consolidated financial statements and the accompanying notes thereto. For purposes of these condensed financial statements, the Company’s wholly owned and majority owned subsidiaries are recorded based upon its proportionate share of the subsidiaries’ net assets (similar to presenting them on the equity method).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F-82</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338" w:name="Tc_6mCpls6bP0ef0KkAuBHKxg_31_0"/>
      <w:bookmarkStart w:id="3339" w:name="Tc_Ctgu5d7oKkusM-G-za2lSg_30_0"/>
      <w:bookmarkStart w:id="3340" w:name="Tc_v_oXp6zyRkijJeevGNzxDw_29_0"/>
      <w:bookmarkStart w:id="3341" w:name="Tc_bHCfSEG05kaODaS4u_g7dQ_28_0"/>
      <w:bookmarkStart w:id="3342" w:name="Tc_Mi3xE86nKkyHaXL58S_t-Q_27_0"/>
      <w:bookmarkStart w:id="3343" w:name="Tc_HsrSyC9sVECCQzorJOBdVw_26_0"/>
      <w:bookmarkStart w:id="3344" w:name="Tc_UvqGNO9tD0KT9s6_azfwrw_25_0"/>
      <w:bookmarkStart w:id="3345" w:name="Tc_RsmJusnlLUiReF3n0HgbVQ_24_0"/>
      <w:bookmarkStart w:id="3346" w:name="Tc_6nius9Pt-U-tQmSCN8RXBA_23_0"/>
      <w:bookmarkStart w:id="3347" w:name="Tc_djjaon-_NUedE5gLe1DT9g_22_0"/>
      <w:bookmarkStart w:id="3348" w:name="Tc_QCD10IR7yE27C1TFaODGPA_21_0"/>
      <w:bookmarkStart w:id="3349" w:name="Tc_h-6Ui95iZUeX34GW9W0kHQ_20_0"/>
      <w:bookmarkStart w:id="3350" w:name="Tc_Eh1XP_Q2M06SPlWTAnR8nw_19_0"/>
      <w:bookmarkStart w:id="3351" w:name="Tc_Q9VGxEml_ESwVmqW7Zz0Ng_18_0"/>
      <w:bookmarkStart w:id="3352" w:name="Tc_SqhCdTAK-0SLjkTLg8vZdA_17_0"/>
      <w:bookmarkStart w:id="3353" w:name="Tc_jqDnO_YVsUKMBA2YUg0xoA_16_0"/>
      <w:bookmarkStart w:id="3354" w:name="Tc_C2HSdLx9sUyQh-PrZeJBAA_15_0"/>
      <w:bookmarkStart w:id="3355" w:name="Tc_2i12P7yzrUeVynEctF0WJg_14_0"/>
      <w:bookmarkStart w:id="3356" w:name="Tc_MuJRTRMQ-k2ihueGpa8hKw_13_4"/>
      <w:bookmarkStart w:id="3357" w:name="Tc_pN0Gdtfjn0moDQNrG8gQ1Q_13_0"/>
      <w:bookmarkStart w:id="3358" w:name="Tc_TptMtcxU_US5tBIYsEDxUQ_12_0"/>
      <w:bookmarkStart w:id="3359" w:name="Tc_X-L-bVGVFUOc-tPfyvwHXA_11_4"/>
      <w:bookmarkStart w:id="3360" w:name="Tc_Fz1HrkdeC0Ow4364YU-bTg_11_0"/>
      <w:bookmarkStart w:id="3361" w:name="Tc_pDV1BVlz50udCgZn8yuzFg_10_0"/>
      <w:bookmarkStart w:id="3362" w:name="Tc_1yxIhqCAVkmBmpPvQ5-v_A_9_0"/>
      <w:bookmarkStart w:id="3363" w:name="Tc_HtEQBRZvtEm9QqlYKqCqIQ_8_0"/>
      <w:bookmarkStart w:id="3364" w:name="Tc_SmJgqZM1b0m9_VIh1GaDBw_7_2"/>
      <w:bookmarkStart w:id="3365" w:name="Tc_yyhZXO9VLEG6VusdrD-0WQ_7_0"/>
      <w:bookmarkStart w:id="3366" w:name="Tc_z9Au_aSkhUeGDJ6s9MmRDw_6_4"/>
      <w:bookmarkStart w:id="3367" w:name="Tc_4hMEb9H3XUWe9oa-YiPrrg_6_0"/>
      <w:bookmarkStart w:id="3368" w:name="Tc_K_O-W8S33k-53zqIsvrkyQ_5_0"/>
      <w:bookmarkStart w:id="3369" w:name="Tc_alT_d32kx0-PyNiWXjs7Og_4_0"/>
      <w:bookmarkStart w:id="3370" w:name="Tc_cPrGChUDnEubGospfiXjfQ_3_0"/>
      <w:bookmarkStart w:id="3371" w:name="Tc__najLqra4UiwOqjusO0Ghw_2_4"/>
      <w:bookmarkStart w:id="3372" w:name="Tc_ok0fUZaMCESq8_iX3fRIEw_2_2"/>
      <w:bookmarkStart w:id="3373" w:name="Tc_TaMpvSwe_0e3zkOebmVXQg_1_2"/>
      <w:bookmarkStart w:id="3374" w:name="_d97c83d9_b6f5_41b2_b41c_9a046b438f60"/>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r>
        <w:rPr>
          <w:rFonts w:ascii="Times New Roman;Times;serif" w:hAnsi="Times New Roman;Times;serif"/>
          <w:b/>
          <w:sz w:val="20"/>
        </w:rPr>
        <w:t>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BALANCE SHEETS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2021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6970" w:type="dxa"/>
        <w:jc w:val="left"/>
        <w:tblInd w:w="0" w:type="dxa"/>
        <w:tblLayout w:type="fixed"/>
        <w:tblCellMar>
          <w:top w:w="0" w:type="dxa"/>
          <w:left w:w="0" w:type="dxa"/>
          <w:bottom w:w="0" w:type="dxa"/>
          <w:right w:w="0" w:type="dxa"/>
        </w:tblCellMar>
      </w:tblPr>
      <w:tblGrid>
        <w:gridCol w:w="4561"/>
        <w:gridCol w:w="386"/>
        <w:gridCol w:w="796"/>
        <w:gridCol w:w="386"/>
        <w:gridCol w:w="84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896235" cy="175260"/>
                      <wp:effectExtent l="0" t="0" r="0" b="0"/>
                      <wp:wrapNone/>
                      <wp:docPr id="766" name="Frame759"/>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245110" cy="175260"/>
                      <wp:effectExtent l="0" t="0" r="0" b="0"/>
                      <wp:wrapNone/>
                      <wp:docPr id="767" name="Frame76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505460" cy="175260"/>
                      <wp:effectExtent l="0" t="0" r="0" b="0"/>
                      <wp:wrapNone/>
                      <wp:docPr id="768" name="Frame76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45110" cy="175260"/>
                      <wp:effectExtent l="0" t="0" r="0" b="0"/>
                      <wp:wrapNone/>
                      <wp:docPr id="769" name="Frame76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534035" cy="175260"/>
                      <wp:effectExtent l="0" t="0" r="0" b="0"/>
                      <wp:wrapNone/>
                      <wp:docPr id="770" name="Frame76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center"/>
              <w:rPr/>
            </w:pPr>
            <w:r>
              <w:rPr/>
              <w:t>​</w:t>
            </w:r>
          </w:p>
        </w:tc>
        <w:tc>
          <w:tcPr>
            <w:tcW w:w="20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56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86" w:type="dxa"/>
            <w:tcBorders/>
            <w:vAlign w:val="center"/>
          </w:tcPr>
          <w:p>
            <w:pPr>
              <w:pStyle w:val="TableContents"/>
              <w:bidi w:val="0"/>
              <w:spacing w:before="0" w:after="1"/>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8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3,657</w:t>
            </w:r>
          </w:p>
        </w:tc>
        <w:tc>
          <w:tcPr>
            <w:tcW w:w="38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short-term investments</w:t>
            </w:r>
          </w:p>
        </w:tc>
        <w:tc>
          <w:tcPr>
            <w:tcW w:w="3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8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w:t>
            </w:r>
          </w:p>
        </w:tc>
        <w:tc>
          <w:tcPr>
            <w:tcW w:w="38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4,995</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2,282</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8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8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subsidiaries, VIE and VIE’s subsidiaries</w:t>
            </w:r>
          </w:p>
        </w:tc>
        <w:tc>
          <w:tcPr>
            <w:tcW w:w="38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285,824</w:t>
            </w:r>
          </w:p>
        </w:tc>
        <w:tc>
          <w:tcPr>
            <w:tcW w:w="38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80,015</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investments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 an equity investee</w:t>
            </w:r>
          </w:p>
        </w:tc>
        <w:tc>
          <w:tcPr>
            <w:tcW w:w="38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c>
          <w:tcPr>
            <w:tcW w:w="38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286,942</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80,294</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8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291,937</w:t>
            </w:r>
          </w:p>
        </w:tc>
        <w:tc>
          <w:tcPr>
            <w:tcW w:w="38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82,576</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liability</w:t>
            </w:r>
          </w:p>
        </w:tc>
        <w:tc>
          <w:tcPr>
            <w:tcW w:w="38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8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7,126</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5,575</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liability</w:t>
            </w:r>
          </w:p>
        </w:tc>
        <w:tc>
          <w:tcPr>
            <w:tcW w:w="38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7,126</w:t>
            </w:r>
          </w:p>
        </w:tc>
        <w:tc>
          <w:tcPr>
            <w:tcW w:w="38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5,575</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liability</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8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38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2,071</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liability</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2,071</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8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7,585</w:t>
            </w:r>
          </w:p>
        </w:tc>
        <w:tc>
          <w:tcPr>
            <w:tcW w:w="38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7,646</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8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8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Ordinary shares</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shares</w:t>
            </w:r>
          </w:p>
        </w:tc>
        <w:tc>
          <w:tcPr>
            <w:tcW w:w="38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(20,908)</w:t>
            </w:r>
          </w:p>
        </w:tc>
        <w:tc>
          <w:tcPr>
            <w:tcW w:w="38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(28,457)</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shareholders’ equity</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305,212</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103,338</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8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284,352</w:t>
            </w:r>
          </w:p>
        </w:tc>
        <w:tc>
          <w:tcPr>
            <w:tcW w:w="38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74,930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8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291,937</w:t>
            </w:r>
          </w:p>
        </w:tc>
        <w:tc>
          <w:tcPr>
            <w:tcW w:w="38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82,576</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F-83</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375" w:name="Tc_07WBpSN3KkaUD0Xe88i3_Q_19_0"/>
      <w:bookmarkStart w:id="3376" w:name="Tc_5wTyfd9GaUudTXHCI81aBQ_18_0"/>
      <w:bookmarkStart w:id="3377" w:name="Tc_9ChNtc8MRUCwSXOHjSwHmQ_17_0"/>
      <w:bookmarkStart w:id="3378" w:name="Tc_G8j2G4idaEKVeGwi0S-kNQ_16_0"/>
      <w:bookmarkStart w:id="3379" w:name="Tc_hnt4FbVvaE2BTbXYEqOa0A_15_0"/>
      <w:bookmarkStart w:id="3380" w:name="Tc_jIJkicuwFEqIDbxydW9QTw_14_0"/>
      <w:bookmarkStart w:id="3381" w:name="Tc_2GrRc0O3KEaEzo-VXA-2VQ_13_0"/>
      <w:bookmarkStart w:id="3382" w:name="Tc_lbwR0JEvE0Wypbypg7AmBg_12_0"/>
      <w:bookmarkStart w:id="3383" w:name="Tc_jhLjFmsdck-IgwYjgB4fDw_11_0"/>
      <w:bookmarkStart w:id="3384" w:name="Tc_LULIgfAMUkiKu4TewTcEFA_10_6"/>
      <w:bookmarkStart w:id="3385" w:name="Tc_BID50cNmZ0OqWsw4yHY20w_10_4"/>
      <w:bookmarkStart w:id="3386" w:name="Tc_yIsyUzJJ_Umdcx21MGx2Iw_10_0"/>
      <w:bookmarkStart w:id="3387" w:name="Tc_REHPfaq4qkmmjH4F-k674g_9_6"/>
      <w:bookmarkStart w:id="3388" w:name="Tc_YpD8DINTO0CdMDnGTBZqNg_9_4"/>
      <w:bookmarkStart w:id="3389" w:name="Tc_-VEUWKmon0qnerm0A6EEfQ_9_0"/>
      <w:bookmarkStart w:id="3390" w:name="Tc_RW8mTz1qlk-zEgulM1ksAQ_8_0"/>
      <w:bookmarkStart w:id="3391" w:name="Tc_Htmuxwbm40uENXJ4LCYoLw_7_0"/>
      <w:bookmarkStart w:id="3392" w:name="Tc_4BVujkY-YkiUrQJOZN7wMA_5_0"/>
      <w:bookmarkStart w:id="3393" w:name="Tc_Hf_pztzUvUOj2DtJW-RWAQ_4_0"/>
      <w:bookmarkStart w:id="3394" w:name="Tc_Pq2vQlQ1jE-_LlVFFKwIAA_3_0"/>
      <w:bookmarkStart w:id="3395" w:name="Tc_UmaL-umou0qQq371iUB49Q_2_6"/>
      <w:bookmarkStart w:id="3396" w:name="Tc_uy9H9nzfVEeKUOP6cXJINw_2_4"/>
      <w:bookmarkStart w:id="3397" w:name="Tc_1rRWo7NztkeRIMmzZMccSg_2_2"/>
      <w:bookmarkStart w:id="3398" w:name="Tc_eDQ7lgnL_kCHdxqrh73Iuw_1_2"/>
      <w:bookmarkStart w:id="3399" w:name="_11996587_7375_4323_9e27_073742a2fb6e"/>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r>
        <w:rPr>
          <w:rFonts w:ascii="Times New Roman;Times;serif" w:hAnsi="Times New Roman;Times;serif"/>
          <w:b/>
          <w:sz w:val="20"/>
        </w:rPr>
        <w:t>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STATEMENTS OF COMPREHENSIVE LOSS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2020, 2021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10205" w:type="dxa"/>
        <w:jc w:val="left"/>
        <w:tblInd w:w="0" w:type="dxa"/>
        <w:tblLayout w:type="fixed"/>
        <w:tblCellMar>
          <w:top w:w="0" w:type="dxa"/>
          <w:left w:w="0" w:type="dxa"/>
          <w:bottom w:w="0" w:type="dxa"/>
          <w:right w:w="0" w:type="dxa"/>
        </w:tblCellMar>
      </w:tblPr>
      <w:tblGrid>
        <w:gridCol w:w="6709"/>
        <w:gridCol w:w="326"/>
        <w:gridCol w:w="789"/>
        <w:gridCol w:w="326"/>
        <w:gridCol w:w="789"/>
        <w:gridCol w:w="326"/>
        <w:gridCol w:w="940"/>
      </w:tblGrid>
      <w:tr>
        <w:trPr/>
        <w:tc>
          <w:tcPr>
            <w:tcW w:w="6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4260215" cy="175260"/>
                      <wp:effectExtent l="0" t="0" r="0" b="0"/>
                      <wp:wrapNone/>
                      <wp:docPr id="771" name="Frame764"/>
                      <a:graphic xmlns:a="http://schemas.openxmlformats.org/drawingml/2006/main">
                        <a:graphicData uri="http://schemas.microsoft.com/office/word/2010/wordprocessingShape">
                          <wps:wsp>
                            <wps:cNvSpPr txBox="1"/>
                            <wps:spPr>
                              <a:xfrm>
                                <a:off x="0" y="0"/>
                                <a:ext cx="426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207010" cy="175260"/>
                      <wp:effectExtent l="0" t="0" r="0" b="0"/>
                      <wp:wrapNone/>
                      <wp:docPr id="772" name="Frame7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501015" cy="175260"/>
                      <wp:effectExtent l="0" t="0" r="0" b="0"/>
                      <wp:wrapNone/>
                      <wp:docPr id="773" name="Frame766"/>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07010" cy="175260"/>
                      <wp:effectExtent l="0" t="0" r="0" b="0"/>
                      <wp:wrapNone/>
                      <wp:docPr id="774" name="Frame7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501015" cy="175260"/>
                      <wp:effectExtent l="0" t="0" r="0" b="0"/>
                      <wp:wrapNone/>
                      <wp:docPr id="775" name="Frame768"/>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207010" cy="175260"/>
                      <wp:effectExtent l="0" t="0" r="0" b="0"/>
                      <wp:wrapNone/>
                      <wp:docPr id="776" name="Frame7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596900" cy="175260"/>
                      <wp:effectExtent l="0" t="0" r="0" b="0"/>
                      <wp:wrapNone/>
                      <wp:docPr id="777" name="Frame770"/>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7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center"/>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0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left"/>
              <w:rPr/>
            </w:pPr>
            <w:r>
              <w:rPr/>
              <w:t>​</w:t>
            </w:r>
          </w:p>
        </w:tc>
      </w:tr>
      <w:tr>
        <w:trPr/>
        <w:tc>
          <w:tcPr>
            <w:tcW w:w="67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(13,598)</w:t>
            </w:r>
          </w:p>
        </w:tc>
        <w:tc>
          <w:tcPr>
            <w:tcW w:w="326" w:type="dxa"/>
            <w:tcBorders/>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(17,574)</w:t>
            </w:r>
          </w:p>
        </w:tc>
        <w:tc>
          <w:tcPr>
            <w:tcW w:w="326" w:type="dxa"/>
            <w:tcBorders/>
            <w:vAlign w:val="center"/>
          </w:tcPr>
          <w:p>
            <w:pPr>
              <w:pStyle w:val="TableContents"/>
              <w:bidi w:val="0"/>
              <w:spacing w:before="0" w:after="0"/>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w:t>
            </w:r>
          </w:p>
        </w:tc>
      </w:tr>
      <w:tr>
        <w:trPr/>
        <w:tc>
          <w:tcPr>
            <w:tcW w:w="670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(13,598)</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(17,574)</w:t>
            </w:r>
          </w:p>
        </w:tc>
        <w:tc>
          <w:tcPr>
            <w:tcW w:w="326" w:type="dxa"/>
            <w:tcBorders/>
            <w:shd w:fill="CCEEFF" w:val="cle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w:t>
            </w:r>
          </w:p>
        </w:tc>
      </w:tr>
      <w:tr>
        <w:trPr/>
        <w:tc>
          <w:tcPr>
            <w:tcW w:w="67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pPr>
            <w:r>
              <w:rPr/>
              <w:t>​</w:t>
            </w:r>
          </w:p>
        </w:tc>
      </w:tr>
      <w:tr>
        <w:trPr/>
        <w:tc>
          <w:tcPr>
            <w:tcW w:w="670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(13,598)</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(17,574)</w:t>
            </w:r>
          </w:p>
        </w:tc>
        <w:tc>
          <w:tcPr>
            <w:tcW w:w="326"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w:t>
            </w:r>
          </w:p>
        </w:tc>
      </w:tr>
      <w:tr>
        <w:trPr/>
        <w:tc>
          <w:tcPr>
            <w:tcW w:w="67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 net</w:t>
            </w:r>
          </w:p>
        </w:tc>
        <w:tc>
          <w:tcPr>
            <w:tcW w:w="326"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(7,925)</w:t>
            </w:r>
          </w:p>
        </w:tc>
      </w:tr>
      <w:tr>
        <w:trPr/>
        <w:tc>
          <w:tcPr>
            <w:tcW w:w="67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losses on derivative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(11,466)</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pPr>
            <w:r>
              <w:rPr/>
              <w:t>—</w:t>
            </w:r>
          </w:p>
        </w:tc>
      </w:tr>
      <w:tr>
        <w:trPr/>
        <w:tc>
          <w:tcPr>
            <w:tcW w:w="67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losses on convertible notes</w:t>
            </w:r>
          </w:p>
        </w:tc>
        <w:tc>
          <w:tcPr>
            <w:tcW w:w="326"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w:t>
            </w:r>
          </w:p>
        </w:tc>
        <w:tc>
          <w:tcPr>
            <w:tcW w:w="326"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pPr>
            <w:r>
              <w:rPr/>
              <w:t>—</w:t>
            </w:r>
          </w:p>
        </w:tc>
      </w:tr>
      <w:tr>
        <w:trPr/>
        <w:tc>
          <w:tcPr>
            <w:tcW w:w="67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profits/(losses) from subsidiaries, VIE and VIE’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17,477</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c>
          <w:tcPr>
            <w:tcW w:w="326" w:type="dxa"/>
            <w:tcBorders/>
            <w:shd w:fill="CCEEFF" w:val="cle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(185,431)</w:t>
            </w:r>
          </w:p>
        </w:tc>
      </w:tr>
      <w:tr>
        <w:trPr/>
        <w:tc>
          <w:tcPr>
            <w:tcW w:w="670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share of losses from an equity investee and income tax expense</w:t>
            </w:r>
          </w:p>
        </w:tc>
        <w:tc>
          <w:tcPr>
            <w:tcW w:w="326" w:type="dxa"/>
            <w:tcBorders/>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(12,429)</w:t>
            </w:r>
          </w:p>
        </w:tc>
        <w:tc>
          <w:tcPr>
            <w:tcW w:w="326" w:type="dxa"/>
            <w:tcBorders/>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(13,410)</w:t>
            </w:r>
          </w:p>
        </w:tc>
        <w:tc>
          <w:tcPr>
            <w:tcW w:w="326" w:type="dxa"/>
            <w:tcBorders/>
            <w:vAlign w:val="center"/>
          </w:tcPr>
          <w:p>
            <w:pPr>
              <w:pStyle w:val="TableContents"/>
              <w:bidi w:val="0"/>
              <w:spacing w:before="0" w:after="0"/>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(200,516)</w:t>
            </w:r>
          </w:p>
        </w:tc>
      </w:tr>
      <w:tr>
        <w:trPr/>
        <w:tc>
          <w:tcPr>
            <w:tcW w:w="67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 from an equity investee</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67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before="0" w:after="0"/>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670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iClick Interactive Asia Group Limited’s ordinary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(12,618)</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(13,631)</w:t>
            </w:r>
          </w:p>
        </w:tc>
        <w:tc>
          <w:tcPr>
            <w:tcW w:w="326" w:type="dxa"/>
            <w:tcBorders/>
            <w:shd w:fill="CCEEFF" w:val="clear"/>
            <w:vAlign w:val="center"/>
          </w:tcPr>
          <w:p>
            <w:pPr>
              <w:pStyle w:val="TableContents"/>
              <w:bidi w:val="0"/>
              <w:spacing w:before="0" w:after="0"/>
              <w:ind w:left="0" w:right="0" w:hanging="0"/>
              <w:jc w:val="left"/>
              <w:rPr/>
            </w:pPr>
            <w:r>
              <w:rPr/>
              <w:t> </w:t>
            </w:r>
          </w:p>
        </w:tc>
        <w:tc>
          <w:tcPr>
            <w:tcW w:w="9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r>
      <w:tr>
        <w:trPr/>
        <w:tc>
          <w:tcPr>
            <w:tcW w:w="67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iClick Interactive Asia Group Limited</w:t>
            </w:r>
          </w:p>
        </w:tc>
        <w:tc>
          <w:tcPr>
            <w:tcW w:w="326"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(12,618)</w:t>
            </w:r>
          </w:p>
        </w:tc>
        <w:tc>
          <w:tcPr>
            <w:tcW w:w="326"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(13,631)</w:t>
            </w:r>
          </w:p>
        </w:tc>
        <w:tc>
          <w:tcPr>
            <w:tcW w:w="326"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(200,875)</w:t>
            </w:r>
          </w:p>
        </w:tc>
      </w:tr>
      <w:tr>
        <w:trPr/>
        <w:tc>
          <w:tcPr>
            <w:tcW w:w="67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pPr>
            <w:r>
              <w:rPr/>
              <w:t>​</w:t>
            </w:r>
          </w:p>
        </w:tc>
      </w:tr>
      <w:tr>
        <w:trPr/>
        <w:tc>
          <w:tcPr>
            <w:tcW w:w="67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 net of tax</w:t>
            </w:r>
          </w:p>
        </w:tc>
        <w:tc>
          <w:tcPr>
            <w:tcW w:w="326" w:type="dxa"/>
            <w:tcBorders/>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5,001</w:t>
            </w:r>
          </w:p>
        </w:tc>
        <w:tc>
          <w:tcPr>
            <w:tcW w:w="326" w:type="dxa"/>
            <w:tcBorders/>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3,340</w:t>
            </w:r>
          </w:p>
        </w:tc>
        <w:tc>
          <w:tcPr>
            <w:tcW w:w="326" w:type="dxa"/>
            <w:tcBorders/>
            <w:vAlign w:val="center"/>
          </w:tcPr>
          <w:p>
            <w:pPr>
              <w:pStyle w:val="TableContents"/>
              <w:bidi w:val="0"/>
              <w:spacing w:before="0" w:after="0"/>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(4,946)</w:t>
            </w:r>
          </w:p>
        </w:tc>
      </w:tr>
      <w:tr>
        <w:trPr/>
        <w:tc>
          <w:tcPr>
            <w:tcW w:w="670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 attributable to iClick Interactive Asia Group Limited</w:t>
            </w:r>
          </w:p>
        </w:tc>
        <w:tc>
          <w:tcPr>
            <w:tcW w:w="326" w:type="dxa"/>
            <w:tcBorders/>
            <w:shd w:fill="CCEEFF" w:val="clear"/>
            <w:vAlign w:val="center"/>
          </w:tcPr>
          <w:p>
            <w:pPr>
              <w:pStyle w:val="TableContents"/>
              <w:bidi w:val="0"/>
              <w:spacing w:before="0" w:after="0"/>
              <w:ind w:left="0" w:right="0" w:hanging="0"/>
              <w:jc w:val="left"/>
              <w:rPr/>
            </w:pPr>
            <w:r>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(7,617)</w:t>
            </w:r>
          </w:p>
        </w:tc>
        <w:tc>
          <w:tcPr>
            <w:tcW w:w="326" w:type="dxa"/>
            <w:tcBorders/>
            <w:shd w:fill="CCEEFF" w:val="clear"/>
            <w:vAlign w:val="center"/>
          </w:tcPr>
          <w:p>
            <w:pPr>
              <w:pStyle w:val="TableContents"/>
              <w:bidi w:val="0"/>
              <w:spacing w:before="0" w:after="0"/>
              <w:ind w:left="0" w:right="0" w:hanging="0"/>
              <w:jc w:val="left"/>
              <w:rPr/>
            </w:pPr>
            <w:r>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(10,291)</w:t>
            </w:r>
          </w:p>
        </w:tc>
        <w:tc>
          <w:tcPr>
            <w:tcW w:w="326" w:type="dxa"/>
            <w:tcBorders/>
            <w:shd w:fill="CCEEFF" w:val="clear"/>
            <w:vAlign w:val="center"/>
          </w:tcPr>
          <w:p>
            <w:pPr>
              <w:pStyle w:val="TableContents"/>
              <w:bidi w:val="0"/>
              <w:spacing w:before="0" w:after="0"/>
              <w:ind w:left="0" w:right="0" w:hanging="0"/>
              <w:jc w:val="left"/>
              <w:rPr/>
            </w:pPr>
            <w:r>
              <w:rPr/>
              <w:t>​</w:t>
            </w:r>
          </w:p>
        </w:tc>
        <w:tc>
          <w:tcPr>
            <w:tcW w:w="9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F-84</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400" w:name="Tc_xm9B3mq6fkWa3NP_YXge_A_24_0"/>
      <w:bookmarkStart w:id="3401" w:name="Tc_qA_A5sDfbEim1XXqF4oA4g_23_0"/>
      <w:bookmarkStart w:id="3402" w:name="Tc_9sPe6auGH0qKnZjN5N1MbA_22_6"/>
      <w:bookmarkStart w:id="3403" w:name="Tc_7iEdK-tkV0OhRWXe-5CsQw_22_2"/>
      <w:bookmarkStart w:id="3404" w:name="Tc_Xkb2HvvGO0Oyr5iifpm7RA_22_0"/>
      <w:bookmarkStart w:id="3405" w:name="Tc_X2b3VMWjkUO6adFQoNaMxg_21_6"/>
      <w:bookmarkStart w:id="3406" w:name="Tc_x7Onh1wf9EqHIHeNWIZEYw_21_4"/>
      <w:bookmarkStart w:id="3407" w:name="Tc_AbS52u-5G06GijkALGVdjQ_21_0"/>
      <w:bookmarkStart w:id="3408" w:name="Tc_AcT6ntx-7kSYtIrh09bFNw_20_0"/>
      <w:bookmarkStart w:id="3409" w:name="Tc_1lEmF0Sp2kCKBLe85zNsaA_19_6"/>
      <w:bookmarkStart w:id="3410" w:name="Tc_l1BPQmkRaUO4FvYt--Ihpg_19_4"/>
      <w:bookmarkStart w:id="3411" w:name="Tc_LZErhnCi5UW93JJ3uD2ERQ_19_0"/>
      <w:bookmarkStart w:id="3412" w:name="Tc_hiPwDwXN7E6eV3vVXuMK6Q_18_6"/>
      <w:bookmarkStart w:id="3413" w:name="Tc_T6fY9LMW30qVUFsqD-jzcQ_18_4"/>
      <w:bookmarkStart w:id="3414" w:name="Tc_PU10v1Uj4k-jeIyDum4ahw_18_0"/>
      <w:bookmarkStart w:id="3415" w:name="Tc_kw1SLRvOE0qd-GRkIuY05g_17_0"/>
      <w:bookmarkStart w:id="3416" w:name="Tc_2SJD9JdAhE-FkhMUvI4AkA_16_6"/>
      <w:bookmarkStart w:id="3417" w:name="Tc_iQ1r_5gOjEWTIhF9iKD19w_16_4"/>
      <w:bookmarkStart w:id="3418" w:name="Tc_X9eCm9Uiz0C-WtK1umnO0Q_16_0"/>
      <w:bookmarkStart w:id="3419" w:name="Tc_tFSFeV84MUKE0jT1jK5Ucg_15_0"/>
      <w:bookmarkStart w:id="3420" w:name="Tc_FxeP7MHJyU21HS8mmI40Yw_13_0"/>
      <w:bookmarkStart w:id="3421" w:name="Tc_3JBpgaaZBE6YoEd1NfR6pg_12_0"/>
      <w:bookmarkStart w:id="3422" w:name="Tc_yH1JXCGzDEWCpoq0y_XvDw_11_4"/>
      <w:bookmarkStart w:id="3423" w:name="Tc_OnkHsQiaqE-00kAmj9lddA_11_2"/>
      <w:bookmarkStart w:id="3424" w:name="Tc_OAbIv-TDc0C0SClGfMANPA_11_0"/>
      <w:bookmarkStart w:id="3425" w:name="Tc_zJWXVy1TYke7zOnPV8Rv6A_10_6"/>
      <w:bookmarkStart w:id="3426" w:name="Tc_D_ueETr0wUW9Akh-5g9YvA_10_0"/>
      <w:bookmarkStart w:id="3427" w:name="Tc_S3J1yn5ytEKJCOzmwr193A_9_6"/>
      <w:bookmarkStart w:id="3428" w:name="Tc_1AZpiuEr7EqGA71cpJHwZQ_9_0"/>
      <w:bookmarkStart w:id="3429" w:name="Tc_Huzjx2vTIU2sD0ibkPRb3w_8_6"/>
      <w:bookmarkStart w:id="3430" w:name="Tc_oxh6RiTPO06SikqUAYn9SA_8_4"/>
      <w:bookmarkStart w:id="3431" w:name="Tc_LwKkN8TraUC_ZyXM5ys87Q_8_0"/>
      <w:bookmarkStart w:id="3432" w:name="Tc_352Cv6QB4UmSTgUGbqHnpQ_7_6"/>
      <w:bookmarkStart w:id="3433" w:name="Tc_JAZszKhrTkqjIPwjOuo8cg_7_4"/>
      <w:bookmarkStart w:id="3434" w:name="Tc_C0UKhw5QiEqpHfQaPlCPLQ_7_0"/>
      <w:bookmarkStart w:id="3435" w:name="Tc_G-n-feKbskGHmGIU7Tgctw_6_0"/>
      <w:bookmarkStart w:id="3436" w:name="Tc_gej04fO1i0KMyEIimHLm-w_4_0"/>
      <w:bookmarkStart w:id="3437" w:name="Tc_7fup2KMDkEaVO4BQ5OaJJA_3_0"/>
      <w:bookmarkStart w:id="3438" w:name="Tc_ofV7y_kU_kWloRv4_cOsdg_2_6"/>
      <w:bookmarkStart w:id="3439" w:name="Tc_CtXsj8opZEKWGHWY9AQryw_2_4"/>
      <w:bookmarkStart w:id="3440" w:name="Tc_gLUBq-_Rqk-BS32SYN08OQ_2_2"/>
      <w:bookmarkStart w:id="3441" w:name="Tc_oeGVOP5EQ0mSDI16wK9Azw_1_2"/>
      <w:bookmarkStart w:id="3442" w:name="_ecbdf4c2_803f_426e_9c52_69461479ec31"/>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r>
        <w:rPr>
          <w:rFonts w:ascii="Times New Roman;Times;serif" w:hAnsi="Times New Roman;Times;serif"/>
          <w:b/>
          <w:sz w:val="20"/>
        </w:rPr>
        <w:t>iCLICK INTERACTIVE ASIA GROUP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STATEMENTS OF CASH FLOWS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2020, 2021 AND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tbl>
      <w:tblPr>
        <w:tblW w:w="10072" w:type="dxa"/>
        <w:jc w:val="left"/>
        <w:tblInd w:w="0" w:type="dxa"/>
        <w:tblLayout w:type="fixed"/>
        <w:tblCellMar>
          <w:top w:w="0" w:type="dxa"/>
          <w:left w:w="0" w:type="dxa"/>
          <w:bottom w:w="0" w:type="dxa"/>
          <w:right w:w="0" w:type="dxa"/>
        </w:tblCellMar>
      </w:tblPr>
      <w:tblGrid>
        <w:gridCol w:w="6766"/>
        <w:gridCol w:w="326"/>
        <w:gridCol w:w="796"/>
        <w:gridCol w:w="326"/>
        <w:gridCol w:w="796"/>
        <w:gridCol w:w="326"/>
        <w:gridCol w:w="736"/>
      </w:tblGrid>
      <w:tr>
        <w:trPr/>
        <w:tc>
          <w:tcPr>
            <w:tcW w:w="6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4296410" cy="175260"/>
                      <wp:effectExtent l="0" t="0" r="0" b="0"/>
                      <wp:wrapNone/>
                      <wp:docPr id="778" name="Frame771"/>
                      <a:graphic xmlns:a="http://schemas.openxmlformats.org/drawingml/2006/main">
                        <a:graphicData uri="http://schemas.microsoft.com/office/word/2010/wordprocessingShape">
                          <wps:wsp>
                            <wps:cNvSpPr txBox="1"/>
                            <wps:spPr>
                              <a:xfrm>
                                <a:off x="0" y="0"/>
                                <a:ext cx="429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207010" cy="175260"/>
                      <wp:effectExtent l="0" t="0" r="0" b="0"/>
                      <wp:wrapNone/>
                      <wp:docPr id="779" name="Frame7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505460" cy="175260"/>
                      <wp:effectExtent l="0" t="0" r="0" b="0"/>
                      <wp:wrapNone/>
                      <wp:docPr id="780" name="Frame7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207010" cy="175260"/>
                      <wp:effectExtent l="0" t="0" r="0" b="0"/>
                      <wp:wrapNone/>
                      <wp:docPr id="781" name="Frame7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505460" cy="175260"/>
                      <wp:effectExtent l="0" t="0" r="0" b="0"/>
                      <wp:wrapNone/>
                      <wp:docPr id="782" name="Frame7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207010" cy="175260"/>
                      <wp:effectExtent l="0" t="0" r="0" b="0"/>
                      <wp:wrapNone/>
                      <wp:docPr id="783" name="Frame7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467360" cy="175260"/>
                      <wp:effectExtent l="0" t="0" r="0" b="0"/>
                      <wp:wrapNone/>
                      <wp:docPr id="784" name="Frame77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9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(3,461)</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(3,217)</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(7,754)</w:t>
            </w:r>
          </w:p>
        </w:tc>
      </w:tr>
      <w:tr>
        <w:trPr/>
        <w:tc>
          <w:tcPr>
            <w:tcW w:w="67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other long-term investments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 an equity investee</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Redemption of time deposits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contribution  to subsidiaries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(77,655)</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due from subsidiaries</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19,656</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subsidiaries</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(4,982)</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(7,742)</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in)/provided by investing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(78,790)</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(4,989)</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11,914</w:t>
            </w:r>
          </w:p>
        </w:tc>
      </w:tr>
      <w:tr>
        <w:trPr/>
        <w:tc>
          <w:tcPr>
            <w:tcW w:w="6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shares upon private placements and follow on offering</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71,917</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exercise of share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convertible notes, net of transaction expenses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19,184</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Redemption of convertible notes </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(15,196)</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ordinary shares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(5,677)</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(10,687)</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(7,574)</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interests in subsidiaries from non-controlling interests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issuance of ordinary shares upon subscription from Baozun Inc.</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17,010</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by/(used in) 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64,530</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6,984</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(7,506)</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decrease in cash and cash equivalents and restricted cash</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(17,721)</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bookmarkStart w:id="3443" w:name="Note_END"/>
      <w:bookmarkEnd w:id="3443"/>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F-85</w:t>
      </w:r>
    </w:p>
    <w:p>
      <w:pPr>
        <w:pStyle w:val="TextBody"/>
        <w:bidi w:val="0"/>
        <w:spacing w:before="0" w:after="0"/>
        <w:ind w:left="0" w:right="0" w:hanging="0"/>
        <w:jc w:val="right"/>
        <w:rPr>
          <w:rFonts w:ascii="Times New Roman;Times;serif" w:hAnsi="Times New Roman;Times;serif"/>
          <w:b/>
          <w:sz w:val="20"/>
        </w:rPr>
      </w:pPr>
      <w:bookmarkStart w:id="3444" w:name="iclk-20221231xex8d1.htm"/>
      <w:bookmarkStart w:id="3445" w:name="ksiclk20221231xex8d1"/>
      <w:bookmarkEnd w:id="3444"/>
      <w:bookmarkEnd w:id="3445"/>
      <w:r>
        <w:rPr>
          <w:rFonts w:ascii="Times New Roman;Times;serif" w:hAnsi="Times New Roman;Times;serif"/>
          <w:b/>
          <w:sz w:val="20"/>
        </w:rPr>
        <w:t>Exhibit 8.1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Subsidiaries of iClick Interactive Asia Group Limited</w:t>
      </w:r>
    </w:p>
    <w:p>
      <w:pPr>
        <w:pStyle w:val="TextBody"/>
        <w:bidi w:val="0"/>
        <w:spacing w:before="0" w:after="0"/>
        <w:ind w:left="0" w:right="0" w:hanging="0"/>
        <w:jc w:val="left"/>
        <w:rPr/>
      </w:pPr>
      <w:r>
        <w:rPr/>
        <w:t>​</w:t>
      </w:r>
    </w:p>
    <w:tbl>
      <w:tblPr>
        <w:tblW w:w="8685" w:type="dxa"/>
        <w:jc w:val="center"/>
        <w:tblInd w:w="0" w:type="dxa"/>
        <w:tblLayout w:type="fixed"/>
        <w:tblCellMar>
          <w:top w:w="0" w:type="dxa"/>
          <w:left w:w="0" w:type="dxa"/>
          <w:bottom w:w="0" w:type="dxa"/>
          <w:right w:w="0" w:type="dxa"/>
        </w:tblCellMar>
      </w:tblPr>
      <w:tblGrid>
        <w:gridCol w:w="4576"/>
        <w:gridCol w:w="326"/>
        <w:gridCol w:w="961"/>
        <w:gridCol w:w="436"/>
        <w:gridCol w:w="2386"/>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2905760" cy="29210"/>
                      <wp:effectExtent l="0" t="0" r="0" b="0"/>
                      <wp:wrapNone/>
                      <wp:docPr id="785" name="Frame778"/>
                      <a:graphic xmlns:a="http://schemas.openxmlformats.org/drawingml/2006/main">
                        <a:graphicData uri="http://schemas.microsoft.com/office/word/2010/wordprocessingShape">
                          <wps:wsp>
                            <wps:cNvSpPr txBox="1"/>
                            <wps:spPr>
                              <a:xfrm>
                                <a:off x="0" y="0"/>
                                <a:ext cx="2905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207010" cy="29210"/>
                      <wp:effectExtent l="0" t="0" r="0" b="0"/>
                      <wp:wrapNone/>
                      <wp:docPr id="786" name="Frame779"/>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610235" cy="29210"/>
                      <wp:effectExtent l="0" t="0" r="0" b="0"/>
                      <wp:wrapNone/>
                      <wp:docPr id="787" name="Frame780"/>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276860" cy="29210"/>
                      <wp:effectExtent l="0" t="0" r="0" b="0"/>
                      <wp:wrapNone/>
                      <wp:docPr id="788" name="Frame781"/>
                      <a:graphic xmlns:a="http://schemas.openxmlformats.org/drawingml/2006/main">
                        <a:graphicData uri="http://schemas.microsoft.com/office/word/2010/wordprocessingShape">
                          <wps:wsp>
                            <wps:cNvSpPr txBox="1"/>
                            <wps:spPr>
                              <a:xfrm>
                                <a:off x="0" y="0"/>
                                <a:ext cx="276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1515110" cy="29210"/>
                      <wp:effectExtent l="0" t="0" r="0" b="0"/>
                      <wp:wrapNone/>
                      <wp:docPr id="789" name="Frame782"/>
                      <a:graphic xmlns:a="http://schemas.openxmlformats.org/drawingml/2006/main">
                        <a:graphicData uri="http://schemas.microsoft.com/office/word/2010/wordprocessingShape">
                          <wps:wsp>
                            <wps:cNvSpPr txBox="1"/>
                            <wps:spPr>
                              <a:xfrm>
                                <a:off x="0" y="0"/>
                                <a:ext cx="1515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57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43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23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of Incorporation</w:t>
            </w:r>
          </w:p>
        </w:tc>
      </w:tr>
      <w:tr>
        <w:trPr/>
        <w:tc>
          <w:tcPr>
            <w:tcW w:w="4576" w:type="dxa"/>
            <w:tcBorders>
              <w:top w:val="single" w:sz="8"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Optimix Media Asia Limited</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top w:val="single" w:sz="8"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op w:val="single" w:sz="8"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iClick Interactive Asia Limited</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Marketing Group Limited</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Tetris Media Limited</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iClick Interactive (Singapore) Pte. Ltd.</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Media Group Limited</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iClick Data Technology (Beijing) Limited</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Tetris Information Technology (Shanghai) Co., Ltd</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Diablo Holdings Corporation</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Harmattan Capital Holdings Corporation</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Search (Asia) Limited</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Search Asia Technology (Shenzhen) Co., Ltd.</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CMRS Group Holding Limited </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Beyond Digital Solutions Limited </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CMRS Digital Solutions Limited </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CruiSo Digital Solutions Limited </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CruiSo Directions Limited </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SociaLink Consultancy Limited </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Kushu Information Technology Co., Ltd.</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Optimal Power Limited</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Dragon Force Global Limited</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Full Lucky International Limited</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Turbo Summit Holdings Limited</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HBV Changyi Company Limited </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RC Changyi Company Limited </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MCZ Holdings Limited</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YYDCY Limited </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Tetris (Shanghai) Data Technology Co., Ltd </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OptAim Ltd.</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Cayman Islands</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OptAim (HK) Limited</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OptAim (Beijing) Information Technology Co., Ltd.</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Anhui Zhiyunzhong Information Technology Co., Ltd.</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OptAim Network Technology Co., Ltd.</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(1)</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Zhiyunzhong (Shanghai) Technology Co., Ltd.</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Myhayo Technology Co., Ltd.</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(2)</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Anhui Myhayo Technology Co., Ltd.</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(2)</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5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Changyi (Shanghai) Information Technology Ltd.</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5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Xi'an Changzhan Information Technology Ltd.</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VIE.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VIE’s subsidiary.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446" w:name="iclk-20221231xex12d1.htm"/>
      <w:bookmarkStart w:id="3447" w:name="ksiclk20221231xex12d1"/>
      <w:bookmarkEnd w:id="3446"/>
      <w:bookmarkEnd w:id="3447"/>
      <w:r>
        <w:rPr>
          <w:rFonts w:ascii="Times New Roman;Times;serif" w:hAnsi="Times New Roman;Times;serif"/>
          <w:b/>
          <w:sz w:val="20"/>
        </w:rPr>
        <w:t>Exhibit 12.1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Jian Tang, certify that:</w:t>
      </w:r>
    </w:p>
    <w:p>
      <w:pPr>
        <w:pStyle w:val="TextBody"/>
        <w:bidi w:val="0"/>
        <w:spacing w:before="0" w:after="0"/>
        <w:ind w:left="0" w:right="0" w:hanging="0"/>
        <w:jc w:val="left"/>
        <w:rPr/>
      </w:pPr>
      <w:r>
        <w:rPr/>
        <w:t>​</w:t>
      </w:r>
    </w:p>
    <w:tbl>
      <w:tblPr>
        <w:tblW w:w="7465" w:type="dxa"/>
        <w:jc w:val="left"/>
        <w:tblInd w:w="0" w:type="dxa"/>
        <w:tblLayout w:type="fixed"/>
        <w:tblCellMar>
          <w:top w:w="0" w:type="dxa"/>
          <w:left w:w="0" w:type="dxa"/>
          <w:bottom w:w="0" w:type="dxa"/>
          <w:right w:w="0" w:type="dxa"/>
        </w:tblCellMar>
      </w:tblPr>
      <w:tblGrid>
        <w:gridCol w:w="170"/>
        <w:gridCol w:w="729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2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20-F of iClick Interactive Asia Group Limited;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pPr>
      <w:r>
        <w:rPr/>
        <w:t>​</w:t>
      </w:r>
    </w:p>
    <w:tbl>
      <w:tblPr>
        <w:tblW w:w="2826" w:type="dxa"/>
        <w:jc w:val="center"/>
        <w:tblInd w:w="0" w:type="dxa"/>
        <w:tblLayout w:type="fixed"/>
        <w:tblCellMar>
          <w:top w:w="0" w:type="dxa"/>
          <w:left w:w="0" w:type="dxa"/>
          <w:bottom w:w="0" w:type="dxa"/>
          <w:right w:w="0" w:type="dxa"/>
        </w:tblCellMar>
      </w:tblPr>
      <w:tblGrid>
        <w:gridCol w:w="646"/>
        <w:gridCol w:w="202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410210" cy="175260"/>
                      <wp:effectExtent l="0" t="0" r="0" b="0"/>
                      <wp:wrapNone/>
                      <wp:docPr id="790" name="Frame78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1286510" cy="175260"/>
                      <wp:effectExtent l="0" t="0" r="0" b="0"/>
                      <wp:wrapNone/>
                      <wp:docPr id="791" name="Frame784"/>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98425" cy="175260"/>
                      <wp:effectExtent l="0" t="0" r="0" b="0"/>
                      <wp:wrapNone/>
                      <wp:docPr id="792" name="Frame78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tc>
        <w:tc>
          <w:tcPr>
            <w:tcW w:w="154" w:type="dxa"/>
            <w:tcBorders/>
            <w:vAlign w:val="center"/>
          </w:tcPr>
          <w:p>
            <w:pPr>
              <w:pStyle w:val="TableContents"/>
              <w:bidi w:val="0"/>
              <w:spacing w:before="0" w:after="0"/>
              <w:ind w:left="0" w:right="0" w:hanging="0"/>
              <w:jc w:val="left"/>
              <w:rPr/>
            </w:pPr>
            <w:r>
              <w:rPr/>
              <w:t>​</w:t>
            </w:r>
          </w:p>
        </w:tc>
      </w:tr>
      <w:tr>
        <w:trPr/>
        <w:tc>
          <w:tcPr>
            <w:tcW w:w="267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Jian Tang</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 Tang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448" w:name="iclk-20221231xex12d2.htm"/>
      <w:bookmarkStart w:id="3449" w:name="ksiclk20221231xex12d2"/>
      <w:bookmarkEnd w:id="3448"/>
      <w:bookmarkEnd w:id="3449"/>
      <w:r>
        <w:rPr>
          <w:rFonts w:ascii="Times New Roman;Times;serif" w:hAnsi="Times New Roman;Times;serif"/>
          <w:b/>
          <w:sz w:val="20"/>
        </w:rPr>
        <w:t>Exhibit 12.2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Certification by the Principal Financial Officer Pursuant to Section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David Zhang, certify that:</w:t>
      </w:r>
    </w:p>
    <w:p>
      <w:pPr>
        <w:pStyle w:val="TextBody"/>
        <w:bidi w:val="0"/>
        <w:spacing w:before="0" w:after="0"/>
        <w:ind w:left="0" w:right="0" w:hanging="0"/>
        <w:jc w:val="left"/>
        <w:rPr/>
      </w:pPr>
      <w:r>
        <w:rPr/>
        <w:t>​</w:t>
      </w:r>
    </w:p>
    <w:tbl>
      <w:tblPr>
        <w:tblW w:w="7465" w:type="dxa"/>
        <w:jc w:val="left"/>
        <w:tblInd w:w="0" w:type="dxa"/>
        <w:tblLayout w:type="fixed"/>
        <w:tblCellMar>
          <w:top w:w="0" w:type="dxa"/>
          <w:left w:w="0" w:type="dxa"/>
          <w:bottom w:w="0" w:type="dxa"/>
          <w:right w:w="0" w:type="dxa"/>
        </w:tblCellMar>
      </w:tblPr>
      <w:tblGrid>
        <w:gridCol w:w="170"/>
        <w:gridCol w:w="729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2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20-F of iClick Interactive Asia Group Limited;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pPr>
      <w:r>
        <w:rPr/>
        <w:t>​</w:t>
      </w:r>
    </w:p>
    <w:tbl>
      <w:tblPr>
        <w:tblW w:w="2766" w:type="dxa"/>
        <w:jc w:val="left"/>
        <w:tblInd w:w="0" w:type="dxa"/>
        <w:tblLayout w:type="fixed"/>
        <w:tblCellMar>
          <w:top w:w="0" w:type="dxa"/>
          <w:left w:w="0" w:type="dxa"/>
          <w:bottom w:w="0" w:type="dxa"/>
          <w:right w:w="0" w:type="dxa"/>
        </w:tblCellMar>
      </w:tblPr>
      <w:tblGrid>
        <w:gridCol w:w="646"/>
        <w:gridCol w:w="196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410210" cy="175260"/>
                      <wp:effectExtent l="0" t="0" r="0" b="0"/>
                      <wp:wrapNone/>
                      <wp:docPr id="793" name="Frame78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1248410" cy="175260"/>
                      <wp:effectExtent l="0" t="0" r="0" b="0"/>
                      <wp:wrapNone/>
                      <wp:docPr id="794" name="Frame787"/>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11, 2023</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Zhang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Zhang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450" w:name="iclk-20221231xex13d1.htm"/>
      <w:bookmarkStart w:id="3451" w:name="ksiclk20221231xex13d1"/>
      <w:bookmarkEnd w:id="3450"/>
      <w:bookmarkEnd w:id="3451"/>
      <w:r>
        <w:rPr>
          <w:rFonts w:ascii="Times New Roman;Times;serif" w:hAnsi="Times New Roman;Times;serif"/>
          <w:b/>
          <w:sz w:val="20"/>
        </w:rPr>
        <w:t>Exhibit 13.1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 Pursuant to Section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annual report of iClick Interactive Asia Group Limited (the “Company”) on Form 20-F for the fiscal year ended December 31, 2022 as filed with the Securities and Exchange Commission on the date hereof (the “Report”), I, Jian Tang, Chief Executive Officer of the Company, hereby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pBdr/>
        <w:bidi w:val="0"/>
        <w:spacing w:before="0" w:after="0"/>
        <w:ind w:left="360" w:right="0" w:hanging="360"/>
        <w:jc w:val="left"/>
        <w:rPr/>
      </w:pPr>
      <w:r>
        <w:rPr/>
        <w:t>​</w:t>
      </w:r>
    </w:p>
    <w:tbl>
      <w:tblPr>
        <w:tblW w:w="2826" w:type="dxa"/>
        <w:jc w:val="center"/>
        <w:tblInd w:w="0" w:type="dxa"/>
        <w:tblLayout w:type="fixed"/>
        <w:tblCellMar>
          <w:top w:w="0" w:type="dxa"/>
          <w:left w:w="0" w:type="dxa"/>
          <w:bottom w:w="0" w:type="dxa"/>
          <w:right w:w="0" w:type="dxa"/>
        </w:tblCellMar>
      </w:tblPr>
      <w:tblGrid>
        <w:gridCol w:w="646"/>
        <w:gridCol w:w="202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410210" cy="175260"/>
                      <wp:effectExtent l="0" t="0" r="0" b="0"/>
                      <wp:wrapNone/>
                      <wp:docPr id="795" name="Frame78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1286510" cy="175260"/>
                      <wp:effectExtent l="0" t="0" r="0" b="0"/>
                      <wp:wrapNone/>
                      <wp:docPr id="796" name="Frame789"/>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98425" cy="175260"/>
                      <wp:effectExtent l="0" t="0" r="0" b="0"/>
                      <wp:wrapNone/>
                      <wp:docPr id="797" name="Frame790"/>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11, 2023</w:t>
            </w:r>
          </w:p>
        </w:tc>
        <w:tc>
          <w:tcPr>
            <w:tcW w:w="154" w:type="dxa"/>
            <w:tcBorders/>
            <w:vAlign w:val="center"/>
          </w:tcPr>
          <w:p>
            <w:pPr>
              <w:pStyle w:val="TableContents"/>
              <w:bidi w:val="0"/>
              <w:spacing w:before="0" w:after="0"/>
              <w:ind w:left="0" w:right="0" w:hanging="0"/>
              <w:jc w:val="left"/>
              <w:rPr/>
            </w:pPr>
            <w:r>
              <w:rPr/>
              <w:t>​</w:t>
            </w:r>
          </w:p>
        </w:tc>
      </w:tr>
      <w:tr>
        <w:trPr/>
        <w:tc>
          <w:tcPr>
            <w:tcW w:w="267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Jian Tang</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 Tang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452" w:name="iclk-20221231xex13d2.htm"/>
      <w:bookmarkStart w:id="3453" w:name="ksiclk20221231xex13d2"/>
      <w:bookmarkEnd w:id="3452"/>
      <w:bookmarkEnd w:id="3453"/>
      <w:r>
        <w:rPr>
          <w:rFonts w:ascii="Times New Roman;Times;serif" w:hAnsi="Times New Roman;Times;serif"/>
          <w:b/>
          <w:sz w:val="20"/>
        </w:rPr>
        <w:t>Exhibit 13.2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by the Principal Financial Officer Pursuant to Section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of iClick Interactive Asia Group Limited (the “Company”) on Form 20-F for the fiscal year ended December 31, 2022 as filed with the Securities and Exchange Commission on the date hereof (the “Report”), I, David Zhang, Chief Financial Officer of the Company, hereby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pBdr/>
        <w:bidi w:val="0"/>
        <w:spacing w:before="0" w:after="0"/>
        <w:ind w:left="0" w:right="0" w:hanging="360"/>
        <w:jc w:val="left"/>
        <w:rPr/>
      </w:pPr>
      <w:r>
        <w:rPr/>
        <w:t>​</w:t>
      </w:r>
    </w:p>
    <w:tbl>
      <w:tblPr>
        <w:tblW w:w="2766" w:type="dxa"/>
        <w:jc w:val="left"/>
        <w:tblInd w:w="0" w:type="dxa"/>
        <w:tblLayout w:type="fixed"/>
        <w:tblCellMar>
          <w:top w:w="0" w:type="dxa"/>
          <w:left w:w="0" w:type="dxa"/>
          <w:bottom w:w="0" w:type="dxa"/>
          <w:right w:w="0" w:type="dxa"/>
        </w:tblCellMar>
      </w:tblPr>
      <w:tblGrid>
        <w:gridCol w:w="646"/>
        <w:gridCol w:w="196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410210" cy="175260"/>
                      <wp:effectExtent l="0" t="0" r="0" b="0"/>
                      <wp:wrapNone/>
                      <wp:docPr id="798" name="Frame79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1248410" cy="175260"/>
                      <wp:effectExtent l="0" t="0" r="0" b="0"/>
                      <wp:wrapNone/>
                      <wp:docPr id="799" name="Frame792"/>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11, 2023</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Zhang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Zhang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454" w:name="iclk-20221231xex15d1.htm"/>
      <w:bookmarkStart w:id="3455" w:name="ksiclk20221231xex15d1"/>
      <w:bookmarkEnd w:id="3454"/>
      <w:bookmarkEnd w:id="3455"/>
      <w:r>
        <w:rPr>
          <w:rFonts w:ascii="Times New Roman;Times;serif" w:hAnsi="Times New Roman;Times;serif"/>
          <w:b/>
          <w:sz w:val="20"/>
        </w:rPr>
        <w:t>Exhibit 15.1</w:t>
      </w:r>
      <w:r>
        <w:br w:type="page"/>
      </w:r>
    </w:p>
    <w:p>
      <w:pPr>
        <w:pStyle w:val="TextBody"/>
        <w:bidi w:val="0"/>
        <w:spacing w:before="0" w:after="0"/>
        <w:ind w:left="0" w:right="0" w:hanging="0"/>
        <w:jc w:val="right"/>
        <w:rPr/>
      </w:pPr>
      <w:r>
        <w:rPr/>
        <w:t>​</w:t>
      </w:r>
    </w:p>
    <w:p>
      <w:pPr>
        <w:pStyle w:val="TextBody"/>
        <w:bidi w:val="0"/>
        <w:spacing w:before="0" w:after="600"/>
        <w:ind w:left="0" w:right="0" w:hanging="0"/>
        <w:jc w:val="right"/>
        <w:rPr/>
      </w:pPr>
      <w:r>
        <w:rPr/>
        <w:drawing>
          <wp:inline distT="0" distB="0" distL="0" distR="0">
            <wp:extent cx="1704975" cy="1028700"/>
            <wp:effectExtent l="0" t="0" r="0" b="0"/>
            <wp:docPr id="80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Image8" descr=""/>
                    <pic:cNvPicPr>
                      <a:picLocks noChangeAspect="1" noChangeArrowheads="1"/>
                    </pic:cNvPicPr>
                  </pic:nvPicPr>
                  <pic:blipFill>
                    <a:blip r:embed="rId24"/>
                    <a:stretch>
                      <a:fillRect/>
                    </a:stretch>
                  </pic:blipFill>
                  <pic:spPr bwMode="auto">
                    <a:xfrm>
                      <a:off x="0" y="0"/>
                      <a:ext cx="1704975" cy="10287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Office:</w:t>
      </w:r>
      <w:r>
        <w:rPr>
          <w:rFonts w:ascii="Times New Roman;Times;serif" w:hAnsi="Times New Roman;Times;serif"/>
          <w:sz w:val="20"/>
        </w:rPr>
        <w:t>+852 2801 6066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Mobile:</w:t>
      </w:r>
      <w:r>
        <w:rPr>
          <w:rFonts w:ascii="Times New Roman;Times;serif" w:hAnsi="Times New Roman;Times;serif"/>
          <w:sz w:val="20"/>
        </w:rPr>
        <w:t>+852 9718 8740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Email:</w:t>
      </w:r>
      <w:r>
        <w:rPr>
          <w:rFonts w:ascii="Times New Roman;Times;serif" w:hAnsi="Times New Roman;Times;serif"/>
          <w:sz w:val="20"/>
        </w:rPr>
        <w:t>rthorp@tta.lawyer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iClick Interactive Asia Group Limited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15/F Prosperity Millennia Plaza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663 King’s Road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Quarry Bay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 S.A.R.</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 May 2023</w:t>
      </w:r>
    </w:p>
    <w:p>
      <w:pPr>
        <w:pStyle w:val="TextBody"/>
        <w:bidi w:val="0"/>
        <w:spacing w:before="0" w:after="0"/>
        <w:ind w:left="0" w:right="0" w:hanging="0"/>
        <w:jc w:val="righ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Dear Sirs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iClick Interactive Asia Group Limited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acted as legal advisers as to the laws of the Cayman Islands to iClick Interactive Asia Group Limited, a Cayman Islands exempted company incorporated with limited liability (the "</w:t>
      </w:r>
      <w:r>
        <w:rPr>
          <w:rFonts w:ascii="Times New Roman;Times;serif" w:hAnsi="Times New Roman;Times;serif"/>
          <w:b/>
          <w:sz w:val="20"/>
        </w:rPr>
        <w:t>Company</w:t>
      </w:r>
      <w:r>
        <w:rPr>
          <w:rFonts w:ascii="Times New Roman;Times;serif" w:hAnsi="Times New Roman;Times;serif"/>
          <w:sz w:val="20"/>
        </w:rPr>
        <w:t>"), in connection with the filing by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of an annual report on Form 20-F for the year ended 31 December 2022 ("</w:t>
      </w:r>
      <w:r>
        <w:rPr>
          <w:rFonts w:ascii="Times New Roman;Times;serif" w:hAnsi="Times New Roman;Times;serif"/>
          <w:b/>
          <w:sz w:val="20"/>
        </w:rPr>
        <w:t>Form 20-F</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hereby consent to the reference of our name under the headings, "Item 10. Additional Information— E.Taxation—Cayman Islands Taxation" in the Form 20-F, and further consent to the incorporation by reference of the summaries of our opinions under these captions into iClick Interactive Asia Group Limited’s registration statement on Form S-8 (File No. 333-225568) that was filed on 12 June 2018, Form S-8 (File No. 333-227747) that was filed on 9 October 2018 and Form S-8 (File No. 333-253596) that was filed on 26 February 2021.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Yours faithfully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Travers Thorp Alberga</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TRAVERS THORP ALBERGA</w:t>
      </w:r>
    </w:p>
    <w:p>
      <w:pPr>
        <w:pStyle w:val="TextBody"/>
        <w:bidi w:val="0"/>
        <w:spacing w:before="480" w:after="0"/>
        <w:ind w:left="0" w:right="0" w:hanging="0"/>
        <w:jc w:val="right"/>
        <w:rPr/>
      </w:pPr>
      <w:r>
        <w:rPr/>
        <w:drawing>
          <wp:inline distT="0" distB="0" distL="0" distR="0">
            <wp:extent cx="2093595" cy="695960"/>
            <wp:effectExtent l="0" t="0" r="0" b="0"/>
            <wp:docPr id="80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Image9" descr=""/>
                    <pic:cNvPicPr>
                      <a:picLocks noChangeAspect="1" noChangeArrowheads="1"/>
                    </pic:cNvPicPr>
                  </pic:nvPicPr>
                  <pic:blipFill>
                    <a:blip r:embed="rId25"/>
                    <a:stretch>
                      <a:fillRect/>
                    </a:stretch>
                  </pic:blipFill>
                  <pic:spPr bwMode="auto">
                    <a:xfrm>
                      <a:off x="0" y="0"/>
                      <a:ext cx="2093595" cy="69596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4"/>
        </w:rPr>
      </w:pPr>
      <w:bookmarkStart w:id="3456" w:name="iclk-20221231xex15d2.htm"/>
      <w:bookmarkStart w:id="3457" w:name="ksiclk20221231xex15d2"/>
      <w:bookmarkEnd w:id="3456"/>
      <w:bookmarkEnd w:id="3457"/>
      <w:r>
        <w:rPr>
          <w:rFonts w:ascii="Times New Roman;Times;serif" w:hAnsi="Times New Roman;Times;serif"/>
          <w:b/>
          <w:sz w:val="24"/>
        </w:rPr>
        <w:t>Exhibit 15.2</w:t>
      </w:r>
      <w:r>
        <w:br w:type="page"/>
      </w:r>
    </w:p>
    <w:p>
      <w:pPr>
        <w:pStyle w:val="TextBody"/>
        <w:bidi w:val="0"/>
        <w:spacing w:before="0" w:after="120"/>
        <w:ind w:left="0" w:right="0" w:hanging="0"/>
        <w:jc w:val="center"/>
        <w:rPr/>
      </w:pPr>
      <w:r>
        <w:rPr/>
        <w:drawing>
          <wp:inline distT="0" distB="0" distL="0" distR="0">
            <wp:extent cx="2939415" cy="522605"/>
            <wp:effectExtent l="0" t="0" r="0" b="0"/>
            <wp:docPr id="80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Image10" descr=""/>
                    <pic:cNvPicPr>
                      <a:picLocks noChangeAspect="1" noChangeArrowheads="1"/>
                    </pic:cNvPicPr>
                  </pic:nvPicPr>
                  <pic:blipFill>
                    <a:blip r:embed="rId26"/>
                    <a:stretch>
                      <a:fillRect/>
                    </a:stretch>
                  </pic:blipFill>
                  <pic:spPr bwMode="auto">
                    <a:xfrm>
                      <a:off x="0" y="0"/>
                      <a:ext cx="2939415" cy="522605"/>
                    </a:xfrm>
                    <a:prstGeom prst="rect">
                      <a:avLst/>
                    </a:prstGeom>
                  </pic:spPr>
                </pic:pic>
              </a:graphicData>
            </a:graphic>
          </wp:inline>
        </w:drawing>
      </w:r>
    </w:p>
    <w:p>
      <w:pPr>
        <w:pStyle w:val="TextBody"/>
        <w:bidi w:val="0"/>
        <w:spacing w:before="0" w:after="60"/>
        <w:ind w:left="0" w:right="0" w:hanging="0"/>
        <w:jc w:val="center"/>
        <w:rPr/>
      </w:pPr>
      <w:r>
        <w:rPr>
          <w:rFonts w:eastAsia="KaiTi"/>
          <w:b/>
          <w:sz w:val="18"/>
        </w:rPr>
        <w:t>北京市朝阳区建国路</w:t>
      </w:r>
      <w:r>
        <w:rPr>
          <w:rFonts w:ascii="Times New Roman;Times;serif" w:hAnsi="Times New Roman;Times;serif"/>
          <w:b/>
          <w:sz w:val="18"/>
        </w:rPr>
        <w:t>77</w:t>
      </w:r>
      <w:r>
        <w:rPr>
          <w:rFonts w:eastAsia="KaiTi"/>
          <w:b/>
          <w:sz w:val="18"/>
        </w:rPr>
        <w:t>号华贸中心</w:t>
      </w:r>
      <w:r>
        <w:rPr>
          <w:rFonts w:ascii="Times New Roman;Times;serif" w:hAnsi="Times New Roman;Times;serif"/>
          <w:b/>
          <w:sz w:val="18"/>
        </w:rPr>
        <w:t>3</w:t>
      </w:r>
      <w:r>
        <w:rPr>
          <w:rFonts w:eastAsia="KaiTi"/>
          <w:b/>
          <w:sz w:val="18"/>
        </w:rPr>
        <w:t>号写字楼</w:t>
      </w:r>
      <w:r>
        <w:rPr>
          <w:rFonts w:ascii="Times New Roman;Times;serif" w:hAnsi="Times New Roman;Times;serif"/>
          <w:b/>
          <w:sz w:val="18"/>
        </w:rPr>
        <w:t>34</w:t>
      </w:r>
      <w:r>
        <w:rPr>
          <w:rFonts w:eastAsia="KaiTi"/>
          <w:b/>
          <w:sz w:val="18"/>
        </w:rPr>
        <w:t>层</w:t>
      </w:r>
    </w:p>
    <w:p>
      <w:pPr>
        <w:pStyle w:val="TextBody"/>
        <w:bidi w:val="0"/>
        <w:spacing w:before="0" w:after="60"/>
        <w:ind w:left="0" w:right="0" w:hanging="0"/>
        <w:jc w:val="center"/>
        <w:rPr/>
      </w:pPr>
      <w:r>
        <w:rPr>
          <w:rFonts w:eastAsia="KaiTi"/>
          <w:b/>
          <w:sz w:val="18"/>
        </w:rPr>
        <w:t>电话</w:t>
      </w:r>
      <w:r>
        <w:rPr>
          <w:rFonts w:eastAsia="Cambria"/>
          <w:b/>
          <w:sz w:val="18"/>
        </w:rPr>
        <w:t>：</w:t>
      </w:r>
      <w:r>
        <w:rPr>
          <w:rFonts w:ascii="Times New Roman;Times;serif" w:hAnsi="Times New Roman;Times;serif"/>
          <w:b/>
          <w:sz w:val="18"/>
        </w:rPr>
        <w:t xml:space="preserve">010 5809 1000 </w:t>
      </w:r>
      <w:r>
        <w:rPr>
          <w:rFonts w:eastAsia="KaiTi"/>
          <w:b/>
          <w:sz w:val="18"/>
        </w:rPr>
        <w:t>传真</w:t>
      </w:r>
      <w:r>
        <w:rPr>
          <w:rFonts w:eastAsia="Cambria"/>
          <w:b/>
          <w:sz w:val="18"/>
        </w:rPr>
        <w:t>：</w:t>
      </w:r>
      <w:r>
        <w:rPr>
          <w:rFonts w:ascii="Times New Roman;Times;serif" w:hAnsi="Times New Roman;Times;serif"/>
          <w:b/>
          <w:sz w:val="18"/>
        </w:rPr>
        <w:t xml:space="preserve">010 5809 1000 </w:t>
      </w:r>
      <w:r>
        <w:rPr>
          <w:rFonts w:eastAsia="KaiTi"/>
          <w:b/>
          <w:sz w:val="18"/>
        </w:rPr>
        <w:t>邮编</w:t>
      </w:r>
      <w:r>
        <w:rPr>
          <w:rFonts w:eastAsia="Cambria"/>
          <w:b/>
          <w:sz w:val="18"/>
        </w:rPr>
        <w:t>：</w:t>
      </w:r>
      <w:r>
        <w:rPr>
          <w:rFonts w:ascii="Times New Roman;Times;serif" w:hAnsi="Times New Roman;Times;serif"/>
          <w:b/>
          <w:sz w:val="18"/>
        </w:rPr>
        <w:t>100025</w:t>
      </w:r>
    </w:p>
    <w:p>
      <w:pPr>
        <w:pStyle w:val="TextBody"/>
        <w:bidi w:val="0"/>
        <w:spacing w:before="0" w:after="60"/>
        <w:ind w:left="0" w:right="0" w:hanging="0"/>
        <w:jc w:val="center"/>
        <w:rPr/>
      </w:pPr>
      <w:r>
        <w:rPr>
          <w:rFonts w:eastAsia="KaiTi"/>
          <w:b/>
          <w:sz w:val="18"/>
        </w:rPr>
        <w:t>北京</w:t>
      </w:r>
      <w:r>
        <w:rPr>
          <w:rFonts w:eastAsia="Times New Roman;Times;serif"/>
          <w:sz w:val="18"/>
        </w:rPr>
        <w:t xml:space="preserve"> </w:t>
      </w:r>
      <w:r>
        <w:rPr>
          <w:rFonts w:ascii="Times New Roman;Times;serif" w:hAnsi="Times New Roman;Times;serif"/>
          <w:b/>
          <w:sz w:val="18"/>
        </w:rPr>
        <w:t xml:space="preserve">| </w:t>
      </w:r>
      <w:r>
        <w:rPr>
          <w:rFonts w:eastAsia="KaiTi"/>
          <w:b/>
          <w:sz w:val="18"/>
        </w:rPr>
        <w:t>上海</w:t>
      </w:r>
      <w:r>
        <w:rPr>
          <w:rFonts w:eastAsia="Times New Roman;Times;serif"/>
          <w:sz w:val="18"/>
        </w:rPr>
        <w:t xml:space="preserve"> </w:t>
      </w:r>
      <w:r>
        <w:rPr>
          <w:rFonts w:ascii="Times New Roman;Times;serif" w:hAnsi="Times New Roman;Times;serif"/>
          <w:b/>
          <w:sz w:val="18"/>
        </w:rPr>
        <w:t xml:space="preserve">| </w:t>
      </w:r>
      <w:r>
        <w:rPr>
          <w:rFonts w:eastAsia="KaiTi"/>
          <w:b/>
          <w:sz w:val="18"/>
        </w:rPr>
        <w:t>深圳</w:t>
      </w:r>
      <w:r>
        <w:rPr>
          <w:rFonts w:eastAsia="Times New Roman;Times;serif"/>
          <w:sz w:val="18"/>
        </w:rPr>
        <w:t xml:space="preserve"> </w:t>
      </w:r>
      <w:r>
        <w:rPr>
          <w:rFonts w:ascii="Times New Roman;Times;serif" w:hAnsi="Times New Roman;Times;serif"/>
          <w:b/>
          <w:sz w:val="18"/>
        </w:rPr>
        <w:t xml:space="preserve">| </w:t>
      </w:r>
      <w:r>
        <w:rPr>
          <w:rFonts w:eastAsia="KaiTi"/>
          <w:b/>
          <w:sz w:val="18"/>
        </w:rPr>
        <w:t>成都</w:t>
      </w:r>
      <w:r>
        <w:rPr>
          <w:rFonts w:eastAsia="Times New Roman;Times;serif"/>
          <w:sz w:val="18"/>
        </w:rPr>
        <w:t xml:space="preserve"> </w:t>
      </w:r>
      <w:r>
        <w:rPr>
          <w:rFonts w:ascii="Times New Roman;Times;serif" w:hAnsi="Times New Roman;Times;serif"/>
          <w:b/>
          <w:sz w:val="18"/>
        </w:rPr>
        <w:t xml:space="preserve">| </w:t>
      </w:r>
      <w:r>
        <w:rPr>
          <w:rFonts w:eastAsia="KaiTi"/>
          <w:b/>
          <w:sz w:val="18"/>
        </w:rPr>
        <w:t>南京</w:t>
      </w:r>
      <w:r>
        <w:rPr>
          <w:rFonts w:eastAsia="Times New Roman;Times;serif"/>
          <w:sz w:val="18"/>
        </w:rPr>
        <w:t xml:space="preserve"> </w:t>
      </w:r>
      <w:r>
        <w:rPr>
          <w:rFonts w:ascii="Times New Roman;Times;serif" w:hAnsi="Times New Roman;Times;serif"/>
          <w:b/>
          <w:sz w:val="18"/>
        </w:rPr>
        <w:t xml:space="preserve">| </w:t>
      </w:r>
      <w:r>
        <w:rPr>
          <w:rFonts w:eastAsia="KaiTi"/>
          <w:b/>
          <w:sz w:val="18"/>
        </w:rPr>
        <w:t>香港</w:t>
      </w:r>
      <w:r>
        <w:rPr>
          <w:rFonts w:ascii="Times New Roman;Times;serif" w:hAnsi="Times New Roman;Times;serif"/>
          <w:b/>
          <w:sz w:val="18"/>
        </w:rPr>
        <w:t xml:space="preserve">| </w:t>
      </w:r>
      <w:r>
        <w:rPr>
          <w:rFonts w:eastAsia="KaiTi"/>
          <w:b/>
          <w:sz w:val="18"/>
        </w:rPr>
        <w:t>杭州</w:t>
      </w:r>
      <w:r>
        <w:rPr>
          <w:rFonts w:ascii="Times New Roman;Times;serif" w:hAnsi="Times New Roman;Times;serif"/>
          <w:b/>
          <w:sz w:val="18"/>
        </w:rPr>
        <w:t xml:space="preserve">| </w:t>
      </w:r>
      <w:r>
        <w:rPr>
          <w:rFonts w:eastAsia="KaiTi"/>
          <w:b/>
          <w:sz w:val="18"/>
        </w:rPr>
        <w:t>三亚</w:t>
      </w:r>
    </w:p>
    <w:p>
      <w:pPr>
        <w:pStyle w:val="TextBody"/>
        <w:bidi w:val="0"/>
        <w:spacing w:before="0" w:after="12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May 11, 2023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iClick Interactive Asia Group Limited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15/F, Prosperity Millennia Plaza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663 King’s Road, Quarry Bay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Hong Kong S.A.R., People’s Republic of China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Dear Sir/Madam: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hereby consent to the references to our firm’s name under the headings “Item 3. Key Information— Implications of Being a Foreign Private Issuer and a China-based Company,” “Item 3. Key Information—D. Risk Factors—Risks Related to Our Corporate Structure,” Item 3. Key Information—D. Risk Factors—Risks Related to Doing Business in China,” “Item 4. Information on the Company—B. Business Overview—Regulation” and “Item 4. Information on the Company—C. Organizational Structure” in the annual report of iClick Interactive Asia Group Limited on Form 20-F for the year ended December 31, 2022 (the “Annual Report”), which is filed with the Securities and Exchange Commission in the month of May 11, 2023. We also consent to the filing of this consent letter with the SEC as an exhibit to the Annual Report.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0" w:right="0" w:hanging="0"/>
        <w:jc w:val="both"/>
        <w:rPr/>
      </w:pPr>
      <w:r>
        <w:rPr/>
        <w:t>​</w:t>
      </w:r>
    </w:p>
    <w:tbl>
      <w:tblPr>
        <w:tblW w:w="2360" w:type="dxa"/>
        <w:jc w:val="left"/>
        <w:tblInd w:w="0" w:type="dxa"/>
        <w:tblLayout w:type="fixed"/>
        <w:tblCellMar>
          <w:top w:w="0" w:type="dxa"/>
          <w:left w:w="0" w:type="dxa"/>
          <w:bottom w:w="0" w:type="dxa"/>
          <w:right w:w="0" w:type="dxa"/>
        </w:tblCellMar>
      </w:tblPr>
      <w:tblGrid>
        <w:gridCol w:w="2206"/>
        <w:gridCol w:w="154"/>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/s/ Jingtian &amp; Gongcheng</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Yours faithfully,</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Jingtian &amp; Gongcheng</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Jingtian &amp; Gongcheng</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sz w:val="20"/>
        </w:rPr>
      </w:pPr>
      <w:bookmarkStart w:id="3458" w:name="iclk-20221231xex15d3.htm"/>
      <w:bookmarkStart w:id="3459" w:name="ksiclk20221231xex15d3"/>
      <w:bookmarkEnd w:id="3458"/>
      <w:bookmarkEnd w:id="3459"/>
      <w:r>
        <w:rPr>
          <w:rFonts w:ascii="Times New Roman;Times;serif" w:hAnsi="Times New Roman;Times;serif"/>
          <w:sz w:val="20"/>
        </w:rPr>
        <w:t>Exhibit 15.3</w:t>
      </w:r>
      <w:r>
        <w:br w:type="page"/>
      </w:r>
    </w:p>
    <w:p>
      <w:pPr>
        <w:pStyle w:val="TextBody"/>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hereby consent to the incorporation by reference in the Registration Statements on Form S-8 (No. 333-225568, No. 333-227747, and No. 333-253596) of iClick Interactive Asia Group Limited of our report dated May 11, 2023 relating to the consolidated financial statements, which appears in this Form 20-F.</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PricewaterhouseCoopers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11, 2023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MS Gothic">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1697818/000119312517358756/d347875dex43.htm" TargetMode="External"/><Relationship Id="rId10" Type="http://schemas.openxmlformats.org/officeDocument/2006/relationships/hyperlink" Target="https://www.sec.gov/Archives/edgar/data/1697818/000119312517315220/d347875dex42.htm" TargetMode="External"/><Relationship Id="rId11" Type="http://schemas.openxmlformats.org/officeDocument/2006/relationships/hyperlink" Target="https://www.sec.gov/Archives/edgar/data/1474274/000119380522001466/e617983_ex99-a2.htm" TargetMode="External"/><Relationship Id="rId12" Type="http://schemas.openxmlformats.org/officeDocument/2006/relationships/hyperlink" Target="https://www.sec.gov/Archives/edgar/data/1474274/000119380522001466/e617983_f6pos-iclick.htm" TargetMode="External"/><Relationship Id="rId13" Type="http://schemas.openxmlformats.org/officeDocument/2006/relationships/hyperlink" Target="https://www.sec.gov/Archives/edgar/data/1697818/000156459022016903/iclk-ex41_824.htm" TargetMode="External"/><Relationship Id="rId14" Type="http://schemas.openxmlformats.org/officeDocument/2006/relationships/hyperlink" Target="https://www.sec.gov/Archives/edgar/data/1697818/000156459022016903/iclk-ex42_825.htm" TargetMode="External"/><Relationship Id="rId15" Type="http://schemas.openxmlformats.org/officeDocument/2006/relationships/hyperlink" Target="https://www.sec.gov/Archives/edgar/data/1697818/000156459022016903/iclk-ex43_826.htm" TargetMode="External"/><Relationship Id="rId16" Type="http://schemas.openxmlformats.org/officeDocument/2006/relationships/hyperlink" Target="https://www.sec.gov/Archives/edgar/data/1697818/000156459022016903/iclk-ex44_827.htm" TargetMode="External"/><Relationship Id="rId17" Type="http://schemas.openxmlformats.org/officeDocument/2006/relationships/hyperlink" Target="https://www.sec.gov/Archives/edgar/data/1697818/000156459022016903/iclk-ex45_828.htm" TargetMode="External"/><Relationship Id="rId18" Type="http://schemas.openxmlformats.org/officeDocument/2006/relationships/hyperlink" Target="https://www.sec.gov/Archives/edgar/data/1697818/000119312518190073/d600917dex102.htm" TargetMode="External"/><Relationship Id="rId19" Type="http://schemas.openxmlformats.org/officeDocument/2006/relationships/hyperlink" Target="https://www.sec.gov/Archives/edgar/data/1697818/000119312517315220/d347875dex109.htm" TargetMode="External"/><Relationship Id="rId20" Type="http://schemas.openxmlformats.org/officeDocument/2006/relationships/hyperlink" Target="https://www.sec.gov/Archives/edgar/data/1697818/000119312517315220/d347875dex1010.htm" TargetMode="External"/><Relationship Id="rId21" Type="http://schemas.openxmlformats.org/officeDocument/2006/relationships/hyperlink" Target="https://www.sec.gov/Archives/edgar/data/1697818/000156459021009407/iclk-ex101_7.htm" TargetMode="External"/><Relationship Id="rId22" Type="http://schemas.openxmlformats.org/officeDocument/2006/relationships/hyperlink" Target="https://www.sec.gov/Archives/edgar/data/1697818/000156459022016903/iclk-ex411_13.htm" TargetMode="External"/><Relationship Id="rId23" Type="http://schemas.openxmlformats.org/officeDocument/2006/relationships/hyperlink" Target="https://www.sec.gov/Archives/edgar/data/1697818/000119312517315220/d347875dex991.htm" TargetMode="External"/><Relationship Id="rId24" Type="http://schemas.openxmlformats.org/officeDocument/2006/relationships/image" Target="media/image8.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144761</Words>
  <Characters>805102</Characters>
  <CharactersWithSpaces>950397</CharactersWithSpaces>
  <Paragraphs>17158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