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(Amendment No.)*</w:t>
      </w: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ICLICK INTERACTIVE ASIA GROUP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2756535</wp:posOffset>
            </wp:positionH>
            <wp:positionV relativeFrom="paragraph">
              <wp:posOffset>160020</wp:posOffset>
            </wp:positionV>
            <wp:extent cx="16287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(Name of Issuer)</w:t>
      </w: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Sponsored American Depository Receipt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2756535</wp:posOffset>
            </wp:positionH>
            <wp:positionV relativeFrom="paragraph">
              <wp:posOffset>160020</wp:posOffset>
            </wp:positionV>
            <wp:extent cx="16287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45113Y203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2756535</wp:posOffset>
            </wp:positionH>
            <wp:positionV relativeFrom="paragraph">
              <wp:posOffset>160020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(CUSIP Number)</w:t>
      </w: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1813560</wp:posOffset>
            </wp:positionH>
            <wp:positionV relativeFrom="paragraph">
              <wp:posOffset>160020</wp:posOffset>
            </wp:positionV>
            <wp:extent cx="35147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2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43" w:lineRule="exact"/>
        <w:rPr>
          <w:sz w:val="24"/>
          <w:szCs w:val="24"/>
          <w:color w:val="auto"/>
        </w:rPr>
      </w:pPr>
    </w:p>
    <w:p>
      <w:pPr>
        <w:jc w:val="both"/>
        <w:ind w:left="5080" w:right="4800" w:hanging="10"/>
        <w:spacing w:after="0" w:line="356" w:lineRule="auto"/>
        <w:tabs>
          <w:tab w:leader="none" w:pos="530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Rule 13d-1(b) </w:t>
      </w: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Rule 13d-1(c)</w:t>
      </w:r>
      <w:r>
        <w:rPr>
          <w:rFonts w:ascii="Wingdings" w:cs="Wingdings" w:eastAsia="Wingdings" w:hAnsi="Wingdings"/>
          <w:sz w:val="16"/>
          <w:szCs w:val="16"/>
          <w:b w:val="1"/>
          <w:bCs w:val="1"/>
          <w:color w:val="auto"/>
        </w:rPr>
        <w:t xml:space="preserve"> o </w:t>
      </w:r>
      <w:r>
        <w:rPr>
          <w:rFonts w:ascii="Times New Roman" w:cs="Times New Roman" w:eastAsia="Times New Roman" w:hAnsi="Times New Roman"/>
          <w:sz w:val="16"/>
          <w:szCs w:val="16"/>
          <w:color w:val="auto"/>
        </w:rPr>
        <w:t>Rule 13d-1(d)</w:t>
      </w:r>
    </w:p>
    <w:p>
      <w:pPr>
        <w:spacing w:after="0" w:line="140" w:lineRule="exact"/>
        <w:rPr>
          <w:sz w:val="24"/>
          <w:szCs w:val="24"/>
          <w:color w:val="auto"/>
        </w:rPr>
      </w:pPr>
    </w:p>
    <w:p>
      <w:pPr>
        <w:ind w:right="400"/>
        <w:spacing w:after="0" w:line="295" w:lineRule="auto"/>
        <w:rPr>
          <w:sz w:val="20"/>
          <w:szCs w:val="20"/>
          <w:color w:val="auto"/>
        </w:rPr>
      </w:pPr>
      <w:r>
        <w:rPr>
          <w:rFonts w:ascii="Times New Roman" w:cs="Times New Roman" w:eastAsia="Times New Roman" w:hAnsi="Times New Roman"/>
          <w:sz w:val="19"/>
          <w:szCs w:val="19"/>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1028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131"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34" w:lineRule="exact"/>
        <w:rPr>
          <w:sz w:val="20"/>
          <w:szCs w:val="20"/>
          <w:color w:val="auto"/>
        </w:rPr>
      </w:pPr>
    </w:p>
    <w:p>
      <w:pPr>
        <w:ind w:left="1800"/>
        <w:spacing w:after="0"/>
        <w:tabs>
          <w:tab w:leader="none" w:pos="730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2 of 11</w:t>
      </w:r>
    </w:p>
    <w:p>
      <w:pPr>
        <w:spacing w:after="0" w:line="215"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3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Nuveen Asset Management, LLC</w:t>
            </w:r>
          </w:p>
        </w:tc>
        <w:tc>
          <w:tcPr>
            <w:tcW w:w="278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27-4357327</w:t>
            </w:r>
          </w:p>
        </w:tc>
        <w:tc>
          <w:tcPr>
            <w:tcW w:w="1360" w:type="dxa"/>
            <w:vAlign w:val="bottom"/>
          </w:tcPr>
          <w:p>
            <w:pPr>
              <w:spacing w:after="0"/>
              <w:rPr>
                <w:sz w:val="20"/>
                <w:szCs w:val="20"/>
                <w:color w:val="auto"/>
              </w:rPr>
            </w:pPr>
          </w:p>
        </w:tc>
      </w:tr>
      <w:tr>
        <w:trPr>
          <w:trHeight w:val="414"/>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2.</w:t>
            </w:r>
          </w:p>
        </w:tc>
        <w:tc>
          <w:tcPr>
            <w:tcW w:w="6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8"/>
              </w:rPr>
              <w:t xml:space="preserve">(a) </w:t>
            </w:r>
            <w:r>
              <w:rPr>
                <w:rFonts w:ascii="Wingdings" w:cs="Wingdings" w:eastAsia="Wingdings" w:hAnsi="Wingdings"/>
                <w:sz w:val="18"/>
                <w:szCs w:val="18"/>
                <w:b w:val="1"/>
                <w:bCs w:val="1"/>
                <w:color w:val="auto"/>
                <w:w w:val="98"/>
              </w:rPr>
              <w:t>o</w:t>
            </w:r>
          </w:p>
        </w:tc>
      </w:tr>
      <w:tr>
        <w:trPr>
          <w:trHeight w:val="234"/>
        </w:trPr>
        <w:tc>
          <w:tcPr>
            <w:tcW w:w="4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3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 xml:space="preserve">(b) </w:t>
            </w:r>
            <w:r>
              <w:rPr>
                <w:rFonts w:ascii="Wingdings" w:cs="Wingdings" w:eastAsia="Wingdings" w:hAnsi="Wingdings"/>
                <w:sz w:val="18"/>
                <w:szCs w:val="18"/>
                <w:b w:val="1"/>
                <w:bCs w:val="1"/>
                <w:color w:val="auto"/>
                <w:w w:val="96"/>
              </w:rPr>
              <w:t>o</w:t>
            </w:r>
          </w:p>
        </w:tc>
      </w:tr>
    </w:tbl>
    <w:p>
      <w:pPr>
        <w:spacing w:after="0" w:line="198"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Delaware</w:t>
            </w:r>
          </w:p>
        </w:tc>
        <w:tc>
          <w:tcPr>
            <w:tcW w:w="640" w:type="dxa"/>
            <w:vAlign w:val="bottom"/>
          </w:tcPr>
          <w:p>
            <w:pPr>
              <w:spacing w:after="0"/>
              <w:rPr>
                <w:sz w:val="20"/>
                <w:szCs w:val="20"/>
                <w:color w:val="auto"/>
              </w:rPr>
            </w:pPr>
          </w:p>
        </w:tc>
      </w:tr>
      <w:tr>
        <w:trPr>
          <w:trHeight w:val="41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SHARES BENEFICIALLY OWNED</w:t>
            </w:r>
          </w:p>
        </w:tc>
        <w:tc>
          <w:tcPr>
            <w:tcW w:w="640" w:type="dxa"/>
            <w:vAlign w:val="bottom"/>
          </w:tcPr>
          <w:p>
            <w:pPr>
              <w:spacing w:after="0"/>
              <w:rPr>
                <w:sz w:val="24"/>
                <w:szCs w:val="24"/>
                <w:color w:val="auto"/>
              </w:rPr>
            </w:pPr>
          </w:p>
        </w:tc>
      </w:t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EACH REPORTING PERSON WITH:</w:t>
            </w:r>
          </w:p>
        </w:tc>
        <w:tc>
          <w:tcPr>
            <w:tcW w:w="640" w:type="dxa"/>
            <w:vAlign w:val="bottom"/>
          </w:tcPr>
          <w:p>
            <w:pPr>
              <w:spacing w:after="0"/>
              <w:rPr>
                <w:sz w:val="20"/>
                <w:szCs w:val="20"/>
                <w:color w:val="auto"/>
              </w:rPr>
            </w:pP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SOLE VOTING POWER</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550</w:t>
            </w: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VOTING POWER</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SOLE DISPOSITIVE POWER</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550</w:t>
            </w: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8.</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ind w:left="5820" w:right="2939" w:hanging="5812"/>
        <w:spacing w:after="0" w:line="500" w:lineRule="auto"/>
        <w:tabs>
          <w:tab w:leader="none" w:pos="66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550</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Wingdings" w:cs="Wingdings" w:eastAsia="Wingdings" w:hAnsi="Wingdings"/>
          <w:sz w:val="18"/>
          <w:szCs w:val="18"/>
          <w:b w:val="1"/>
          <w:bCs w:val="1"/>
          <w:color w:val="auto"/>
        </w:rPr>
        <w:t>o</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0.00%</w:t>
      </w:r>
    </w:p>
    <w:p>
      <w:pPr>
        <w:spacing w:after="0" w:line="225"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IA</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 The number of shares listed represents the underlying class of securities. One ADR represents one (5) ordinary shares (ICLK HK).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34" w:lineRule="exact"/>
        <w:rPr>
          <w:sz w:val="20"/>
          <w:szCs w:val="20"/>
          <w:color w:val="auto"/>
        </w:rPr>
      </w:pPr>
    </w:p>
    <w:p>
      <w:pPr>
        <w:ind w:left="1800"/>
        <w:spacing w:after="0"/>
        <w:tabs>
          <w:tab w:leader="none" w:pos="730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3 of 11</w:t>
      </w:r>
    </w:p>
    <w:p>
      <w:pPr>
        <w:spacing w:after="0" w:line="215" w:lineRule="exact"/>
        <w:rPr>
          <w:sz w:val="20"/>
          <w:szCs w:val="20"/>
          <w:color w:val="auto"/>
        </w:rPr>
      </w:pPr>
    </w:p>
    <w:p>
      <w:pPr>
        <w:ind w:left="660" w:right="6279" w:hanging="652"/>
        <w:spacing w:after="0" w:line="530" w:lineRule="auto"/>
        <w:tabs>
          <w:tab w:leader="none" w:pos="6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PERSONS TIAA-CREF Investment Management, LLC</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2.</w:t>
            </w:r>
          </w:p>
        </w:tc>
        <w:tc>
          <w:tcPr>
            <w:tcW w:w="6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8"/>
              </w:rPr>
              <w:t xml:space="preserve">(a) </w:t>
            </w:r>
            <w:r>
              <w:rPr>
                <w:rFonts w:ascii="Wingdings" w:cs="Wingdings" w:eastAsia="Wingdings" w:hAnsi="Wingdings"/>
                <w:sz w:val="18"/>
                <w:szCs w:val="18"/>
                <w:b w:val="1"/>
                <w:bCs w:val="1"/>
                <w:color w:val="auto"/>
                <w:w w:val="98"/>
              </w:rPr>
              <w:t>o</w:t>
            </w:r>
          </w:p>
        </w:tc>
      </w:tr>
      <w:tr>
        <w:trPr>
          <w:trHeight w:val="234"/>
        </w:trPr>
        <w:tc>
          <w:tcPr>
            <w:tcW w:w="40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3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 xml:space="preserve">(b) </w:t>
            </w:r>
            <w:r>
              <w:rPr>
                <w:rFonts w:ascii="Wingdings" w:cs="Wingdings" w:eastAsia="Wingdings" w:hAnsi="Wingdings"/>
                <w:sz w:val="18"/>
                <w:szCs w:val="18"/>
                <w:b w:val="1"/>
                <w:bCs w:val="1"/>
                <w:color w:val="auto"/>
                <w:w w:val="96"/>
              </w:rPr>
              <w:t>o</w:t>
            </w:r>
          </w:p>
        </w:tc>
      </w:tr>
    </w:tbl>
    <w:p>
      <w:pPr>
        <w:spacing w:after="0" w:line="198"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Delaware</w:t>
            </w:r>
          </w:p>
        </w:tc>
        <w:tc>
          <w:tcPr>
            <w:tcW w:w="1080" w:type="dxa"/>
            <w:vAlign w:val="bottom"/>
          </w:tcPr>
          <w:p>
            <w:pPr>
              <w:spacing w:after="0"/>
              <w:rPr>
                <w:sz w:val="20"/>
                <w:szCs w:val="20"/>
                <w:color w:val="auto"/>
              </w:rPr>
            </w:pPr>
          </w:p>
        </w:tc>
      </w:tr>
      <w:tr>
        <w:trPr>
          <w:trHeight w:val="41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SHARES BENEFICIALLY OWNED</w:t>
            </w:r>
          </w:p>
        </w:tc>
        <w:tc>
          <w:tcPr>
            <w:tcW w:w="1080" w:type="dxa"/>
            <w:vAlign w:val="bottom"/>
          </w:tcPr>
          <w:p>
            <w:pPr>
              <w:spacing w:after="0"/>
              <w:rPr>
                <w:sz w:val="24"/>
                <w:szCs w:val="24"/>
                <w:color w:val="auto"/>
              </w:rPr>
            </w:pPr>
          </w:p>
        </w:tc>
      </w:t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EACH REPORTING PERSON WITH:</w:t>
            </w:r>
          </w:p>
        </w:tc>
        <w:tc>
          <w:tcPr>
            <w:tcW w:w="1080" w:type="dxa"/>
            <w:vAlign w:val="bottom"/>
          </w:tcPr>
          <w:p>
            <w:pPr>
              <w:spacing w:after="0"/>
              <w:rPr>
                <w:sz w:val="20"/>
                <w:szCs w:val="20"/>
                <w:color w:val="auto"/>
              </w:rPr>
            </w:pP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2,362,025</w:t>
            </w: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2,362,025</w:t>
            </w: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8.</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ind w:left="5580" w:right="2939" w:hanging="5572"/>
        <w:spacing w:after="0" w:line="500" w:lineRule="auto"/>
        <w:tabs>
          <w:tab w:leader="none" w:pos="6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2,362,025</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Wingdings" w:cs="Wingdings" w:eastAsia="Wingdings" w:hAnsi="Wingdings"/>
          <w:sz w:val="18"/>
          <w:szCs w:val="18"/>
          <w:b w:val="1"/>
          <w:bCs w:val="1"/>
          <w:color w:val="auto"/>
        </w:rPr>
        <w:t>o</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5.45%</w:t>
      </w:r>
    </w:p>
    <w:p>
      <w:pPr>
        <w:spacing w:after="0" w:line="225"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IA</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 The number of shares listed represents the underlying class of securities. One ADR represents one (5) ordinary shares (ICLK HK).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34" w:lineRule="exact"/>
        <w:rPr>
          <w:sz w:val="20"/>
          <w:szCs w:val="20"/>
          <w:color w:val="auto"/>
        </w:rPr>
      </w:pPr>
    </w:p>
    <w:p>
      <w:pPr>
        <w:ind w:left="1800"/>
        <w:spacing w:after="0"/>
        <w:tabs>
          <w:tab w:leader="none" w:pos="730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4 of 11</w:t>
      </w:r>
    </w:p>
    <w:p>
      <w:pPr>
        <w:spacing w:after="0" w:line="215" w:lineRule="exact"/>
        <w:rPr>
          <w:sz w:val="20"/>
          <w:szCs w:val="20"/>
          <w:color w:val="auto"/>
        </w:rPr>
      </w:pPr>
    </w:p>
    <w:p>
      <w:pPr>
        <w:ind w:left="660" w:right="6799" w:hanging="652"/>
        <w:spacing w:after="0" w:line="50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 Teachers Advisors, LLC</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2.</w:t>
            </w:r>
          </w:p>
        </w:tc>
        <w:tc>
          <w:tcPr>
            <w:tcW w:w="6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8"/>
              </w:rPr>
              <w:t xml:space="preserve">(a) </w:t>
            </w:r>
            <w:r>
              <w:rPr>
                <w:rFonts w:ascii="Wingdings" w:cs="Wingdings" w:eastAsia="Wingdings" w:hAnsi="Wingdings"/>
                <w:sz w:val="18"/>
                <w:szCs w:val="18"/>
                <w:b w:val="1"/>
                <w:bCs w:val="1"/>
                <w:color w:val="auto"/>
                <w:w w:val="98"/>
              </w:rPr>
              <w:t>o</w:t>
            </w:r>
          </w:p>
        </w:tc>
      </w:tr>
      <w:tr>
        <w:trPr>
          <w:trHeight w:val="234"/>
        </w:trPr>
        <w:tc>
          <w:tcPr>
            <w:tcW w:w="40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3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 xml:space="preserve">(b) </w:t>
            </w:r>
            <w:r>
              <w:rPr>
                <w:rFonts w:ascii="Wingdings" w:cs="Wingdings" w:eastAsia="Wingdings" w:hAnsi="Wingdings"/>
                <w:sz w:val="18"/>
                <w:szCs w:val="18"/>
                <w:b w:val="1"/>
                <w:bCs w:val="1"/>
                <w:color w:val="auto"/>
                <w:w w:val="96"/>
              </w:rPr>
              <w:t>o</w:t>
            </w:r>
          </w:p>
        </w:tc>
      </w:tr>
    </w:tbl>
    <w:p>
      <w:pPr>
        <w:spacing w:after="0" w:line="198"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Delaware</w:t>
            </w:r>
          </w:p>
        </w:tc>
        <w:tc>
          <w:tcPr>
            <w:tcW w:w="1080" w:type="dxa"/>
            <w:vAlign w:val="bottom"/>
          </w:tcPr>
          <w:p>
            <w:pPr>
              <w:spacing w:after="0"/>
              <w:rPr>
                <w:sz w:val="20"/>
                <w:szCs w:val="20"/>
                <w:color w:val="auto"/>
              </w:rPr>
            </w:pPr>
          </w:p>
        </w:tc>
      </w:tr>
      <w:tr>
        <w:trPr>
          <w:trHeight w:val="41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SHARES BENEFICIALLY OWNED</w:t>
            </w:r>
          </w:p>
        </w:tc>
        <w:tc>
          <w:tcPr>
            <w:tcW w:w="1080" w:type="dxa"/>
            <w:vAlign w:val="bottom"/>
          </w:tcPr>
          <w:p>
            <w:pPr>
              <w:spacing w:after="0"/>
              <w:rPr>
                <w:sz w:val="24"/>
                <w:szCs w:val="24"/>
                <w:color w:val="auto"/>
              </w:rPr>
            </w:pPr>
          </w:p>
        </w:tc>
      </w:t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EACH REPORTING PERSON WITH:</w:t>
            </w:r>
          </w:p>
        </w:tc>
        <w:tc>
          <w:tcPr>
            <w:tcW w:w="1080" w:type="dxa"/>
            <w:vAlign w:val="bottom"/>
          </w:tcPr>
          <w:p>
            <w:pPr>
              <w:spacing w:after="0"/>
              <w:rPr>
                <w:sz w:val="20"/>
                <w:szCs w:val="20"/>
                <w:color w:val="auto"/>
              </w:rPr>
            </w:pP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1,346,805</w:t>
            </w: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1,346,805</w:t>
            </w: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8.</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ind w:left="5580" w:right="2939" w:hanging="5572"/>
        <w:spacing w:after="0" w:line="500" w:lineRule="auto"/>
        <w:tabs>
          <w:tab w:leader="none" w:pos="64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1,346,805</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Wingdings" w:cs="Wingdings" w:eastAsia="Wingdings" w:hAnsi="Wingdings"/>
          <w:sz w:val="18"/>
          <w:szCs w:val="18"/>
          <w:b w:val="1"/>
          <w:bCs w:val="1"/>
          <w:color w:val="auto"/>
        </w:rPr>
        <w:t>o</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3.11%</w:t>
      </w:r>
    </w:p>
    <w:p>
      <w:pPr>
        <w:spacing w:after="0" w:line="225"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IA</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 The number of shares listed represents the underlying class of securities. One ADR represents one (5) ordinary shares (ICLK HK).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112"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34" w:lineRule="exact"/>
        <w:rPr>
          <w:sz w:val="20"/>
          <w:szCs w:val="20"/>
          <w:color w:val="auto"/>
        </w:rPr>
      </w:pPr>
    </w:p>
    <w:p>
      <w:pPr>
        <w:ind w:left="1800"/>
        <w:spacing w:after="0"/>
        <w:tabs>
          <w:tab w:leader="none" w:pos="730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5 of 11</w:t>
      </w:r>
    </w:p>
    <w:p>
      <w:pPr>
        <w:spacing w:after="0" w:line="215"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College Retirement Equities Fund- Stock Account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2.</w:t>
            </w:r>
          </w:p>
        </w:tc>
        <w:tc>
          <w:tcPr>
            <w:tcW w:w="6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8"/>
              </w:rPr>
              <w:t xml:space="preserve">(a) </w:t>
            </w:r>
            <w:r>
              <w:rPr>
                <w:rFonts w:ascii="Wingdings" w:cs="Wingdings" w:eastAsia="Wingdings" w:hAnsi="Wingdings"/>
                <w:sz w:val="18"/>
                <w:szCs w:val="18"/>
                <w:b w:val="1"/>
                <w:bCs w:val="1"/>
                <w:color w:val="auto"/>
                <w:w w:val="98"/>
              </w:rPr>
              <w:t>o</w:t>
            </w:r>
          </w:p>
        </w:tc>
      </w:tr>
      <w:tr>
        <w:trPr>
          <w:trHeight w:val="234"/>
        </w:trPr>
        <w:tc>
          <w:tcPr>
            <w:tcW w:w="40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3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 xml:space="preserve">(b) </w:t>
            </w:r>
            <w:r>
              <w:rPr>
                <w:rFonts w:ascii="Wingdings" w:cs="Wingdings" w:eastAsia="Wingdings" w:hAnsi="Wingdings"/>
                <w:sz w:val="18"/>
                <w:szCs w:val="18"/>
                <w:b w:val="1"/>
                <w:bCs w:val="1"/>
                <w:color w:val="auto"/>
                <w:w w:val="96"/>
              </w:rPr>
              <w:t>o</w:t>
            </w:r>
          </w:p>
        </w:tc>
      </w:tr>
    </w:tbl>
    <w:p>
      <w:pPr>
        <w:spacing w:after="0" w:line="198"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Delaware</w:t>
            </w:r>
          </w:p>
        </w:tc>
        <w:tc>
          <w:tcPr>
            <w:tcW w:w="1080" w:type="dxa"/>
            <w:vAlign w:val="bottom"/>
          </w:tcPr>
          <w:p>
            <w:pPr>
              <w:spacing w:after="0"/>
              <w:rPr>
                <w:sz w:val="20"/>
                <w:szCs w:val="20"/>
                <w:color w:val="auto"/>
              </w:rPr>
            </w:pPr>
          </w:p>
        </w:tc>
      </w:tr>
      <w:tr>
        <w:trPr>
          <w:trHeight w:val="41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SHARES BENEFICIALLY OWNED</w:t>
            </w:r>
          </w:p>
        </w:tc>
        <w:tc>
          <w:tcPr>
            <w:tcW w:w="1080" w:type="dxa"/>
            <w:vAlign w:val="bottom"/>
          </w:tcPr>
          <w:p>
            <w:pPr>
              <w:spacing w:after="0"/>
              <w:rPr>
                <w:sz w:val="24"/>
                <w:szCs w:val="24"/>
                <w:color w:val="auto"/>
              </w:rPr>
            </w:pPr>
          </w:p>
        </w:tc>
      </w:t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EACH REPORTING PERSON WITH:</w:t>
            </w:r>
          </w:p>
        </w:tc>
        <w:tc>
          <w:tcPr>
            <w:tcW w:w="1080" w:type="dxa"/>
            <w:vAlign w:val="bottom"/>
          </w:tcPr>
          <w:p>
            <w:pPr>
              <w:spacing w:after="0"/>
              <w:rPr>
                <w:sz w:val="20"/>
                <w:szCs w:val="20"/>
                <w:color w:val="auto"/>
              </w:rPr>
            </w:pP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2,236,370</w:t>
            </w: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8.</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2,236,370</w:t>
            </w:r>
          </w:p>
        </w:tc>
      </w:tr>
    </w:tbl>
    <w:p>
      <w:pPr>
        <w:spacing w:after="0" w:line="198" w:lineRule="exact"/>
        <w:rPr>
          <w:sz w:val="20"/>
          <w:szCs w:val="20"/>
          <w:color w:val="auto"/>
        </w:rPr>
      </w:pPr>
    </w:p>
    <w:p>
      <w:pPr>
        <w:ind w:left="5580" w:right="2939" w:hanging="5572"/>
        <w:spacing w:after="0" w:line="500" w:lineRule="auto"/>
        <w:tabs>
          <w:tab w:leader="none" w:pos="6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2,236,370</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Wingdings" w:cs="Wingdings" w:eastAsia="Wingdings" w:hAnsi="Wingdings"/>
          <w:sz w:val="18"/>
          <w:szCs w:val="18"/>
          <w:b w:val="1"/>
          <w:bCs w:val="1"/>
          <w:color w:val="auto"/>
        </w:rPr>
        <w:t>o</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5.16%</w:t>
      </w:r>
    </w:p>
    <w:p>
      <w:pPr>
        <w:spacing w:after="0" w:line="225"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IA</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 The number of shares listed represents the underlying class of securities. One ADR represents one (5) ordinary shares (ICLK HK).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112"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34" w:lineRule="exact"/>
        <w:rPr>
          <w:sz w:val="20"/>
          <w:szCs w:val="20"/>
          <w:color w:val="auto"/>
        </w:rPr>
      </w:pPr>
    </w:p>
    <w:p>
      <w:pPr>
        <w:ind w:left="1800"/>
        <w:spacing w:after="0"/>
        <w:tabs>
          <w:tab w:leader="none" w:pos="730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6 of 11</w:t>
      </w:r>
    </w:p>
    <w:p>
      <w:pPr>
        <w:spacing w:after="0" w:line="21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ICLICK INTERACTIVE ASIA GROUP LTD.</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15/F PROSPPERITY MILLENNIA PLAZA</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663 KING’S ROAD, QUARRAY BAY</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HONG KONG S.A.R., PEOPLE’S REPUBLIC OF CHINA</w:t>
      </w:r>
    </w:p>
    <w:p>
      <w:pPr>
        <w:spacing w:after="0" w:line="203"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Items 2(a)-2(c).</w:t>
      </w:r>
      <w:r>
        <w:rPr>
          <w:sz w:val="20"/>
          <w:szCs w:val="20"/>
          <w:color w:val="auto"/>
        </w:rPr>
        <w:tab/>
      </w:r>
      <w:r>
        <w:rPr>
          <w:rFonts w:ascii="Times New Roman" w:cs="Times New Roman" w:eastAsia="Times New Roman" w:hAnsi="Times New Roman"/>
          <w:sz w:val="17"/>
          <w:szCs w:val="17"/>
          <w:b w:val="1"/>
          <w:bCs w:val="1"/>
          <w:color w:val="auto"/>
        </w:rPr>
        <w:t>NAME, ADDRESS OF PRINCIPAL BUSINESS OFFICE, AND CITIZENSHIP OF PERSONS FILING:</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Nuveen Asset Management, LLC (“NAM”)</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333 W. Wacker Drive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Chicago, IL 60606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Citizenship: Delaware</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TIAA-CREF Investment Management, LLC (“TCIM”)</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730 Third Avenue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10017-3206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Citizenship: Delaware</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Teachers Advisors, LLC (“TAL”)</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730 Third Avenue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10017-3206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Citizenship: Delaware</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College Retirement Equities Fund-Stock Account (“CREF SA”)</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730 Third Avenue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10017-3206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Citizenship: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1"/>
          <w:szCs w:val="21"/>
          <w:color w:val="auto"/>
        </w:rPr>
        <w:t>CUSIP No. 45113Y203</w:t>
      </w:r>
    </w:p>
    <w:p>
      <w:pPr>
        <w:sectPr>
          <w:pgSz w:w="11900" w:h="16838" w:orient="portrait"/>
          <w:cols w:equalWidth="0" w:num="1">
            <w:col w:w="11120"/>
          </w:cols>
          <w:pgMar w:left="320" w:top="111" w:right="459" w:bottom="1440" w:gutter="0" w:footer="0" w:header="0"/>
        </w:sectPr>
      </w:pPr>
    </w:p>
    <w:p>
      <w:pPr>
        <w:spacing w:after="0" w:line="24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9"/>
          <w:szCs w:val="19"/>
          <w:color w:val="auto"/>
        </w:rPr>
        <w:t>13G</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Page 7 of 11</w:t>
      </w:r>
    </w:p>
    <w:p>
      <w:pPr>
        <w:spacing w:after="0" w:line="200" w:lineRule="exact"/>
        <w:rPr>
          <w:sz w:val="20"/>
          <w:szCs w:val="20"/>
          <w:color w:val="auto"/>
        </w:rPr>
      </w:pPr>
    </w:p>
    <w:p>
      <w:pPr>
        <w:sectPr>
          <w:pgSz w:w="11900" w:h="16838" w:orient="portrait"/>
          <w:cols w:equalWidth="0" w:num="2">
            <w:col w:w="6600" w:space="720"/>
            <w:col w:w="3800"/>
          </w:cols>
          <w:pgMar w:left="320" w:top="111" w:right="45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2(d).</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TITLE OF CLASS OF SECURITIES:</w:t>
      </w:r>
    </w:p>
    <w:p>
      <w:pPr>
        <w:spacing w:after="0" w:line="200" w:lineRule="exact"/>
        <w:rPr>
          <w:sz w:val="20"/>
          <w:szCs w:val="20"/>
          <w:color w:val="auto"/>
        </w:rPr>
      </w:pPr>
    </w:p>
    <w:p>
      <w:pPr>
        <w:sectPr>
          <w:pgSz w:w="11900" w:h="16838" w:orient="portrait"/>
          <w:cols w:equalWidth="0" w:num="2">
            <w:col w:w="760" w:space="540"/>
            <w:col w:w="9820"/>
          </w:cols>
          <w:pgMar w:left="320" w:top="111" w:right="459" w:bottom="1440" w:gutter="0" w:footer="0" w:header="0"/>
          <w:type w:val="continuous"/>
        </w:sectPr>
      </w:pPr>
    </w:p>
    <w:p>
      <w:pPr>
        <w:spacing w:after="0" w:line="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Sponsored American Depository Receipt</w:t>
      </w:r>
    </w:p>
    <w:p>
      <w:pPr>
        <w:sectPr>
          <w:pgSz w:w="11900" w:h="16838" w:orient="portrait"/>
          <w:cols w:equalWidth="0" w:num="1">
            <w:col w:w="11120"/>
          </w:cols>
          <w:pgMar w:left="320" w:top="111" w:right="45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CUSIP NUMBER: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45113Y203</w:t>
      </w:r>
    </w:p>
    <w:p>
      <w:pPr>
        <w:spacing w:after="0" w:line="200" w:lineRule="exact"/>
        <w:rPr>
          <w:sz w:val="20"/>
          <w:szCs w:val="20"/>
          <w:color w:val="auto"/>
        </w:rPr>
      </w:pPr>
    </w:p>
    <w:p>
      <w:pPr>
        <w:sectPr>
          <w:pgSz w:w="11900" w:h="16838" w:orient="portrait"/>
          <w:cols w:equalWidth="0" w:num="3">
            <w:col w:w="740" w:space="560"/>
            <w:col w:w="1440" w:space="100"/>
            <w:col w:w="8280"/>
          </w:cols>
          <w:pgMar w:left="320" w:top="111" w:right="45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IF THIS STATEMENT IS FILED PURSUANT TO RULES 13d-1(b), OR 13d-2(b) or (c), CHECK WHETHER THE PERSON FILING IS A:</w:t>
      </w:r>
    </w:p>
    <w:p>
      <w:pPr>
        <w:spacing w:after="0" w:line="155" w:lineRule="exact"/>
        <w:rPr>
          <w:sz w:val="20"/>
          <w:szCs w:val="20"/>
          <w:color w:val="auto"/>
        </w:rPr>
      </w:pPr>
    </w:p>
    <w:p>
      <w:pPr>
        <w:sectPr>
          <w:pgSz w:w="11900" w:h="16838" w:orient="portrait"/>
          <w:cols w:equalWidth="0" w:num="2">
            <w:col w:w="580" w:space="720"/>
            <w:col w:w="9820"/>
          </w:cols>
          <w:pgMar w:left="320" w:top="111" w:right="459" w:bottom="1440" w:gutter="0" w:footer="0" w:header="0"/>
          <w:type w:val="continuous"/>
        </w:sectPr>
      </w:pPr>
    </w:p>
    <w:p>
      <w:pPr>
        <w:ind w:left="4980"/>
        <w:spacing w:after="0"/>
        <w:rPr>
          <w:sz w:val="20"/>
          <w:szCs w:val="20"/>
          <w:color w:val="auto"/>
        </w:rPr>
      </w:pPr>
      <w:r>
        <w:rPr>
          <w:rFonts w:ascii="Times New Roman" w:cs="Times New Roman" w:eastAsia="Times New Roman" w:hAnsi="Times New Roman"/>
          <w:sz w:val="18"/>
          <w:szCs w:val="18"/>
          <w:b w:val="1"/>
          <w:bCs w:val="1"/>
          <w:color w:val="auto"/>
        </w:rPr>
        <w:t>NAM</w:t>
      </w:r>
    </w:p>
    <w:p>
      <w:pPr>
        <w:spacing w:after="0" w:line="220"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Broker or dealer registered under Section 15 of the Exchange Act.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Bank as defined in Section 3(a)(6)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Insurance Company as defined in Section 3(a)(19)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Investment Company registered under Section 8 of the Investment Company Act of 1940.</w:t>
      </w:r>
    </w:p>
    <w:p>
      <w:pPr>
        <w:spacing w:after="0" w:line="196" w:lineRule="exact"/>
        <w:rPr>
          <w:rFonts w:ascii="Times New Roman" w:cs="Times New Roman" w:eastAsia="Times New Roman" w:hAnsi="Times New Roman"/>
          <w:sz w:val="18"/>
          <w:szCs w:val="18"/>
          <w:color w:val="auto"/>
        </w:rPr>
      </w:pPr>
    </w:p>
    <w:p>
      <w:pPr>
        <w:ind w:left="660" w:hanging="652"/>
        <w:spacing w:after="0" w:line="207" w:lineRule="exact"/>
        <w:tabs>
          <w:tab w:leader="none" w:pos="660" w:val="left"/>
        </w:tabs>
        <w:numPr>
          <w:ilvl w:val="0"/>
          <w:numId w:val="1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 investment adviser in accordance with Rule 13d-1(b)(1)(ii)(E).</w:t>
      </w:r>
    </w:p>
    <w:p>
      <w:pPr>
        <w:spacing w:after="0" w:line="24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An employee benefit plan or endowment fund in accordance with Rule 13d-1(b)(1)(ii)(F).</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A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savings association as defined in Section 3(b) of the Federal Deposit Insurance Act.</w:t>
      </w:r>
    </w:p>
    <w:p>
      <w:pPr>
        <w:spacing w:after="0" w:line="225" w:lineRule="exact"/>
        <w:rPr>
          <w:rFonts w:ascii="Times New Roman" w:cs="Times New Roman" w:eastAsia="Times New Roman" w:hAnsi="Times New Roman"/>
          <w:sz w:val="18"/>
          <w:szCs w:val="18"/>
          <w:color w:val="auto"/>
        </w:rPr>
      </w:pPr>
    </w:p>
    <w:p>
      <w:pPr>
        <w:ind w:left="1300" w:hanging="1292"/>
        <w:spacing w:after="0" w:line="282" w:lineRule="auto"/>
        <w:tabs>
          <w:tab w:leader="none" w:pos="652" w:val="left"/>
        </w:tabs>
        <w:numPr>
          <w:ilvl w:val="0"/>
          <w:numId w:val="18"/>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w:t>
      </w:r>
    </w:p>
    <w:p>
      <w:pPr>
        <w:spacing w:after="0" w:line="1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Group, in accordance with Rule 13d-1(b)(1)(ii)(J).</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TCIM</w:t>
      </w:r>
    </w:p>
    <w:p>
      <w:pPr>
        <w:spacing w:after="0" w:line="220"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Broker or dealer registered under Section 15 of the Exchange Act.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Bank as defined in Section 3(a)(6)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Insurance Company as defined in Section 3(a)(19)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Investment Company registered under Section 8 of the Investment Company Act of 1940.</w:t>
      </w:r>
    </w:p>
    <w:p>
      <w:pPr>
        <w:spacing w:after="0" w:line="196" w:lineRule="exact"/>
        <w:rPr>
          <w:rFonts w:ascii="Times New Roman" w:cs="Times New Roman" w:eastAsia="Times New Roman" w:hAnsi="Times New Roman"/>
          <w:sz w:val="18"/>
          <w:szCs w:val="18"/>
          <w:color w:val="auto"/>
        </w:rPr>
      </w:pPr>
    </w:p>
    <w:p>
      <w:pPr>
        <w:ind w:left="660" w:hanging="652"/>
        <w:spacing w:after="0" w:line="207" w:lineRule="exact"/>
        <w:tabs>
          <w:tab w:leader="none" w:pos="660"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 investment adviser in accordance with Rule 13d-1(b)(1)(ii)(E).</w:t>
      </w:r>
    </w:p>
    <w:p>
      <w:pPr>
        <w:spacing w:after="0" w:line="24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An employee benefit plan or endowment fund in accordance with Rule 13d-1(b)(1)(ii)(F).</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A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savings association as defined in Section 3(b) of the Federal Deposit Insurance Act.</w:t>
      </w:r>
    </w:p>
    <w:p>
      <w:pPr>
        <w:spacing w:after="0" w:line="225" w:lineRule="exact"/>
        <w:rPr>
          <w:rFonts w:ascii="Times New Roman" w:cs="Times New Roman" w:eastAsia="Times New Roman" w:hAnsi="Times New Roman"/>
          <w:sz w:val="18"/>
          <w:szCs w:val="18"/>
          <w:color w:val="auto"/>
        </w:rPr>
      </w:pPr>
    </w:p>
    <w:p>
      <w:pPr>
        <w:ind w:left="1300" w:hanging="1292"/>
        <w:spacing w:after="0" w:line="282" w:lineRule="auto"/>
        <w:tabs>
          <w:tab w:leader="none" w:pos="652"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w:t>
      </w:r>
    </w:p>
    <w:p>
      <w:pPr>
        <w:spacing w:after="0" w:line="1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Group, in accordance with Rule 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20"/>
          </w:cols>
          <w:pgMar w:left="320" w:top="111" w:right="4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34" w:lineRule="exact"/>
        <w:rPr>
          <w:sz w:val="20"/>
          <w:szCs w:val="20"/>
          <w:color w:val="auto"/>
        </w:rPr>
      </w:pPr>
    </w:p>
    <w:p>
      <w:pPr>
        <w:ind w:left="1800"/>
        <w:spacing w:after="0"/>
        <w:tabs>
          <w:tab w:leader="none" w:pos="730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8 of 11</w:t>
      </w:r>
    </w:p>
    <w:p>
      <w:pPr>
        <w:spacing w:after="0" w:line="21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TAL</w:t>
      </w:r>
    </w:p>
    <w:p>
      <w:pPr>
        <w:spacing w:after="0" w:line="220"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Broker or dealer registered under Section 15 of the Exchange Act.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Bank as defined in Section 3(a)(6)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Insurance Company as defined in Section 3(a)(19)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Investment Company registered under Section 8 of the Investment Company Act of 1940.</w:t>
      </w:r>
    </w:p>
    <w:p>
      <w:pPr>
        <w:spacing w:after="0" w:line="196" w:lineRule="exact"/>
        <w:rPr>
          <w:rFonts w:ascii="Times New Roman" w:cs="Times New Roman" w:eastAsia="Times New Roman" w:hAnsi="Times New Roman"/>
          <w:sz w:val="18"/>
          <w:szCs w:val="18"/>
          <w:color w:val="auto"/>
        </w:rPr>
      </w:pPr>
    </w:p>
    <w:p>
      <w:pPr>
        <w:ind w:left="660" w:hanging="652"/>
        <w:spacing w:after="0" w:line="207" w:lineRule="exact"/>
        <w:tabs>
          <w:tab w:leader="none" w:pos="660" w:val="left"/>
        </w:tabs>
        <w:numPr>
          <w:ilvl w:val="0"/>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 investment adviser in accordance with Rule 13d-1(b)(1)(ii)(E).</w:t>
      </w:r>
    </w:p>
    <w:p>
      <w:pPr>
        <w:spacing w:after="0" w:line="24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An employee benefit plan or endowment fund in accordance with Rule 13d-1(b)(1)(ii)(F).</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A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savings association as defined in Section 3(b) of the Federal Deposit Insurance Act.</w:t>
      </w:r>
    </w:p>
    <w:p>
      <w:pPr>
        <w:spacing w:after="0" w:line="225" w:lineRule="exact"/>
        <w:rPr>
          <w:rFonts w:ascii="Times New Roman" w:cs="Times New Roman" w:eastAsia="Times New Roman" w:hAnsi="Times New Roman"/>
          <w:sz w:val="18"/>
          <w:szCs w:val="18"/>
          <w:color w:val="auto"/>
        </w:rPr>
      </w:pPr>
    </w:p>
    <w:p>
      <w:pPr>
        <w:ind w:left="1300" w:right="40" w:hanging="1292"/>
        <w:spacing w:after="0" w:line="282" w:lineRule="auto"/>
        <w:tabs>
          <w:tab w:leader="none" w:pos="652"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w:t>
      </w:r>
    </w:p>
    <w:p>
      <w:pPr>
        <w:spacing w:after="0" w:line="1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Group, in accordance with Rule 13d-1(b)(1)(ii)(J).</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CREF SA</w:t>
      </w:r>
    </w:p>
    <w:p>
      <w:pPr>
        <w:spacing w:after="0" w:line="220"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Broker or dealer registered under Section 15 of the Exchange Act.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Bank as defined in Section 3(a)(6)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Insurance Company as defined in Section 3(a)(19) of the Exchange Act.</w:t>
      </w:r>
    </w:p>
    <w:p>
      <w:pPr>
        <w:spacing w:after="0" w:line="196" w:lineRule="exact"/>
        <w:rPr>
          <w:rFonts w:ascii="Times New Roman" w:cs="Times New Roman" w:eastAsia="Times New Roman" w:hAnsi="Times New Roman"/>
          <w:sz w:val="18"/>
          <w:szCs w:val="18"/>
          <w:color w:val="auto"/>
        </w:rPr>
      </w:pPr>
    </w:p>
    <w:p>
      <w:pPr>
        <w:ind w:left="660" w:hanging="652"/>
        <w:spacing w:after="0" w:line="207" w:lineRule="exact"/>
        <w:tabs>
          <w:tab w:leader="none" w:pos="660" w:val="left"/>
        </w:tabs>
        <w:numPr>
          <w:ilvl w:val="0"/>
          <w:numId w:val="2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Investment Company registered under Section 8 of the Investment Company Act of 1940.</w:t>
      </w:r>
    </w:p>
    <w:p>
      <w:pPr>
        <w:spacing w:after="0" w:line="24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An investment adviser in accordance with Rule 13d-1(b)(1)(ii)(E).</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An employee benefit plan or endowment fund in accordance with Rule 13d-1(b)(1)(ii)(F).</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A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savings association as defined in Section 3(b) of the Federal Deposit Insurance Act.</w:t>
      </w:r>
    </w:p>
    <w:p>
      <w:pPr>
        <w:spacing w:after="0" w:line="225" w:lineRule="exact"/>
        <w:rPr>
          <w:rFonts w:ascii="Times New Roman" w:cs="Times New Roman" w:eastAsia="Times New Roman" w:hAnsi="Times New Roman"/>
          <w:sz w:val="18"/>
          <w:szCs w:val="18"/>
          <w:color w:val="auto"/>
        </w:rPr>
      </w:pPr>
    </w:p>
    <w:p>
      <w:pPr>
        <w:ind w:left="1300" w:hanging="1292"/>
        <w:spacing w:after="0" w:line="282" w:lineRule="auto"/>
        <w:tabs>
          <w:tab w:leader="none" w:pos="652"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w:t>
      </w:r>
    </w:p>
    <w:p>
      <w:pPr>
        <w:spacing w:after="0" w:line="1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Group, in accordance with Rule 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20"/>
          </w:cols>
          <w:pgMar w:left="320" w:top="111"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34" w:lineRule="exact"/>
        <w:rPr>
          <w:sz w:val="20"/>
          <w:szCs w:val="20"/>
          <w:color w:val="auto"/>
        </w:rPr>
      </w:pPr>
    </w:p>
    <w:p>
      <w:pPr>
        <w:ind w:left="1800"/>
        <w:spacing w:after="0"/>
        <w:tabs>
          <w:tab w:leader="none" w:pos="730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9 of 11</w:t>
      </w:r>
    </w:p>
    <w:p>
      <w:pPr>
        <w:spacing w:after="0" w:line="21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229" w:lineRule="exact"/>
        <w:rPr>
          <w:sz w:val="20"/>
          <w:szCs w:val="20"/>
          <w:color w:val="auto"/>
        </w:rPr>
      </w:pPr>
    </w:p>
    <w:p>
      <w:pPr>
        <w:ind w:left="1300"/>
        <w:spacing w:after="0"/>
        <w:tabs>
          <w:tab w:leader="none" w:pos="4520" w:val="left"/>
        </w:tabs>
        <w:rPr>
          <w:sz w:val="20"/>
          <w:szCs w:val="20"/>
          <w:color w:val="auto"/>
        </w:rPr>
      </w:pPr>
      <w:r>
        <w:rPr>
          <w:rFonts w:ascii="Times New Roman" w:cs="Times New Roman" w:eastAsia="Times New Roman" w:hAnsi="Times New Roman"/>
          <w:sz w:val="18"/>
          <w:szCs w:val="18"/>
          <w:color w:val="auto"/>
        </w:rPr>
        <w:t>(a) Aggregate amount beneficially owned:</w:t>
        <w:tab/>
        <w:t>3,709,380</w:t>
      </w:r>
    </w:p>
    <w:p>
      <w:pPr>
        <w:spacing w:after="0" w:line="225"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(b) Percent of class: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r>
    </w:tbl>
    <w:p>
      <w:pPr>
        <w:spacing w:after="0" w:line="198" w:lineRule="exact"/>
        <w:rPr>
          <w:sz w:val="20"/>
          <w:szCs w:val="20"/>
          <w:color w:val="auto"/>
        </w:rPr>
      </w:pPr>
    </w:p>
    <w:p>
      <w:pPr>
        <w:ind w:left="1300" w:right="7020" w:firstLine="4"/>
        <w:spacing w:after="0" w:line="282" w:lineRule="auto"/>
        <w:tabs>
          <w:tab w:leader="none" w:pos="154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person has: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NAM</w:t>
            </w:r>
          </w:p>
        </w:tc>
        <w:tc>
          <w:tcPr>
            <w:tcW w:w="136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TCIM</w:t>
            </w: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TAL</w:t>
            </w:r>
          </w:p>
        </w:tc>
        <w:tc>
          <w:tcPr>
            <w:tcW w:w="12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CREF SA</w:t>
            </w:r>
          </w:p>
        </w:tc>
      </w:tr>
      <w:tr>
        <w:trPr>
          <w:trHeight w:val="142"/>
        </w:trPr>
        <w:tc>
          <w:tcPr>
            <w:tcW w:w="27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r>
      <w:tr>
        <w:trPr>
          <w:trHeight w:val="149"/>
        </w:trPr>
        <w:tc>
          <w:tcPr>
            <w:tcW w:w="270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Sole Voting Power:</w:t>
            </w:r>
          </w:p>
        </w:tc>
        <w:tc>
          <w:tcPr>
            <w:tcW w:w="34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340" w:type="dxa"/>
            <w:vAlign w:val="bottom"/>
            <w:shd w:val="clear" w:color="auto" w:fill="E5FFFF"/>
          </w:tcPr>
          <w:p>
            <w:pPr>
              <w:spacing w:after="0"/>
              <w:rPr>
                <w:sz w:val="12"/>
                <w:szCs w:val="12"/>
                <w:color w:val="auto"/>
              </w:rPr>
            </w:pPr>
          </w:p>
        </w:tc>
        <w:tc>
          <w:tcPr>
            <w:tcW w:w="1360" w:type="dxa"/>
            <w:vAlign w:val="bottom"/>
            <w:gridSpan w:val="3"/>
            <w:shd w:val="clear" w:color="auto" w:fill="E5FFFF"/>
          </w:tcPr>
          <w:p>
            <w:pPr>
              <w:ind w:left="340"/>
              <w:spacing w:after="0" w:line="149" w:lineRule="exact"/>
              <w:rPr>
                <w:sz w:val="20"/>
                <w:szCs w:val="20"/>
                <w:color w:val="auto"/>
              </w:rPr>
            </w:pPr>
            <w:r>
              <w:rPr>
                <w:rFonts w:ascii="Times New Roman" w:cs="Times New Roman" w:eastAsia="Times New Roman" w:hAnsi="Times New Roman"/>
                <w:sz w:val="14"/>
                <w:szCs w:val="14"/>
                <w:color w:val="auto"/>
              </w:rPr>
              <w:t>2,362,025</w:t>
            </w:r>
          </w:p>
        </w:tc>
        <w:tc>
          <w:tcPr>
            <w:tcW w:w="780" w:type="dxa"/>
            <w:vAlign w:val="bottom"/>
            <w:gridSpan w:val="2"/>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1,346,805</w:t>
            </w:r>
          </w:p>
        </w:tc>
        <w:tc>
          <w:tcPr>
            <w:tcW w:w="800" w:type="dxa"/>
            <w:vAlign w:val="bottom"/>
            <w:gridSpan w:val="2"/>
            <w:shd w:val="clear" w:color="auto" w:fill="E5FFFF"/>
          </w:tcPr>
          <w:p>
            <w:pPr>
              <w:ind w:left="22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420" w:type="dxa"/>
            <w:vAlign w:val="bottom"/>
            <w:shd w:val="clear" w:color="auto" w:fill="E5FFFF"/>
          </w:tcPr>
          <w:p>
            <w:pPr>
              <w:spacing w:after="0"/>
              <w:rPr>
                <w:sz w:val="12"/>
                <w:szCs w:val="12"/>
                <w:color w:val="auto"/>
              </w:rPr>
            </w:pPr>
          </w:p>
        </w:tc>
      </w:tr>
      <w:tr>
        <w:trPr>
          <w:trHeight w:val="314"/>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Shared Voting Power:</w:t>
            </w:r>
          </w:p>
        </w:tc>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0</w:t>
            </w:r>
          </w:p>
        </w:tc>
        <w:tc>
          <w:tcPr>
            <w:tcW w:w="340" w:type="dxa"/>
            <w:vAlign w:val="bottom"/>
          </w:tcPr>
          <w:p>
            <w:pPr>
              <w:spacing w:after="0"/>
              <w:rPr>
                <w:sz w:val="24"/>
                <w:szCs w:val="24"/>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0</w:t>
            </w:r>
          </w:p>
        </w:tc>
        <w:tc>
          <w:tcPr>
            <w:tcW w:w="66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0</w:t>
            </w:r>
          </w:p>
        </w:tc>
        <w:tc>
          <w:tcPr>
            <w:tcW w:w="520" w:type="dxa"/>
            <w:vAlign w:val="bottom"/>
          </w:tcPr>
          <w:p>
            <w:pPr>
              <w:spacing w:after="0"/>
              <w:rPr>
                <w:sz w:val="24"/>
                <w:szCs w:val="24"/>
                <w:color w:val="auto"/>
              </w:rPr>
            </w:pP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w w:val="99"/>
              </w:rPr>
              <w:t>2,236,370</w:t>
            </w:r>
          </w:p>
        </w:tc>
        <w:tc>
          <w:tcPr>
            <w:tcW w:w="420" w:type="dxa"/>
            <w:vAlign w:val="bottom"/>
          </w:tcPr>
          <w:p>
            <w:pPr>
              <w:spacing w:after="0"/>
              <w:rPr>
                <w:sz w:val="24"/>
                <w:szCs w:val="24"/>
                <w:color w:val="auto"/>
              </w:rPr>
            </w:pPr>
          </w:p>
        </w:tc>
      </w:tr>
      <w:tr>
        <w:trPr>
          <w:trHeight w:val="131"/>
        </w:trPr>
        <w:tc>
          <w:tcPr>
            <w:tcW w:w="2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48"/>
        </w:trPr>
        <w:tc>
          <w:tcPr>
            <w:tcW w:w="270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Sole Dispositive Power:</w:t>
            </w:r>
          </w:p>
        </w:tc>
        <w:tc>
          <w:tcPr>
            <w:tcW w:w="34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340" w:type="dxa"/>
            <w:vAlign w:val="bottom"/>
            <w:shd w:val="clear" w:color="auto" w:fill="E5FFFF"/>
          </w:tcPr>
          <w:p>
            <w:pPr>
              <w:spacing w:after="0"/>
              <w:rPr>
                <w:sz w:val="12"/>
                <w:szCs w:val="12"/>
                <w:color w:val="auto"/>
              </w:rPr>
            </w:pPr>
          </w:p>
        </w:tc>
        <w:tc>
          <w:tcPr>
            <w:tcW w:w="1360" w:type="dxa"/>
            <w:vAlign w:val="bottom"/>
            <w:gridSpan w:val="3"/>
            <w:shd w:val="clear" w:color="auto" w:fill="E5FFFF"/>
          </w:tcPr>
          <w:p>
            <w:pPr>
              <w:ind w:left="340"/>
              <w:spacing w:after="0" w:line="149" w:lineRule="exact"/>
              <w:rPr>
                <w:sz w:val="20"/>
                <w:szCs w:val="20"/>
                <w:color w:val="auto"/>
              </w:rPr>
            </w:pPr>
            <w:r>
              <w:rPr>
                <w:rFonts w:ascii="Times New Roman" w:cs="Times New Roman" w:eastAsia="Times New Roman" w:hAnsi="Times New Roman"/>
                <w:sz w:val="14"/>
                <w:szCs w:val="14"/>
                <w:color w:val="auto"/>
              </w:rPr>
              <w:t>2,362,025</w:t>
            </w:r>
          </w:p>
        </w:tc>
        <w:tc>
          <w:tcPr>
            <w:tcW w:w="780" w:type="dxa"/>
            <w:vAlign w:val="bottom"/>
            <w:gridSpan w:val="2"/>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1,346,805</w:t>
            </w:r>
          </w:p>
        </w:tc>
        <w:tc>
          <w:tcPr>
            <w:tcW w:w="800" w:type="dxa"/>
            <w:vAlign w:val="bottom"/>
            <w:gridSpan w:val="2"/>
            <w:shd w:val="clear" w:color="auto" w:fill="E5FFFF"/>
          </w:tcPr>
          <w:p>
            <w:pPr>
              <w:ind w:left="22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420" w:type="dxa"/>
            <w:vAlign w:val="bottom"/>
            <w:shd w:val="clear" w:color="auto" w:fill="E5FFFF"/>
          </w:tcPr>
          <w:p>
            <w:pPr>
              <w:spacing w:after="0"/>
              <w:rPr>
                <w:sz w:val="12"/>
                <w:szCs w:val="12"/>
                <w:color w:val="auto"/>
              </w:rPr>
            </w:pPr>
          </w:p>
        </w:tc>
      </w:tr>
      <w:tr>
        <w:trPr>
          <w:trHeight w:val="314"/>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Shared Dispositive Power:</w:t>
            </w:r>
          </w:p>
        </w:tc>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0</w:t>
            </w:r>
          </w:p>
        </w:tc>
        <w:tc>
          <w:tcPr>
            <w:tcW w:w="340" w:type="dxa"/>
            <w:vAlign w:val="bottom"/>
          </w:tcPr>
          <w:p>
            <w:pPr>
              <w:spacing w:after="0"/>
              <w:rPr>
                <w:sz w:val="24"/>
                <w:szCs w:val="24"/>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0</w:t>
            </w:r>
          </w:p>
        </w:tc>
        <w:tc>
          <w:tcPr>
            <w:tcW w:w="66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0</w:t>
            </w:r>
          </w:p>
        </w:tc>
        <w:tc>
          <w:tcPr>
            <w:tcW w:w="520" w:type="dxa"/>
            <w:vAlign w:val="bottom"/>
          </w:tcPr>
          <w:p>
            <w:pPr>
              <w:spacing w:after="0"/>
              <w:rPr>
                <w:sz w:val="24"/>
                <w:szCs w:val="24"/>
                <w:color w:val="auto"/>
              </w:rPr>
            </w:pP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w w:val="99"/>
              </w:rPr>
              <w:t>2,236,370</w:t>
            </w:r>
          </w:p>
        </w:tc>
        <w:tc>
          <w:tcPr>
            <w:tcW w:w="420" w:type="dxa"/>
            <w:vAlign w:val="bottom"/>
          </w:tcPr>
          <w:p>
            <w:pPr>
              <w:spacing w:after="0"/>
              <w:rPr>
                <w:sz w:val="24"/>
                <w:szCs w:val="24"/>
                <w:color w:val="auto"/>
              </w:rPr>
            </w:pPr>
          </w:p>
        </w:tc>
      </w:tr>
    </w:tbl>
    <w:p>
      <w:pPr>
        <w:spacing w:after="0" w:line="17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OWNERSHIP OF FIVE PERCENT OR LESS OF A CLASS.</w:t>
      </w:r>
    </w:p>
    <w:p>
      <w:pPr>
        <w:spacing w:after="0" w:line="229" w:lineRule="exact"/>
        <w:rPr>
          <w:sz w:val="20"/>
          <w:szCs w:val="20"/>
          <w:color w:val="auto"/>
        </w:rPr>
      </w:pPr>
    </w:p>
    <w:p>
      <w:pPr>
        <w:ind w:left="1300" w:right="320"/>
        <w:spacing w:after="0" w:line="282" w:lineRule="auto"/>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OWNERSHIP OF MORE THAN FIVE PERCENT ON BEHALF OF ANOTHER PERSON.</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Exhibit A attached</w:t>
      </w:r>
    </w:p>
    <w:p>
      <w:pPr>
        <w:spacing w:after="0" w:line="221" w:lineRule="exact"/>
        <w:rPr>
          <w:sz w:val="20"/>
          <w:szCs w:val="20"/>
          <w:color w:val="auto"/>
        </w:rPr>
      </w:pPr>
    </w:p>
    <w:p>
      <w:pPr>
        <w:ind w:left="13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34" w:lineRule="exact"/>
        <w:rPr>
          <w:sz w:val="20"/>
          <w:szCs w:val="20"/>
          <w:color w:val="auto"/>
        </w:rPr>
      </w:pPr>
    </w:p>
    <w:p>
      <w:pPr>
        <w:ind w:left="1800"/>
        <w:spacing w:after="0"/>
        <w:tabs>
          <w:tab w:leader="none" w:pos="730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10 of 11</w:t>
      </w:r>
    </w:p>
    <w:p>
      <w:pPr>
        <w:spacing w:after="0" w:line="21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CERTIFICATIONS.</w:t>
      </w:r>
    </w:p>
    <w:p>
      <w:pPr>
        <w:spacing w:after="0" w:line="229" w:lineRule="exact"/>
        <w:rPr>
          <w:sz w:val="20"/>
          <w:szCs w:val="20"/>
          <w:color w:val="auto"/>
        </w:rPr>
      </w:pPr>
    </w:p>
    <w:p>
      <w:pPr>
        <w:jc w:val="both"/>
        <w:ind w:left="1300"/>
        <w:spacing w:after="0" w:line="262" w:lineRule="auto"/>
        <w:rPr>
          <w:sz w:val="20"/>
          <w:szCs w:val="20"/>
          <w:color w:val="auto"/>
        </w:rPr>
      </w:pPr>
      <w:r>
        <w:rPr>
          <w:rFonts w:ascii="Times New Roman" w:cs="Times New Roman" w:eastAsia="Times New Roman" w:hAnsi="Times New Roman"/>
          <w:sz w:val="18"/>
          <w:szCs w:val="18"/>
          <w:color w:val="auto"/>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nomination under </w:t>
      </w:r>
      <w:r>
        <w:rPr>
          <w:rFonts w:ascii="Arial" w:cs="Arial" w:eastAsia="Arial" w:hAnsi="Arial"/>
          <w:sz w:val="18"/>
          <w:szCs w:val="18"/>
          <w:color w:val="auto"/>
        </w:rPr>
        <w:t>§</w:t>
      </w:r>
      <w:r>
        <w:rPr>
          <w:rFonts w:ascii="Times New Roman" w:cs="Times New Roman" w:eastAsia="Times New Roman" w:hAnsi="Times New Roman"/>
          <w:sz w:val="18"/>
          <w:szCs w:val="18"/>
          <w:color w:val="auto"/>
        </w:rPr>
        <w:t>240.14a-11</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Date: February 14, 2023</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NUVEEN ASSET MANAGEMENT, LLC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Erik Mogavero</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Erik Mogavero</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Head of Affiliate Compliance</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TIAA-CREF INVESTMENT MANAGEMENT, LLC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Stuart R. Brunet</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Stuart Brunet, Managing Director,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TEACHERS ADVISORS, LLC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Stuart R. Brunet</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Stuart Brunet, Managing Director,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COLLEGE RETIREMENT EQUITIES FUND-STOCK</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ACCOUNT</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Stuart R. Brunet</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Stuart Brunet, Managing Director,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34" w:lineRule="exact"/>
        <w:rPr>
          <w:sz w:val="20"/>
          <w:szCs w:val="20"/>
          <w:color w:val="auto"/>
        </w:rPr>
      </w:pPr>
    </w:p>
    <w:p>
      <w:pPr>
        <w:ind w:left="1800"/>
        <w:spacing w:after="0"/>
        <w:tabs>
          <w:tab w:leader="none" w:pos="730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11 of 11</w:t>
      </w:r>
    </w:p>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Nuveen Asset Management, LLC (“NAM”), is a registered investment adviser affiliated with TCIM and TAL. NAM may be deemed to be a beneficial owner of 550 shares of Issuer’s common stock. TIAA-CREF Investment Management, LLC (“TCIM”) is the investment adviser to the College Retirement Equities Fund (“CREF”), a registered investment company, and may be deemed to be a beneficial owner of 2,362,025 shares of Issuer’s common stock owned by CREF. Teachers Advisors, LLC (“TAL”) is the investment adviser to three registered investment companies, TIAA-CREF Funds (“Funds”), TIAA-CREF Life Funds (“Life Funds”), and TIAA Separate Account VA-1 (“VA-1”), as well as one or more separately managed accounts of Advisors (collectively, the “Separate Accounts”), and may be deemed to be a beneficial owner of 1,346,805 shares of Issuer’s common stock owned separately by Funds, Life Funds, VA-1, and/or the Separate Accounts.. These shares were acquired in the ordinary course of business, and not with the purpose or effect of changing or influencing control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140"/>
      </w:cols>
      <w:pgMar w:left="320" w:top="11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3"/>
    </w:lvl>
  </w:abstractNum>
  <w:abstractNum w:abstractNumId="3">
    <w:nsid w:val="3352255A"/>
    <w:multiLevelType w:val="hybridMultilevel"/>
    <w:lvl w:ilvl="0">
      <w:lvlJc w:val="left"/>
      <w:lvlText w:val="%1."/>
      <w:numFmt w:val="decimal"/>
      <w:start w:val="9"/>
    </w:lvl>
  </w:abstractNum>
  <w:abstractNum w:abstractNumId="4">
    <w:nsid w:val="109CF92E"/>
    <w:multiLevelType w:val="hybridMultilevel"/>
    <w:lvl w:ilvl="0">
      <w:lvlJc w:val="left"/>
      <w:lvlText w:val="%1."/>
      <w:numFmt w:val="decimal"/>
      <w:start w:val="12"/>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3"/>
    </w:lvl>
  </w:abstractNum>
  <w:abstractNum w:abstractNumId="7">
    <w:nsid w:val="1BEFD79F"/>
    <w:multiLevelType w:val="hybridMultilevel"/>
    <w:lvl w:ilvl="0">
      <w:lvlJc w:val="left"/>
      <w:lvlText w:val="%1."/>
      <w:numFmt w:val="decimal"/>
      <w:start w:val="9"/>
    </w:lvl>
  </w:abstractNum>
  <w:abstractNum w:abstractNumId="8">
    <w:nsid w:val="41A7C4C9"/>
    <w:multiLevelType w:val="hybridMultilevel"/>
    <w:lvl w:ilvl="0">
      <w:lvlJc w:val="left"/>
      <w:lvlText w:val="%1."/>
      <w:numFmt w:val="decimal"/>
      <w:start w:val="12"/>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3"/>
    </w:lvl>
  </w:abstractNum>
  <w:abstractNum w:abstractNumId="11">
    <w:nsid w:val="25E45D32"/>
    <w:multiLevelType w:val="hybridMultilevel"/>
    <w:lvl w:ilvl="0">
      <w:lvlJc w:val="left"/>
      <w:lvlText w:val="%1."/>
      <w:numFmt w:val="decimal"/>
      <w:start w:val="9"/>
    </w:lvl>
  </w:abstractNum>
  <w:abstractNum w:abstractNumId="12">
    <w:nsid w:val="519B500D"/>
    <w:multiLevelType w:val="hybridMultilevel"/>
    <w:lvl w:ilvl="0">
      <w:lvlJc w:val="left"/>
      <w:lvlText w:val="%1."/>
      <w:numFmt w:val="decimal"/>
      <w:start w:val="12"/>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3"/>
    </w:lvl>
  </w:abstractNum>
  <w:abstractNum w:abstractNumId="15">
    <w:nsid w:val="7C83E458"/>
    <w:multiLevelType w:val="hybridMultilevel"/>
    <w:lvl w:ilvl="0">
      <w:lvlJc w:val="left"/>
      <w:lvlText w:val="%1."/>
      <w:numFmt w:val="decimal"/>
      <w:start w:val="9"/>
    </w:lvl>
  </w:abstractNum>
  <w:abstractNum w:abstractNumId="16">
    <w:nsid w:val="257130A3"/>
    <w:multiLevelType w:val="hybridMultilevel"/>
    <w:lvl w:ilvl="0">
      <w:lvlJc w:val="left"/>
      <w:lvlText w:val="%1."/>
      <w:numFmt w:val="decimal"/>
      <w:start w:val="12"/>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2023-02-14T07:53:53Z</dcterms:created>
  <dcterms:modified xsi:type="dcterms:W3CDTF">2023-02-14T07:53:53Z</dcterms:modified>
</cp:coreProperties>
</file>