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ambr-20251231x20f.htm"/>
        <w:bookmarkStart w:id="1" w:name="ksambr2025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495f3624_a65f_4cb6_b662_5ea2dd1775c3"/>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 20-F</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aMzWJ0EDEGrkhWJT_ZM5w_1_1"/>
      <w:bookmarkStart w:id="4" w:name="_70bf00e9_b627_453a_8bf6_5a36d1ef0d5a"/>
      <w:bookmarkStart w:id="5" w:name="Tc_aaMzWJ0EDEGrkhWJT_ZM5w_1_1"/>
      <w:bookmarkStart w:id="6" w:name="_70bf00e9_b627_453a_8bf6_5a36d1ef0d5a"/>
      <w:bookmarkEnd w:id="5"/>
      <w:bookmarkEnd w:id="6"/>
    </w:p>
    <w:tbl>
      <w:tblPr>
        <w:tblW w:w="9767" w:type="dxa"/>
        <w:jc w:val="left"/>
        <w:tblInd w:w="0" w:type="dxa"/>
        <w:tblLayout w:type="fixed"/>
        <w:tblCellMar>
          <w:top w:w="0" w:type="dxa"/>
          <w:left w:w="0" w:type="dxa"/>
          <w:bottom w:w="0" w:type="dxa"/>
          <w:right w:w="0" w:type="dxa"/>
        </w:tblCellMar>
      </w:tblPr>
      <w:tblGrid>
        <w:gridCol w:w="331"/>
        <w:gridCol w:w="943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3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REGISTRATION STATEMENT PURSUANT TO SECTION 12(b) OR 12(g)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io9YNzsgSUGFz2SmzRno6A_1_1"/>
      <w:bookmarkStart w:id="8" w:name="_484c5221_f77f_45a2_bde5_d4e586103974"/>
      <w:bookmarkStart w:id="9" w:name="Tc_io9YNzsgSUGFz2SmzRno6A_1_1"/>
      <w:bookmarkStart w:id="10" w:name="_484c5221_f77f_45a2_bde5_d4e586103974"/>
      <w:bookmarkEnd w:id="9"/>
      <w:bookmarkEnd w:id="10"/>
    </w:p>
    <w:tbl>
      <w:tblPr>
        <w:tblW w:w="8672" w:type="dxa"/>
        <w:jc w:val="left"/>
        <w:tblInd w:w="0" w:type="dxa"/>
        <w:tblLayout w:type="fixed"/>
        <w:tblCellMar>
          <w:top w:w="0" w:type="dxa"/>
          <w:left w:w="0" w:type="dxa"/>
          <w:bottom w:w="0" w:type="dxa"/>
          <w:right w:w="0" w:type="dxa"/>
        </w:tblCellMar>
      </w:tblPr>
      <w:tblGrid>
        <w:gridCol w:w="331"/>
        <w:gridCol w:w="83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4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3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1TCayb8FTEmsTSWvIEPcqg_1_1"/>
      <w:bookmarkStart w:id="12" w:name="_d6d74d16_a85a_4e82_9334_b9dbe42384e3"/>
      <w:bookmarkStart w:id="13" w:name="Tc_1TCayb8FTEmsTSWvIEPcqg_1_1"/>
      <w:bookmarkStart w:id="14" w:name="_d6d74d16_a85a_4e82_9334_b9dbe42384e3"/>
      <w:bookmarkEnd w:id="13"/>
      <w:bookmarkEnd w:id="14"/>
    </w:p>
    <w:tbl>
      <w:tblPr>
        <w:tblW w:w="9002" w:type="dxa"/>
        <w:jc w:val="left"/>
        <w:tblInd w:w="0" w:type="dxa"/>
        <w:tblLayout w:type="fixed"/>
        <w:tblCellMar>
          <w:top w:w="0" w:type="dxa"/>
          <w:left w:w="0" w:type="dxa"/>
          <w:bottom w:w="0" w:type="dxa"/>
          <w:right w:w="0" w:type="dxa"/>
        </w:tblCellMar>
      </w:tblPr>
      <w:tblGrid>
        <w:gridCol w:w="331"/>
        <w:gridCol w:w="867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67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8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w:t>
      </w:r>
      <w:r>
        <w:rPr>
          <w:rFonts w:ascii="Times New Roman;Times;serif" w:hAnsi="Times New Roman;Times;serif"/>
          <w:b/>
          <w:sz w:val="16"/>
        </w:rPr>
        <w:t>to</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8_MJa6_Yo0q0VXOHs52ByQ_1_1"/>
      <w:bookmarkStart w:id="16" w:name="_9d788b9c_3091_494d_bbe4_9ac24acac055"/>
      <w:bookmarkStart w:id="17" w:name="Tc_8_MJa6_Yo0q0VXOHs52ByQ_1_1"/>
      <w:bookmarkStart w:id="18" w:name="_9d788b9c_3091_494d_bbe4_9ac24acac055"/>
      <w:bookmarkEnd w:id="17"/>
      <w:bookmarkEnd w:id="18"/>
    </w:p>
    <w:tbl>
      <w:tblPr>
        <w:tblW w:w="9422" w:type="dxa"/>
        <w:jc w:val="left"/>
        <w:tblInd w:w="0" w:type="dxa"/>
        <w:tblLayout w:type="fixed"/>
        <w:tblCellMar>
          <w:top w:w="0" w:type="dxa"/>
          <w:left w:w="0" w:type="dxa"/>
          <w:bottom w:w="0" w:type="dxa"/>
          <w:right w:w="0" w:type="dxa"/>
        </w:tblCellMar>
      </w:tblPr>
      <w:tblGrid>
        <w:gridCol w:w="331"/>
        <w:gridCol w:w="909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09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0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SHELL COMPANY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Commission file number:  001-38313</w:t>
      </w:r>
    </w:p>
    <w:p>
      <w:pPr>
        <w:pStyle w:val="TextBody"/>
        <w:bidi w:val="0"/>
        <w:spacing w:before="0" w:after="80"/>
        <w:ind w:left="0" w:right="0" w:hanging="0"/>
        <w:jc w:val="center"/>
        <w:rPr>
          <w:rFonts w:ascii="Times New Roman;Times;serif" w:hAnsi="Times New Roman;Times;serif"/>
          <w:b/>
          <w:sz w:val="28"/>
        </w:rPr>
      </w:pPr>
      <w:r>
        <w:rPr>
          <w:rFonts w:ascii="Times New Roman;Times;serif" w:hAnsi="Times New Roman;Times;serif"/>
          <w:b/>
          <w:sz w:val="28"/>
        </w:rPr>
        <w:t>Amber International Holding Limited</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(Translation of Registrant’s name into English)</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Cayman Islands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(Jurisdiction of incorporation or organization)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 Wallich Street, #30-02 Guoco Tower,</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Singapore</w:t>
      </w:r>
      <w:r>
        <w:rPr>
          <w:rFonts w:ascii="Times New Roman;Times;serif" w:hAnsi="Times New Roman;Times;serif"/>
          <w:sz w:val="20"/>
        </w:rPr>
        <w:t xml:space="preserve"> </w:t>
      </w:r>
      <w:r>
        <w:rPr>
          <w:rFonts w:ascii="Times New Roman;Times;serif" w:hAnsi="Times New Roman;Times;serif"/>
          <w:sz w:val="16"/>
        </w:rPr>
        <w:t>078881</w:t>
      </w:r>
      <w:r>
        <w:rPr>
          <w:rFonts w:ascii="Times New Roman;Times;serif" w:hAnsi="Times New Roman;Times;serif"/>
          <w:sz w:val="20"/>
        </w:rPr>
        <w:t> </w:t>
      </w:r>
      <w:r>
        <w:rPr>
          <w:rFonts w:ascii="Times New Roman;Times;serif" w:hAnsi="Times New Roman;Times;serif"/>
          <w:sz w:val="16"/>
        </w:rPr>
        <w:t>Tel: +65 60220228</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 xml:space="preserve">Josephine Ngai, Chief Financial Officer </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1 Wallich Street, #30-02 Guoco Tower,</w:t>
      </w:r>
    </w:p>
    <w:p>
      <w:pPr>
        <w:pStyle w:val="TextBody"/>
        <w:bidi w:val="0"/>
        <w:spacing w:before="0" w:after="80"/>
        <w:ind w:left="0" w:right="0" w:hanging="0"/>
        <w:jc w:val="center"/>
        <w:rPr>
          <w:rFonts w:ascii="Times New Roman;Times;serif" w:hAnsi="Times New Roman;Times;serif"/>
          <w:sz w:val="20"/>
        </w:rPr>
      </w:pPr>
      <w:r>
        <w:rPr>
          <w:rFonts w:ascii="Times New Roman;Times;serif" w:hAnsi="Times New Roman;Times;serif"/>
          <w:sz w:val="16"/>
        </w:rPr>
        <w:t>Singapore</w:t>
      </w:r>
      <w:r>
        <w:rPr>
          <w:rFonts w:ascii="Times New Roman;Times;serif" w:hAnsi="Times New Roman;Times;serif"/>
          <w:sz w:val="20"/>
        </w:rPr>
        <w:t xml:space="preserve"> </w:t>
      </w:r>
      <w:r>
        <w:rPr>
          <w:rFonts w:ascii="Times New Roman;Times;serif" w:hAnsi="Times New Roman;Times;serif"/>
          <w:sz w:val="16"/>
        </w:rPr>
        <w:t>078881</w:t>
      </w:r>
      <w:r>
        <w:rPr>
          <w:rFonts w:ascii="Times New Roman;Times;serif" w:hAnsi="Times New Roman;Times;serif"/>
          <w:sz w:val="20"/>
        </w:rPr>
        <w:t xml:space="preserve"> </w:t>
      </w:r>
      <w:r>
        <w:rPr>
          <w:rFonts w:ascii="Times New Roman;Times;serif" w:hAnsi="Times New Roman;Times;serif"/>
          <w:sz w:val="16"/>
        </w:rPr>
        <w:t>Tel: +65</w:t>
      </w:r>
      <w:r>
        <w:rPr>
          <w:rFonts w:ascii="Times New Roman;Times;serif" w:hAnsi="Times New Roman;Times;serif"/>
          <w:sz w:val="20"/>
        </w:rPr>
        <w:t xml:space="preserve"> </w:t>
      </w:r>
      <w:r>
        <w:rPr>
          <w:rFonts w:ascii="Times New Roman;Times;serif" w:hAnsi="Times New Roman;Times;serif"/>
          <w:sz w:val="16"/>
        </w:rPr>
        <w:t>60220228</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E-mail: josephine.ngai@ambr.io</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(Name, Telephone, E-mail and/or Facsimile number and Address of Company Contact Person)</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or to be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7ZZT27qNUEWm4pglAWz6Pg_2_0"/>
      <w:bookmarkStart w:id="20" w:name="Tc_9iT2BiuyHUC2RM0tsW5daA_1_4"/>
      <w:bookmarkStart w:id="21" w:name="Tc_Ub7cnbMGU065fB6CVBye6Q_1_2"/>
      <w:bookmarkStart w:id="22" w:name="Tc_ootb1g6muEWYlL5lgzVLEA_1_0"/>
      <w:bookmarkStart w:id="23" w:name="_855b94b9_e649_4e73_8f88_f40bff3387d4"/>
      <w:bookmarkStart w:id="24" w:name="Tc_7ZZT27qNUEWm4pglAWz6Pg_2_0"/>
      <w:bookmarkStart w:id="25" w:name="Tc_9iT2BiuyHUC2RM0tsW5daA_1_4"/>
      <w:bookmarkStart w:id="26" w:name="Tc_Ub7cnbMGU065fB6CVBye6Q_1_2"/>
      <w:bookmarkStart w:id="27" w:name="Tc_ootb1g6muEWYlL5lgzVLEA_1_0"/>
      <w:bookmarkStart w:id="28" w:name="_855b94b9_e649_4e73_8f88_f40bff3387d4"/>
      <w:bookmarkEnd w:id="24"/>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5041"/>
        <w:gridCol w:w="346"/>
        <w:gridCol w:w="1246"/>
        <w:gridCol w:w="346"/>
        <w:gridCol w:w="3226"/>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5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346" w:type="dxa"/>
            <w:tcBorders/>
            <w:vAlign w:val="center"/>
          </w:tcPr>
          <w:p>
            <w:pPr>
              <w:pStyle w:val="TableContents"/>
              <w:bidi w:val="0"/>
              <w:spacing w:before="0" w:after="0"/>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w:t>
            </w:r>
          </w:p>
        </w:tc>
        <w:tc>
          <w:tcPr>
            <w:tcW w:w="346" w:type="dxa"/>
            <w:tcBorders/>
            <w:vAlign w:val="center"/>
          </w:tcPr>
          <w:p>
            <w:pPr>
              <w:pStyle w:val="TableContents"/>
              <w:bidi w:val="0"/>
              <w:spacing w:before="0" w:after="0"/>
              <w:ind w:left="0" w:right="0" w:hanging="0"/>
              <w:jc w:val="left"/>
              <w:rPr/>
            </w:pPr>
            <w:r>
              <w:rPr/>
              <w:t>  ​ ​ ​</w:t>
            </w:r>
          </w:p>
        </w:tc>
        <w:tc>
          <w:tcPr>
            <w:tcW w:w="32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504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one representing five Class A ordinary shares, par value US$0.001 per share*</w:t>
              <w:br/>
              <w:t>*Not for trading, but only in connection with the listing on the Nasdaq Global Market of American depositary shares.</w:t>
            </w:r>
          </w:p>
        </w:tc>
        <w:tc>
          <w:tcPr>
            <w:tcW w:w="346" w:type="dxa"/>
            <w:tcBorders/>
            <w:vAlign w:val="center"/>
          </w:tcPr>
          <w:p>
            <w:pPr>
              <w:pStyle w:val="TableContents"/>
              <w:bidi w:val="0"/>
              <w:spacing w:before="0" w:after="0"/>
              <w:ind w:left="0" w:right="0" w:hanging="0"/>
              <w:jc w:val="center"/>
              <w:rPr/>
            </w:pPr>
            <w:r>
              <w:rPr/>
              <w:t>​</w:t>
            </w:r>
          </w:p>
        </w:tc>
        <w:tc>
          <w:tcPr>
            <w:tcW w:w="12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AMBR</w:t>
            </w:r>
          </w:p>
        </w:tc>
        <w:tc>
          <w:tcPr>
            <w:tcW w:w="346" w:type="dxa"/>
            <w:tcBorders/>
            <w:vAlign w:val="center"/>
          </w:tcPr>
          <w:p>
            <w:pPr>
              <w:pStyle w:val="TableContents"/>
              <w:bidi w:val="0"/>
              <w:spacing w:before="0" w:after="0"/>
              <w:ind w:left="0" w:right="0" w:hanging="0"/>
              <w:jc w:val="center"/>
              <w:rPr/>
            </w:pPr>
            <w:r>
              <w:rPr/>
              <w:t>​</w:t>
            </w:r>
          </w:p>
        </w:tc>
        <w:tc>
          <w:tcPr>
            <w:tcW w:w="32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12(g)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for which there is a reporting obligation pursuant to Section 15(d) of the Act:</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None</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(Title of Class)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As of December 31, 2025, there were 471,376,257 ordinary shares outstanding, par value $0.001 per share, being the sum of 435,143,020 Class A ordinary shares and 36,233,237 Class B ordinary shares.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if the registrant is a well-known seasoned issuer, as defined in Rule 405 of the Securities Act.</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80"/>
        <w:ind w:left="0" w:right="0" w:hanging="0"/>
        <w:jc w:val="center"/>
        <w:rPr/>
      </w:pPr>
      <w:r>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or a non-accelerated filer. See definition of “accelerated filer and large accelerated filer” in Rule 12b-2 of the Exchange Act.:</w:t>
      </w:r>
    </w:p>
    <w:tbl>
      <w:tblPr>
        <w:tblW w:w="8467" w:type="dxa"/>
        <w:jc w:val="left"/>
        <w:tblInd w:w="0" w:type="dxa"/>
        <w:tblLayout w:type="fixed"/>
        <w:tblCellMar>
          <w:top w:w="0" w:type="dxa"/>
          <w:left w:w="0" w:type="dxa"/>
          <w:bottom w:w="0" w:type="dxa"/>
          <w:right w:w="0" w:type="dxa"/>
        </w:tblCellMar>
      </w:tblPr>
      <w:tblGrid>
        <w:gridCol w:w="1906"/>
        <w:gridCol w:w="346"/>
        <w:gridCol w:w="1471"/>
        <w:gridCol w:w="346"/>
        <w:gridCol w:w="1756"/>
        <w:gridCol w:w="346"/>
        <w:gridCol w:w="229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7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90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346" w:type="dxa"/>
            <w:tcBorders/>
            <w:vAlign w:val="center"/>
          </w:tcPr>
          <w:p>
            <w:pPr>
              <w:pStyle w:val="TableContents"/>
              <w:bidi w:val="0"/>
              <w:spacing w:before="0" w:after="0"/>
              <w:ind w:left="0" w:right="0" w:hanging="0"/>
              <w:jc w:val="left"/>
              <w:rPr/>
            </w:pPr>
            <w:r>
              <w:rPr/>
              <w:t>  ​ ​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Accelerated filer</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  ​ ​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346" w:type="dxa"/>
            <w:tcBorders/>
            <w:vAlign w:val="center"/>
          </w:tcPr>
          <w:p>
            <w:pPr>
              <w:pStyle w:val="TableContents"/>
              <w:bidi w:val="0"/>
              <w:spacing w:before="0" w:after="0"/>
              <w:ind w:left="0" w:right="0" w:hanging="0"/>
              <w:jc w:val="left"/>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80" w:after="80"/>
        <w:ind w:left="0" w:right="0" w:hanging="0"/>
        <w:jc w:val="left"/>
        <w:rPr>
          <w:rFonts w:ascii="Times New Roman;Times;serif" w:hAnsi="Times New Roman;Times;serif"/>
          <w:sz w:val="16"/>
        </w:rPr>
      </w:pPr>
      <w:r>
        <w:rPr>
          <w:rFonts w:ascii="Times New Roman;Times;serif" w:hAnsi="Times New Roman;Times;serif"/>
          <w:sz w:val="16"/>
        </w:rPr>
        <w:t>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If securities are registered pursuant to Section</w:t>
      </w:r>
      <w:r>
        <w:rPr>
          <w:rFonts w:ascii="Times New Roman;Times;serif" w:hAnsi="Times New Roman;Times;serif"/>
          <w:sz w:val="20"/>
        </w:rPr>
        <w:t> </w:t>
      </w:r>
      <w:r>
        <w:rPr>
          <w:rFonts w:ascii="Times New Roman;Times;serif" w:hAnsi="Times New Roman;Times;serif"/>
          <w:sz w:val="16"/>
        </w:rPr>
        <w:t>12(b)</w:t>
      </w:r>
      <w:r>
        <w:rPr>
          <w:rFonts w:ascii="Times New Roman;Times;serif" w:hAnsi="Times New Roman;Times;serif"/>
          <w:sz w:val="20"/>
        </w:rPr>
        <w:t> </w:t>
      </w:r>
      <w:r>
        <w:rPr>
          <w:rFonts w:ascii="Times New Roman;Times;serif" w:hAnsi="Times New Roman;Times;serif"/>
          <w:sz w:val="16"/>
        </w:rPr>
        <w:t xml:space="preserve">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MS Gothic" w:hAnsi="MS Gothic"/>
          <w:sz w:val="16"/>
        </w:rPr>
        <w:t>§</w:t>
      </w:r>
      <w:r>
        <w:rPr>
          <w:rFonts w:ascii="Times New Roman;Times;serif" w:hAnsi="Times New Roman;Times;serif"/>
          <w:sz w:val="16"/>
        </w:rPr>
        <w:t>240.10D-1(b). ☐</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which basis of accounting the registrant has used to prepare the financial statements included in this filing:</w:t>
      </w:r>
    </w:p>
    <w:tbl>
      <w:tblPr>
        <w:tblW w:w="6305" w:type="dxa"/>
        <w:jc w:val="left"/>
        <w:tblInd w:w="0" w:type="dxa"/>
        <w:tblLayout w:type="fixed"/>
        <w:tblCellMar>
          <w:top w:w="0" w:type="dxa"/>
          <w:left w:w="0" w:type="dxa"/>
          <w:bottom w:w="0" w:type="dxa"/>
          <w:right w:w="0" w:type="dxa"/>
        </w:tblCellMar>
      </w:tblPr>
      <w:tblGrid>
        <w:gridCol w:w="1111"/>
        <w:gridCol w:w="346"/>
        <w:gridCol w:w="3766"/>
        <w:gridCol w:w="346"/>
        <w:gridCol w:w="736"/>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r>
      <w:tr>
        <w:trPr/>
        <w:tc>
          <w:tcPr>
            <w:tcW w:w="111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U.S. GAAP ☐</w:t>
            </w:r>
          </w:p>
        </w:tc>
        <w:tc>
          <w:tcPr>
            <w:tcW w:w="346" w:type="dxa"/>
            <w:tcBorders/>
            <w:vAlign w:val="center"/>
          </w:tcPr>
          <w:p>
            <w:pPr>
              <w:pStyle w:val="TableContents"/>
              <w:bidi w:val="0"/>
              <w:spacing w:before="0" w:after="0"/>
              <w:ind w:left="0" w:right="0" w:hanging="0"/>
              <w:jc w:val="left"/>
              <w:rPr/>
            </w:pPr>
            <w:r>
              <w:rPr/>
              <w:t>  ​ ​ ​</w:t>
            </w:r>
          </w:p>
        </w:tc>
        <w:tc>
          <w:tcPr>
            <w:tcW w:w="3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International Financial Reporting Standards</w:t>
            </w:r>
            <w:r>
              <w:rPr>
                <w:rFonts w:ascii="Times New Roman;Times;serif" w:hAnsi="Times New Roman;Times;serif"/>
                <w:sz w:val="20"/>
              </w:rPr>
              <w:t xml:space="preserve"> </w:t>
            </w:r>
            <w:r>
              <w:rPr>
                <w:rFonts w:ascii="Times New Roman;Times;serif" w:hAnsi="Times New Roman;Times;serif"/>
                <w:sz w:val="16"/>
              </w:rPr>
              <w:t>as issued</w:t>
              <w:br/>
              <w:t xml:space="preserve">by the International Accounting Standards Board </w:t>
            </w: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 ☐</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w:t>
      </w:r>
    </w:p>
    <w:p>
      <w:pPr>
        <w:pStyle w:val="TextBody"/>
        <w:bidi w:val="0"/>
        <w:spacing w:before="0" w:after="80"/>
        <w:ind w:left="0" w:right="0" w:hanging="0"/>
        <w:jc w:val="center"/>
        <w:rPr/>
      </w:pPr>
      <w:r>
        <w:rPr/>
        <w:t>☐ </w:t>
      </w:r>
      <w:r>
        <w:rPr>
          <w:rFonts w:ascii="Times New Roman;Times;serif" w:hAnsi="Times New Roman;Times;serif"/>
          <w:sz w:val="16"/>
        </w:rPr>
        <w:t>Item 17  ☐ Item 18</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this is an annual report, indicate by check mark whether the registrant is a shell company (as defined in Rule 12b-2 of the Exchange Act).</w:t>
      </w:r>
    </w:p>
    <w:p>
      <w:pPr>
        <w:pStyle w:val="TextBody"/>
        <w:bidi w:val="0"/>
        <w:spacing w:before="0" w:after="80"/>
        <w:ind w:left="0" w:right="0" w:hanging="0"/>
        <w:jc w:val="center"/>
        <w:rPr/>
      </w:pPr>
      <w:r>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80"/>
        <w:ind w:left="0" w:right="0" w:hanging="0"/>
        <w:jc w:val="center"/>
        <w:rPr/>
      </w:pPr>
      <w:r>
        <w:rPr/>
        <w:t>☐ </w:t>
      </w:r>
      <w:r>
        <w:rPr>
          <w:rFonts w:ascii="Times New Roman;Times;serif" w:hAnsi="Times New Roman;Times;serif"/>
          <w:sz w:val="16"/>
        </w:rPr>
        <w:t>Yes  ☐ No</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Of the 435,143,020 Class A ordinary shares as of December 31, 2025, 2,188,634 were held by JPMorgan Chase Bank N.A., our depositary, representing Class A ordinary shares underlying the share based awards reserved for issuance under our Post-IPO Share Incentive Plan and our 2018 Share Incentive Plan.</w:t>
      </w:r>
    </w:p>
    <w:p>
      <w:pPr>
        <w:pStyle w:val="TextBody"/>
        <w:bidi w:val="0"/>
        <w:spacing w:before="0" w:after="0"/>
        <w:ind w:left="0" w:right="0" w:hanging="0"/>
        <w:jc w:val="center"/>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_9f0ca396_93a0_4150_ad7a_d7c9d101ba5f"/>
      <w:bookmarkStart w:id="30" w:name="TOC"/>
      <w:bookmarkEnd w:id="29"/>
      <w:bookmarkEnd w:id="30"/>
      <w:r>
        <w:rPr>
          <w:rFonts w:ascii="Times New Roman;Times;serif" w:hAnsi="Times New Roman;Times;serif"/>
          <w:b/>
          <w:sz w:val="20"/>
        </w:rPr>
        <w:t>TABLE OF CONTENTS</w:t>
      </w:r>
    </w:p>
    <w:tbl>
      <w:tblPr>
        <w:tblW w:w="9993" w:type="dxa"/>
        <w:jc w:val="left"/>
        <w:tblInd w:w="0" w:type="dxa"/>
        <w:tblLayout w:type="fixed"/>
        <w:tblCellMar>
          <w:top w:w="0" w:type="dxa"/>
          <w:left w:w="0" w:type="dxa"/>
          <w:bottom w:w="0" w:type="dxa"/>
          <w:right w:w="0" w:type="dxa"/>
        </w:tblCellMar>
      </w:tblPr>
      <w:tblGrid>
        <w:gridCol w:w="1036"/>
        <w:gridCol w:w="8491"/>
        <w:gridCol w:w="466"/>
      </w:tblGrid>
      <w:tr>
        <w:trPr/>
        <w:tc>
          <w:tcPr>
            <w:tcW w:w="1036" w:type="dxa"/>
            <w:tcBorders/>
            <w:vAlign w:val="center"/>
          </w:tcPr>
          <w:p>
            <w:pPr>
              <w:pStyle w:val="TableContents"/>
              <w:bidi w:val="0"/>
              <w:spacing w:before="0" w:after="0"/>
              <w:ind w:left="0" w:right="0" w:hanging="0"/>
              <w:jc w:val="left"/>
              <w:rPr/>
            </w:pPr>
            <w:hyperlink w:anchor="PARTI_179511">
              <w:r>
                <w:rPr>
                  <w:rStyle w:val="InternetLink"/>
                  <w:rFonts w:ascii="Times New Roman;Times;serif" w:hAnsi="Times New Roman;Times;serif"/>
                  <w:b/>
                  <w:i w:val="false"/>
                  <w:caps w:val="false"/>
                  <w:smallCaps w:val="false"/>
                  <w:sz w:val="20"/>
                </w:rPr>
                <w:t>PART I</w:t>
              </w:r>
            </w:hyperlink>
          </w:p>
        </w:tc>
        <w:tc>
          <w:tcPr>
            <w:tcW w:w="849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r>
      <w:tr>
        <w:trPr/>
        <w:tc>
          <w:tcPr>
            <w:tcW w:w="1036"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ITEM3KEYINFORMATION_539254">
              <w:r>
                <w:rPr>
                  <w:rStyle w:val="InternetLink"/>
                  <w:rFonts w:ascii="Times New Roman;Times;serif" w:hAnsi="Times New Roman;Times;serif"/>
                  <w:b w:val="false"/>
                  <w:i w:val="false"/>
                  <w:caps w:val="false"/>
                  <w:smallCaps w:val="false"/>
                  <w:sz w:val="20"/>
                </w:rPr>
                <w:t>ITEM 3.</w:t>
              </w:r>
            </w:hyperlink>
          </w:p>
        </w:tc>
        <w:tc>
          <w:tcPr>
            <w:tcW w:w="8491" w:type="dxa"/>
            <w:tcBorders/>
            <w:vAlign w:val="center"/>
          </w:tcPr>
          <w:p>
            <w:pPr>
              <w:pStyle w:val="TableContents"/>
              <w:bidi w:val="0"/>
              <w:spacing w:before="0" w:after="0"/>
              <w:ind w:left="0" w:right="0" w:hanging="0"/>
              <w:jc w:val="left"/>
              <w:rPr/>
            </w:pPr>
            <w:hyperlink w:anchor="ITEM3KEYINFORMATION_539254">
              <w:r>
                <w:rPr>
                  <w:rStyle w:val="InternetLink"/>
                  <w:rFonts w:ascii="Times New Roman;Times;serif" w:hAnsi="Times New Roman;Times;serif"/>
                  <w:b w:val="false"/>
                  <w:i w:val="false"/>
                  <w:caps w:val="false"/>
                  <w:smallCaps w:val="false"/>
                  <w:sz w:val="20"/>
                </w:rPr>
                <w:t>KEY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036" w:type="dxa"/>
            <w:tcBorders/>
            <w:vAlign w:val="center"/>
          </w:tcPr>
          <w:p>
            <w:pPr>
              <w:pStyle w:val="TableContents"/>
              <w:bidi w:val="0"/>
              <w:spacing w:before="0" w:after="0"/>
              <w:ind w:left="0" w:right="0" w:hanging="0"/>
              <w:jc w:val="left"/>
              <w:rPr/>
            </w:pPr>
            <w:hyperlink w:anchor="ITEM4INFORMATIONONTHECOMPANY_998566">
              <w:r>
                <w:rPr>
                  <w:rStyle w:val="InternetLink"/>
                  <w:rFonts w:ascii="Times New Roman;Times;serif" w:hAnsi="Times New Roman;Times;serif"/>
                  <w:b w:val="false"/>
                  <w:i w:val="false"/>
                  <w:caps w:val="false"/>
                  <w:smallCaps w:val="false"/>
                  <w:sz w:val="20"/>
                </w:rPr>
                <w:t>ITEM 4.</w:t>
              </w:r>
            </w:hyperlink>
          </w:p>
        </w:tc>
        <w:tc>
          <w:tcPr>
            <w:tcW w:w="8491" w:type="dxa"/>
            <w:tcBorders/>
            <w:vAlign w:val="center"/>
          </w:tcPr>
          <w:p>
            <w:pPr>
              <w:pStyle w:val="TableContents"/>
              <w:bidi w:val="0"/>
              <w:spacing w:before="0" w:after="0"/>
              <w:ind w:left="0" w:right="0" w:hanging="0"/>
              <w:jc w:val="left"/>
              <w:rPr/>
            </w:pPr>
            <w:hyperlink w:anchor="ITEM4INFORMATIONONTHECOMPANY_998566">
              <w:r>
                <w:rPr>
                  <w:rStyle w:val="InternetLink"/>
                  <w:rFonts w:ascii="Times New Roman;Times;serif" w:hAnsi="Times New Roman;Times;serif"/>
                  <w:b w:val="false"/>
                  <w:i w:val="false"/>
                  <w:caps w:val="false"/>
                  <w:smallCaps w:val="false"/>
                  <w:sz w:val="20"/>
                </w:rPr>
                <w:t>INFORMATION ON THE COMPANY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1036" w:type="dxa"/>
            <w:tcBorders/>
            <w:vAlign w:val="center"/>
          </w:tcPr>
          <w:p>
            <w:pPr>
              <w:pStyle w:val="TableContents"/>
              <w:bidi w:val="0"/>
              <w:spacing w:before="0" w:after="0"/>
              <w:ind w:left="0" w:right="0" w:hanging="0"/>
              <w:jc w:val="left"/>
              <w:rPr/>
            </w:pPr>
            <w:hyperlink w:anchor="ITEM4AUNRESOLVEDSTAFFCOMMENTS_256387">
              <w:r>
                <w:rPr>
                  <w:rStyle w:val="InternetLink"/>
                  <w:rFonts w:ascii="Times New Roman;Times;serif" w:hAnsi="Times New Roman;Times;serif"/>
                  <w:b w:val="false"/>
                  <w:i w:val="false"/>
                  <w:caps w:val="false"/>
                  <w:smallCaps w:val="false"/>
                  <w:sz w:val="20"/>
                </w:rPr>
                <w:t>ITEM 4A</w:t>
              </w:r>
            </w:hyperlink>
          </w:p>
        </w:tc>
        <w:tc>
          <w:tcPr>
            <w:tcW w:w="8491" w:type="dxa"/>
            <w:tcBorders/>
            <w:vAlign w:val="center"/>
          </w:tcPr>
          <w:p>
            <w:pPr>
              <w:pStyle w:val="TableContents"/>
              <w:bidi w:val="0"/>
              <w:spacing w:before="0" w:after="0"/>
              <w:ind w:left="0" w:right="0" w:hanging="0"/>
              <w:jc w:val="left"/>
              <w:rPr/>
            </w:pPr>
            <w:hyperlink w:anchor="ITEM4AUNRESOLVEDSTAFFCOMMENTS_256387">
              <w:r>
                <w:rPr>
                  <w:rStyle w:val="InternetLink"/>
                  <w:rFonts w:ascii="Times New Roman;Times;serif" w:hAnsi="Times New Roman;Times;serif"/>
                  <w:b w:val="false"/>
                  <w:i w:val="false"/>
                  <w:caps w:val="false"/>
                  <w:smallCaps w:val="false"/>
                  <w:sz w:val="20"/>
                </w:rPr>
                <w:t>UNRESOLVED STAFF COMMENTS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036"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036"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1036"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036" w:type="dxa"/>
            <w:tcBorders/>
            <w:vAlign w:val="center"/>
          </w:tcPr>
          <w:p>
            <w:pPr>
              <w:pStyle w:val="TableContents"/>
              <w:bidi w:val="0"/>
              <w:spacing w:before="0" w:after="0"/>
              <w:ind w:left="0" w:right="0" w:hanging="0"/>
              <w:jc w:val="left"/>
              <w:rPr/>
            </w:pPr>
            <w:hyperlink w:anchor="ITEM8FINANCIALINFORMATION_469941">
              <w:r>
                <w:rPr>
                  <w:rStyle w:val="InternetLink"/>
                  <w:rFonts w:ascii="Times New Roman;Times;serif" w:hAnsi="Times New Roman;Times;serif"/>
                  <w:b w:val="false"/>
                  <w:i w:val="false"/>
                  <w:caps w:val="false"/>
                  <w:smallCaps w:val="false"/>
                  <w:sz w:val="20"/>
                </w:rPr>
                <w:t>ITEM 8.</w:t>
              </w:r>
            </w:hyperlink>
          </w:p>
        </w:tc>
        <w:tc>
          <w:tcPr>
            <w:tcW w:w="8491" w:type="dxa"/>
            <w:tcBorders/>
            <w:vAlign w:val="center"/>
          </w:tcPr>
          <w:p>
            <w:pPr>
              <w:pStyle w:val="TableContents"/>
              <w:bidi w:val="0"/>
              <w:spacing w:before="0" w:after="0"/>
              <w:ind w:left="0" w:right="0" w:hanging="0"/>
              <w:jc w:val="left"/>
              <w:rPr/>
            </w:pPr>
            <w:hyperlink w:anchor="ITEM8FINANCIALINFORMATION_469941">
              <w:r>
                <w:rPr>
                  <w:rStyle w:val="InternetLink"/>
                  <w:rFonts w:ascii="Times New Roman;Times;serif" w:hAnsi="Times New Roman;Times;serif"/>
                  <w:b w:val="false"/>
                  <w:i w:val="false"/>
                  <w:caps w:val="false"/>
                  <w:smallCaps w:val="false"/>
                  <w:sz w:val="20"/>
                </w:rPr>
                <w:t>FINANCIAL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036" w:type="dxa"/>
            <w:tcBorders/>
            <w:vAlign w:val="center"/>
          </w:tcPr>
          <w:p>
            <w:pPr>
              <w:pStyle w:val="TableContents"/>
              <w:bidi w:val="0"/>
              <w:spacing w:before="0" w:after="0"/>
              <w:ind w:left="0" w:right="0" w:hanging="0"/>
              <w:jc w:val="left"/>
              <w:rPr/>
            </w:pPr>
            <w:hyperlink w:anchor="ITEM9THEOFFERANDLISTING_837699">
              <w:r>
                <w:rPr>
                  <w:rStyle w:val="InternetLink"/>
                  <w:rFonts w:ascii="Times New Roman;Times;serif" w:hAnsi="Times New Roman;Times;serif"/>
                  <w:b w:val="false"/>
                  <w:i w:val="false"/>
                  <w:caps w:val="false"/>
                  <w:smallCaps w:val="false"/>
                  <w:sz w:val="20"/>
                </w:rPr>
                <w:t>ITEM 9.</w:t>
              </w:r>
            </w:hyperlink>
          </w:p>
        </w:tc>
        <w:tc>
          <w:tcPr>
            <w:tcW w:w="8491" w:type="dxa"/>
            <w:tcBorders/>
            <w:vAlign w:val="center"/>
          </w:tcPr>
          <w:p>
            <w:pPr>
              <w:pStyle w:val="TableContents"/>
              <w:bidi w:val="0"/>
              <w:spacing w:before="0" w:after="0"/>
              <w:ind w:left="0" w:right="0" w:hanging="0"/>
              <w:jc w:val="left"/>
              <w:rPr/>
            </w:pPr>
            <w:hyperlink w:anchor="ITEM9THEOFFERANDLISTING_837699">
              <w:r>
                <w:rPr>
                  <w:rStyle w:val="InternetLink"/>
                  <w:rFonts w:ascii="Times New Roman;Times;serif" w:hAnsi="Times New Roman;Times;serif"/>
                  <w:b w:val="false"/>
                  <w:i w:val="false"/>
                  <w:caps w:val="false"/>
                  <w:smallCaps w:val="false"/>
                  <w:sz w:val="20"/>
                </w:rPr>
                <w:t>THE OFFER AND LISTING</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036" w:type="dxa"/>
            <w:tcBorders/>
            <w:vAlign w:val="center"/>
          </w:tcPr>
          <w:p>
            <w:pPr>
              <w:pStyle w:val="TableContents"/>
              <w:bidi w:val="0"/>
              <w:spacing w:before="0" w:after="0"/>
              <w:ind w:left="0" w:right="0" w:hanging="0"/>
              <w:jc w:val="left"/>
              <w:rPr/>
            </w:pPr>
            <w:hyperlink w:anchor="ITEM10ADDITIONALINFORMATION_718205">
              <w:r>
                <w:rPr>
                  <w:rStyle w:val="InternetLink"/>
                  <w:rFonts w:ascii="Times New Roman;Times;serif" w:hAnsi="Times New Roman;Times;serif"/>
                  <w:b w:val="false"/>
                  <w:i w:val="false"/>
                  <w:caps w:val="false"/>
                  <w:smallCaps w:val="false"/>
                  <w:sz w:val="20"/>
                </w:rPr>
                <w:t>ITEM 10.</w:t>
              </w:r>
            </w:hyperlink>
          </w:p>
        </w:tc>
        <w:tc>
          <w:tcPr>
            <w:tcW w:w="8491" w:type="dxa"/>
            <w:tcBorders/>
            <w:vAlign w:val="center"/>
          </w:tcPr>
          <w:p>
            <w:pPr>
              <w:pStyle w:val="TableContents"/>
              <w:bidi w:val="0"/>
              <w:spacing w:before="0" w:after="0"/>
              <w:ind w:left="0" w:right="0" w:hanging="0"/>
              <w:jc w:val="left"/>
              <w:rPr/>
            </w:pPr>
            <w:hyperlink w:anchor="ITEM10ADDITIONALINFORMATION_718205">
              <w:r>
                <w:rPr>
                  <w:rStyle w:val="InternetLink"/>
                  <w:rFonts w:ascii="Times New Roman;Times;serif" w:hAnsi="Times New Roman;Times;serif"/>
                  <w:b w:val="false"/>
                  <w:i w:val="false"/>
                  <w:caps w:val="false"/>
                  <w:smallCaps w:val="false"/>
                  <w:sz w:val="20"/>
                </w:rPr>
                <w:t>ADDITIONAL INFORMATION</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1036"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1036"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036" w:type="dxa"/>
            <w:tcBorders/>
            <w:vAlign w:val="center"/>
          </w:tcPr>
          <w:p>
            <w:pPr>
              <w:pStyle w:val="TableContents"/>
              <w:bidi w:val="0"/>
              <w:spacing w:before="0" w:after="0"/>
              <w:ind w:left="0" w:right="0" w:hanging="0"/>
              <w:jc w:val="left"/>
              <w:rPr/>
            </w:pPr>
            <w:hyperlink w:anchor="PARTII_422372">
              <w:r>
                <w:rPr>
                  <w:rStyle w:val="InternetLink"/>
                  <w:rFonts w:ascii="Times New Roman;Times;serif" w:hAnsi="Times New Roman;Times;serif"/>
                  <w:b/>
                  <w:i w:val="false"/>
                  <w:caps w:val="false"/>
                  <w:smallCaps w:val="false"/>
                  <w:sz w:val="20"/>
                </w:rPr>
                <w:t>PART II</w:t>
              </w:r>
            </w:hyperlink>
          </w:p>
        </w:tc>
        <w:tc>
          <w:tcPr>
            <w:tcW w:w="849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036"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8491" w:type="dxa"/>
            <w:tcBorders/>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036"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036" w:type="dxa"/>
            <w:tcBorders/>
            <w:vAlign w:val="center"/>
          </w:tcPr>
          <w:p>
            <w:pPr>
              <w:pStyle w:val="TableContents"/>
              <w:bidi w:val="0"/>
              <w:spacing w:before="0" w:after="0"/>
              <w:ind w:left="0" w:right="0" w:hanging="0"/>
              <w:jc w:val="left"/>
              <w:rPr/>
            </w:pPr>
            <w:hyperlink w:anchor="ITEM15CONTROLSANDPROCEDURES_956790">
              <w:r>
                <w:rPr>
                  <w:rStyle w:val="InternetLink"/>
                  <w:rFonts w:ascii="Times New Roman;Times;serif" w:hAnsi="Times New Roman;Times;serif"/>
                  <w:b w:val="false"/>
                  <w:i w:val="false"/>
                  <w:caps w:val="false"/>
                  <w:smallCaps w:val="false"/>
                  <w:sz w:val="20"/>
                </w:rPr>
                <w:t>ITEM 15.</w:t>
              </w:r>
            </w:hyperlink>
          </w:p>
        </w:tc>
        <w:tc>
          <w:tcPr>
            <w:tcW w:w="8491" w:type="dxa"/>
            <w:tcBorders/>
            <w:vAlign w:val="center"/>
          </w:tcPr>
          <w:p>
            <w:pPr>
              <w:pStyle w:val="TableContents"/>
              <w:bidi w:val="0"/>
              <w:spacing w:before="0" w:after="0"/>
              <w:ind w:left="0" w:right="0" w:hanging="0"/>
              <w:jc w:val="left"/>
              <w:rPr/>
            </w:pPr>
            <w:hyperlink w:anchor="ITEM15CONTROLSANDPROCEDURES_956790">
              <w:r>
                <w:rPr>
                  <w:rStyle w:val="InternetLink"/>
                  <w:rFonts w:ascii="Times New Roman;Times;serif" w:hAnsi="Times New Roman;Times;serif"/>
                  <w:b w:val="false"/>
                  <w:i w:val="false"/>
                  <w:caps w:val="false"/>
                  <w:smallCaps w:val="false"/>
                  <w:sz w:val="20"/>
                </w:rPr>
                <w:t>CONTROLS AND PROCEDURES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036" w:type="dxa"/>
            <w:tcBorders/>
            <w:vAlign w:val="center"/>
          </w:tcPr>
          <w:p>
            <w:pPr>
              <w:pStyle w:val="TableContents"/>
              <w:bidi w:val="0"/>
              <w:spacing w:before="0" w:after="0"/>
              <w:ind w:left="0" w:right="0" w:hanging="0"/>
              <w:jc w:val="left"/>
              <w:rPr/>
            </w:pPr>
            <w:hyperlink w:anchor="ITEM16AAUDITCOMMITTEEFINANCIALEXPERT_449">
              <w:r>
                <w:rPr>
                  <w:rStyle w:val="InternetLink"/>
                  <w:rFonts w:ascii="Times New Roman;Times;serif" w:hAnsi="Times New Roman;Times;serif"/>
                  <w:b w:val="false"/>
                  <w:i w:val="false"/>
                  <w:caps w:val="false"/>
                  <w:smallCaps w:val="false"/>
                  <w:sz w:val="20"/>
                </w:rPr>
                <w:t>ITEM 16A.</w:t>
              </w:r>
            </w:hyperlink>
          </w:p>
        </w:tc>
        <w:tc>
          <w:tcPr>
            <w:tcW w:w="8491" w:type="dxa"/>
            <w:tcBorders/>
            <w:vAlign w:val="center"/>
          </w:tcPr>
          <w:p>
            <w:pPr>
              <w:pStyle w:val="TableContents"/>
              <w:bidi w:val="0"/>
              <w:spacing w:before="0" w:after="0"/>
              <w:ind w:left="0" w:right="0" w:hanging="0"/>
              <w:jc w:val="left"/>
              <w:rPr/>
            </w:pPr>
            <w:hyperlink w:anchor="ITEM16AAUDITCOMMITTEEFINANCIALEXPERT_449">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036" w:type="dxa"/>
            <w:tcBorders/>
            <w:vAlign w:val="center"/>
          </w:tcPr>
          <w:p>
            <w:pPr>
              <w:pStyle w:val="TableContents"/>
              <w:bidi w:val="0"/>
              <w:spacing w:before="0" w:after="0"/>
              <w:ind w:left="0" w:right="0" w:hanging="0"/>
              <w:jc w:val="left"/>
              <w:rPr/>
            </w:pPr>
            <w:hyperlink w:anchor="ITEM16BCODEOFETHICS_249461">
              <w:r>
                <w:rPr>
                  <w:rStyle w:val="InternetLink"/>
                  <w:rFonts w:ascii="Times New Roman;Times;serif" w:hAnsi="Times New Roman;Times;serif"/>
                  <w:b w:val="false"/>
                  <w:i w:val="false"/>
                  <w:caps w:val="false"/>
                  <w:smallCaps w:val="false"/>
                  <w:sz w:val="20"/>
                </w:rPr>
                <w:t>ITEM 16B.</w:t>
              </w:r>
            </w:hyperlink>
          </w:p>
        </w:tc>
        <w:tc>
          <w:tcPr>
            <w:tcW w:w="8491" w:type="dxa"/>
            <w:tcBorders/>
            <w:vAlign w:val="center"/>
          </w:tcPr>
          <w:p>
            <w:pPr>
              <w:pStyle w:val="TableContents"/>
              <w:bidi w:val="0"/>
              <w:spacing w:before="0" w:after="0"/>
              <w:ind w:left="0" w:right="0" w:hanging="0"/>
              <w:jc w:val="left"/>
              <w:rPr/>
            </w:pPr>
            <w:hyperlink w:anchor="ITEM16BCODEOFETHICS_249461">
              <w:r>
                <w:rPr>
                  <w:rStyle w:val="InternetLink"/>
                  <w:rFonts w:ascii="Times New Roman;Times;serif" w:hAnsi="Times New Roman;Times;serif"/>
                  <w:b w:val="false"/>
                  <w:i w:val="false"/>
                  <w:caps w:val="false"/>
                  <w:smallCaps w:val="false"/>
                  <w:sz w:val="20"/>
                </w:rPr>
                <w:t>CODE OF ETHICS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036"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036"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036"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1036" w:type="dxa"/>
            <w:tcBorders/>
            <w:vAlign w:val="center"/>
          </w:tcPr>
          <w:p>
            <w:pPr>
              <w:pStyle w:val="TableContents"/>
              <w:bidi w:val="0"/>
              <w:spacing w:before="0" w:after="0"/>
              <w:ind w:left="0" w:right="0" w:hanging="0"/>
              <w:jc w:val="left"/>
              <w:rPr/>
            </w:pPr>
            <w:hyperlink w:anchor="ITEM16F_63808">
              <w:r>
                <w:rPr>
                  <w:rStyle w:val="InternetLink"/>
                  <w:rFonts w:ascii="Times New Roman;Times;serif" w:hAnsi="Times New Roman;Times;serif"/>
                  <w:b w:val="false"/>
                  <w:i w:val="false"/>
                  <w:caps w:val="false"/>
                  <w:smallCaps w:val="false"/>
                  <w:sz w:val="20"/>
                </w:rPr>
                <w:t>ITEM 16F.</w:t>
              </w:r>
            </w:hyperlink>
          </w:p>
        </w:tc>
        <w:tc>
          <w:tcPr>
            <w:tcW w:w="8491" w:type="dxa"/>
            <w:tcBorders/>
            <w:vAlign w:val="center"/>
          </w:tcPr>
          <w:p>
            <w:pPr>
              <w:pStyle w:val="TableContents"/>
              <w:bidi w:val="0"/>
              <w:spacing w:before="0" w:after="0"/>
              <w:ind w:left="0" w:right="0" w:hanging="0"/>
              <w:jc w:val="left"/>
              <w:rPr/>
            </w:pPr>
            <w:hyperlink w:anchor="ITEM16F_63808">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1036" w:type="dxa"/>
            <w:tcBorders/>
            <w:vAlign w:val="center"/>
          </w:tcPr>
          <w:p>
            <w:pPr>
              <w:pStyle w:val="TableContents"/>
              <w:bidi w:val="0"/>
              <w:spacing w:before="0" w:after="0"/>
              <w:ind w:left="0" w:right="0" w:hanging="0"/>
              <w:jc w:val="left"/>
              <w:rPr/>
            </w:pPr>
            <w:hyperlink w:anchor="ITEM16GCORPORATEGOVERNANCE_683248">
              <w:r>
                <w:rPr>
                  <w:rStyle w:val="InternetLink"/>
                  <w:rFonts w:ascii="Times New Roman;Times;serif" w:hAnsi="Times New Roman;Times;serif"/>
                  <w:b w:val="false"/>
                  <w:i w:val="false"/>
                  <w:caps w:val="false"/>
                  <w:smallCaps w:val="false"/>
                  <w:sz w:val="20"/>
                </w:rPr>
                <w:t>ITEM 16G.</w:t>
              </w:r>
            </w:hyperlink>
          </w:p>
        </w:tc>
        <w:tc>
          <w:tcPr>
            <w:tcW w:w="8491" w:type="dxa"/>
            <w:tcBorders/>
            <w:vAlign w:val="center"/>
          </w:tcPr>
          <w:p>
            <w:pPr>
              <w:pStyle w:val="TableContents"/>
              <w:bidi w:val="0"/>
              <w:spacing w:before="0" w:after="0"/>
              <w:ind w:left="0" w:right="0" w:hanging="0"/>
              <w:jc w:val="left"/>
              <w:rPr/>
            </w:pPr>
            <w:hyperlink w:anchor="ITEM16GCORPORATEGOVERNANCE_683248">
              <w:r>
                <w:rPr>
                  <w:rStyle w:val="InternetLink"/>
                  <w:rFonts w:ascii="Times New Roman;Times;serif" w:hAnsi="Times New Roman;Times;serif"/>
                  <w:b w:val="false"/>
                  <w:i w:val="false"/>
                  <w:caps w:val="false"/>
                  <w:smallCaps w:val="false"/>
                  <w:sz w:val="20"/>
                </w:rPr>
                <w:t>CORPORATE GOVERNANCE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ITEM16HMINESAFETYDISCLOSURE_498329">
              <w:r>
                <w:rPr>
                  <w:rStyle w:val="InternetLink"/>
                  <w:rFonts w:ascii="Times New Roman;Times;serif" w:hAnsi="Times New Roman;Times;serif"/>
                  <w:b w:val="false"/>
                  <w:i w:val="false"/>
                  <w:caps w:val="false"/>
                  <w:smallCaps w:val="false"/>
                  <w:sz w:val="20"/>
                </w:rPr>
                <w:t>ITEM 16H.</w:t>
              </w:r>
            </w:hyperlink>
          </w:p>
        </w:tc>
        <w:tc>
          <w:tcPr>
            <w:tcW w:w="8491" w:type="dxa"/>
            <w:tcBorders/>
            <w:vAlign w:val="center"/>
          </w:tcPr>
          <w:p>
            <w:pPr>
              <w:pStyle w:val="TableContents"/>
              <w:bidi w:val="0"/>
              <w:spacing w:before="0" w:after="0"/>
              <w:ind w:left="0" w:right="0" w:hanging="0"/>
              <w:jc w:val="left"/>
              <w:rPr/>
            </w:pPr>
            <w:hyperlink w:anchor="ITEM16HMINESAFETYDISCLOSURE_498329">
              <w:r>
                <w:rPr>
                  <w:rStyle w:val="InternetLink"/>
                  <w:rFonts w:ascii="Times New Roman;Times;serif" w:hAnsi="Times New Roman;Times;serif"/>
                  <w:b w:val="false"/>
                  <w:i w:val="false"/>
                  <w:caps w:val="false"/>
                  <w:smallCaps w:val="false"/>
                  <w:sz w:val="20"/>
                </w:rPr>
                <w:t>MINE SAFETY DISCLOSURE</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8491" w:type="dxa"/>
            <w:tcBorders/>
            <w:vAlign w:val="center"/>
          </w:tcPr>
          <w:p>
            <w:pPr>
              <w:pStyle w:val="TableContents"/>
              <w:bidi w:val="0"/>
              <w:spacing w:before="0" w:after="0"/>
              <w:ind w:left="0" w:right="0" w:hanging="0"/>
              <w:jc w:val="left"/>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ITEM16JINSIDERTRADINGPOLICIES_132056">
              <w:r>
                <w:rPr>
                  <w:rStyle w:val="InternetLink"/>
                  <w:rFonts w:ascii="Times New Roman;Times;serif" w:hAnsi="Times New Roman;Times;serif"/>
                  <w:b w:val="false"/>
                  <w:i w:val="false"/>
                  <w:caps w:val="false"/>
                  <w:smallCaps w:val="false"/>
                  <w:sz w:val="20"/>
                </w:rPr>
                <w:t>ITEM 16J.</w:t>
              </w:r>
            </w:hyperlink>
          </w:p>
        </w:tc>
        <w:tc>
          <w:tcPr>
            <w:tcW w:w="8491" w:type="dxa"/>
            <w:tcBorders/>
            <w:vAlign w:val="center"/>
          </w:tcPr>
          <w:p>
            <w:pPr>
              <w:pStyle w:val="TableContents"/>
              <w:bidi w:val="0"/>
              <w:spacing w:before="0" w:after="0"/>
              <w:ind w:left="0" w:right="0" w:hanging="0"/>
              <w:jc w:val="left"/>
              <w:rPr/>
            </w:pPr>
            <w:hyperlink w:anchor="ITEM16JINSIDERTRADINGPOLICIES_132056">
              <w:r>
                <w:rPr>
                  <w:rStyle w:val="InternetLink"/>
                  <w:rFonts w:ascii="Times New Roman;Times;serif" w:hAnsi="Times New Roman;Times;serif"/>
                  <w:b w:val="false"/>
                  <w:i w:val="false"/>
                  <w:caps w:val="false"/>
                  <w:smallCaps w:val="false"/>
                  <w:sz w:val="20"/>
                </w:rPr>
                <w:t>INSIDER TRADING POLICIES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ITEM16KCYBERSECURITY_908849">
              <w:r>
                <w:rPr>
                  <w:rStyle w:val="InternetLink"/>
                  <w:rFonts w:ascii="Times New Roman;Times;serif" w:hAnsi="Times New Roman;Times;serif"/>
                  <w:b w:val="false"/>
                  <w:i w:val="false"/>
                  <w:caps w:val="false"/>
                  <w:smallCaps w:val="false"/>
                  <w:sz w:val="20"/>
                </w:rPr>
                <w:t>ITEM 16K.</w:t>
              </w:r>
            </w:hyperlink>
          </w:p>
        </w:tc>
        <w:tc>
          <w:tcPr>
            <w:tcW w:w="8491" w:type="dxa"/>
            <w:tcBorders/>
            <w:vAlign w:val="center"/>
          </w:tcPr>
          <w:p>
            <w:pPr>
              <w:pStyle w:val="TableContents"/>
              <w:bidi w:val="0"/>
              <w:spacing w:before="0" w:after="0"/>
              <w:ind w:left="0" w:right="0" w:hanging="0"/>
              <w:jc w:val="left"/>
              <w:rPr/>
            </w:pPr>
            <w:hyperlink w:anchor="ITEM16KCYBERSECURITY_908849">
              <w:r>
                <w:rPr>
                  <w:rStyle w:val="InternetLink"/>
                  <w:rFonts w:ascii="Times New Roman;Times;serif" w:hAnsi="Times New Roman;Times;serif"/>
                  <w:b w:val="false"/>
                  <w:i w:val="false"/>
                  <w:caps w:val="false"/>
                  <w:smallCaps w:val="false"/>
                  <w:sz w:val="20"/>
                </w:rPr>
                <w:t>CYBERSECURITY</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036" w:type="dxa"/>
            <w:tcBorders/>
            <w:vAlign w:val="center"/>
          </w:tcPr>
          <w:p>
            <w:pPr>
              <w:pStyle w:val="TableContents"/>
              <w:bidi w:val="0"/>
              <w:spacing w:before="0" w:after="0"/>
              <w:ind w:left="0" w:right="0" w:hanging="0"/>
              <w:jc w:val="left"/>
              <w:rPr/>
            </w:pPr>
            <w:hyperlink w:anchor="PARTIII_998881">
              <w:r>
                <w:rPr>
                  <w:rStyle w:val="InternetLink"/>
                  <w:rFonts w:ascii="Times New Roman;Times;serif" w:hAnsi="Times New Roman;Times;serif"/>
                  <w:b/>
                  <w:i w:val="false"/>
                  <w:caps w:val="false"/>
                  <w:smallCaps w:val="false"/>
                  <w:sz w:val="20"/>
                </w:rPr>
                <w:t>PART III</w:t>
              </w:r>
            </w:hyperlink>
          </w:p>
        </w:tc>
        <w:tc>
          <w:tcPr>
            <w:tcW w:w="849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1036" w:type="dxa"/>
            <w:tcBorders/>
            <w:vAlign w:val="center"/>
          </w:tcPr>
          <w:p>
            <w:pPr>
              <w:pStyle w:val="TableContents"/>
              <w:bidi w:val="0"/>
              <w:spacing w:before="0" w:after="0"/>
              <w:ind w:left="0" w:right="0" w:hanging="0"/>
              <w:jc w:val="left"/>
              <w:rPr/>
            </w:pPr>
            <w:hyperlink w:anchor="ITEM17FINANCIALSTATEMENTS_643046">
              <w:r>
                <w:rPr>
                  <w:rStyle w:val="InternetLink"/>
                  <w:rFonts w:ascii="Times New Roman;Times;serif" w:hAnsi="Times New Roman;Times;serif"/>
                  <w:b w:val="false"/>
                  <w:i w:val="false"/>
                  <w:caps w:val="false"/>
                  <w:smallCaps w:val="false"/>
                  <w:sz w:val="20"/>
                </w:rPr>
                <w:t>ITEM 17.</w:t>
              </w:r>
            </w:hyperlink>
          </w:p>
        </w:tc>
        <w:tc>
          <w:tcPr>
            <w:tcW w:w="8491" w:type="dxa"/>
            <w:tcBorders/>
            <w:vAlign w:val="center"/>
          </w:tcPr>
          <w:p>
            <w:pPr>
              <w:pStyle w:val="TableContents"/>
              <w:bidi w:val="0"/>
              <w:spacing w:before="0" w:after="0"/>
              <w:ind w:left="0" w:right="0" w:hanging="0"/>
              <w:jc w:val="left"/>
              <w:rPr/>
            </w:pPr>
            <w:hyperlink w:anchor="ITEM17FINANCIALSTATEMENTS_643046">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ITEM18FINANCIALSTATEMENTS_815150">
              <w:r>
                <w:rPr>
                  <w:rStyle w:val="InternetLink"/>
                  <w:rFonts w:ascii="Times New Roman;Times;serif" w:hAnsi="Times New Roman;Times;serif"/>
                  <w:b w:val="false"/>
                  <w:i w:val="false"/>
                  <w:caps w:val="false"/>
                  <w:smallCaps w:val="false"/>
                  <w:sz w:val="20"/>
                </w:rPr>
                <w:t>ITEM 18.</w:t>
              </w:r>
            </w:hyperlink>
          </w:p>
        </w:tc>
        <w:tc>
          <w:tcPr>
            <w:tcW w:w="8491" w:type="dxa"/>
            <w:tcBorders/>
            <w:vAlign w:val="center"/>
          </w:tcPr>
          <w:p>
            <w:pPr>
              <w:pStyle w:val="TableContents"/>
              <w:bidi w:val="0"/>
              <w:spacing w:before="0" w:after="0"/>
              <w:ind w:left="0" w:right="0" w:hanging="0"/>
              <w:jc w:val="left"/>
              <w:rPr/>
            </w:pPr>
            <w:hyperlink w:anchor="ITEM18FINANCIALSTATEMENTS_815150">
              <w:r>
                <w:rPr>
                  <w:rStyle w:val="InternetLink"/>
                  <w:rFonts w:ascii="Times New Roman;Times;serif" w:hAnsi="Times New Roman;Times;serif"/>
                  <w:b w:val="false"/>
                  <w:i w:val="false"/>
                  <w:caps w:val="false"/>
                  <w:smallCaps w:val="false"/>
                  <w:sz w:val="20"/>
                </w:rPr>
                <w:t>FINANCIAL STATEMENTS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1036" w:type="dxa"/>
            <w:tcBorders/>
            <w:vAlign w:val="center"/>
          </w:tcPr>
          <w:p>
            <w:pPr>
              <w:pStyle w:val="TableContents"/>
              <w:bidi w:val="0"/>
              <w:spacing w:before="0" w:after="0"/>
              <w:ind w:left="0" w:right="0" w:hanging="0"/>
              <w:jc w:val="left"/>
              <w:rPr/>
            </w:pPr>
            <w:hyperlink w:anchor="ITEM19EXHIBITSCompanytoaddanynewmaterial">
              <w:r>
                <w:rPr>
                  <w:rStyle w:val="InternetLink"/>
                  <w:rFonts w:ascii="Times New Roman;Times;serif" w:hAnsi="Times New Roman;Times;serif"/>
                  <w:b w:val="false"/>
                  <w:i w:val="false"/>
                  <w:caps w:val="false"/>
                  <w:smallCaps w:val="false"/>
                  <w:sz w:val="20"/>
                </w:rPr>
                <w:t>ITEM 19.</w:t>
              </w:r>
            </w:hyperlink>
          </w:p>
        </w:tc>
        <w:tc>
          <w:tcPr>
            <w:tcW w:w="8491" w:type="dxa"/>
            <w:tcBorders/>
            <w:vAlign w:val="center"/>
          </w:tcPr>
          <w:p>
            <w:pPr>
              <w:pStyle w:val="TableContents"/>
              <w:bidi w:val="0"/>
              <w:spacing w:before="0" w:after="0"/>
              <w:ind w:left="0" w:right="0" w:hanging="0"/>
              <w:jc w:val="left"/>
              <w:rPr/>
            </w:pPr>
            <w:hyperlink w:anchor="ITEM19EXHIBITSCompanytoaddanynewmaterial">
              <w:r>
                <w:rPr>
                  <w:rStyle w:val="InternetLink"/>
                  <w:rFonts w:ascii="Times New Roman;Times;serif" w:hAnsi="Times New Roman;Times;serif"/>
                  <w:b w:val="false"/>
                  <w:i w:val="false"/>
                  <w:caps w:val="false"/>
                  <w:smallCaps w:val="false"/>
                  <w:sz w:val="20"/>
                </w:rPr>
                <w:t>EXHIBITS</w:t>
              </w:r>
            </w:hyperlink>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31" w:name="_479f284c_c49a_4700_aeb7_f7780c1b0b1a"/>
      <w:bookmarkEnd w:id="31"/>
      <w:r>
        <w:rPr>
          <w:rFonts w:ascii="Times New Roman;Times;serif" w:hAnsi="Times New Roman;Times;serif"/>
          <w:b/>
          <w:sz w:val="20"/>
        </w:rPr>
        <w:t>CONVENTIONS THAT APPLY TO THIS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otherwise indicated and except where the context otherwise requires, references in this annual report to:</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ADSs” refers to our American depositary shares. Two ADSs represent one Class A ordinary share before November 14, 2022, and one ADS represent five Class A ordinary shares effective from November 14, 2022;</w:t>
            </w:r>
          </w:p>
        </w:tc>
      </w:tr>
    </w:tbl>
    <w:tbl>
      <w:tblPr>
        <w:tblW w:w="9846" w:type="dxa"/>
        <w:jc w:val="left"/>
        <w:tblInd w:w="0" w:type="dxa"/>
        <w:tblLayout w:type="fixed"/>
        <w:tblCellMar>
          <w:top w:w="0" w:type="dxa"/>
          <w:left w:w="0" w:type="dxa"/>
          <w:bottom w:w="0" w:type="dxa"/>
          <w:right w:w="0"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466" w:type="dxa"/>
            <w:tcBorders/>
            <w:vAlign w:val="center"/>
          </w:tcPr>
          <w:p>
            <w:pPr>
              <w:pStyle w:val="TableContents"/>
              <w:bidi w:val="0"/>
              <w:spacing w:before="0" w:after="240"/>
              <w:jc w:val="both"/>
              <w:rPr/>
            </w:pPr>
            <w:r>
              <w:rPr/>
              <w:t>“</w:t>
            </w:r>
            <w:r>
              <w:rPr>
                <w:rFonts w:ascii="Times New Roman;Times;serif" w:hAnsi="Times New Roman;Times;serif"/>
                <w:sz w:val="20"/>
              </w:rPr>
              <w:t>Amber Group” refers to Amber Global Limited, Amber DWM Holding Limited’s shareholder and strategic partner;</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 xml:space="preserve">Amber Premium” is the brand name under which Amber International Holding Limited operates its institutional crypto financial services and solutions business; </w:t>
            </w:r>
          </w:p>
        </w:tc>
      </w:tr>
    </w:tbl>
    <w:tbl>
      <w:tblPr>
        <w:tblW w:w="9411" w:type="dxa"/>
        <w:jc w:val="left"/>
        <w:tblInd w:w="0" w:type="dxa"/>
        <w:tblLayout w:type="fixed"/>
        <w:tblCellMar>
          <w:top w:w="0" w:type="dxa"/>
          <w:left w:w="0" w:type="dxa"/>
          <w:bottom w:w="0" w:type="dxa"/>
          <w:right w:w="0"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031" w:type="dxa"/>
            <w:tcBorders/>
            <w:vAlign w:val="center"/>
          </w:tcPr>
          <w:p>
            <w:pPr>
              <w:pStyle w:val="TableContents"/>
              <w:bidi w:val="0"/>
              <w:spacing w:before="0" w:after="240"/>
              <w:jc w:val="both"/>
              <w:rPr/>
            </w:pPr>
            <w:r>
              <w:rPr/>
              <w:t>“</w:t>
            </w:r>
            <w:r>
              <w:rPr>
                <w:rFonts w:ascii="Times New Roman;Times;serif" w:hAnsi="Times New Roman;Times;serif"/>
                <w:sz w:val="20"/>
              </w:rPr>
              <w:t>Bitcoin” refers to the first peer-to-peer electronic cash system of global, decentralized, scarce, digital money;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blockchain” refers to a cryptographically secure digital ledger that maintains a record of all transactions that occur on the network and follows a consensus protocol for confirming new blocks to be added to the blockchain;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China” or “PRC” refers to the People’s Republic of China, including Chinese Mainland,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the legal and operational risks associated with operating in China also apply to our operations in Hong Kong;</w:t>
            </w:r>
          </w:p>
        </w:tc>
      </w:tr>
    </w:tbl>
    <w:tbl>
      <w:tblPr>
        <w:tblW w:w="9411" w:type="dxa"/>
        <w:jc w:val="left"/>
        <w:tblInd w:w="0" w:type="dxa"/>
        <w:tblLayout w:type="fixed"/>
        <w:tblCellMar>
          <w:top w:w="0" w:type="dxa"/>
          <w:left w:w="0" w:type="dxa"/>
          <w:bottom w:w="0" w:type="dxa"/>
          <w:right w:w="0"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031" w:type="dxa"/>
            <w:tcBorders/>
            <w:vAlign w:val="center"/>
          </w:tcPr>
          <w:p>
            <w:pPr>
              <w:pStyle w:val="TableContents"/>
              <w:bidi w:val="0"/>
              <w:spacing w:before="0" w:after="240"/>
              <w:jc w:val="both"/>
              <w:rPr/>
            </w:pPr>
            <w:r>
              <w:rPr/>
              <w:t>“</w:t>
            </w:r>
            <w:r>
              <w:rPr>
                <w:rFonts w:ascii="Times New Roman;Times;serif" w:hAnsi="Times New Roman;Times;serif"/>
                <w:sz w:val="20"/>
              </w:rPr>
              <w:t>Client Assets on Platform” refers to the total U.S. dollar equivalent value of client assets as of a specific date;</w:t>
            </w:r>
          </w:p>
        </w:tc>
      </w:tr>
    </w:tbl>
    <w:tbl>
      <w:tblPr>
        <w:tblW w:w="8376" w:type="dxa"/>
        <w:jc w:val="left"/>
        <w:tblInd w:w="0" w:type="dxa"/>
        <w:tblLayout w:type="fixed"/>
        <w:tblCellMar>
          <w:top w:w="0" w:type="dxa"/>
          <w:left w:w="0" w:type="dxa"/>
          <w:bottom w:w="0" w:type="dxa"/>
          <w:right w:w="0"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996" w:type="dxa"/>
            <w:tcBorders/>
            <w:vAlign w:val="center"/>
          </w:tcPr>
          <w:p>
            <w:pPr>
              <w:pStyle w:val="TableContents"/>
              <w:bidi w:val="0"/>
              <w:spacing w:before="0" w:after="240"/>
              <w:jc w:val="both"/>
              <w:rPr/>
            </w:pPr>
            <w:r>
              <w:rPr/>
              <w:t>“</w:t>
            </w:r>
            <w:r>
              <w:rPr>
                <w:rFonts w:ascii="Times New Roman;Times;serif" w:hAnsi="Times New Roman;Times;serif"/>
                <w:sz w:val="20"/>
              </w:rPr>
              <w:t>crypto” refers to any cryptography-based market, system, application, or decentralized network;</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crypto asset” refers to any digital asset built using blockchain technology, including cryptocurrencies, stablecoins, and security tokens;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cryptocurrency” refers to Bitcoin and alternative coins, or “altcoins,” launched after the success of Bitcoin, designed to work as a medium of exchange, store of value, or to power applications and excludes security tokens;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Cumulative KYC’ed Users” refers to the total number of clients that completed the Company’s Know Your Customer identity verification as of a specific date;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DeFi” refers to “decentralized finance,” a peer-to-peer software-based network of protocols that can be used to facilitate traditional financial services like borrowing, lending, trading derivatives, insurance and more through smart contracts;</w:t>
            </w:r>
          </w:p>
        </w:tc>
      </w:tr>
    </w:tbl>
    <w:tbl>
      <w:tblPr>
        <w:tblW w:w="7746" w:type="dxa"/>
        <w:jc w:val="left"/>
        <w:tblInd w:w="0" w:type="dxa"/>
        <w:tblLayout w:type="fixed"/>
        <w:tblCellMar>
          <w:top w:w="0" w:type="dxa"/>
          <w:left w:w="0" w:type="dxa"/>
          <w:bottom w:w="0" w:type="dxa"/>
          <w:right w:w="0"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366" w:type="dxa"/>
            <w:tcBorders/>
            <w:vAlign w:val="center"/>
          </w:tcPr>
          <w:p>
            <w:pPr>
              <w:pStyle w:val="TableContents"/>
              <w:bidi w:val="0"/>
              <w:spacing w:before="0" w:after="240"/>
              <w:jc w:val="both"/>
              <w:rPr/>
            </w:pPr>
            <w:r>
              <w:rPr/>
              <w:t>“</w:t>
            </w:r>
            <w:r>
              <w:rPr>
                <w:rFonts w:ascii="Times New Roman;Times;serif" w:hAnsi="Times New Roman;Times;serif"/>
                <w:sz w:val="20"/>
              </w:rPr>
              <w:t>DWM Asset Restructuring” has the meaning ascribed to it in “Item 3. Key Information”;</w:t>
            </w:r>
          </w:p>
        </w:tc>
      </w:tr>
    </w:tbl>
    <w:tbl>
      <w:tblPr>
        <w:tblW w:w="5316" w:type="dxa"/>
        <w:jc w:val="left"/>
        <w:tblInd w:w="0" w:type="dxa"/>
        <w:tblLayout w:type="fixed"/>
        <w:tblCellMar>
          <w:top w:w="0" w:type="dxa"/>
          <w:left w:w="0" w:type="dxa"/>
          <w:bottom w:w="0" w:type="dxa"/>
          <w:right w:w="0"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936" w:type="dxa"/>
            <w:tcBorders/>
            <w:vAlign w:val="center"/>
          </w:tcPr>
          <w:p>
            <w:pPr>
              <w:pStyle w:val="TableContents"/>
              <w:bidi w:val="0"/>
              <w:spacing w:before="0" w:after="240"/>
              <w:jc w:val="both"/>
              <w:rPr/>
            </w:pPr>
            <w:r>
              <w:rPr/>
              <w:t>“</w:t>
            </w:r>
            <w:r>
              <w:rPr>
                <w:rFonts w:ascii="Times New Roman;Times;serif" w:hAnsi="Times New Roman;Times;serif"/>
                <w:sz w:val="20"/>
              </w:rPr>
              <w:t>Group” means the Company and its consolidated entities;</w:t>
            </w:r>
          </w:p>
        </w:tc>
      </w:tr>
    </w:tbl>
    <w:tbl>
      <w:tblPr>
        <w:tblW w:w="6576" w:type="dxa"/>
        <w:jc w:val="left"/>
        <w:tblInd w:w="0" w:type="dxa"/>
        <w:tblLayout w:type="fixed"/>
        <w:tblCellMar>
          <w:top w:w="0" w:type="dxa"/>
          <w:left w:w="0" w:type="dxa"/>
          <w:bottom w:w="0" w:type="dxa"/>
          <w:right w:w="0"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196" w:type="dxa"/>
            <w:tcBorders/>
            <w:vAlign w:val="center"/>
          </w:tcPr>
          <w:p>
            <w:pPr>
              <w:pStyle w:val="TableContents"/>
              <w:bidi w:val="0"/>
              <w:spacing w:before="0" w:after="240"/>
              <w:jc w:val="both"/>
              <w:rPr/>
            </w:pPr>
            <w:r>
              <w:rPr/>
              <w:t>“</w:t>
            </w:r>
            <w:r>
              <w:rPr>
                <w:rFonts w:ascii="Times New Roman;Times;serif" w:hAnsi="Times New Roman;Times;serif"/>
                <w:sz w:val="20"/>
              </w:rPr>
              <w:t xml:space="preserve">HK$” or “Hong Kong dollars” refers to the legal currency of Hong Kong; </w:t>
            </w:r>
          </w:p>
        </w:tc>
      </w:tr>
    </w:tbl>
    <w:tbl>
      <w:tblPr>
        <w:tblW w:w="10146" w:type="dxa"/>
        <w:jc w:val="left"/>
        <w:tblInd w:w="0" w:type="dxa"/>
        <w:tblLayout w:type="fixed"/>
        <w:tblCellMar>
          <w:top w:w="0" w:type="dxa"/>
          <w:left w:w="0" w:type="dxa"/>
          <w:bottom w:w="0" w:type="dxa"/>
          <w:right w:w="0"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766" w:type="dxa"/>
            <w:tcBorders/>
            <w:vAlign w:val="center"/>
          </w:tcPr>
          <w:p>
            <w:pPr>
              <w:pStyle w:val="TableContents"/>
              <w:bidi w:val="0"/>
              <w:spacing w:before="0" w:after="240"/>
              <w:jc w:val="both"/>
              <w:rPr/>
            </w:pPr>
            <w:r>
              <w:rPr/>
              <w:t>“</w:t>
            </w:r>
            <w:r>
              <w:rPr>
                <w:rFonts w:ascii="Times New Roman;Times;serif" w:hAnsi="Times New Roman;Times;serif"/>
                <w:sz w:val="20"/>
              </w:rPr>
              <w:t>mining” refers to the process by which new blocks are created, and thus new transactions are added to the blockchain;</w:t>
            </w:r>
          </w:p>
        </w:tc>
      </w:tr>
    </w:tbl>
    <w:tbl>
      <w:tblPr>
        <w:tblW w:w="6201" w:type="dxa"/>
        <w:jc w:val="left"/>
        <w:tblInd w:w="0" w:type="dxa"/>
        <w:tblLayout w:type="fixed"/>
        <w:tblCellMar>
          <w:top w:w="0" w:type="dxa"/>
          <w:left w:w="0" w:type="dxa"/>
          <w:bottom w:w="0" w:type="dxa"/>
          <w:right w:w="0"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821" w:type="dxa"/>
            <w:tcBorders/>
            <w:vAlign w:val="center"/>
          </w:tcPr>
          <w:p>
            <w:pPr>
              <w:pStyle w:val="TableContents"/>
              <w:bidi w:val="0"/>
              <w:spacing w:before="0" w:after="240"/>
              <w:jc w:val="both"/>
              <w:rPr/>
            </w:pPr>
            <w:r>
              <w:rPr/>
              <w:t>“</w:t>
            </w:r>
            <w:r>
              <w:rPr>
                <w:rFonts w:ascii="Times New Roman;Times;serif" w:hAnsi="Times New Roman;Times;serif"/>
                <w:sz w:val="20"/>
              </w:rPr>
              <w:t>Merger” has the meaning ascribed to it in “Item 3. Key Information”;</w:t>
            </w:r>
          </w:p>
        </w:tc>
      </w:tr>
    </w:tbl>
    <w:tbl>
      <w:tblPr>
        <w:tblW w:w="6426" w:type="dxa"/>
        <w:jc w:val="left"/>
        <w:tblInd w:w="0" w:type="dxa"/>
        <w:tblLayout w:type="fixed"/>
        <w:tblCellMar>
          <w:top w:w="0" w:type="dxa"/>
          <w:left w:w="0" w:type="dxa"/>
          <w:bottom w:w="0" w:type="dxa"/>
          <w:right w:w="0"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046" w:type="dxa"/>
            <w:tcBorders/>
            <w:vAlign w:val="center"/>
          </w:tcPr>
          <w:p>
            <w:pPr>
              <w:pStyle w:val="TableContents"/>
              <w:bidi w:val="0"/>
              <w:spacing w:before="0" w:after="240"/>
              <w:jc w:val="both"/>
              <w:rPr/>
            </w:pPr>
            <w:r>
              <w:rPr/>
              <w:t>“</w:t>
            </w:r>
            <w:r>
              <w:rPr>
                <w:rFonts w:ascii="Times New Roman;Times;serif" w:hAnsi="Times New Roman;Times;serif"/>
                <w:sz w:val="20"/>
              </w:rPr>
              <w:t>Onchain economy” refers to a new open financial system built onchain;</w:t>
            </w:r>
          </w:p>
        </w:tc>
      </w:tr>
    </w:tbl>
    <w:tbl>
      <w:tblPr>
        <w:tblW w:w="8346" w:type="dxa"/>
        <w:jc w:val="left"/>
        <w:tblInd w:w="0" w:type="dxa"/>
        <w:tblLayout w:type="fixed"/>
        <w:tblCellMar>
          <w:top w:w="0" w:type="dxa"/>
          <w:left w:w="0" w:type="dxa"/>
          <w:bottom w:w="0" w:type="dxa"/>
          <w:right w:w="0"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966" w:type="dxa"/>
            <w:tcBorders/>
            <w:vAlign w:val="center"/>
          </w:tcPr>
          <w:p>
            <w:pPr>
              <w:pStyle w:val="TableContents"/>
              <w:bidi w:val="0"/>
              <w:spacing w:before="0" w:after="240"/>
              <w:jc w:val="both"/>
              <w:rPr/>
            </w:pPr>
            <w:r>
              <w:rPr/>
              <w:t>“</w:t>
            </w:r>
            <w:r>
              <w:rPr>
                <w:rFonts w:ascii="Times New Roman;Times;serif" w:hAnsi="Times New Roman;Times;serif"/>
                <w:sz w:val="20"/>
              </w:rPr>
              <w:t>ordinary shares” refer to our Class A and Class B ordinary shares, par value US$0.001 per share;</w:t>
            </w:r>
          </w:p>
        </w:tc>
      </w:tr>
    </w:tbl>
    <w:tbl>
      <w:tblPr>
        <w:tblW w:w="5421" w:type="dxa"/>
        <w:jc w:val="left"/>
        <w:tblInd w:w="0" w:type="dxa"/>
        <w:tblLayout w:type="fixed"/>
        <w:tblCellMar>
          <w:top w:w="0" w:type="dxa"/>
          <w:left w:w="0" w:type="dxa"/>
          <w:bottom w:w="0" w:type="dxa"/>
          <w:right w:w="0"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041" w:type="dxa"/>
            <w:tcBorders/>
            <w:vAlign w:val="center"/>
          </w:tcPr>
          <w:p>
            <w:pPr>
              <w:pStyle w:val="TableContents"/>
              <w:bidi w:val="0"/>
              <w:spacing w:before="0" w:after="240"/>
              <w:jc w:val="both"/>
              <w:rPr/>
            </w:pPr>
            <w:r>
              <w:rPr/>
              <w:t>“</w:t>
            </w:r>
            <w:r>
              <w:rPr>
                <w:rFonts w:ascii="Times New Roman;Times;serif" w:hAnsi="Times New Roman;Times;serif"/>
                <w:sz w:val="20"/>
              </w:rPr>
              <w:t>RMB” or “Renminbi” refers to the legal currency of China;</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SGD” or “Singapore dollars” refers to the legal currency of Singapore;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smart contract” refers to software that digitally facilitates or enforces a rules-based agreement or terms between transacting parties;</w:t>
            </w:r>
          </w:p>
        </w:tc>
      </w:tr>
    </w:tbl>
    <w:tbl>
      <w:tblPr>
        <w:tblW w:w="6456" w:type="dxa"/>
        <w:jc w:val="left"/>
        <w:tblInd w:w="0" w:type="dxa"/>
        <w:tblLayout w:type="fixed"/>
        <w:tblCellMar>
          <w:top w:w="0" w:type="dxa"/>
          <w:left w:w="0" w:type="dxa"/>
          <w:bottom w:w="0" w:type="dxa"/>
          <w:right w:w="0"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076" w:type="dxa"/>
            <w:tcBorders/>
            <w:vAlign w:val="center"/>
          </w:tcPr>
          <w:p>
            <w:pPr>
              <w:pStyle w:val="TableContents"/>
              <w:bidi w:val="0"/>
              <w:spacing w:before="0" w:after="240"/>
              <w:jc w:val="both"/>
              <w:rPr/>
            </w:pPr>
            <w:r>
              <w:rPr/>
              <w:t>“</w:t>
            </w:r>
            <w:r>
              <w:rPr>
                <w:rFonts w:ascii="Times New Roman;Times;serif" w:hAnsi="Times New Roman;Times;serif"/>
                <w:sz w:val="20"/>
              </w:rPr>
              <w:t>stablecoin” refers to crypto assets designed to minimize price volatility;</w:t>
            </w:r>
          </w:p>
        </w:tc>
      </w:tr>
    </w:tbl>
    <w:tbl>
      <w:tblPr>
        <w:tblW w:w="5391" w:type="dxa"/>
        <w:jc w:val="left"/>
        <w:tblInd w:w="0" w:type="dxa"/>
        <w:tblLayout w:type="fixed"/>
        <w:tblCellMar>
          <w:top w:w="0" w:type="dxa"/>
          <w:left w:w="0" w:type="dxa"/>
          <w:bottom w:w="0" w:type="dxa"/>
          <w:right w:w="0"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011" w:type="dxa"/>
            <w:tcBorders/>
            <w:vAlign w:val="center"/>
          </w:tcPr>
          <w:p>
            <w:pPr>
              <w:pStyle w:val="TableContents"/>
              <w:bidi w:val="0"/>
              <w:spacing w:before="0" w:after="240"/>
              <w:jc w:val="both"/>
              <w:rPr/>
            </w:pPr>
            <w:r>
              <w:rPr/>
              <w:t>“</w:t>
            </w:r>
            <w:r>
              <w:rPr>
                <w:rFonts w:ascii="Times New Roman;Times;serif" w:hAnsi="Times New Roman;Times;serif"/>
                <w:sz w:val="20"/>
              </w:rPr>
              <w:t>staking” refers to an energy efficient equivalent of mining;</w:t>
            </w:r>
          </w:p>
        </w:tc>
      </w:tr>
    </w:tbl>
    <w:tbl>
      <w:tblPr>
        <w:tblW w:w="6321" w:type="dxa"/>
        <w:jc w:val="left"/>
        <w:tblInd w:w="0" w:type="dxa"/>
        <w:tblLayout w:type="fixed"/>
        <w:tblCellMar>
          <w:top w:w="0" w:type="dxa"/>
          <w:left w:w="0" w:type="dxa"/>
          <w:bottom w:w="0" w:type="dxa"/>
          <w:right w:w="0"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941" w:type="dxa"/>
            <w:tcBorders/>
            <w:vAlign w:val="center"/>
          </w:tcPr>
          <w:p>
            <w:pPr>
              <w:pStyle w:val="TableContents"/>
              <w:bidi w:val="0"/>
              <w:spacing w:before="0" w:after="240"/>
              <w:jc w:val="both"/>
              <w:rPr/>
            </w:pPr>
            <w:r>
              <w:rPr/>
              <w:t>“</w:t>
            </w:r>
            <w:r>
              <w:rPr>
                <w:rFonts w:ascii="Times New Roman;Times;serif" w:hAnsi="Times New Roman;Times;serif"/>
                <w:sz w:val="20"/>
              </w:rPr>
              <w:t>wallet” refers a place to store public and private keys for crypto assets;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pPr>
            <w:r>
              <w:rPr/>
              <w:t>“</w:t>
            </w:r>
            <w:r>
              <w:rPr>
                <w:rFonts w:ascii="Times New Roman;Times;serif" w:hAnsi="Times New Roman;Times;serif"/>
                <w:sz w:val="20"/>
              </w:rPr>
              <w:t>we,” “us,” “our company,” “our,” “the Company” refers to Amber International Holding Limited, which was known as iClick Interactive Asia Group Limited (“iClick”) prior to the consummation of the Merger. Amber International Holding Limited (“Amber International”) is a Cayman Islands holding company with no operations of its own and conducts its business through its subsidiaries.</w:t>
            </w:r>
          </w:p>
        </w:tc>
      </w:tr>
    </w:tbl>
    <w:tbl>
      <w:tblPr>
        <w:tblW w:w="7521" w:type="dxa"/>
        <w:jc w:val="left"/>
        <w:tblInd w:w="0" w:type="dxa"/>
        <w:tblLayout w:type="fixed"/>
        <w:tblCellMar>
          <w:top w:w="0" w:type="dxa"/>
          <w:left w:w="0" w:type="dxa"/>
          <w:bottom w:w="0" w:type="dxa"/>
          <w:right w:w="0"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141" w:type="dxa"/>
            <w:tcBorders/>
            <w:vAlign w:val="center"/>
          </w:tcPr>
          <w:p>
            <w:pPr>
              <w:pStyle w:val="TableContents"/>
              <w:bidi w:val="0"/>
              <w:spacing w:before="0" w:after="240"/>
              <w:jc w:val="both"/>
              <w:rPr/>
            </w:pPr>
            <w:r>
              <w:rPr/>
              <w:t>“</w:t>
            </w:r>
            <w:r>
              <w:rPr>
                <w:rFonts w:ascii="Times New Roman;Times;serif" w:hAnsi="Times New Roman;Times;serif"/>
                <w:sz w:val="20"/>
              </w:rPr>
              <w:t>$,” “US$,” “dollars” or “U.S. dollars” refers to the legal currency of the United States;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Singapore dollars to U.S. dollars, Renminbi to U.S. dollars, and from Hong Kong dollars to U.S. dollars, in this annual report on Form 20-F were made at a rate of SGD1.2859 to US$1.00, RMB6.9931 to US$1.00, and HK$7.7833 to US$1.00, respectively, which were the exchange rates set forth in the H.10 statistical release of the Board of Governors of the Federal Reserve System on December 31, 2025. We make no representation that any Singapore dollar/ Renminbi/ Hong Kong dollar or U.S. dollar amounts could have been, or could be, converted into U.S. dollars or Singapore dollar/ Renminbi/ Hong Kong dollar, as the case may be, at any particular rate, at the respective rate stated above, or at all. Any discrepancies in any table between the amounts identified as total amounts and the sum of the amounts listed therein are due to rounding.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2025, iClick completed its merger (the “Merger”) with Amber DWM Holding Limited (“Amber DWM”).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 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(the “WFTL Assigned Contracts”) effective from January 1, 2025. Therefore, the net income from WFTL Assigned Contracts was not reflected in our results before 2025. On October 28, 2025, the WFTL Assigned Contracts were assumed by AG Global Technology Limited Inc. (“AGTL”), which is also a wholly owned subsidiary of Amber Group and an affiliate of the Company. On November 25, 2025, Amber Match Limited, one of our wholly owned subsidiaries, entered into intercompany services agreement with AGTL to replace its previous agreement with WFTL on substantially the same terms (the “AGTL Assigned Contracts”) (collectively, the “Assigned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reporting period, we provided institutional crypto financial services and solutions operating under the brand name “Amber Premium”. We optimized our business to drive returns to the shareholders through proactive monitoring our operations and market trends. As of the end of 2025, certain operations under iClick were classified as held-for-sale, and we completed one of the disposals in October 2025. The disposed business was deconsolidated from the Group upon the respective disposal and the results of the held-for-sale and disposed businesses are reflected in the Group’s consolidated financial statements included in this annual report as discontinued operations accordingly. See Note 5 to the financial statements included elsewhere in this annual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_29c5fe60_bf74_44a8_b0c5_6c1a1d1503cc"/>
      <w:bookmarkEnd w:id="32"/>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tbl>
      <w:tblPr>
        <w:tblW w:w="3216" w:type="dxa"/>
        <w:jc w:val="left"/>
        <w:tblInd w:w="0" w:type="dxa"/>
        <w:tblLayout w:type="fixed"/>
        <w:tblCellMar>
          <w:top w:w="0" w:type="dxa"/>
          <w:left w:w="0" w:type="dxa"/>
          <w:bottom w:w="0" w:type="dxa"/>
          <w:right w:w="0"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mission, goals and strategies;</w:t>
            </w:r>
          </w:p>
        </w:tc>
      </w:tr>
    </w:tbl>
    <w:tbl>
      <w:tblPr>
        <w:tblW w:w="6906" w:type="dxa"/>
        <w:jc w:val="left"/>
        <w:tblInd w:w="0" w:type="dxa"/>
        <w:tblLayout w:type="fixed"/>
        <w:tblCellMar>
          <w:top w:w="0" w:type="dxa"/>
          <w:left w:w="0" w:type="dxa"/>
          <w:bottom w:w="0" w:type="dxa"/>
          <w:right w:w="0"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5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tbl>
      <w:tblPr>
        <w:tblW w:w="3486" w:type="dxa"/>
        <w:jc w:val="left"/>
        <w:tblInd w:w="0" w:type="dxa"/>
        <w:tblLayout w:type="fixed"/>
        <w:tblCellMar>
          <w:top w:w="0" w:type="dxa"/>
          <w:left w:w="0" w:type="dxa"/>
          <w:bottom w:w="0" w:type="dxa"/>
          <w:right w:w="0"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1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expected growth of our industry;</w:t>
            </w:r>
          </w:p>
        </w:tc>
      </w:tr>
    </w:tbl>
    <w:tbl>
      <w:tblPr>
        <w:tblW w:w="8766" w:type="dxa"/>
        <w:jc w:val="left"/>
        <w:tblInd w:w="0" w:type="dxa"/>
        <w:tblLayout w:type="fixed"/>
        <w:tblCellMar>
          <w:top w:w="0" w:type="dxa"/>
          <w:left w:w="0" w:type="dxa"/>
          <w:bottom w:w="0" w:type="dxa"/>
          <w:right w:w="0"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3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expectations regarding demand for and market acceptance of our products, services and solutions;</w:t>
            </w:r>
          </w:p>
        </w:tc>
      </w:tr>
    </w:tbl>
    <w:tbl>
      <w:tblPr>
        <w:tblW w:w="2826" w:type="dxa"/>
        <w:jc w:val="left"/>
        <w:tblInd w:w="0" w:type="dxa"/>
        <w:tblLayout w:type="fixed"/>
        <w:tblCellMar>
          <w:top w:w="0" w:type="dxa"/>
          <w:left w:w="0" w:type="dxa"/>
          <w:bottom w:w="0" w:type="dxa"/>
          <w:right w:w="0"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4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competition in our industry;</w:t>
            </w:r>
          </w:p>
        </w:tc>
      </w:tr>
    </w:tbl>
    <w:tbl>
      <w:tblPr>
        <w:tblW w:w="9306" w:type="dxa"/>
        <w:jc w:val="left"/>
        <w:tblInd w:w="0" w:type="dxa"/>
        <w:tblLayout w:type="fixed"/>
        <w:tblCellMar>
          <w:top w:w="0" w:type="dxa"/>
          <w:left w:w="0" w:type="dxa"/>
          <w:bottom w:w="0" w:type="dxa"/>
          <w:right w:w="0"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9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ability to successfully remediate the material weaknesses in our internal control over financial reporting;</w:t>
            </w:r>
          </w:p>
        </w:tc>
      </w:tr>
    </w:tbl>
    <w:tbl>
      <w:tblPr>
        <w:tblW w:w="7266" w:type="dxa"/>
        <w:jc w:val="left"/>
        <w:tblInd w:w="0" w:type="dxa"/>
        <w:tblLayout w:type="fixed"/>
        <w:tblCellMar>
          <w:top w:w="0" w:type="dxa"/>
          <w:left w:w="0" w:type="dxa"/>
          <w:bottom w:w="0" w:type="dxa"/>
          <w:right w:w="0"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8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relevant government policies and regulations relating to our business and industry;</w:t>
            </w:r>
          </w:p>
        </w:tc>
      </w:tr>
    </w:tbl>
    <w:tbl>
      <w:tblPr>
        <w:tblW w:w="8166" w:type="dxa"/>
        <w:jc w:val="left"/>
        <w:tblInd w:w="0" w:type="dxa"/>
        <w:tblLayout w:type="fixed"/>
        <w:tblCellMar>
          <w:top w:w="0" w:type="dxa"/>
          <w:left w:w="0" w:type="dxa"/>
          <w:bottom w:w="0" w:type="dxa"/>
          <w:right w:w="0"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7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general economic and business conditions globally and in jurisdictions where we operate; and</w:t>
            </w:r>
          </w:p>
        </w:tc>
      </w:tr>
    </w:tbl>
    <w:tbl>
      <w:tblPr>
        <w:tblW w:w="5241" w:type="dxa"/>
        <w:jc w:val="left"/>
        <w:tblInd w:w="0" w:type="dxa"/>
        <w:tblLayout w:type="fixed"/>
        <w:tblCellMar>
          <w:top w:w="0" w:type="dxa"/>
          <w:left w:w="0" w:type="dxa"/>
          <w:bottom w:w="0" w:type="dxa"/>
          <w:right w:w="0"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8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_5dcd1971_750a_411b_ac6a_cc500b9b8215"/>
      <w:bookmarkEnd w:id="33"/>
      <w:r>
        <w:rPr>
          <w:rFonts w:ascii="Times New Roman;Times;serif" w:hAnsi="Times New Roman;Times;serif"/>
          <w:b/>
          <w:sz w:val="20"/>
        </w:rPr>
        <w:t>ENFORCEABILITY OF CIVIL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all of our current operations outside the United States, and all of our assets are located outside the United States. Many of our directors and executive officers are nationals or residents of jurisdictions other than the United States and most of their assets are located outside of the United States. As a result, it may be difficult for a shareholder to effect service of process within the United States upon us or such persons, or to enforce against us, our assets, our directors or officers, or the judgments obtained in United States courts, including judgments predicated upon the civil liability provisions of the securities laws of the United States or any state in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our assets, or our directors or officers, predicated upon the securities laws of the United States or any state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there is uncertainty as to whether judgments of courts in the United States based upon the civil liability provisions of the securities laws of the United States or any state or territory of the United States will be recognized and/or enforced by the Singapore courts, and there is doubt as to whether the Singapore courts will enter judgments in original actions brought in the Singapore courts based solely on the civil liability provisions of these securities laws. An in persona final and conclusive judgment in the federal or state courts of the United States under which a fixed sum of money is payable may generally be enforced as a debt in the Singapore courts under the common law as long as it is established that the Singapore courts have jurisdiction over the judgment debtor. However, the Singapore courts are unlikely to enforce a foreign judgment if (a) the foreign judgment is inconsistent with a prior local judgment that is binding on the same parties; (b) the recognition or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laws that permit punitive damages against us and our Directors or Executive Officers, we are unaware of any decision by the Singapore courts that has considered the specific issue of whether a judgment of a United States court based on such civil liability provisions of the securities laws of the United States or any state or territory of the United States is enforceable in Singapore.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H.M. Chan &amp; Co., our counsel as to Hong Kong law, has advised us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Jingtian &amp; Gongcheng, our counsel as to PRC law, has advised us that 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 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our assets or our directors or officers, predicated upon the civil liability provisions of the securities laws of the United States or any state in the United States, or (2) entertain original actions brought in the PRC against us, our assets or our directors or officers, predicated upon the securities laws of the United States or any state in the United States. Under the PRC Civil Procedures Law, foreign shareholders may originate actions based on PRC law against us, our assets or our directors or officers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the ordinary shares, to establish a sufficient connection to China for a PRC court to have jurisdiction as required under the PRC Civil Procedures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_179511"/>
      <w:bookmarkStart w:id="35" w:name="_0c40164d_c280_4b28_aa52_04865f3f077b"/>
      <w:bookmarkEnd w:id="34"/>
      <w:bookmarkEnd w:id="35"/>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sz w:val="20"/>
        </w:rPr>
      </w:pPr>
      <w:bookmarkStart w:id="36" w:name="ITEM1IDENTITYOFDIRECTORSSENIORMANAGEMENT"/>
      <w:bookmarkEnd w:id="36"/>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37" w:name="ITEM2OFFERSTATISTICSANDEXPECTEDTIMETABLE"/>
      <w:bookmarkStart w:id="38" w:name="_eb38b132_034b_4995_892b_7fde02b0fcf2"/>
      <w:bookmarkEnd w:id="37"/>
      <w:bookmarkEnd w:id="38"/>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39" w:name="ITEM3KEYINFORMATION_539254"/>
      <w:bookmarkStart w:id="40" w:name="_432398c1_27c5_451c_8594_9730cd69624f"/>
      <w:bookmarkEnd w:id="39"/>
      <w:bookmarkEnd w:id="40"/>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Disposals and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12, 2025, iClick completed its merger with Amber DWM.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WFTL effective from January 1, 2025. Therefore, the net income from WFTL Assigned Contracts was not reflected in our results before 2025. On October 28, 2025, the WFTL Assigned Contracts were assumed by AGTL, which is also a wholly owned subsidiary of Amber Group and an affiliate of the Company. On November 25, 2025, Amber Match Limited, one of our wholly owned subsidiaries, entered into intercompany services agreement with AGTL to replace its previous agreement with WFTL on substantially the same terms.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optimize our business to drive returns to the shareholders through proactive monitoring our operations and market trends. As of the end of 2025, certain operations under iClick were classified as held-for-sale, and we completed one of the disposals in October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Implications of Being a Foreign Private Issuer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and have adopted certain home country practices in relation to corporate governance matters that differ significantly from the Nasdaq Global Market (“Nasdaq”) listing standards. See “—Risks Related to Our Business—As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Nasdaq corporate governance listing standards.; these practices may afford less protection to shareholders than they would enjoy if we complied fully with the Nasdaq corporate governance requirements.” These practices may afford less protection to shareholders than they would enjoy if we complied fully with the Nasdaq listing standards.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as amended by the Consolidated Appropriations Act, 2023, or the HFCA Act, If the SEC determines that we have filed audit reports issued by a registered public accounting firm that has not been subject to inspections by the U.S. Public Company Accounting Oversight Board (the “PCAOB”) for two consecutive years because of a position taken by authorities in a foreign jurisdiction, the SEC will prohibit our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Chinese Mainland or Hong Kong, including iClick’s former auditor, PricewaterhouseCoopers, who has audited its financial statements as of and for the years ended December 31, 2022 and 2023. Subsequently, iClick were conclusively identified by the SEC as a “Commission-Identified Issuer” under the HFCA Act on June 1, 2022 in respect of its annual report for the year ended December 31, 2021 filed on May 2,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15, 2022, the PCAOB announced its determination that it was able to inspect and investigate audit firms in Chinese Mainland and Hong Kong completely for purposes of the HFCA Act, and the PCAOB vacated its December 16, 2021 determinations. As a result, the SEC will not provisionally or conclusively identify an issuer as a Commission-Identified Issuer if it files an annual report with an audit report issued by a registered public accounting firm headquartered in Chinese Mainland or Hong Kong on or after December 15, 2022, until such time as the PCAOB issues a new determination. In addition, our auditor WWC, P.C., who has audited our consolidated statements of financial position as of December 31, 2025, and the related consolidated statements of profit or loss, comprehensive loss, changes in shareholders’ equity and cash flows for the year ended December 31, 2025, including the related notes contained in this annual report is not on the list published by the PCAOB subject to the determinations as to inability to inspect or investigate completely, as announced by the PCAOB on December 16, 2021, and it is based in the U.S. and is registered with the PCAOB and subject to PCAOB inspection, having its latest inspection completed in December 2025. However, if the PCAOB determines in the future that it no longer has full access to inspect and investigate completely accounting firms in certain jurisdictions and we use an accounting firm headquartered in one of such jurisdictions to issue an audit report on our financial statements filed with the SEC, we would be identified as a Commission-Identified Issuer following the filing of the annual report on Form 20-F for the relevant fiscal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governments that could affect our listing status in the U.S. The delisting of our ADSs, or the threat of their being delisted, may materially and adversely affect the value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Our Corporate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with no business operations of our own. We conduct all of our operations through our subsidiaries. As a result, our ability to pay dividends depends upon dividends paid by our subsidiaries. If our subsidiaries incur debt on their own behalf in the future, the instruments governing their debt may restrict their ability to pay dividends to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chart illustrates our organizational structure, including our principal subsidiaries and consolidated affiliated entities as of March 31, 2026:</w:t>
      </w:r>
    </w:p>
    <w:p>
      <w:pPr>
        <w:pStyle w:val="TextBody"/>
        <w:bidi w:val="0"/>
        <w:spacing w:before="0" w:after="240"/>
        <w:ind w:left="0" w:right="0" w:hanging="0"/>
        <w:jc w:val="center"/>
        <w:rPr/>
      </w:pPr>
      <w:r>
        <w:rPr/>
        <w:drawing>
          <wp:inline distT="0" distB="0" distL="0" distR="0">
            <wp:extent cx="5775325" cy="7214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5325" cy="721487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Risks and uncertainties relating to our business include, but are not limited to, the following: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may not obtain the regulatory approval in relation to DWM Asset Restructuring in a timely manner or at all and may need to continue relying on the intercompany services agreements to receive the economic benefits of the intercompany services agreement with AGTL.</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institutional crypto financial services and solutions business is nascent, not fully proven by market and subject to material legal, regulatory, operational, reputational, tax and other risks in the jurisdictions where we operate and are not assured to be profitable.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revenue is highly dependent on digital asset prices, trading volumes and market liquidity, all of which are subject to extreme volatility.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particular digital asset, product, or service’s status as a “security” in any relevant jurisdiction is subject to a high degree of uncertainty and if we are unable to properly characterize a digital asset or product offering, we may be subject to regulatory scrutiny, investigations, fines, and other penalties, which may adversely affect our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we fail to develop, maintain and enhance our brand and reputation, our business operating results and financial condition may be adversely affected.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may not be able to compete effectively, which could materially and adversely affect our business, financial condition, results of operations and prospects, as well as our reputation and brands.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may be subject to inquiries, investigations, and enforcement actions by regulators and governmental authorities worldwide, including those related to sanctions, export control, and anti-money laundering.</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Failure by us or our third-party custodians to adequately safeguard clients’ digital assets could result in significant losses and severely damage our business and reputation.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we cannot keep pace with rapid industry changes to provide new and innovative products and services, the use of our products and services, and consequently our revenue, could decline, which could adversely impact our business, operating results, and financial condition.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business is susceptible to risks associated with international operations, including risks associated with difficulties, delays or failures in obtaining and/or maintaining the regulatory approvals, permissions, authorizations, licenses or consents that may be required to offer certain products or services in one or more international markets.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Cryptocurrencies and Digital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Risks and uncertainties relating to cryptocurrencies and digital assets include, but are not limited to, the following: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continuing development and acceptance of digital assets and distributed ledger technology are subject to a variety of risks.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Digital assets represent a new and rapidly evolving industry, and our business operations and financial performance have in the past been, and may in the future be impacted by the acceptance of Bitcoin and other digital assets.</w:t>
            </w:r>
          </w:p>
        </w:tc>
      </w:tr>
    </w:tbl>
    <w:tbl>
      <w:tblPr>
        <w:tblW w:w="4941" w:type="dxa"/>
        <w:jc w:val="left"/>
        <w:tblInd w:w="0" w:type="dxa"/>
        <w:tblLayout w:type="fixed"/>
        <w:tblCellMar>
          <w:top w:w="0" w:type="dxa"/>
          <w:left w:w="0" w:type="dxa"/>
          <w:bottom w:w="0" w:type="dxa"/>
          <w:right w:w="0"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5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prices of digital assets are extraordinarily volatile.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Due to a lack of familiarity and some negative publicity associated with digital asset-related companies, existing and potential clients, counterparties and regulators may lose confidence in digital asset management companies.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Many digital asset transactions are irrevocable and stolen or incorrectly transferred digital assets may be irretrievable. As a result, any incorrectly executed digital asset transactions could adversely affect our business operations and financial performance.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Political or economic crises may motivate large-scale sales of digital assets, which would result in a reduction in values and materially and adversely affect us.</w:t>
            </w:r>
          </w:p>
        </w:tc>
      </w:tr>
    </w:tbl>
    <w:tbl>
      <w:tblPr>
        <w:tblW w:w="8301" w:type="dxa"/>
        <w:jc w:val="left"/>
        <w:tblInd w:w="0" w:type="dxa"/>
        <w:tblLayout w:type="fixed"/>
        <w:tblCellMar>
          <w:top w:w="0" w:type="dxa"/>
          <w:left w:w="0" w:type="dxa"/>
          <w:bottom w:w="0" w:type="dxa"/>
          <w:right w:w="0"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9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value of cryptocurrencies and other digital assets may be subject to momentum pricing risk.</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Blockchain networks, digital assets and the digital asset trading platforms on which these assets are traded are dependent on internet and other blockchain infrastructure and susceptible to system failures, security risks and rapid technological change.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From time to time, we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our investments and trading strategies,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the governance of a digital asset network may not receive sufficient support from users and miners, which may negatively affect that digital asset network’s ability to grow and respond to challenges.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American Depositary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to the risks described above, we are subject to risks relating to our ADSs, including but are not limited to the following:</w:t>
      </w:r>
    </w:p>
    <w:tbl>
      <w:tblPr>
        <w:tblW w:w="4326" w:type="dxa"/>
        <w:jc w:val="left"/>
        <w:tblInd w:w="0" w:type="dxa"/>
        <w:tblLayout w:type="fixed"/>
        <w:tblCellMar>
          <w:top w:w="0" w:type="dxa"/>
          <w:left w:w="0" w:type="dxa"/>
          <w:bottom w:w="0" w:type="dxa"/>
          <w:right w:w="0"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market price for our ADSs may be volatile.</w:t>
            </w:r>
          </w:p>
        </w:tc>
      </w:tr>
    </w:tbl>
    <w:tbl>
      <w:tblPr>
        <w:tblW w:w="7086" w:type="dxa"/>
        <w:jc w:val="left"/>
        <w:tblInd w:w="0" w:type="dxa"/>
        <w:tblLayout w:type="fixed"/>
        <w:tblCellMar>
          <w:top w:w="0" w:type="dxa"/>
          <w:left w:w="0" w:type="dxa"/>
          <w:bottom w:w="0" w:type="dxa"/>
          <w:right w:w="0"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7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ADSs may not comply with the minimum listing requirements of the Nasdaq.</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directors, officers and principal shareholders have substantial influence over our company and their interests may not be aligned with the interests of our other shareholders.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have granted, and may continue to grant, share incentives, which may result in increased share based compensation expenses.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securities or industry analysts do not publish research or publish inaccurate or unfavorable research about our business, the market price for our ADSs and trading volume could decline.</w:t>
            </w:r>
          </w:p>
        </w:tc>
      </w:tr>
    </w:tbl>
    <w:tbl>
      <w:tblPr>
        <w:tblW w:w="9276" w:type="dxa"/>
        <w:jc w:val="left"/>
        <w:tblInd w:w="0" w:type="dxa"/>
        <w:tblLayout w:type="fixed"/>
        <w:tblCellMar>
          <w:top w:w="0" w:type="dxa"/>
          <w:left w:w="0" w:type="dxa"/>
          <w:bottom w:w="0" w:type="dxa"/>
          <w:right w:w="0"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8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sale or availability for sale of substantial amounts of our ADSs could adversely affect their market price.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Because we do not expect to pay dividends in the foreseeable future, you must rely on price appreciation of our ADSs for return on your investment.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memorandum and articles of association that contain anti-takeover provisions that could discourage a third party from acquiring us and adversely affect the rights of holders of our Class A ordinary shares and ADSs.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Nasdaq corporate governance listing standards.; these practices may afford less protection to shareholders than they would enjoy if we complied fully with the Nasdaq corporate governance requirements.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Institutional Crypto Financial Services and Solutions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obtain the regulatory approval in relation to DWM Asset Restructuring in a timely manner or at all and may need to continue relying on the intercompany services agreements to receive the economic benefits of the intercompany services agreement with AGTL.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Merger Agreement, certain local regulatory approvals shall have been obtained before the completion of the Merger. These approvals include local regulatory approvals for the DWM Asset Restructuring and for the Company to become a controller in Sparrow Tech Private Limited, an indirect subsidiary of Amber DWM. Specifically, the Company’s acquisition of 100% of the equity interest in WhaleFin Markets Limited from Amber Group is subject to acceptance of the license application with the Securities Futures Commission in Hong Kong; the Company becoming a controller in Sparrow Tech Private Limited is subject to the Monetary Authority of Singapore’s approval regarding the change of controller; and the assignment of the intercompany services agreement with AGTL is subject to Amber Premium FZE obtaining the Virtual Asset Service Provider (the “VASP”) license with the Virtual Assets Regulatory Authority (the “VARA”) in Dubai.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expedite the closing of the Merger, the parties have entered into the Framework Agreement to amend and waive certain closing conditions to the Merger, including in relation to the DWM Asset Restructuring and these regulatory approvals, and to provide for alternative arrangements that would afford the Company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the Company promptly upon the receipt of the relevant regulatory approvals, and (ii) pursuant to certain intercompany services agreement entered into concurrently with the execution of the Framework Agreement, while the regulatory approvals are pending, the Company will receive 100% of the consolidated basis net income generated by the WFTL Assigned Contracts and 100% consolidated net income of Sparrow Tech Private Limited. On October 28, 2025, the WFTL Assigned Contracts were assumed by AGTL, which is also a wholly owned subsidiary of Amber Group and an affiliate of ours, and Amber Match Limited, one of our wholly owned subsidiaries, entered into intercompany services agreement with AGTL to replace its previous agreement with WFTL on substantially the same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obtained certain local regulatory approvals in Singapore and Dubai. For instance, we became a controller in Sparrow Tech Private Limited in April 2025 and Amber Premium FZE received the VASP license from VARA in April 2026. The DWM Asset Restructuring is still ongoing, as certain required local regulatory approvals have not been obtained. We cannot assure you that we may obtain the regulatory approval in relation to DWM Asset Restructuring in a timely manner or at all. In the absence of such regulatory approvals, we will continue relying on the intercompany services agreement to receive the 100% of the consolidated basis net income generated by the intercompany services agreement with AGTL. The counterparty to Framework Agreement and the intercompany service agreement may not perform their obligations under the contracts and the contractual arrangement does not afford us with control over their business operations, all of which could lead to material adverse effect on the Company’s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institutional crypto financial services and solutions business is nascent, not fully proven by market and subject to material legal, regulatory, operational, reputational, tax and other risks in the jurisdictions where we operate and are not assured to be profitable.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institutional crypto financial services and solutions business is nascent, not fully proven by market and subject to material legal, regulatory, operational, reputational, tax and other risks in every jurisdiction and are not assured to be profitable. We may fail to be able to implement investment or trading strategies, develop our business lines or produce a return for our investors. We have chosen to pursue a number of different businesses in this evolving industry and in different jurisdictions. It is possible that some of these businesses or jurisdictions may be difficult to enter and/or it may become evident that a particular business is not a productive use of capital or time. This could lead it to modify our businesses and focus.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launch new lines of business, offer new products and services within existing lines of business or undertake other strategic projects. There are substantial risks and uncertainties associated with these efforts and we would invest significant capital and resources in such efforts. Also, the volatile nature of the onchain economy makes it difficult to evaluate our current business and future prospects. Regulatory requirements can affect whether initiatives are able to be brought to market in a manner that is timely and attractive to our clients. Initial timetables for the development and introduction of new lines of business, products or services and price and profitability targets may not be met.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revenue is highly dependent on digital asset prices, trading volumes and market liquidity, all of which are subject to extreme volatility.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the substantial majority of our revenue from commissions and execution fees charged on clients’ purchase, sale, and trading of digital assets, which primarily include Bitcoin and Ethereum. These fees are typically either flat or calculated as a percentage of transaction value. A sustained decline in digital asset prices, trading volumes, or overall market liquidity would directly and materially reduce our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 prices have exhibited extreme historical volatility. For example, Bitcoin experienced drawdowns exceeding 70% in multiple market cycles such as in 2018 and 2022, and similar sharp corrections occurred in 2025 amid macroeconomic tightening, interest rate changes and sector-specific events. Such volatility can be driven by macroeconomic factors (interest rates, inflation, monetary policy), regulatory announcements, technological developments, market sentiment, large-scale liquidations, or incidents at major platforms. There is no assurance that digital asset prices or institutional trading activity will recover to or maintain prior levels. The price and trading volume of any digital asset is subject to significant uncertainty and volatility, and may significantly decline in the future, without recovery. Such uncertainty and volatility depend on a number of factors, including: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market conditions of, and overall sentiment towards, digital assets and the onchain economy, including, but not limited to, as a result of actions taken by or developments of other companies in the onchain economy (for example, smart contract hacks or protocol failures encountered by other companies in the onchain economy). See “—Risks Related to Cryptocurrencies and Digital Assets;”</w:t>
            </w:r>
          </w:p>
        </w:tc>
      </w:tr>
    </w:tbl>
    <w:tbl>
      <w:tblPr>
        <w:tblW w:w="4746" w:type="dxa"/>
        <w:jc w:val="left"/>
        <w:tblInd w:w="0" w:type="dxa"/>
        <w:tblLayout w:type="fixed"/>
        <w:tblCellMar>
          <w:top w:w="0" w:type="dxa"/>
          <w:left w:w="0" w:type="dxa"/>
          <w:bottom w:w="0" w:type="dxa"/>
          <w:right w:w="0"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liquidity, volume, and trading activities;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trading activities on digital asset trading platforms worldwide, many of which may be unregulated, and may include manipulative activities;</w:t>
            </w:r>
          </w:p>
        </w:tc>
      </w:tr>
    </w:tbl>
    <w:tbl>
      <w:tblPr>
        <w:tblW w:w="9711" w:type="dxa"/>
        <w:jc w:val="left"/>
        <w:tblInd w:w="0" w:type="dxa"/>
        <w:tblLayout w:type="fixed"/>
        <w:tblCellMar>
          <w:top w:w="0" w:type="dxa"/>
          <w:left w:w="0" w:type="dxa"/>
          <w:bottom w:w="0" w:type="dxa"/>
          <w:right w:w="0"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investment and trading activities of highly active retail and institutional users, speculators, miners, and investors;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speed and rate at which cryptocurrency is able to gain adoption as a medium of exchange, utility, store of value, consumptive asset, security instrument, or other financial assets worldwide, if at all;</w:t>
            </w:r>
          </w:p>
        </w:tc>
      </w:tr>
    </w:tbl>
    <w:tbl>
      <w:tblPr>
        <w:tblW w:w="7236" w:type="dxa"/>
        <w:jc w:val="left"/>
        <w:tblInd w:w="0" w:type="dxa"/>
        <w:tblLayout w:type="fixed"/>
        <w:tblCellMar>
          <w:top w:w="0" w:type="dxa"/>
          <w:left w:w="0" w:type="dxa"/>
          <w:bottom w:w="0" w:type="dxa"/>
          <w:right w:w="0"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8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decreased user and investor confidence in digital assets and digital asset platforms;</w:t>
            </w:r>
          </w:p>
        </w:tc>
      </w:tr>
    </w:tbl>
    <w:tbl>
      <w:tblPr>
        <w:tblW w:w="5691" w:type="dxa"/>
        <w:jc w:val="left"/>
        <w:tblInd w:w="0" w:type="dxa"/>
        <w:tblLayout w:type="fixed"/>
        <w:tblCellMar>
          <w:top w:w="0" w:type="dxa"/>
          <w:left w:w="0" w:type="dxa"/>
          <w:bottom w:w="0" w:type="dxa"/>
          <w:right w:w="0"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3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negative publicity and events relating to the onchain economy;</w:t>
            </w:r>
          </w:p>
        </w:tc>
      </w:tr>
    </w:tbl>
    <w:tbl>
      <w:tblPr>
        <w:tblW w:w="10116" w:type="dxa"/>
        <w:jc w:val="left"/>
        <w:tblInd w:w="0" w:type="dxa"/>
        <w:tblLayout w:type="fixed"/>
        <w:tblCellMar>
          <w:top w:w="0" w:type="dxa"/>
          <w:left w:w="0" w:type="dxa"/>
          <w:bottom w:w="0" w:type="dxa"/>
          <w:right w:w="0"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7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unpredictable social media coverage or “trending” of, or other rumors and market speculation regarding, digital assets;</w:t>
            </w:r>
          </w:p>
        </w:tc>
      </w:tr>
    </w:tbl>
    <w:tbl>
      <w:tblPr>
        <w:tblW w:w="5631" w:type="dxa"/>
        <w:jc w:val="left"/>
        <w:tblInd w:w="0" w:type="dxa"/>
        <w:tblLayout w:type="fixed"/>
        <w:tblCellMar>
          <w:top w:w="0" w:type="dxa"/>
          <w:left w:w="0" w:type="dxa"/>
          <w:bottom w:w="0" w:type="dxa"/>
          <w:right w:w="0"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2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ability for digital assets to meet user and investor demands;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functionality and utility of digital assets and their associated ecosystems and networks, including digital assets designed for use in various applications;</w:t>
            </w:r>
          </w:p>
        </w:tc>
      </w:tr>
    </w:tbl>
    <w:tbl>
      <w:tblPr>
        <w:tblW w:w="7356" w:type="dxa"/>
        <w:jc w:val="left"/>
        <w:tblInd w:w="0" w:type="dxa"/>
        <w:tblLayout w:type="fixed"/>
        <w:tblCellMar>
          <w:top w:w="0" w:type="dxa"/>
          <w:left w:w="0" w:type="dxa"/>
          <w:bottom w:w="0" w:type="dxa"/>
          <w:right w:w="0"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9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consumer preferences and perceived value of digital assets and digital asset markets;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increased competition from other payment services or other digital assets that exhibit better speed, security, scalability, or other characteristics;</w:t>
            </w:r>
          </w:p>
        </w:tc>
      </w:tr>
    </w:tbl>
    <w:tbl>
      <w:tblPr>
        <w:tblW w:w="6831" w:type="dxa"/>
        <w:jc w:val="left"/>
        <w:tblInd w:w="0" w:type="dxa"/>
        <w:tblLayout w:type="fixed"/>
        <w:tblCellMar>
          <w:top w:w="0" w:type="dxa"/>
          <w:left w:w="0" w:type="dxa"/>
          <w:bottom w:w="0" w:type="dxa"/>
          <w:right w:w="0"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regulatory or legislative changes and updates affecting the onchain economy;</w:t>
            </w:r>
          </w:p>
        </w:tc>
      </w:tr>
    </w:tbl>
    <w:tbl>
      <w:tblPr>
        <w:tblW w:w="8061" w:type="dxa"/>
        <w:jc w:val="left"/>
        <w:tblInd w:w="0" w:type="dxa"/>
        <w:tblLayout w:type="fixed"/>
        <w:tblCellMar>
          <w:top w:w="0" w:type="dxa"/>
          <w:left w:w="0" w:type="dxa"/>
          <w:bottom w:w="0" w:type="dxa"/>
          <w:right w:w="0"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6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characterization of digital assets under the laws of various jurisdictions around the world;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maintenance, troubleshooting, and development of the blockchain networks underlying digital assets, including by miners, validators, and developers worldwide;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ability for cryptocurrency networks to attract and retain miners or validators to secure and confirm transactions accurately and efficiently;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ongoing technological viability and security of digital assets and their associated smart contracts, applications and networks, including vulnerabilities against hacks and scalability;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fees and speed associated with processing digital asset transactions, including on the underlying blockchain networks and on digital asset trading platforms;</w:t>
            </w:r>
          </w:p>
        </w:tc>
      </w:tr>
    </w:tbl>
    <w:tbl>
      <w:tblPr>
        <w:tblW w:w="3831" w:type="dxa"/>
        <w:jc w:val="left"/>
        <w:tblInd w:w="0" w:type="dxa"/>
        <w:tblLayout w:type="fixed"/>
        <w:tblCellMar>
          <w:top w:w="0" w:type="dxa"/>
          <w:left w:w="0" w:type="dxa"/>
          <w:bottom w:w="0" w:type="dxa"/>
          <w:right w:w="0"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strength of market participants;</w:t>
            </w:r>
          </w:p>
        </w:tc>
      </w:tr>
    </w:tbl>
    <w:tbl>
      <w:tblPr>
        <w:tblW w:w="4401" w:type="dxa"/>
        <w:jc w:val="left"/>
        <w:tblInd w:w="0" w:type="dxa"/>
        <w:tblLayout w:type="fixed"/>
        <w:tblCellMar>
          <w:top w:w="0" w:type="dxa"/>
          <w:left w:w="0" w:type="dxa"/>
          <w:bottom w:w="0" w:type="dxa"/>
          <w:right w:w="0"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0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availability and cost of funding and capital;</w:t>
            </w:r>
          </w:p>
        </w:tc>
      </w:tr>
    </w:tbl>
    <w:tbl>
      <w:tblPr>
        <w:tblW w:w="4281" w:type="dxa"/>
        <w:jc w:val="left"/>
        <w:tblInd w:w="0" w:type="dxa"/>
        <w:tblLayout w:type="fixed"/>
        <w:tblCellMar>
          <w:top w:w="0" w:type="dxa"/>
          <w:left w:w="0" w:type="dxa"/>
          <w:bottom w:w="0" w:type="dxa"/>
          <w:right w:w="0"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9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liquidity of digital asset trading platforms;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interruptions or temporary suspensions or other compulsory restrictions in products or services from or failures of major digital asset platforms;</w:t>
            </w:r>
          </w:p>
        </w:tc>
      </w:tr>
    </w:tbl>
    <w:tbl>
      <w:tblPr>
        <w:tblW w:w="6081" w:type="dxa"/>
        <w:jc w:val="left"/>
        <w:tblInd w:w="0" w:type="dxa"/>
        <w:tblLayout w:type="fixed"/>
        <w:tblCellMar>
          <w:top w:w="0" w:type="dxa"/>
          <w:left w:w="0" w:type="dxa"/>
          <w:bottom w:w="0" w:type="dxa"/>
          <w:right w:w="0"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7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availability of an active derivatives market for various digital assets;</w:t>
            </w:r>
          </w:p>
        </w:tc>
      </w:tr>
    </w:tbl>
    <w:tbl>
      <w:tblPr>
        <w:tblW w:w="7701" w:type="dxa"/>
        <w:jc w:val="left"/>
        <w:tblInd w:w="0" w:type="dxa"/>
        <w:tblLayout w:type="fixed"/>
        <w:tblCellMar>
          <w:top w:w="0" w:type="dxa"/>
          <w:left w:w="0" w:type="dxa"/>
          <w:bottom w:w="0" w:type="dxa"/>
          <w:right w:w="0"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3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availability of banking and payment services to support cryptocurrency-related projects;</w:t>
            </w:r>
          </w:p>
        </w:tc>
      </w:tr>
    </w:tbl>
    <w:tbl>
      <w:tblPr>
        <w:tblW w:w="3366" w:type="dxa"/>
        <w:jc w:val="left"/>
        <w:tblInd w:w="0" w:type="dxa"/>
        <w:tblLayout w:type="fixed"/>
        <w:tblCellMar>
          <w:top w:w="0" w:type="dxa"/>
          <w:left w:w="0" w:type="dxa"/>
          <w:bottom w:w="0" w:type="dxa"/>
          <w:right w:w="0"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level of interest rates and inflation;</w:t>
            </w:r>
          </w:p>
        </w:tc>
      </w:tr>
    </w:tbl>
    <w:tbl>
      <w:tblPr>
        <w:tblW w:w="7686" w:type="dxa"/>
        <w:jc w:val="left"/>
        <w:tblInd w:w="0" w:type="dxa"/>
        <w:tblLayout w:type="fixed"/>
        <w:tblCellMar>
          <w:top w:w="0" w:type="dxa"/>
          <w:left w:w="0" w:type="dxa"/>
          <w:bottom w:w="0" w:type="dxa"/>
          <w:right w:w="0"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3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monetary policies of governments, trade restrictions, and fiat currency devaluations; and</w:t>
            </w:r>
          </w:p>
        </w:tc>
      </w:tr>
    </w:tbl>
    <w:tbl>
      <w:tblPr>
        <w:tblW w:w="5526" w:type="dxa"/>
        <w:jc w:val="left"/>
        <w:tblInd w:w="0" w:type="dxa"/>
        <w:tblLayout w:type="fixed"/>
        <w:tblCellMar>
          <w:top w:w="0" w:type="dxa"/>
          <w:left w:w="0" w:type="dxa"/>
          <w:bottom w:w="0" w:type="dxa"/>
          <w:right w:w="0"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national and international economic and political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assurance that any digital asset will maintain its value or that there will be meaningful levels of trading activities. In the event that the price of digital assets or the demand for trading digital assets decline, our business, operating results, and financial condition would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particular digital asset, product, or service’s status as a “security” in any relevant jurisdiction is subject to a high degree of uncertainty and if we are unable to properly characterize a digital asset or product offering, we may be subject to regulatory scrutiny, investigations, fines, and other penalties, which may adversely affect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jurisdictions have taken a broad-based approach to classifying digital assets, products, and services as “securities,” while other jurisdictions, such as Switzerland, Malta, and Singapore, have adopted a narrower approach. As a result, certain digital assets, products, or services may be deemed to be a “security” under the laws of some jurisdictions but not others. Various jurisdictions may, in the future, adopt additional laws, regulations, or directives that affect the characterization of digital assets, products, or services as “securities.” The classification of a digital asset as a security under applicable law has wide-ranging implications for the regulatory obligations that flow from the offer, sale, trading, and clearing of such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procedures to analyze whether each digital asset, products, or services that we seek to support could be deemed to be a “security” under applicable laws. Our procedures do not constitute a legal standard, but rather represent our company-developed metrics, which permit us to make a risk-based assessment regarding the likelihood that a particular digital asset could be deemed a “security” under applicable laws. Regardless of our conclusions, we could be subject to legal or regulatory action in the event a regulatory authority, or a court having final determinative authority on the topic, were to determine that a supported digital asset, product, or service currently offered, sold, or traded on our platform is a “security” under applicable laws. We believe that our process reflects a comprehensive and thoughtful analysis and is reasonably designed to facilitate consistent application of available legal guidance to digital assets to facilitate informed risk-based business judgment. However, we recognize that the application of securities laws to the specific facts and circumstances of digital assets may be complex and subject to change, and that a listing determination does not guarantee any conclusion under the relevant securities laws. We expect our risk assessment policies and procedures to continuously evolve to take into account case law, facts, and developments in technology.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assurances that we will properly characterize any given digital asset, product, or service as a security or non-security, or that the regulatory authorities, or a court, if the question was presented to it, would agree with our assessment. If a regulatory authority or a court were to determine that a supported digital asset, product, or service currently offered, sold, or traded on our platform is a security, we would not be able to offer such digital asset as part of our products or services until we are able to do so in a compliant manner. In addition, we could be subject to judicial or administrative sanctions for failing to offer or sell the digital asset in compliance with legal requirements, or for acting as an unregistered broker, dealer, or securities exchange. Such an action could result in injunctions, cease and desist orders, as well as civil monetary penalties, fines, and disgorgement, criminal liability, and reputational harm. Clients that traded such supported digital assets through us and suffered trading losses could also seek to rescind such transaction on the basis that they were conducted in violation of applicable law, which could subject us to significant liability. Furthermore, if we remove any assets from our products or services, our decision may be unpopular with users and may reduce our ability to attract and retain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if Bitcoin, Ethereum, stablecoins, or any other supported digital asset is deemed to be a security under any jurisdiction, or in a proceeding in a court of law or otherwise, it may have adverse consequences for such supported digital asset. For instance, all transactions in such supported digital asset would have to be registered with the relevant authority, or conducted in accordance with an exemption from registration, which could severely limit its liquidity, usability and transactability. Moreover, the networks on which such supported digital assets are utilized may be required to be regulated as securities intermediaries, and subject to applicable rules, which could effectively render the network impracticable for its existing purposes. Further, it could draw negative publicity and a decline in the general acceptance of the digital asset. Also, it may make it difficult for such supported digital asset to be traded, cleared, and custodied as compared to other digital assets that are not considered to be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develop, maintain and enhance our brand and reputation, our business operating results and financial condition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brand and reputation are key assets and a competitive advantage, and maintaining a strong brand and reputation will be an important factor in the success and the development of our business. Protecting and enhancing our brand depends largely on the success of our marketing efforts, our ability to provide consistent, high-quality, and secure products, services, features, and support, and our ability to successfully secure, maintain and defend our rights to use our corporate names, logos, and other trademarks important to our brand. Thus, maintaining, protecting, and enhancing our reputation is also important to our development plans and relationships with our partners and counterparties. Furthermore, we believe that the importance of our brand and reputation may increase as competition in both the traditional financial services industry and the digital asset industry further intensifies. Our brand and reputation could be harmed if we fail to achieve these objectives or if our public image were to be tarnished by negative publicity, unexpected events, or actions by third parties. Unfavorable publicity regarding, for example, the quality of or changes to our products and services, litigation or regulatory activity, privacy practices, data security compromises or breaches, terms of service, employment matters, the use of our products, services, or supported digital assets for illicit or objectionable ends, the actions of our clients, employees, or the actions of other companies that provide similar services to ours, has in the past, and could in the future, adversely affect our reputation and our business.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actions by, or unfavorable publicity about, our founders, key executives, or prominent employees may directly and adversely impact our corporate brand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broadly, because the digital asset and blockchain technology sectors are relatively nascent, public opinion is underdeveloped and will continue to evolve over time. Unfavorable media coverage in relation to the digital asset industry may adversely impact our business, our operating results and the value of any investment in it. If we fail to protect our brand image or reputation, we may experience material adverse effects to the size, demographics, engagement, and loyalty of our clients and counterparties, resulting in decreased revenue, which could adversely affect our business, operating results, and financial condition. For further discussion of these risks, please see “—Risks Related to Cryptocurrencies and Digital Assets—Due to a lack of familiarity and some negative publicity associated with digital asset-related companies, existing and potential clients, counterparties and regulators may lose confidence in digital asset management companies.”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compete effectively, which could materially and adversely affect our business, financial condition, results of operations and prospects, as well as our reputation and brand.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onchain economy is highly innovative, rapidly evolving, and characterized by experimentation, changing client needs, frequent introductions of new products and services, and subject to uncertain and evolving industry and regulatory requirements. We expect competition to further intensify in the future as existing players enhance their offerings and new entrants emerge. We face significant competition globally from a variety of market participants. Our main competition falls into the following categories: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Traditional financial technology and brokerage firms that have entered the digital asset wealth management market in recent years and offer overlapping features tailored to similar client segments;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Companies focused on the digital asset market, some of whom choose to operate in jurisdictions with less stringent local rules and regulations and are potentially able to more quickly adapt to market trends, support a broader range of digital assets, and develop new digital asset-based products and services due to a different standard of regulatory scrutiny and compliance costs;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Crypto-native companies and traditional financial incumbents that offer point or siloed solutions specifically targeted at institutional or niche clients;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Decentralized and non-custodial platforms (DeFi), which facilitate trading and lending without relying on a centralized intermediary.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innovative start-up companies and larger incumbents have made, and continue to make, significant investments in research and development, and we expect these companies to continue to develop similar or superior products and technologies that compete with ours. Further, more traditional financial and non-financial services businesses may choose to offer digital asset-based services in the future as the industry gains mainstream adoption. Our current and potential competitors may establish cooperative relationships among themselves or with third parties that may further enhance their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existing competitors have, and our potential competitors are expected to have, certain competitive advantages over us, including:</w:t>
      </w:r>
    </w:p>
    <w:tbl>
      <w:tblPr>
        <w:tblW w:w="8376" w:type="dxa"/>
        <w:jc w:val="left"/>
        <w:tblInd w:w="0" w:type="dxa"/>
        <w:tblLayout w:type="fixed"/>
        <w:tblCellMar>
          <w:top w:w="0" w:type="dxa"/>
          <w:left w:w="0" w:type="dxa"/>
          <w:bottom w:w="0" w:type="dxa"/>
          <w:right w:w="0"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greater name recognition, longer operating histories, larger client bases, and larger market shares;</w:t>
            </w:r>
          </w:p>
        </w:tc>
      </w:tr>
    </w:tbl>
    <w:tbl>
      <w:tblPr>
        <w:tblW w:w="10161" w:type="dxa"/>
        <w:jc w:val="left"/>
        <w:tblInd w:w="0" w:type="dxa"/>
        <w:tblLayout w:type="fixed"/>
        <w:tblCellMar>
          <w:top w:w="0" w:type="dxa"/>
          <w:left w:w="0" w:type="dxa"/>
          <w:bottom w:w="0" w:type="dxa"/>
          <w:right w:w="0"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7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operations in certain jurisdictions with lower compliance costs and greater flexibility to explore new product offerings;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significantly larger financial, technological, marketing, and other resources, allowing them to devote greater efforts to the development and promotion of their platforms;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established core business models outside of the digital asset industry, allowing them to operate on lesser margins or at a loss to acquire market share; and</w:t>
            </w:r>
          </w:p>
        </w:tc>
      </w:tr>
    </w:tbl>
    <w:tbl>
      <w:tblPr>
        <w:tblW w:w="5781" w:type="dxa"/>
        <w:jc w:val="left"/>
        <w:tblInd w:w="0" w:type="dxa"/>
        <w:tblLayout w:type="fixed"/>
        <w:tblCellMar>
          <w:top w:w="0" w:type="dxa"/>
          <w:left w:w="0" w:type="dxa"/>
          <w:bottom w:w="0" w:type="dxa"/>
          <w:right w:w="0"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4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greater resources to make acquisitions or form strategic alliances.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response to competition, our competitors may be better at developing new products, responding more quickly to new digital asset developments, and undertaking more extensive marketing campaigns. Consequently, we may have to lower and/or adjust the various fees that we charge to our clients or significantly increase our operating expenses and capital expenditures to attract and retain clients, which could materially and adversely affect our business, profit margins and results of operations. If we are not able to compete effectively, the level of digital asset transaction activities and user engagement on our platform may decrease and our market share may be negatively affected, which could materially and adversely affect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inquiries, investigations, and enforcement actions by regulators and governmental authorities worldwide, including those related to sanctions, export control, and anti-money laundering.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continue to expand our business worldwide, we have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their scrutiny of digital asset exchanges over time. Moreover, laws regulating financial services, the internet, mobile technologies, digital assets, AI, and related technologies outside of the United States are highly evolving, extensive and often impose different, more specific, or even conflicting obligations on us, as well as broader liability. In addition, it is required to comply with laws and regulations related to economic sanctions and export controls enforced by the U.S. Department of the Treasury’s Office of Foreign Assets Control (“OFAC”), the U.S. Department of Commerce’s Bureau of Industry and Security, and U.S. anti-money laundering and counter-terrorist financing laws and regulations, enforced by FinCEN and certain state financial services regulators. U.S. sanctions and export control laws and regulations generally restrict dealings by persons subject to U.S. jurisdiction with certain jurisdictions that are the target of comprehensive embargoes, as well as with persons, entities, and governments identified on certain prohibited party lists. Nonetheless, there can be no guarantee that our compliance program will prevent transactions with particular persons or addresses or prevent every potential violation of OFAC sanctions.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are working to implement additional controls and screening tools designed to prevent sanctions violations, there is no guarantee that we will not inadvertently provide access to our products and services to sanctioned parties or jurisdictions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Regulators worldwide frequently study each other’s approaches to the regulation of the onchain economy. Consequently, developments in any jurisdiction may influence other jurisdictions. New developments in one jurisdiction may be extended to additional services and other jurisdictions. As a result, the risks created by any new law or regulation in one jurisdiction are magnified by the potential that they may be replicated, affecting our business in another place or involving another service. Conversely, if regulations diverge worldwide, we may face difficulty adjusting our products, services, and other aspects of our business with the same effect. These risks are heightened as we face increased competitive pressure from other similarly situated businesses that engage in regulatory arbitrage to avoid the compliance costs associated with regulatory changes.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complexity of international regulatory and enforcement regimes, coupled with the scope of our growing operations in Asia, the Middle East and globally and the evolving global regulatory environment, could result in a single event prompting a large number of overlapping investigations and legal and regulatory proceedings by multiple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regulatory and legal analysis concluding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by us or our third-party custodians to adequately safeguard clients’ digital assets could result in significant losses and severely damage our business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rely on third-party institutional-grade custodians to safekeep the majority of digital assets held on behalf of our clients. Although we maintain robust internal controls and select custodians with strong security practices, digital asset custody remains subject to risks including cyberattacks, insider theft, operational failures, bankruptcy of the custodian, or loss of private keys. Unlike traditional financial assets, digital assets generally lack comprehensive insurance coverage, and historical incidents (including major exchange and custodian failures) have resulted in permanent asset loss for clients and platforms.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such event — whether at our own systems or at a custodian — could lead to client losses, significant compensation claims, regulatory investigations, license suspensions, reputational harm, and loss of institutional client trust, any of which would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deposit, transfer and hold in custody with third-party custodians client funds and digital assets. Our policies, procedures, operational controls and controls over financial reporting are designed to protect us from material risks surrounding commingling of assets, conflicts of interest and the safeguarding of digital assets and client funds deposited, transferred or held in custody with third-party custodians across jurisdictions. In addition, our security technology is designed to prevent, detect, and mitigate inappropriate access to our systems, by internal or external threats.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know-your-customer (“KYC”) and onboarding processes are designed to verify the identity of our clients, manage associated risks and prevent offers and sales of some digital assets and other products and services to certain persons. We believe we have developed and maintained administrative, technical, and physical safeguards designed to comply with applicable legal requirements and industry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our business continues to grow, we must continue to strengthen our associated internal controls and ensure that our third-party custodians and other service providers do the same. Our success and the success of our product offerings require significant confidence in our and our third-party service providers’ ability to properly custody and manage digital asset balances and handle large and growing transaction volumes and amounts of client funds. In addition, we are dependent on our third-party service providers’ operations, liquidity, and financial condition for the proper custody, maintenance, use and safekeeping of these client assets. Any material failure by us or such third-party service providers to maintain the necessary controls, policies, safeguarding procedures, perceived or otherwise, or to manage the digital assets we or they hold for or on behalf of our clients or for our own investment and operating purposes could also adversely impact our business, operating results, and financial condition. Further, any material failure by us or our third-party service providers to maintain the necessary controls or to manage client digital assets and funds appropriately and in compliance with applicable regulatory requirements could result in reputational harm, significant financial losses, lead clients to discontinue or reduce their use of our and our third-party service providers’ products and services, and result in significant penalties and fines and additional restrictions, which could adversely impact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it is possible that hackers, employees or service providers acting contrary to our or our third-party custodians’ policies, or others could circumvent these safeguards to improperly access our systems or documents, or the systems or documents of our third-party service providers or agents, and improperly access, obtain and misuse client digital assets and funds. The methods used to obtain unauthorized access, disable, or degrade service or sabotage systems are also constantly changing and evolving and may be difficult to anticipate or detect for long periods of time. Our and our third-party custodians’ insurance coverage for such impropriety is limited and may not cover the extent of loss nor the nature of such loss, in which case We may be liable for the full amount of losses suffered, which could be greater than all of our assets. Our and our third-party custodians’ ability to maintain insurance is also subject to the insurance carriers’ ongoing underwriting criteria. Any loss of client funds or digital assets could result in a subsequent lapse in insurance coverage, which could cause a substantial business disruption, adverse reputational impact, inability to compete with our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client assets could result in substantial costs to us and require us to notify impacted clients, and in some cases regulators, of a possible or actual incident, expose us to regulatory enforcement actions, including substantial fines, limit our ability to provide services, subject us to litigation, significant financial losses and adversely impact our brand, reputation, business,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cannot keep pace with rapid industry changes to provide new and innovative products and services, the use of our products and services, and consequently our revenue, could decline, which could adversely impact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institutional crypto financial services and solutions industry, and the onchain economy generally, has been characterized by many rapid, significant, and disruptive products and services in recent years. These include decentralized applications, which allow yield farming, staking, token wrapping, governance tokens, innovative programs to attract clients such as transaction fee mining programs, initiatives to attract traders such as trading competitions, airdrops and giveaways, staking reward programs, and novel cryptocurrency fundraising and distribution schemes. We expect new services and technologies to continue to emerge and evolve, which may be superior to, or render obsolete, the products and services that we currently provide. We cannot predict the effects of new services and technologies on our business. However, our ability to grow our client base and revenue will depend in part on our ability to innovate and create successful new products and services, both independently and in conjunction with third-parties. In particular, developing and incorporating new products and services into our business may require substantial expenditures, take considerable time, and ultimately may not be successful. Any new products or services could fail to attract clients, generate revenue, or perform or integrate well with third-party applications and platforms. In addition, our ability to adapt and compete with new products and services may be inhibited by regulatory requirements and general uncertainty in the law, constraints by our financial institution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retain existing clients, and attract new clients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susceptible to risks associated with international operations, including risks associated with difficulties, delays or failures in obtaining and/or maintaining the regulatory approvals, permissions, authorizations, licenses or consents that may be required to offer certain products or services in one or more international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have subsidiaries in jurisdictions, such as Singapore, Hong Kong and Dubai. We plan to enter into or increase our presence in additional markets around the world, and any inability or failure to adequately exploit opportunities for international expansion, may harm our business and adversely affect our revenue. Our ability to manage our business and conduct our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we continue to expand our business and client base internationally, we will be increasingly susceptible to risks associated with international operations. These risks and challenges include: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difficulties, delays or failures in obtaining and/or maintaining the regulatory approvals, permissions, authorizations, licenses or consents that may be required to offer certain products or services in one or more international markets. For example, we may not be able to obtain the final regulatory approvals for our license applications in Hong Kong in a timely manner, or at all. Even if we are able to obtain such licenses, our business, financial condition and results of operations may still be adversely affected by the ongoing compliance requirements associated with such licenses. As of December 31, 2025, we had 5,229 Cumulative KYC’ed Users, with Client Assets on Platform of over US$1.3 billion. In connection with our application for a VASP license in Hong Kong and other regions, we have been aligning our user base with enhanced suitability and compliance standards globally. During the first quarter of 2026, we streamlined a portion of client accounts as part of this process to better align with updated regulatory requirements. While this resulted in a planned reduction in total user count, we believe it strengthens our platform’s long-term operational integrity and positions us to attract higher-quality, institutional-grade participation in a regulated environment;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difficulty establishing and managing international operations and the increased operations, travel, infrastructure and legal and compliance costs associated with locations in different countries or regions;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 in the same manner as we do in such other jurisdictions;</w:t>
            </w:r>
          </w:p>
        </w:tc>
      </w:tr>
    </w:tbl>
    <w:tbl>
      <w:tblPr>
        <w:tblW w:w="8916" w:type="dxa"/>
        <w:jc w:val="left"/>
        <w:tblInd w:w="0" w:type="dxa"/>
        <w:tblLayout w:type="fixed"/>
        <w:tblCellMar>
          <w:top w:w="0" w:type="dxa"/>
          <w:left w:w="0" w:type="dxa"/>
          <w:bottom w:w="0" w:type="dxa"/>
          <w:right w:w="0"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5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interpretations of local laws and regulations, which may be subject to challenge by local regulators;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difficulties in managing multiple regulatory relationships across different jurisdictions on complex legal and regulatory matters;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we were to engage in any merger or acquisition activity internationally, this is complex and would be new for us and subject to additional regulatory scrutiny;</w:t>
            </w:r>
          </w:p>
        </w:tc>
      </w:tr>
    </w:tbl>
    <w:tbl>
      <w:tblPr>
        <w:tblW w:w="8196" w:type="dxa"/>
        <w:jc w:val="left"/>
        <w:tblInd w:w="0" w:type="dxa"/>
        <w:tblLayout w:type="fixed"/>
        <w:tblCellMar>
          <w:top w:w="0" w:type="dxa"/>
          <w:left w:w="0" w:type="dxa"/>
          <w:bottom w:w="0" w:type="dxa"/>
          <w:right w:w="0"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8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need to vary products, pricing and margins to effectively compete in international markets;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need to adapt and localize products for specific countries, including obtaining rights to third-party intellectual property used in each country;</w:t>
            </w:r>
          </w:p>
        </w:tc>
      </w:tr>
    </w:tbl>
    <w:tbl>
      <w:tblPr>
        <w:tblW w:w="6666" w:type="dxa"/>
        <w:jc w:val="left"/>
        <w:tblInd w:w="0" w:type="dxa"/>
        <w:tblLayout w:type="fixed"/>
        <w:tblCellMar>
          <w:top w:w="0" w:type="dxa"/>
          <w:left w:w="0" w:type="dxa"/>
          <w:bottom w:w="0" w:type="dxa"/>
          <w:right w:w="0"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2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increased competition from local providers of similar products and services;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challenge of positioning our products and services to meet a demand in the local market (also known as “product-market fit”);</w:t>
            </w:r>
          </w:p>
        </w:tc>
      </w:tr>
    </w:tbl>
    <w:tbl>
      <w:tblPr>
        <w:tblW w:w="8136" w:type="dxa"/>
        <w:jc w:val="left"/>
        <w:tblInd w:w="0" w:type="dxa"/>
        <w:tblLayout w:type="fixed"/>
        <w:tblCellMar>
          <w:top w:w="0" w:type="dxa"/>
          <w:left w:w="0" w:type="dxa"/>
          <w:bottom w:w="0" w:type="dxa"/>
          <w:right w:w="0"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7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ability to obtain, maintain, protect, defend and enforce intellectual property rights abroad;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need to offer client support and other aspects of our offering (including websites, articles, blog posts and client support documentation) in various languages;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compliance with anti-bribery laws, such as the Foreign Corrupt Practices Act and equivalent anti-bribery and anti-corruption requirements in local markets, by us, our employees and our business partners, and the potential for increased complexity due to the requirements on us as a group to follow multiple rule 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complexity and other risks associated with current and future legal requirements in other countries, including laws, rules, regulations and other legal requirements related to cybersecurity and data privacy frameworks and labor and employment laws;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need to enter into new business partnerships with third-party service providers in order to provide products and services in the local market, which we may rely upon to be able to provide such products and services or to meet certain regulatory obligations;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varying levels of internet technology adoption and infrastructure, and increased or varying network and hosting service provider costs and differences in technology service delivery in different countries;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fluctuations in currency exchange rates and the requirements of currency control regulations, which might restrict or prohibit conversion of other currencies into our reporting currency;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taxation of our international earnings and potentially adverse tax consequences due to requirements of or changes in the income and other tax laws of the jurisdictions in which we operate; and</w:t>
            </w:r>
          </w:p>
        </w:tc>
      </w:tr>
    </w:tbl>
    <w:tbl>
      <w:tblPr>
        <w:tblW w:w="8616" w:type="dxa"/>
        <w:jc w:val="left"/>
        <w:tblInd w:w="0" w:type="dxa"/>
        <w:tblLayout w:type="fixed"/>
        <w:tblCellMar>
          <w:top w:w="0" w:type="dxa"/>
          <w:left w:w="0" w:type="dxa"/>
          <w:bottom w:w="0" w:type="dxa"/>
          <w:right w:w="0"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2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political or social unrest or economic instability in a specific country or region in which we operate.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clients in new markets. Product adoption and growth rates may vary significantly across different markets. We are subject to income taxes and other taxes in the jurisdictions where we transact or conduct business, and such laws and tax rates vary by jurisdiction. We are subject to review and audit by local and foreign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or any failure to quickly exploit any opportunity for international expansion could harm our international operations in the markets we choose to enter and have an adverse effect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wealth management products that we distribute involve various risks and failure to identify or fully appreciate such risks may negatively affect our reputation, client relationships, results of operations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our clients access to a comprehensive suite of institutional crypto financial services and solutions, catering to the different investment targets and risk preferences of our clients. These products often have complex structures and involve various risks, including default risks, interest risks, liquidity risks, market risks, counterparty risks, fraud risks and other risks. Particularly, certain wealth management offerings, such as those involving staking, yield-generating, or similar reward programs, have increasingly been the target of intense regulatory scrutiny. In addition, we are subject to evolving regulations in relation to digital assets and wealth management products distributed in different jurisdictions. Regulators, including the U.S. Securities and Exchange Commission, have asserted that certain crypto lending, staking, or yield products may constitute unregistered offers and sales of securities. There is no assurance that our operations will be deemed as being in full compliance with such regulations at all times, and we could face sudden enforcement actions, injunctions, or requirements to halt specific product offerings.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in providing institutional crypto financial services and solutions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generally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or shielding us from retroactive regulatory reclassifications of our products. If we fail to identify and fully appreciate the risks associated with the financial products we offer, or if regulatory authorities compel us to suspend or alter our highest-yielding products, or fail to disclose such risks to our clients, or if our clients suffer financial losses or other damages resulting from the financial products we offer, our reputation, client relationships, results of operations and financial conditions will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not obligated to hedge our exposures, and, if we do, hedging transactions may be ineffective or reduce our overall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obligated to, and sometimes may not, hedge our exposures. However, from time to time, we may use a variety of financial instruments and derivatives, such as options, swaps, and forward contracts, for risk management purposes, including to: protect against possible changes in the market value of our investment or trading assets resulting from fluctuations in cryptocurrency markets or securities markets and changes in interest rates; protect our unrealized gains in the value of our investments or trading assets; facilitate the sale of any such assets; enhance or preserve returns, spreads or gains on any trade or investment; hedge the interest-rate or currency-exchange risk on any of our liabilities or assets; protect against any increase in the price of any assets that we anticipate purchasing at a later date; or to any other end that we deem appropriate. The success of any hedging activities by us will depend, in part, on our ability to correctly assess the degree of correlation between the performance of the instruments used in the hedging strategy and the performance of the assets being hedged. Since the characteristics of many assets change as markets change or time passes, the success of our hedging strategy will also be subject to our ability to continually recalculate, readjust and execute hedges in an efficient and timely manner. In addition, while we may enter into hedging transactions with the view to reducing risk, in certain circumstances such transactions may actually increase risk or result in a poorer overall performance for us than if we had not engaged in such hedging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We may make, or otherwise be subject to, trade errors</w:t>
      </w:r>
      <w:r>
        <w:rPr>
          <w:rFonts w:ascii="Times New Roman;Times;serif" w:hAnsi="Times New Roman;Times;serif"/>
          <w:b/>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Errors may occur with respect to trades we executed on clients’ behalf. Trade errors can result from a variety of situations, including, for example, an operational breakdown or failure in the processing of a marketing campaign or when the wrong investment is purchased or sold or when the wrong quantity is purchased or sold or when the execution price is wrong. Trade errors frequently result in losses, which could be material. Errors may result in disputes with clients and thus negatively impact our reputation or lead to our financial losses. To the extent that an error is caused by a third party, we may seek to recover any losses associated with the error, although there may be contractual limitations on any third party’s liability with respect to such error.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trading orders may not be timely executed.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help our clients establish and maintain an overall market position in a combination of financial instruments in the digital asset market. Our trading orders may not be executed in a timely and efficient manner because of various circumstances, including, for example, trading volume surges or systems failures attributable to us or our counterparties, brokers, dealers, agents or other service providers. In such an event, we might only be able to acquire or dispose of some, but not all, of the components of the positions on our clients’ behalf, or if the overall positions were to need adjustments, we might not be able to make such adjustments on our clients’ behalf. As a result, we would not be able to achieve our desired market position, which may result in a loss for our clients. In addition, we can be expected to rely heavily on electronic execution systems (and may rely on new systems and technology in the future), which may be subject to certain systemic limitations or mistakes, causing the interruption of trading orders made by us on our clients’ behalf. Failure to execute orders may lead to disputes and financial losses.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provide collateralized loans to our clients, which exposes us to credit risks and may cause us to incur financial or reputational harm.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collateralized loans to certain clients secured by their digital asset holdings, which exposes us to the risk of our borrowers’ inability to repay such loans or the depreciation of the value of the collateralized assets. In the future, we may enter into credit arrangements with financial institutions to obtain more capital. Any termination or interruption in the financial institutions’ ability to lend to us could interrupt our ability to provide capital to qualified clients to the extent we rely on such credit lines to continue to offer or to grow such products. Further, our credit approval process, pricing, loss forecasting, and scoring models may contain errors or may not adequately assess creditworthiness of our borrowers, or may be otherwise ineffective, resulting in incorrect approvals or denials of loans. It is also possible that loan applicants could provide false or incorrect information. While we have procedures in place to manage our credit risk, such as conducting due diligence on our clients and running stress test simulations to monitor and manage exposures, including any exposures resulting from loans collateralized with digital assets, we remain subject to risks associated with our borrowers’ creditworthiness, the fluctuation of the collateral value, and our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loan loss rates may be significantly affected by economic downturns or general economic conditions beyond our control and beyond the control of individual borrowers. In particular, loss rates on loans may increase due to factors such as prevailing market conditions in the onchain economy, the price of Bitcoin and other digital assets, which have experienced significant fluctuations, the amount of liquidity in the markets, and other factors. Borrowers may seek protection under bankruptcy law or similar laws. If a borrower of a loan files for bankruptcy (or becomes the subject of an involuntary petition), a stay may go into effect that will automatically put any pending collection actions on the loan on hold and prevent further collection action absent bankruptcy court approval. The efficacy of our security interest in client collateral may not be guaranteed under applicable laws and regulations and therefore we may be exposed to loss in the event of a client default, even if we appear to be secured against such default. While we have not incurred any material losses to date, if any of the foregoing events were to occur, our reputation and relationships with borrowers, and our financial results, could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products and services may be exploited to facilitate illegal activity such as fraud, money laundering, gambling, tax evasion, and scams. If any of our clients use our services to further such illegal activities,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and services may be exploited to facilitate illegal activity including fraud, money laundering, gambling, tax evasion, and scams. We or our partners may be specifically targeted by individuals seeking to conduct fraudulent transfers, and it may be difficult or impossible for us to detect and avoid such transactions in certain circumstances. The use of our products and services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activity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client is found responsible for intentionally or inadvertently violating the laws in any jurisdiction, we may be subject to governmental inquiries, enforcement actions, prosecuted, or otherwise held secondarily liable for aiding or facilitating such activities. Changes in law have also increased the penalties for money transmitters for certain illegal activities, and government authorities may consider increased or additional penalties from time to time. Owners of intellectual property rights or government authorities may seek to bring legal action against money transmitters, including us, for involvement in the sale of infringing or allegedly infringing items. Any threatened or resulting claims could result in reputational harm, and any resulting liabilities, loss of transaction volume, or increased costs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while fiat currencies can be used to facilitate illegal activities, digital assets are relatively new and, in many jurisdictions, may be lightly regulated or largely unregulated. Many types of digital assets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asset transactions, and encryption technology that anonymizes these transactions, that make digital assets susceptible to use in illegal activity. Regulatory authorities and law enforcement agencies around the world have taken and continue to take legal action against persons and entities alleged to be engaged in fraudulent schemes or other illicit activity involving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believe that our risk management and compliance framework is designed to detect significant illicit activities conducted by our potential or existing clients, it cannot ensure that it will be able to detect all illegal activity on our platform. If any of our clients use our products and services to further such illegal activities, our business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compliance and risk management methods might not be effective and may result in outcomes that could adversely affect our reputation,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will always be effective.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Our risk management policies and procedures also may not adequately prevent losses due to technical errors if our testing and quality control practices are not effective in preventing failures. In addition, we may elect to adjust our risk management policies and procedures to allow for an increase in risk tolerance, which could expose us to the risk of greater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Regulators periodically review our compliance with our own policies and procedures and with a variety of laws and regulations. We have received in the past and may from time to time receive examination reports requiring us to enhance certain practices with respect to our compliance program, including due diligence, training, monitoring, reporting, and recordkeeping. We may from time to time in the future receive additional examination reports citing violations of rules and regulations and inadequacies in existing compliance programs. If we fail to comply with these, or do not adequately remediate certain findings, regulators could take a variety of actions that could impair our ability to conduct our business, including delaying, denying, withdrawing, or conditioning approval of certain products and services. In addition, we face the risk of significant intervention by regulatory authorities, including extensive examination and surveillance activities. In the case of non-compliance or alleged non-compliance, we could be subject to investigations and proceedings that may result in substantial penalties or civil lawsuits, including by clients. Any of these outcomes would adversely affect our reputation and brand and business, operating results, and financial condition. Some of these outcomes could adversely affect our ability to conduct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Cyberattacks and security breaches of our system, or those impacting our clients or third parties, could adversely impact our brand and reputation and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involves the collection, storage, processing, and transmission of confidential information, client, employee, service provider, and other personal data, as well as information required to access client assets. As a result, any actual or perceived security breach of us or our third-party partners may:</w:t>
      </w:r>
    </w:p>
    <w:tbl>
      <w:tblPr>
        <w:tblW w:w="3051" w:type="dxa"/>
        <w:jc w:val="left"/>
        <w:tblInd w:w="0" w:type="dxa"/>
        <w:tblLayout w:type="fixed"/>
        <w:tblCellMar>
          <w:top w:w="0" w:type="dxa"/>
          <w:left w:w="0" w:type="dxa"/>
          <w:bottom w:w="0" w:type="dxa"/>
          <w:right w:w="0"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6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harm our reputation and brand;</w:t>
            </w:r>
          </w:p>
        </w:tc>
      </w:tr>
    </w:tbl>
    <w:tbl>
      <w:tblPr>
        <w:tblW w:w="6966" w:type="dxa"/>
        <w:jc w:val="left"/>
        <w:tblInd w:w="0" w:type="dxa"/>
        <w:tblLayout w:type="fixed"/>
        <w:tblCellMar>
          <w:top w:w="0" w:type="dxa"/>
          <w:left w:w="0" w:type="dxa"/>
          <w:bottom w:w="0" w:type="dxa"/>
          <w:right w:w="0"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5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result in our systems or services being unavailable and interrupt our operations;</w:t>
            </w:r>
          </w:p>
        </w:tc>
      </w:tr>
    </w:tbl>
    <w:tbl>
      <w:tblPr>
        <w:tblW w:w="7701" w:type="dxa"/>
        <w:jc w:val="left"/>
        <w:tblInd w:w="0" w:type="dxa"/>
        <w:tblLayout w:type="fixed"/>
        <w:tblCellMar>
          <w:top w:w="0" w:type="dxa"/>
          <w:left w:w="0" w:type="dxa"/>
          <w:bottom w:w="0" w:type="dxa"/>
          <w:right w:w="0"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3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result in improper disclosure of data and violations of applicable privacy and other laws;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result in significant regulatory scrutiny, investigations, fines, penalties, and other legal, regulatory, and financial exposure;</w:t>
            </w:r>
          </w:p>
        </w:tc>
      </w:tr>
    </w:tbl>
    <w:tbl>
      <w:tblPr>
        <w:tblW w:w="4326" w:type="dxa"/>
        <w:jc w:val="left"/>
        <w:tblInd w:w="0" w:type="dxa"/>
        <w:tblLayout w:type="fixed"/>
        <w:tblCellMar>
          <w:top w:w="0" w:type="dxa"/>
          <w:left w:w="0" w:type="dxa"/>
          <w:bottom w:w="0" w:type="dxa"/>
          <w:right w:w="0"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9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cause us to incur significant remediation costs;</w:t>
            </w:r>
          </w:p>
        </w:tc>
      </w:tr>
    </w:tbl>
    <w:tbl>
      <w:tblPr>
        <w:tblW w:w="7356" w:type="dxa"/>
        <w:jc w:val="left"/>
        <w:tblInd w:w="0" w:type="dxa"/>
        <w:tblLayout w:type="fixed"/>
        <w:tblCellMar>
          <w:top w:w="0" w:type="dxa"/>
          <w:left w:w="0" w:type="dxa"/>
          <w:bottom w:w="0" w:type="dxa"/>
          <w:right w:w="0"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9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lead to theft or irretrievable loss of our or our clients’ fiat currencies or digital assets;</w:t>
            </w:r>
          </w:p>
        </w:tc>
      </w:tr>
    </w:tbl>
    <w:tbl>
      <w:tblPr>
        <w:tblW w:w="6561" w:type="dxa"/>
        <w:jc w:val="left"/>
        <w:tblInd w:w="0" w:type="dxa"/>
        <w:tblLayout w:type="fixed"/>
        <w:tblCellMar>
          <w:top w:w="0" w:type="dxa"/>
          <w:left w:w="0" w:type="dxa"/>
          <w:bottom w:w="0" w:type="dxa"/>
          <w:right w:w="0"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1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reduce client confidence in, or decreased use of, our products and services;</w:t>
            </w:r>
          </w:p>
        </w:tc>
      </w:tr>
    </w:tbl>
    <w:tbl>
      <w:tblPr>
        <w:tblW w:w="6246" w:type="dxa"/>
        <w:jc w:val="left"/>
        <w:tblInd w:w="0" w:type="dxa"/>
        <w:tblLayout w:type="fixed"/>
        <w:tblCellMar>
          <w:top w:w="0" w:type="dxa"/>
          <w:left w:w="0" w:type="dxa"/>
          <w:bottom w:w="0" w:type="dxa"/>
          <w:right w:w="0"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8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divert the attention of management from the operation of our business;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result in significant compensation or contractual penalties from us to our clients or third parties as a result of losses to them or claims by them;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41" w:type="dxa"/>
        <w:jc w:val="left"/>
        <w:tblInd w:w="0" w:type="dxa"/>
        <w:tblLayout w:type="fixed"/>
        <w:tblCellMar>
          <w:top w:w="0" w:type="dxa"/>
          <w:left w:w="0" w:type="dxa"/>
          <w:bottom w:w="0" w:type="dxa"/>
          <w:right w:w="0"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adversely affect our business and operating results.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any actual or perceived breach or cybersecurity attack directed at other financial institutions or digital asset companies, whether or not we are directly impacted, could lead to a general loss of client confidence in the onchain economy or in the use of technology to conduct financial transactions, which could negatively impact us, including the market perception of the effectiveness of our security measures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Attacks upon systems across a variety of industries, including the digital asset industry, are increasing in their frequency, persistence, magnitude, and sophistication, and, in many cases, are being conducted by sophisticated, well-funded, and organized groups and individuals, including state actors. The techniques used to obtain unauthorized, improper, or illegal access to systems and information (including clients’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clients, partners, and third-party service providers, through various means, including hacking, social engineering, phishing, and attempting to fraudulently induce individuals (including employees, service providers, and our clients) into disclosing usernames, passwords, payment card information, or other sensitive information, which may in turn be used to access our information technology systems and clients’ digital assets.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broader adoption, use, and commercialization of AI technology, and the continued rapid pace of developments in the AI field, are inherently uncertain.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actively exploring and developing initiatives related to AI as part of our growth strategy. For instance, MIA, our first in-house developed AI agent, has been deployed externally for content generation, social media consistency, and investor engagement, and internally as a proactive workspace assistant accelerating workflows via a proprietary skill hub and secure internal database. We intend to leverage AI technologies to enhance our investment strategies and risk management processes. AI has been developing at a rapid pace, and continues to evolve and change. If we are unable to keep up with the changing AI landscape or in developing services to meet our customers’ evolving AI needs, or if the AI landscape does not develop to the extent we expect, our business, operating results, financial condition, and future prospects may be adversely impacted. Additionally, we may incur significant costs and experience significant delays in developing new products and services to adapt to the changing AI landscape, and may not achieve a return on investment or capitalize on the opportunities presented by demand for AI solutions. Moreover, while AI adoption is likely to continue and may accelerate, the long-term trajectory of this technological trend is uncertain, and market acceptance, understanding, and valuation of solutions and services that incorporate AI technologies are uncertain.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Furthermore, the rapid pace of innovation in the field of AI has led to developing and evolving regulatory frameworks globally, which are expected to become increasingly complex as AI continues to evolve. Regulators and lawmakers around the world have started proposing and adopting, or are currently considering, regulations and guidance specifically on the use of AI. Regulations related to AI Technologies have been introduced in the United States at the federal level and are also enacted and advancing at the state level. Additional regulations may impact our ability to develop, use and commercialize AI, which may affect our business, operating results, financial condition, and future prospects.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trading activities may expose us to counterparty credit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Credit risk is the risk that a counterparty will be unable or unwilling to satisfy payment or delivery obligations when due. We are exposed to the risk that third parties, including trading counterparties, clearing agents, trading platforms, decentralized finance protocols, custodians, administrators and other financial intermediaries that may owe us money, securities or other assets will not perform their obligations. Any of these parties might default on their obligations to us because of bankruptcy, lack of liquidity, operational failure or other reasons, in which event we may lose all or substantially all of the value of any such investment or trading transaction. When we trade on digital asset trading platforms that specialize in digital asset futures and derivatives, we are exposed to the credit risk of that digital asset trading platform.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derivatives, we may invest in options on digital assets. Purchasing and writing put and call options are highly specialized activities that entail greater-than-ordinary investment risks. An uncovered call writer’s loss is theoretically unlimited. Unlike exchange-traded options, which are standardized with respect to the underlying instrument, expiration date, contract size and strike price, the terms of over-the-counter options (options not traded on exchanges) are generally established through negotiation with the other party to the option contract. While this type of arrangement allows greater flexibility to tailor an option, over-the-counter options generally involve greater credit risk than exchange-traded options, which are guaranteed by the clearing organization of the exchanges where they are traded. While the availability of exchange-traded and over-the-counter options on digital assets has expanded in recent years, the market for such options remains less developed than for more established asset classes, and terms may be less favorable or less liquid in comparison. We also enter into other structured derivative products, including accumulators and decumulators, which may give rise to additional counterparty credit risks depending on the applicable margining and custody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seek to mitigate counterparty credit risk in our structured products and derivatives activities through measures such as full collateralization of customer exposures, margining arrangements with hedging counterparties and controlled custody structures, certain of our hedging arrangements with counterparties are partially collateralized, and accordingly we are exposed to the credit risk of such counterparties. Even where mitigation measures are in place, we remain subject to counterparty credit risk on premium receivables, settlement timing differences, mark-to-market exposures on prepaid margin amounts and operational risks, including execution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or bankruptcy of any of our centralized clearing agents (or futures commission merchants) could result in a substantial loss of our assets. If a centralized clearing agent is unable to satisfy a substantial deficit in a client account, our other clients may be subject to risk of loss of their funds in the event of that centralized clearing agent’s bankruptcy. In such an event, the centralized clearing agent’s clients, such as us, are entitled to recover, even in respect of property specifically traceable to them, only a proportional share of all property available for distribution to all of that centralized clearing agent’s clients.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are reliant on technology provided by third parties which are out of our direct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aspects of our operations are reliant on technology, including hardware, software and telecommunications systems. Significant parts of the technology used in the management of each client may be provided by third parties and are therefore beyond our direct control. Forecasting, trade execution, data gathering, risk management, portfolio management, information technology infrastructure and support, compliance and accounting systems all are designed to depend upon a high degree of automation and computerization. Although we seek, on an ongoing basis, to ensure adequate backups of software and hardware where possible and will attempt to conduct adequate due diligence and monitoring of providers, if such efforts are unsuccessful or inadequate,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a client may be materially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we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our direct control. It is also possible that such technology could be compromised by a third party, including through the use of malicious software or programs, such as viruses, which may expose the Company and a client to theft (of data or other assets) and/or significant business interruption. In addition, a software provider may cease operations or be relatively thinly capitalized and our and a client’s ability to be made whole after any loss may be compromised as a result.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relies on third-party service providers and subjects us to risks that we may not be able to control or remediate.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could be interrupted if our third-party service providers experience operational or other systems difficulties, terminate their services or fail to comply with regulations. We outsource some of our operational activities and accordingly depend on relationships with many third-party service providers. Specifically, we rely on third parties for certain services, including, but not limited to, legal, accounting, custodying and other financial operations, trade related activity, IT infrastructure and systems, trade reconciliation, and margin and collateral movement. Our business depends on the successful and uninterrupted functioning of our information technology and telecommunications systems and third-party service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 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our business, financial condition and results of operations could be adversely affected. Should we be required to replace third-party service providers, it may be at a higher cost to us, which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inability to maintain adequate relationships with third-party banks and trading venues with respect to, and any inability to settle client trades related to, our cryptocurrency offerings, may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cryptocurrency market operates 24 hours a day, seven days a week. The cryptocurrency market does not have a centralized clearinghouse, and transactions in cryptocurrencies rely on direct settlements between third parties after trades are executed. Accordingly, we rely on third-party banks to facilitate cash settlements between clients and us and rely on the ability of our trading venues to complete cryptocurrency settlements. In addition, we must maintain cash assets in our bank accounts sufficient to meet the working capital needs of our business, which includes deploying available working capital to facilitate cash settlements between us and our clients and certain trading venues. If third-party banks or trading venues have operational failures and cannot perform and facilitate our routine cash and cryptocurrency settlement transactions, we will be unable to support normal cryptocurrency trading operations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our trading activity, such failure could impair our ability to support normal trading operations and these disruptions could have an adverse impact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harmed by the loss of any of our financial institution partners and trading venues. As a result of the many regulations applicable to cryptocurrencies or the risks of digital assets generally, many financial institutions have decided, and other financials may in the future decide, to not provide bank accounts (or access to bank accounts), payments services or other financial services to companies providing cryptocurrency products, including us. Similarly, a number of such companies have had their existing bank accounts closed by their banks. Banks may refuse to provide bank accounts and other banking services to digital asset-related companies, including us, for a number of reasons, such as perceived compliance risks or costs. Any inability to procure or keep banking services would have a material and adverse effect on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 regulatory certainty.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which may result in a disruption of our business and could have an adverse impact on our reputation,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obtain and process sensitive client data. Any real or perceived improper use of, disclosure of, or access to such data could harm our reputation, as well as have an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obtain and process sensitive data, including personal data related to our clients and their transactions, such as their names, addresses, trading data, tax identification, and bank account information. We face risks, including to our reputation, in the handling and protection of this data, and these risks will increase as our business continues to expand. International laws and regulations governing privacy, data protection, and e-commerce transactions require us to safeguard our clients’, employees’, and service providers’ personal data. In particular, we face a number of challenges relating to data from transactions and other activities during the course of our business operations, including: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protecting the data in and hosted on our system, including against attacks on our system by external parties or misbehavior by our employees;</w:t>
            </w:r>
          </w:p>
        </w:tc>
      </w:tr>
    </w:tbl>
    <w:tbl>
      <w:tblPr>
        <w:tblW w:w="6171" w:type="dxa"/>
        <w:jc w:val="left"/>
        <w:tblInd w:w="0" w:type="dxa"/>
        <w:tblLayout w:type="fixed"/>
        <w:tblCellMar>
          <w:top w:w="0" w:type="dxa"/>
          <w:left w:w="0" w:type="dxa"/>
          <w:bottom w:w="0" w:type="dxa"/>
          <w:right w:w="0"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7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addressing concerns related to privacy, security and other factors;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complying with applicable laws, rules and regulations relating to the collection, storage, use, transfer, disclosure and security of personal information, including any requests from regulatory and government authorities relating to such data.</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if we fail to secure our client’s identity and protect their identity-specific data, such as their addresses and contact information, our clients may be vulnerable to harassments, and their assets may also be put at risk due to data leakages. As a result, we may be held liable for these incidents, and our clients may feel insecure and cease to use our services. In addition, any system or technological failure or compromise of our technology system that results in unauthorized access to or release of any personal data of our clients or proprietary information of our business operations could significantly harm our reputation and/or result in litigation, regulatory investigations and penalties against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adopted a rigorous and comprehensive policy for the collection, processing, storage and other aspects of data use and privacy and taken necessary measures to comply with all applicable data privacy and protection laws and regulations, we cannot guarantee the effectiveness of these policies and measures undertaken by us, or business partners on our platform. Despite the absence of any material cybersecurity breach and our continuous efforts to comply with our internal policies as well as applicable laws and regulations, any failure or perceived failure to comply with all applicable data privacy and protection laws and regulations,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business operations or other penalties or liabilities, which may in turn damage our reputation, discourage current and potential shippers and truckers from using our services, and subject us to fines and damages, which could have a material adverse effect on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governmental regulation and other legal obligations related to data privacy, data protection and information security. If we are unable to comply with these laws and regulations, we may be subject to governmental enforcement actions, litigation, fines and penalties or adverse publicity.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collection, use and processing of our clients’ personal data and transaction data are governed by data privacy laws and regulations enacted in Singapore, Hong Kong, Dubai and other jurisdictions such as the U.S. or EU to the extent applicable. These data privacy laws and regulations are complex, continue to evolve, and on occasion may be inconsistent among jurisdictions, leading to uncertainties in interpreting such laws. It is possible that these laws, regulations and requirements may be interpreted and applied in a manner that is inconsistent with our existing information processing practices. In addition, many of these laws are significantly litigated and/or subject to regulatory enforcement. Regulatory bodies may also enact or adopt new laws and regulations concerning data privacy, data retention, data transfer, and data protection. Such laws may continue to restrict or dictate how we collect, maintain, combine and disseminate information and could have a material adverse effect on our business, results of operations, financial condition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there are numerous federal and state laws and regulations that could apply to our operations or the operations of our partners, including data breach notification laws, financial information and other data privacy laws, and consumer protection laws and regulations (for example, Section 5 of the Federal Trade Commission Act) that govern the collection, use, disclosure, and protection of personal information. In addition, the General Data Protection Regulation (the “GDPR”), which went into effect in the European Union on May 25, 2018, applies to the collection, use, retention, security, processing, and transfer of personal data of individuals in the European Economic Area (“EEA”) and the United Kingdom, which could further add to our compliance costs and limit how we process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actual or perceived failure by us or the third parties with whom we work to comply with data privacy laws, regulations, guidelines, rules or industry standards, or any security incident that results in the unauthorized release or transfer of personally identifiable information, may result in governmental enforcement actions and investigations, fines and penalties, litigation and/or adverse publicity, which could harm our reputation and have a material adverse effect on our business, reputation,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significant disruption in our products and services, in our information technology systems, or in any of the blockchain networks we work with, including events beyond our control, could result in a loss of clients or funds and adversely impact our brand and reputation and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reputation and ability to attract and retain clients and grow our business depends on our ability to operate our service at high levels of reliability, scalability, and performance. Our systems, the systems of our third-party service providers and partners, and certain digital asset and blockchain networks have experienced from time to time, and may experience in the future service interruptions or degradation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If any of our systems, or those of our third-party service providers, are disrupted for any reason, our products and services may fail, resulting in unanticipated disruptions, slower response times and delays in our clients’ transaction execution and processing, failed settlement of transactions, incomplete or inaccurate accounting, recording or processing of transactions, unauthorized trades, loss of client information, increased demand on limited client support resources, client claims, complaints with regulatory organizations, lawsuits, or enforcement actions. A prolonged interruption in the availability or reduction in the availability, speed, or functionality of our products and services could harm our business. Significant or persistent interruptions in our services could cause current or potential clients or partners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clients or their business partners, these clients or partners could seek significant compensation or contractual penalties from us for their losses, and those claims, even if unsuccessful, would likely be time-consuming and costly for us to address.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are a regulated financial institution in certain jurisdictions, interruptions have resulted and in the future may result in regulatory scrutiny, and significant or persistent interruptions could lead to significant fines and penalties, and mandatory and costly changes to our business practices, and ultimately could cause us to lose existing licenses or banking relationships that we need to operate or prevent or delay us from obtaining additional licenses that may be required for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Information technology is a critical aspect in the efficient operation of our business, failure to maintain or improve our information technology infrastructure could harm our business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efficient and reliable operation of our business depends on our information technology systems. We are continuously upgrading our platform to provide increased scale, improved performance, additional capacity and additional built-in functionality, including functionality related to security. Adopting new services and maintaining and upgrading our information technology infrastructure require significant investment of time and resources. Any failure to maintain and improve our information technology infrastructure could result in unanticipated system disruptions, slower response times, impaired clients experience, delays in reporting accurate operating and financial information and failures in risk management. The risks of these events occurring are even higher during certain periods of peak usage and activity when digital assets transactions are higher. In addition, much of the software and interfaces we use are internally developed and proprietary technology. If we experience problems with the functionality and effectiveness of our software, interfaces or platform, such as undetected errors or defects, or are unable to maintain and continuously improve our information technology infrastructure to handle our business needs, our business, financial condition, results of operations and prospects, as well as our reputation and brand, could be materially and adversely affected. In addition, we may face technical issues in connection with the integration of supported digital assets and the underlying digital asset networks of these supported digital assets. For details, please see “—Risks Related to Cryptocurrencies and Digital Assets—From time to time, we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our investments and trading strategies,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nature of our business requires the application of complex financial accounting and tax rules, and there is limited guidance from accounting standard setting bodies and taxing authorities. If financial accounting standards undergo significant changes or taxing authorities announce new tax rules, our operating results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accounting rules and regulations that we must comply with are complex and subject to interpretation by the International Accounting Standards Board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In addition, there has been limited precedent for the financial accounting of digital assets and related valuation and revenue recognition standards. As such, there remains significant uncertainty on how companies should account for digital asset transactions, digital assets and related revenue. Furthermore, there has been limited guidance from taxing authorities on treatment of digital assets and revenue therefrom. 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Legacy Online Marketing and Enterprise Solutions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continue to be subject to the business risks related to our legacy marketing solutions and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continue to be subject to the business risks related to our legacy marketing solutions and enterprise solutions business, among others: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face intense competition for our marketing solutions and enterprise solutions, and if we fail to maintain and enhance our capabilities, our results of operations could be materially and adversely affected.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downturn in global economy could reduce the customers’ demand and their ability to pay for our solutions, which could materially and adversely affect our business and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revenues, revenues as a percentage of gross billing, gross profit margin and the comparability of our financial results may be affected by our revenue models.</w:t>
            </w:r>
          </w:p>
        </w:tc>
      </w:tr>
    </w:tbl>
    <w:tbl>
      <w:tblPr>
        <w:tblW w:w="9516" w:type="dxa"/>
        <w:jc w:val="left"/>
        <w:tblInd w:w="0" w:type="dxa"/>
        <w:tblLayout w:type="fixed"/>
        <w:tblCellMar>
          <w:top w:w="0" w:type="dxa"/>
          <w:left w:w="0" w:type="dxa"/>
          <w:bottom w:w="0" w:type="dxa"/>
          <w:right w:w="0" w:type="dxa"/>
        </w:tblCellMar>
      </w:tblPr>
      <w:tblGrid>
        <w:gridCol w:w="124"/>
        <w:gridCol w:w="25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1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Loss of any marketing agency client may materially and adversely affect our business and results of operations.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Loss of any content distribution channel and changes in the contract terms with any content distribution channel may materially and adversely affect our business and results of operations.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independent online marketing technology market is highly fragmented and intensely competitive. Independent online marketing technology platforms also face competitive pressure from well-established internet companies, marketing agencies and traditional media.</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our algorithms and data engines for assessing and predicting potential audience behaviors are flawed or ineffective, or if our platform fails to otherwise function properly, our reputation and market share would be materially and adversely affected.</w:t>
            </w:r>
          </w:p>
        </w:tc>
      </w:tr>
    </w:tbl>
    <w:tbl>
      <w:tblPr>
        <w:tblW w:w="6576" w:type="dxa"/>
        <w:jc w:val="left"/>
        <w:tblInd w:w="0" w:type="dxa"/>
        <w:tblLayout w:type="fixed"/>
        <w:tblCellMar>
          <w:top w:w="0" w:type="dxa"/>
          <w:left w:w="0" w:type="dxa"/>
          <w:bottom w:w="0" w:type="dxa"/>
          <w:right w:w="0"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ability to collect and use data from various sources could be restricted.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Blocking or deletion of cookies or other modifications to privacy settings on PCs and mobile devices could impair our data collection and effectiveness of our solutions.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we fail to offer high-quality technical support services under enterprise solutions, our relationships with our clients and our financial results may be adversely affected.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If we fail to innovate, adapt and respond timely and effectively to rapidly changing technologies and new trends, our solutions may become less competitive or obsolete.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historically rely on the contractual arrangements that establish the structure for certain of our operations in Chinese Mainland.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historically conduct our operations in Chinese Mainland primarily through the VIE entities with which we have maintained contractual arrangements. The VIE entities refer to Beijing OptAim Network Technology Co., Ltd. and its subsidiaries. As part of our corporate restructuring efforts to maximize structural efficiency and reduce reliance on the VIE structure, all VIE subsidiaries other than Beijing OptAim Network Technology Co., Ltd., or the VIE, have been disposed of or otherwise deregistered as of the date of this annual report. As of the date of this annual report, our operations in Chinese Mainland are conducted by our PRC subsidiaries and the VIE is not engaged in any business operations itself. As part of our ongoing efforts to streamline and optimize our corporate structure, we may, from time to time, evaluate potential options with respect to the VIE, including the possible unwinding or termination of the related contractual arrangements in the future, subject to applicable regulatory requirements and other considerations.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 and investors of our Company face uncertainty about potential future actions by the PRC government that could affect the validity and enforceability of the contractual arrangements with the VIE and, consequently, affect the financial performance of the VIE and our Company as a group.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China Search (Asia) Limited is a company incorporated in Hong Kong and Search Asia Technology (Shenzhen) Co., Ltd., or Search Asia, its PRC subsidiary, is considered a foreign invested enterprise, or FIE. To comply with the then-effective PRC laws and regulations, including the Administrative Provisions on Foreign-Invested Advertising Enterprises, iClick Data Technology (Beijing) Limited, or iClick Beijing, later replaced by Search Asia entered into a set of contractual arrangements with the VIE and its shareholders. As a result of these contractual arrangements, we exert control over the VIE and its subsidiaries, and consolidate their operating results in our financial statements.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September 6, 2024, the Ministry of Commerce (“MOFCOM”) and the National Development and Reform Commission, or the NDRC, jointly promulgated the Special Administrative Measures (Negative List 2024) for Foreign Investment Access, or the Special Administrative Measures, which replaced the negative list attached to the Foreign Investment Catalog in 2021.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Search Asia’s contractual arrangements with the VIE and its shareholders to conduct certain of our operations in China, including to transfer such operations to the VIE to the extent they are deemed foreign-related survey.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opinion of our PRC counsel, Jingtian &amp; Gongcheng, the ownership structure of our PRC subsidiaries, the VIE entities, and the contractual arrangements among Search Asia,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uncertain whether any new PRC laws, rules or regulations relating to variable interest entity structures will be adopted or if adopted, what they would provide. If the ownership structure, contractual arrangements and business of our company, our PRC subsidiaries or our consolidated variable interest entity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revoking the business licenses or operating licenses of our PRC subsidiaries, consolidated variable interest entity,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contractual arrangements with our variable interest entity and its shareholder for certain of our business operations in Chinese Mainland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contractual arrangements with the VIE, and its shareholders. These contractual arrangements may not be as effective as direct ownership in providing us with control over the VIE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 of OptAim Network of his obligations under the contracts to exercise control over our consolidated variable interest entity and its subsidiaries. The shareholder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surrounding the evolving laws and regulations regarding cybersecurity, information security, privacy and data protection and other related laws and requirements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Cybersecurity and data privacy and security issues are legislative and regulatory focus in China. On July 30, 2021, the State Council of the PRC promulgated the Regulations on the Protection of the Security of Critical Information Infrastructure, which took effect on September 1, 2021. This regulation requires, among others, certain competent authorities to identify critical information infrastructures. If any critical information infrastructure is identified, the relevant authorities shall promptly notify the relevant operator and the Ministry of Public Security. On September 24, 2024, the State Council published the Network Data Security Management Regulations, which sets forth different scenarios under which data processors would be required to apply for cybersecurity review.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Our PRC legal counsel, Jingtian &amp; Gongcheng, is of the opinion that as of the date of this annual report, we do not need to apply for cybersecurity reviews in China under its current regulatory regime. This is because (i) as of the date of this annual report, we have not received any notice or determination from competent PRC government authorities identifying us as a critical information infrastructure operator or requiring us to undertake a cybersecurity review by the CAC; (ii) as of the date of this annual report, we have not been notified by any authorities of being classified as a data processor carrying out data processing activities that influence or may influence national security; and (iii) as of the date of this annual report, our legacy marketing solutions business operated by us in Chinese Mainland include promoting content distribution opportunities for the publisher under our sales agency arrangement, providing mobile online advertising services and mobile content distributions to PRC clients, and operating the CMRS team, and data processed in our business is less likely to have a bearing on national security, thus making it unlikely for such data to be classified as core or important data by the authorities. However, we cannot rule out the possibility that the competent PRC government authorities will not initiate cybersecurity reviews on us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For example, 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As of the date hereof, we have not been involved in any investigations on data security or privacy compliance issues in connection with the PRC Data Security Law or the PIPL, and we have not received any inquiry, notice, warning, or sanctions in such respect. In addition, we do not expect to have significant data security or privacy issues given that the nature of our business does not involving collecting and use of vast personal data. However, we cannot guarantee that the regulators will agree with us or will not in the future adopt new regulations that restrict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On March 22, 2024, the CAC issued the Provisions on Facilitating and Regulating Cross-Border Data Flows, or the Cross-Border Data Flows Provisions, which provides the following circumstances under which data processors shall, through the local cyberspace administration at the provincial level, apply to the national cyberspace administration for security assessment of cross-border data transfer: (i) critical information infrastructure operators providing personal information or important data overseas; and (ii) 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the current year. “Important data” is defined under Measures on Security Assessment of Outbound Data Transfer as any data, the tampering, damage, leakage, or illegal acquisition or use of which, may endanger national security, the operation of the economy, social stability, public health and security, etc. On September 24, 2024, the State Council published the Network Data Security Management, which became effective on January 1, 2025. The Network Data Security Management provides that data processors conducting the data processing activities that affect or may affect national security shall apply for cybersecurity review in accordance with the relevant laws and regulations. In addition, network data processors should identify and declare “important data” in accordance with the relevant provisions, but they are not required to conduct security assessment for outbound data transfer for data that has not been notified or published as “important data” by relevant departments or regions.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these statements and regulatory actions are relatively new, and some regulations are still at the stage of consultation for comments, it is highly uncertain how soon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foreign exchanges. PRC laws and their interpretations and enforcement continue to develop and are subject to change, and the PRC government may adopt other rules and restrictions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Risks Related to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retain existing clients or attract new clients, or if our clients decrease their level of engagement with our services and platform, our business, operating results and financial condition may be significantly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on our ability to retain existing clients, attract new clients and increase client engagement with our services, platform and solutions. In order to achieve this, we must continue to offer leading technologies and ensure that our products and services are secure, reliable and engaging. We must also expand our products and services, and offer attractive fees. There is no assurance that we will be able to continue to do so to retain our existing clients, attract new clients or keep our clients engaged. For example, the customers to the intercompany services agreement with AGTL may not be willing to continue to keep their accounts or business with us after the assignment. A number of factors could negatively affect client retention, growth and engagement, including: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clients increasingly engage with competing products and services, including products and services that Amber Premium is unable to offer due to regulatory reasons;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fail to introduce new and improved products and services, or if it introduces new products or services that are not favorably received;</w:t>
            </w:r>
          </w:p>
        </w:tc>
      </w:tr>
    </w:tbl>
    <w:tbl>
      <w:tblPr>
        <w:tblW w:w="9861" w:type="dxa"/>
        <w:jc w:val="left"/>
        <w:tblInd w:w="0" w:type="dxa"/>
        <w:tblLayout w:type="fixed"/>
        <w:tblCellMar>
          <w:top w:w="0" w:type="dxa"/>
          <w:left w:w="0" w:type="dxa"/>
          <w:bottom w:w="0" w:type="dxa"/>
          <w:right w:w="0"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4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fail to support new and in-demand digital assets or if it elects to support digital assets with negative reputations;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are changes in sentiment about the quality or usefulness of our products and services or concerns related to privacy, security, fiat pegging or other factors;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there are adverse changes in our products and services that are mandated by legislation, regulatory authorities, or litigation;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clients perceive the investment products on our platform to be poor investment choices, or experience significant losses in investments made on our platform;</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technical or other problems prevent us from delivering our services with the speed, functionality, security, and reliability that our clients expect;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cybersecurity incidents, employee or service provider misconduct, or other unforeseen activities cause losses to us or our clients, including losses to assets held by us on behalf of our clients;</w:t>
            </w:r>
          </w:p>
        </w:tc>
      </w:tr>
    </w:tbl>
    <w:tbl>
      <w:tblPr>
        <w:tblW w:w="8271" w:type="dxa"/>
        <w:jc w:val="left"/>
        <w:tblInd w:w="0" w:type="dxa"/>
        <w:tblLayout w:type="fixed"/>
        <w:tblCellMar>
          <w:top w:w="0" w:type="dxa"/>
          <w:left w:w="0" w:type="dxa"/>
          <w:bottom w:w="0" w:type="dxa"/>
          <w:right w:w="0"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8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modifications to our pricing model or modifications by our competitors to their pricing models;</w:t>
            </w:r>
          </w:p>
        </w:tc>
      </w:tr>
    </w:tbl>
    <w:tbl>
      <w:tblPr>
        <w:tblW w:w="3921" w:type="dxa"/>
        <w:jc w:val="left"/>
        <w:tblInd w:w="0" w:type="dxa"/>
        <w:tblLayout w:type="fixed"/>
        <w:tblCellMar>
          <w:top w:w="0" w:type="dxa"/>
          <w:left w:w="0" w:type="dxa"/>
          <w:bottom w:w="0" w:type="dxa"/>
          <w:right w:w="0"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5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fail to provide adequate client service;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regulatory and governmental bodies in countries that we targets for expansion express negative views towards institutional crypto financial services and solutions platforms and, more broadly, the onchain economy;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we or other companies or high-profile figures in our industry are the subject of adverse media reports or other negative publicity;</w:t>
            </w:r>
          </w:p>
        </w:tc>
      </w:tr>
    </w:tbl>
    <w:tbl>
      <w:tblPr>
        <w:tblW w:w="8811" w:type="dxa"/>
        <w:jc w:val="left"/>
        <w:tblInd w:w="0" w:type="dxa"/>
        <w:tblLayout w:type="fixed"/>
        <w:tblCellMar>
          <w:top w:w="0" w:type="dxa"/>
          <w:left w:w="0" w:type="dxa"/>
          <w:bottom w:w="0" w:type="dxa"/>
          <w:right w:w="0"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4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customer satisfaction with our solutions, including any new marketing solutions that we may develop;</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competitiveness of our pricing and payment terms for our clients, which may, in turn, be constrained by our capital and financial resources;</w:t>
            </w:r>
          </w:p>
        </w:tc>
      </w:tr>
    </w:tbl>
    <w:tbl>
      <w:tblPr>
        <w:tblW w:w="7941" w:type="dxa"/>
        <w:jc w:val="left"/>
        <w:tblInd w:w="0" w:type="dxa"/>
        <w:tblLayout w:type="fixed"/>
        <w:tblCellMar>
          <w:top w:w="0" w:type="dxa"/>
          <w:left w:w="0" w:type="dxa"/>
          <w:bottom w:w="0" w:type="dxa"/>
          <w:right w:w="0"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5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customer satisfaction with our solutions, including any new solutions that we may develop;</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competitiveness of our pricing and payment terms for our clients, which may, in turn, be constrained by our capital and financial resources;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56" w:type="dxa"/>
        <w:jc w:val="left"/>
        <w:tblInd w:w="0" w:type="dxa"/>
        <w:tblLayout w:type="fixed"/>
        <w:tblCellMar>
          <w:top w:w="0" w:type="dxa"/>
          <w:left w:w="0" w:type="dxa"/>
          <w:bottom w:w="0" w:type="dxa"/>
          <w:right w:w="0"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8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customer satisfaction with our account managing services;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ability to customize and tailor our solution offerings and delivery and pricing models in accordance with the evolving needs of our clients and end marketers;</w:t>
            </w:r>
          </w:p>
        </w:tc>
      </w:tr>
    </w:tbl>
    <w:tbl>
      <w:tblPr>
        <w:tblW w:w="10146" w:type="dxa"/>
        <w:jc w:val="left"/>
        <w:tblInd w:w="0" w:type="dxa"/>
        <w:tblLayout w:type="fixed"/>
        <w:tblCellMar>
          <w:top w:w="0" w:type="dxa"/>
          <w:left w:w="0" w:type="dxa"/>
          <w:bottom w:w="0" w:type="dxa"/>
          <w:right w:w="0"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7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ability to expand our data base and solutions to serve clients in a wider range of industries and geographic regions;</w:t>
            </w:r>
          </w:p>
        </w:tc>
      </w:tr>
    </w:tbl>
    <w:tbl>
      <w:tblPr>
        <w:tblW w:w="8676" w:type="dxa"/>
        <w:jc w:val="left"/>
        <w:tblInd w:w="0" w:type="dxa"/>
        <w:tblLayout w:type="fixed"/>
        <w:tblCellMar>
          <w:top w:w="0" w:type="dxa"/>
          <w:left w:w="0" w:type="dxa"/>
          <w:bottom w:w="0" w:type="dxa"/>
          <w:right w:w="0"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2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ability to integrate with a wider range of new technologies, systems, networks and standards; and</w:t>
            </w:r>
          </w:p>
        </w:tc>
      </w:tr>
    </w:tbl>
    <w:tbl>
      <w:tblPr>
        <w:tblW w:w="6396" w:type="dxa"/>
        <w:jc w:val="left"/>
        <w:tblInd w:w="0" w:type="dxa"/>
        <w:tblLayout w:type="fixed"/>
        <w:tblCellMar>
          <w:top w:w="0" w:type="dxa"/>
          <w:left w:w="0" w:type="dxa"/>
          <w:bottom w:w="0" w:type="dxa"/>
          <w:right w:w="0"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global economic conditions and spending levels of customers generally.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certain of these factors have negatively affected client retention, growth, and engagement to varying degrees. If we are unable to maintain or increase our client base and client engagement, or if we are unable to attract sufficient spend on our products and services from new clients, our revenue, business, operating results and financial condition could be adversely affected. If our client growth rate slows or declines, it will become increasingly dependent on our ability to maintain or increase levels of user engagement and monetization in order to drive growth of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experienced fluctuations in growth in recent periods, and our historical growth may not be indicative of our future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experienced fluctuations in growth in recent periods. We may not be able to sustain our historical growth rates, or at all. You should not consider our historical growth in gross billing and revenue as indicative of our future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our growth relies in part on the future development and growth of the industries where we operate, which is subject to a variety of factors that are difficult to predict and evaluate and which are beyond our control. If the industries not grow as we expect, our business, financial condition, cash flows and results of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experience declines in the growth rates of our business, or negative growth, as a result of a number of external factors, including slowing demand for our platform, insufficient growth in the number of users that utilize our platform, declines in the level of usage of our platform by existing users, macroeconomic factors, increasing competition, changes in rules and regulations which we are or may become subject to, a decrease in the growth of our overall market or our failure to continue to capitalize on growth opportunities, including as a result of our inability to scale to meet such growth. Any failure to successfully address these risks and challenges as we encounter them will negatively affect our growth and if our growth rate declines, investors’ perception of our business and the trading price of the ADSs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regulatory environment in Hong Kong and Chinese Mainland is complex and evolving, and changes in the economic, political or social conditions or government policies of Hong Kong or Chinese Mainland could have an adverse effect on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headquartered in Singapore, and primarily have operations in Singapore, Hong Kong and Dubai. To a lesser extent, we operate a part of our legacy marketing solutions business in Chinese Mainland, with a variable interest entity, Beijing OptAim Network Technology Co., Ltd., or the VIE. The regulatory environment in Hong Kong and Chinese Mainland is complex and evolving, and changes in the economic, political or social conditions or government policies of Hong Kong or Chinese Mainland could have an adverse effect on our business and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we operate any business in Chinese Mainland, we may be subject to the risks and uncertainties related to doing business in Chinese Mainland. If these risks or uncertainties were to materialize, our business, results of operations, financial condition, and future prospects could be materially and adversely affected. The PRC government exercises significant oversight and discretion over the conduct of business in China. Laws regulations, or policies, or the interpretation and enforcement thereof, can change quickly and without prior notice. Moreover, the PRC government may intervene in or influence business operations in China at any time, including through regulatory actions, investigations, or industry-wide restrictions. Furthermore, the PRC legal system is based in part on government policies and internal rules, some of which may have retroactive effect. As a result, businesses in China may not be aware of their violation of any of these policies and rules until sometime after the violation. Such unpredictability could adversely affect their business and impede our ability to continue our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we operate any business in Hong Kong, we may be subject to the risks and uncertainties related to doing business in Hong Kong, In addition, although Hong Kong operates under a different set of laws from Chinese Mainland under the principle of “one country, two systems”, mainland Chinese laws and regulations that do not currently apply to companies in Hong Kong may become applicable to companies in Hong Kong due to the PRC government’s oversight of that region, as a result of which the legal risks associated with operating in Chinese Mainland may also apply directly to operating in Hong Kong. We cannot assure you that the oversight, discretion, and control of the PRC government will not impact our operations in Chinese Mainland and Hong Kong. These risks, together with uncertainties in the legal system and the interpretation and enforcement of laws, regulations, and policies in China, could hinder our ability to continue to offer the ADSs and cause the value of such ADSs to significantly decline or become worthless, or otherwise result in material adverse change to our business operations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may be also other regulatory, legal, political, geopolitical and operational risks and uncertainties as a result of operating in Chinese Mainland and Hong Kong, such as those relating to trade tensions between the U.S. and China, U.S. export control regulations and sanctions targeting certain Chinese companies and industries, and concerns from the U.S. government about the national security implications of Chinese companies operating in sensitive industries. If any of the foregoing risks or uncertainties were to materialize, our business, results of operations and financial condition could also be materially and adversely affected. See “─ Our business is vulnerable to local market conditions around the world and geopolitical developments, such as wars, trade wars and legislative change.”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vulnerable to local market conditions around the world and geopolitical developments, such as wars, trade wars and legislative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risks associated with doing business internationally and may be harmed by global events beyond our control, including international political and economic relations. For instance, the ongoing armed conflicts between Russia and Ukraine in Europe and among Israel, Hamas and other militant groups in the Middle East, have caused and could continue to cause significant market disruptions and volatility within the markets in Russia, Europe, the Middle East and the United States. The hostilities have adversely affected and could continue to adversely affect global financial markets and thus could affect our business. We cannot predict the progress or outcome of the situation in Ukraine, or Israel, as the conflict and governmental reactions are rapidly developing. Prolonged unrest or intensified military activities could have a material adverse effect on the global economy, and such effect could in turn, have a material adverse effect on the operations, results of operations, financial condition, liquidity and business outlook of our business. In addition, countries could enact sanctions, export controls, tariffs, investment controls or other measures. These types of laws and regulations are subject to frequent changes, and their interpretation and enforcement involves substantial uncertainties, which may be heightened by national security concerns, or be driven by political or other factors that are out of our control. These types of restrictions, and similar or more expansive restrictions that may be imposed by the U.S. or other jurisdictions, may be difficult or costly to comply with and may materially and adversely affect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During 2025, the U.S. government imposed a wide range of tariffs at varying levels, including in particular tariffs on Chinese imports, and many countries, including China, have taken retaliating measures. While certain tariffs have subsequently been suspended following trade talks between the U.S. and Chinese governments, trade negotiations between the United States and China and other countries remain fluid. Rising political tensions between China and the U.S. could reduce trade volumes, cross-border investment, technological exchange, and other economic activities between major economies, and have a material adverse effect on global economic conditions and the stability of global financial and stock markets. Moreover, the heightened geopolitical uncertainty and potential for further escalation may affect the global macroeconomic environment. These types of geopolitical developments could materially and adversely affect our overall financial performance and the market prices of our ADSs.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also be subject to review and enforcement under domestic and foreign laws that screen foreign investment and acquisitions. In both the United States and non-U.S. jurisdictions, these regulatory requirements may treat companies differently based on the type of company in question and the location and nature of its operations. As a result of these laws and regulations, investments by particular investors may need to be filed with local regulators, which in turn may impose added costs on our business, impact our operations, and limit our ability to engage in strategic transactions that might otherwise be beneficial to us and our investors. These laws are also frequently changed and updated. For example, in October 2024, the U.S. Department of the Treasury issued a final rule (the “Outbound Investment Rule”), which imposes a new national security regulatory framework to control outbound investment from the United States in certain sensitive industry sectors in China, including Hong Kong and Macau. The Outbound Investment Rule took effect in January 2025, and it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Subsequent to the effectiveness of the Outbound Investment Rule, on February 20, 2025, President Trump issued the America First Trade Policy Memorandum, which proposes possible expansion of the set of technologies of concern and a review of exceptions to the Rule, possibly including changes to the existing exception for publicly trades securities. These rules, including any changes to them that may be adopted, may limit our ability to engage in certain kinds of business operations; they may also limit our ability to raise capital from U.S. and other sources if we engage in the development of technologies specified in these rules. Continuing changes in both U.S. and non-U.S. jurisdictions to foreign investment laws and rules could adversely affect our strategic initiatives, financial performance,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our proprietary information or other intellectual property,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business and offerings through organic growth as well as acquisitions and strategic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Past and future acquisitions, strategic investments, partnerships or alliances, including our Merger, could be difficult to integrate, divert the attention of key management personnel, disrupt our business, dilute shareholder value and adversely affect our business and results of operations.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Although potential synergy may be achieved by acquisitions of related technologies and businesses, no assurance can be given as to the Company’s ability to successfully integrate any operations, personnel, services or products that have been acquired or might be acquired in the future. Failure to successfully assimilate acquired technologies or businesses could have a material adverse effect on our business, financial condition and operating results. In addition, acquisitions involve numerous risks, any of which could harm our business, including: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difficulties in integrating the operations, technologies, services and personnel of acquired businesses, especially if those businesses operate outside of our core competency;</w:t>
            </w:r>
          </w:p>
        </w:tc>
      </w:tr>
    </w:tbl>
    <w:tbl>
      <w:tblPr>
        <w:tblW w:w="9321" w:type="dxa"/>
        <w:jc w:val="left"/>
        <w:tblInd w:w="0" w:type="dxa"/>
        <w:tblLayout w:type="fixed"/>
        <w:tblCellMar>
          <w:top w:w="0" w:type="dxa"/>
          <w:left w:w="0" w:type="dxa"/>
          <w:bottom w:w="0" w:type="dxa"/>
          <w:right w:w="0"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9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cultural challenges associated with integrating employees from the acquired company into our organization;</w:t>
            </w:r>
          </w:p>
        </w:tc>
      </w:tr>
    </w:tbl>
    <w:tbl>
      <w:tblPr>
        <w:tblW w:w="9081" w:type="dxa"/>
        <w:jc w:val="left"/>
        <w:tblInd w:w="0" w:type="dxa"/>
        <w:tblLayout w:type="fixed"/>
        <w:tblCellMar>
          <w:top w:w="0" w:type="dxa"/>
          <w:left w:w="0" w:type="dxa"/>
          <w:bottom w:w="0" w:type="dxa"/>
          <w:right w:w="0"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7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reputation and perception risks associated with the acquired product or technology by the general public;</w:t>
            </w:r>
          </w:p>
        </w:tc>
      </w:tr>
    </w:tbl>
    <w:tbl>
      <w:tblPr>
        <w:tblW w:w="6396" w:type="dxa"/>
        <w:jc w:val="left"/>
        <w:tblInd w:w="0" w:type="dxa"/>
        <w:tblLayout w:type="fixed"/>
        <w:tblCellMar>
          <w:top w:w="0" w:type="dxa"/>
          <w:left w:w="0" w:type="dxa"/>
          <w:bottom w:w="0" w:type="dxa"/>
          <w:right w:w="0"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ineffectiveness or incompatibility of acquired technologies or solutions;</w:t>
            </w:r>
          </w:p>
        </w:tc>
      </w:tr>
    </w:tbl>
    <w:tbl>
      <w:tblPr>
        <w:tblW w:w="5016" w:type="dxa"/>
        <w:jc w:val="left"/>
        <w:tblInd w:w="0" w:type="dxa"/>
        <w:tblLayout w:type="fixed"/>
        <w:tblCellMar>
          <w:top w:w="0" w:type="dxa"/>
          <w:left w:w="0" w:type="dxa"/>
          <w:bottom w:w="0" w:type="dxa"/>
          <w:right w:w="0"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6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potential loss of key employees of acquired businesses;</w:t>
            </w:r>
          </w:p>
        </w:tc>
      </w:tr>
    </w:tbl>
    <w:tbl>
      <w:tblPr>
        <w:tblW w:w="8211" w:type="dxa"/>
        <w:jc w:val="left"/>
        <w:tblInd w:w="0" w:type="dxa"/>
        <w:tblLayout w:type="fixed"/>
        <w:tblCellMar>
          <w:top w:w="0" w:type="dxa"/>
          <w:left w:w="0" w:type="dxa"/>
          <w:bottom w:w="0" w:type="dxa"/>
          <w:right w:w="0"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inability to maintain the key business relationships and the reputations of acquired businesses;</w:t>
            </w:r>
          </w:p>
        </w:tc>
      </w:tr>
    </w:tbl>
    <w:tbl>
      <w:tblPr>
        <w:tblW w:w="5946" w:type="dxa"/>
        <w:jc w:val="left"/>
        <w:tblInd w:w="0" w:type="dxa"/>
        <w:tblLayout w:type="fixed"/>
        <w:tblCellMar>
          <w:top w:w="0" w:type="dxa"/>
          <w:left w:w="0" w:type="dxa"/>
          <w:bottom w:w="0" w:type="dxa"/>
          <w:right w:w="0"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5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diversion of management’s attention from other business concerns;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litigation for activities of the acquired company, including claims from terminated employees, clients, former shareholders or other third parties;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the case of foreign acquisitions, the need to integrate operations across different cultures and languages and to address the particular economic, currency, political and regulatory risks associated with specific countries;</w:t>
            </w:r>
          </w:p>
        </w:tc>
      </w:tr>
    </w:tbl>
    <w:tbl>
      <w:tblPr>
        <w:tblW w:w="7956" w:type="dxa"/>
        <w:jc w:val="left"/>
        <w:tblInd w:w="0" w:type="dxa"/>
        <w:tblLayout w:type="fixed"/>
        <w:tblCellMar>
          <w:top w:w="0" w:type="dxa"/>
          <w:left w:w="0" w:type="dxa"/>
          <w:bottom w:w="0" w:type="dxa"/>
          <w:right w:w="0" w:type="dxa"/>
        </w:tblCellMar>
      </w:tblPr>
      <w:tblGrid>
        <w:gridCol w:w="124"/>
        <w:gridCol w:w="256"/>
        <w:gridCol w:w="7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costs necessary to establish and maintain effective internal controls for acquired businesses;</w:t>
            </w:r>
          </w:p>
        </w:tc>
      </w:tr>
    </w:tbl>
    <w:tbl>
      <w:tblPr>
        <w:tblW w:w="8766" w:type="dxa"/>
        <w:jc w:val="left"/>
        <w:tblInd w:w="0" w:type="dxa"/>
        <w:tblLayout w:type="fixed"/>
        <w:tblCellMar>
          <w:top w:w="0" w:type="dxa"/>
          <w:left w:w="0" w:type="dxa"/>
          <w:bottom w:w="0" w:type="dxa"/>
          <w:right w:w="0"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3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failure to successfully further develop the acquired technology in order to recoup our investment; and</w:t>
            </w:r>
          </w:p>
        </w:tc>
      </w:tr>
    </w:tbl>
    <w:tbl>
      <w:tblPr>
        <w:tblW w:w="2256" w:type="dxa"/>
        <w:jc w:val="left"/>
        <w:tblInd w:w="0" w:type="dxa"/>
        <w:tblLayout w:type="fixed"/>
        <w:tblCellMar>
          <w:top w:w="0" w:type="dxa"/>
          <w:left w:w="0" w:type="dxa"/>
          <w:bottom w:w="0" w:type="dxa"/>
          <w:right w:w="0"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18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increased fixed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successfully fully integrate any future business, product or technology we acquire, our business, financial condition and results of operations may suffer.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obtain additional capital when desired, on favorable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previous years, we have financed our operations primarily with cash generated from financing activities such as issuance of ordinary shares upon IPO and follow-on securities offerings, issuance of convertible notes, and bank borrowings. We may not be able to obtain additional capital when desired, on favorable terms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additional funds through future issuances of equity or convertible debt securities, existing shareholders could suffer significant dilution, and any new equity securities we issue could have rights, preferences and privileges superior to those of holders of our ordinary shares. In addition, the incurrence of indebtedness may also result in increased fixed obligations and could result in operating and financial covenants that might restrict our operations. These restrictions may make it more difficult for us to obtain additional capital and to pursue business opportunities, including potential acquisitions.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additional financing is subject to a number of uncertainties, including those relating to:</w:t>
      </w:r>
    </w:p>
    <w:tbl>
      <w:tblPr>
        <w:tblW w:w="6906" w:type="dxa"/>
        <w:jc w:val="left"/>
        <w:tblInd w:w="0" w:type="dxa"/>
        <w:tblLayout w:type="fixed"/>
        <w:tblCellMar>
          <w:top w:w="0" w:type="dxa"/>
          <w:left w:w="0" w:type="dxa"/>
          <w:bottom w:w="0" w:type="dxa"/>
          <w:right w:w="0"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5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future business development, financial condition and results of operations;</w:t>
            </w:r>
          </w:p>
        </w:tc>
      </w:tr>
    </w:tbl>
    <w:tbl>
      <w:tblPr>
        <w:tblW w:w="7011" w:type="dxa"/>
        <w:jc w:val="left"/>
        <w:tblInd w:w="0" w:type="dxa"/>
        <w:tblLayout w:type="fixed"/>
        <w:tblCellMar>
          <w:top w:w="0" w:type="dxa"/>
          <w:left w:w="0" w:type="dxa"/>
          <w:bottom w:w="0" w:type="dxa"/>
          <w:right w:w="0"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general market conditions for financing activities by companies in our industry;</w:t>
            </w:r>
          </w:p>
        </w:tc>
      </w:tr>
    </w:tbl>
    <w:tbl>
      <w:tblPr>
        <w:tblW w:w="7641" w:type="dxa"/>
        <w:jc w:val="left"/>
        <w:tblInd w:w="0" w:type="dxa"/>
        <w:tblLayout w:type="fixed"/>
        <w:tblCellMar>
          <w:top w:w="0" w:type="dxa"/>
          <w:left w:w="0" w:type="dxa"/>
          <w:bottom w:w="0" w:type="dxa"/>
          <w:right w:w="0"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macro-economic and other conditions in the jurisdictions where we operate and the 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factors of the above uncertainties are beyond our control. If we fail to obtain additional capital when desired or properly manage our working capital as planned, we may not be able to execute our growth strategies including but not limited to broaden our business scope, penetrate new markets, invest on innovation and technology etc., and could materially and adversely affected our business, results of operations, liquidity, financial condition, competitiveness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some of our credit facilities contain covenants that impose certain minimum financial performance requirements on us. If we breach any of these covenants, our lenders under our credit facilities will be entitled to accelerate our debt obligations. Any default under our credit facilities could require that we repay these debts prior to maturity, which in turn may have a material adverse effect on our cash flow and liquidity. Further, enforcement against us under any guarantee and other similar arrangements we may enter into in the future could materially and adversely affect our cash flow and liquidity.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disclosure controls and procedures were not effective. If we remain unable to remediate identified material weaknesses, or if we have additional material weaknesses in the future, or otherwise fail to implement and maintain effective internal control over financial reporting in accordance with Section 404 of the Sarbanes-Oxley Act of 2002, we may be unable to accurately report our financial results and the market price of our ADSs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our internal control over financial reporting was not effective as of December 31, 2025. For a summary of the material weaknesses identified for the fiscal year ended December 31, 2025, see “Item 15.—Controls and Procedures—Management’s Annual Report on Internal Control Over Financial Reporting.” If we are unable to remediate the applicable material weaknesses, or if we identify additional material weaknesses in the future or otherwise fail to develop and maintain an effective system of internal controls, we may not be able to produce timely and accurate consolidated financial statements, which may subject us to adverse regulatory consequences and adversely affect investor confidence in us and, as a result, the price of our securities and our ability to access the capital markets and other forms of financing in the future. In addition, our internal controls over financial reporting will not prevent or detect all errors or fraud. A control system, no matter how well designed and operated, can provide only reasonable, not absolute, assurance that the control system’s objectives will be met.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 over financial reporting or should we be unable to prevent or detect material misstatements due to error or fraud on a timely basis, investors could lose confidence in the reliability of our financial statements, which in turn could harm our business, results of operations and negatively impact the market price of the ADSs, and harm our reputation. Furthermore, we have incurred and expected to continue to incur considerable costs and to use significant management time and other resources in an effort to comply with Section 404 and other requirements of the Sarbanes-Oxley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Misconduct and failure to function by our employees could harm our business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many types of operational risks, including the risk of misconduct by our employees. For instance, we could be materially adversely affected if audience data and marketers’ business information was disclosed to unintended recipients.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retain our senior management team and key employees, or attract additional technology and sales talents, we may not be able to sustain our growth or achieve our business objectives.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success is substantially dependent on the continued service of our senior management team and key employees.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and other key employees who are critical to our success, resulting in harm to our key business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Increases in labor costs in Hong Kong, Singapore and Dubai may adversely affect our business and results of operations. In addition, we pay various statutory employee benefits, including pension, housing fund, medical insurance, work-related injury insurance, unemployment insurance and maternity insurance to designated government agencies for the benefit of our employees. This risk may be exacerbated by the uncertainties associated with the implementation of cost-saving initiatives. Unless we are able to control our labor costs or pass on these increased labor costs to our users by increasing the fees of our products and services, our financial condition and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have any business insurance coverage.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have limited insurance coverage for our business operations. Any uninsured business disruptions may result in our incurring substantial costs and the diversion of resources, which could have an adverse effect on our business and results of operations. In addition, we are growing rapidly and our insurance coverage may not be sufficient to protect us from any loss now or in the future and we may not be able to successfully claim our losses under our current insurance policies on a timely basis,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Cryptocurrencies and Digital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continuing development and acceptance of digital assets and distributed ledger technology are subject to a variety of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Cryptocurrencies, such as Bitcoin, and the other types of digital assets in which we invest and trade involve a new and rapidly evolving industry of which blockchain technology is a prominent, but not unique, part. The growth of the digital asset industry in general, and distributed ledger technology that supports digital assets, is subject to a high degree of uncertainty. The factors affecting the further development of the digital asset industry, as well as distributed ledger technology, include:</w:t>
      </w:r>
    </w:p>
    <w:tbl>
      <w:tblPr>
        <w:tblW w:w="6186" w:type="dxa"/>
        <w:jc w:val="left"/>
        <w:tblInd w:w="0" w:type="dxa"/>
        <w:tblLayout w:type="fixed"/>
        <w:tblCellMar>
          <w:top w:w="0" w:type="dxa"/>
          <w:left w:w="0" w:type="dxa"/>
          <w:bottom w:w="0" w:type="dxa"/>
          <w:right w:w="0"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8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continued worldwide growth in the adoption and use of digital assets;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government and quasi-government regulation of digital assets and their use, or restrictions on or regulation of access to and operation of applicable distributed ledger technology or systems that facilitate their issuance and secondary trading;</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taxation, and tax-related reporting, of transactions involving digital assets by the United States and other jurisdictions;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maintenance and development of the open-source software protocols of certain blockchain networks used to support digital assets;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advancements in technology, including computing power, that may adversely affect the respective cryptocurrency networks, render existing distributed ledger technology obsolete, inefficient, or fail to remediate or introduce new bugs and security risks;</w:t>
            </w:r>
          </w:p>
        </w:tc>
      </w:tr>
    </w:tbl>
    <w:tbl>
      <w:tblPr>
        <w:tblW w:w="9306" w:type="dxa"/>
        <w:jc w:val="left"/>
        <w:tblInd w:w="0" w:type="dxa"/>
        <w:tblLayout w:type="fixed"/>
        <w:tblCellMar>
          <w:top w:w="0" w:type="dxa"/>
          <w:left w:w="0" w:type="dxa"/>
          <w:bottom w:w="0" w:type="dxa"/>
          <w:right w:w="0"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9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use of the networks supporting digital assets for developing smart contracts and distributed applications;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development of new technologies for mining and staking and the rewards and transaction fees for miners or validators on digital asset networks;</w:t>
            </w:r>
          </w:p>
        </w:tc>
      </w:tr>
    </w:tbl>
    <w:tbl>
      <w:tblPr>
        <w:tblW w:w="6186" w:type="dxa"/>
        <w:jc w:val="left"/>
        <w:tblInd w:w="0" w:type="dxa"/>
        <w:tblLayout w:type="fixed"/>
        <w:tblCellMar>
          <w:top w:w="0" w:type="dxa"/>
          <w:left w:w="0" w:type="dxa"/>
          <w:bottom w:w="0" w:type="dxa"/>
          <w:right w:w="0"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8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consumer demographics and public tastes and preferences;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availability and popularity of other forms or methods of buying and selling goods and services, including new means of using fiat currencies; and</w:t>
            </w:r>
          </w:p>
        </w:tc>
      </w:tr>
    </w:tbl>
    <w:tbl>
      <w:tblPr>
        <w:tblW w:w="7521" w:type="dxa"/>
        <w:jc w:val="left"/>
        <w:tblInd w:w="0" w:type="dxa"/>
        <w:tblLayout w:type="fixed"/>
        <w:tblCellMar>
          <w:top w:w="0" w:type="dxa"/>
          <w:left w:w="0" w:type="dxa"/>
          <w:bottom w:w="0" w:type="dxa"/>
          <w:right w:w="0"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general economic conditions and the regulatory environment relating to digital assets.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assets represent a new and rapidly evolving industry, and our business operations and financial performance have in the past been, and may in the future be impacted by the acceptance of Bitcoin and other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our results of operations may be closely correlated with the acceptance and perception of Bitcoin and/or other digital assets, the realization of one or more of the following risks could materially adversely affect our business operations and financial performance: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 persons or entities transacting in Bitcoin. As a result, the prices of Bitcoins are to some extent still significantly impacted by speculators and miners, thus contributing to price volatility that makes retailers less likely to accept them as a form of payment in the future.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Banks may not provide banking services, or may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privacy-preserving features have been or are expected to be introduced to some digital asset networks and digital asset trading platforms or businesses that facilitate transactions in digital assets, including Bitcoin may be at an increased risk of having banking services cut off if there is a concern that these features interfere with the performance of anti-money laundering duties and economic sanctions checks.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Users, developers and miners may otherwise switch to or adopt certain digital assets at the expense of their engagement with other digital asset networks, which may negatively impact those networks, including the Bitcoin network.</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August 2017, the Bitcoin network underwent a hard fork that resulted in the creation of a new digital asset network called Bitcoin Cash. This hard fork was contentious, and as a result some users of the Bitcoin Cash network may harbor ill will toward the Bitcoin network. Any future hard fork could be similarly contentious and some users may attempt to negatively impact the use or adoption of the Bitcoin network or other digital asset networks, as may those involved in contentious hard forks of other digital assets.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prices of digital assets are extraordinarily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our business, financial condition and results of operations.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factors may affect the price of digital assets, particularly cryptocurrencies, including, but not limited to:</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development and launch timeline of new digital asset networks, and forthcoming upgrades like proto-danksharding designed to improve network scalability.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a digital asset.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Concentration of ownership in certain digital assets by an individual or small group of holders or those within one or a small number of jurisdictions. Large sales or distributions by such holders could have an adverse effect on the market price of such digital assets.</w:t>
            </w:r>
          </w:p>
        </w:tc>
      </w:tr>
    </w:tbl>
    <w:tbl>
      <w:tblPr>
        <w:tblW w:w="6996" w:type="dxa"/>
        <w:jc w:val="left"/>
        <w:tblInd w:w="0" w:type="dxa"/>
        <w:tblLayout w:type="fixed"/>
        <w:tblCellMar>
          <w:top w:w="0" w:type="dxa"/>
          <w:left w:w="0" w:type="dxa"/>
          <w:bottom w:w="0" w:type="dxa"/>
          <w:right w:w="0"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6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maintenance and development of the software protocol of cryptocurrencies.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Digital asset trading platforms’ deposit and withdrawal policies and practices, liquidity on such trading platforms and interruptions in service from or failures of such trading platforms.</w:t>
            </w:r>
          </w:p>
        </w:tc>
      </w:tr>
    </w:tbl>
    <w:tbl>
      <w:tblPr>
        <w:tblW w:w="6486" w:type="dxa"/>
        <w:jc w:val="left"/>
        <w:tblInd w:w="0" w:type="dxa"/>
        <w:tblLayout w:type="fixed"/>
        <w:tblCellMar>
          <w:top w:w="0" w:type="dxa"/>
          <w:left w:w="0" w:type="dxa"/>
          <w:bottom w:w="0" w:type="dxa"/>
          <w:right w:w="0"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1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Regulatory measures, if any, that affect the use and value of digital assets.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taxation, and tax-related reporting, of transactions involving digital assets by the United States and other jurisdictions.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Competition for and among various cryptocurrencies that exist and market preferences and expectations with respect to adoption of individual currencies.</w:t>
            </w:r>
          </w:p>
        </w:tc>
      </w:tr>
    </w:tbl>
    <w:tbl>
      <w:tblPr>
        <w:tblW w:w="6156" w:type="dxa"/>
        <w:jc w:val="left"/>
        <w:tblInd w:w="0" w:type="dxa"/>
        <w:tblLayout w:type="fixed"/>
        <w:tblCellMar>
          <w:top w:w="0" w:type="dxa"/>
          <w:left w:w="0" w:type="dxa"/>
          <w:bottom w:w="0" w:type="dxa"/>
          <w:right w:w="0"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7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Actual or perceived manipulation of the markets for cryptocurrencies.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Actual or perceived threats that cryptocurrencies and related activities such as mining have adverse effects on the environment or are tied to illegal activities, or on the other hand, the correlation of the price of certain digital assets to the price of Bitcoin in particular.</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Social media posts and other public communications by high-profile individuals relating to specific cryptocurrencies, or listing or other business decisions by cryptocurrency companies relating to specific cryptocurrencies.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Investors’ expectations with respect to the rate of inflation, in the economy, monetary policies of governments, trade restrictions and currency devaluations and revaluations.</w:t>
            </w:r>
          </w:p>
        </w:tc>
      </w:tr>
    </w:tbl>
    <w:tbl>
      <w:tblPr>
        <w:tblW w:w="10071" w:type="dxa"/>
        <w:jc w:val="left"/>
        <w:tblInd w:w="0" w:type="dxa"/>
        <w:tblLayout w:type="fixed"/>
        <w:tblCellMar>
          <w:top w:w="0" w:type="dxa"/>
          <w:left w:w="0" w:type="dxa"/>
          <w:bottom w:w="0" w:type="dxa"/>
          <w:right w:w="0"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6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Investors’ overall confidence in the onchain ecosystem and the safety and reliability of digital asset trading platforms.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Activities of stablecoin issuers, the ability of stablecoin issuers to substitute underlying assets to back the stablecoins or the decline in value of those underlying assets and future actions relating to the regulatory or accounting treatment of stablecoins.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volatility risks related to stablecoins, which are designed to have a relatively stable price that aligns with the price of an underlying physical asset, most commonly a fiat currency, such as U.S. dollars, or an exchange-traded commodity. The stability of a stablecoin results from the underlying assets backing the stablecoin that are held by the stablecoin’s issuer in segregated or omnibus accounts, among other factors such as the ability of a holder to redeem the stablecoin from its issuer for the underlying asset. The issuers of certain stablecoins currently retain broad discretion to determine the composition and amounts of assets held in the issuers’ accounts backing those stablecoins, and to substitute assets other than the fiat currency that is initially deposited. The composition of backing assets varies considerably across popular stablecoins, with some stablecoins backed entirely by off-chain assets including cash or short-term, highly liquid assets, and others backed by assets significantly less liquid than cash or cash equivalents. For example, Circle, which issues USDC, reports that it holds cash and short-term cash equivalents to back its USDC stablecoins. Meanwhile, Tether, which issues USDT, publishes a report on a quarterly basis which includes a breakdown of the consolidated total assets comprising its reserves backing USDT as of a given reporting date, and according to such reports, its reserves have included commercial paper and certificates of deposit, cash and bank deposits, reverse repo notes, money market funds, treasury bills, secured loans, corporate bonds, funds and precious metals, and other investments (including digital tokens), and Tether reserves the right to redeem USDT by making in-kind redemptions of any assets held in its reserves. As a result of the discretion afforded to certain stablecoin issuers to determine the composition and amounts of assets held in the issuers’ accounts backing those stablecoins,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In extreme cases, such as a request to immediately redeem all or substantially all of a particular stablecoin in circulation, even stablecoins backed by reserves comprised primarily of cash and cash equivalents may be subject to instability or an inability of the stablecoin issuer to meet all redemption requests, as the market for short-dated U.S. government obligations might not be sufficiently price stable. Market participants have increasingly shown concern about the actual underlying liquidity and reserves for dollar stablecoins, such as USDT and USDC. For example, according to reports, Circle had more than US$3 billion of its USDC reserve funds temporarily locked in Silicon Valley Bank when such bank was placed into FDIC receivership in March 2023. Although these funds were ultimately made available, concerns related to Circle’s access to these funds caused USDC to temporarily fall below its US$1.00 peg, and the total market capitalization of USDC decreased following this temporary depegging. If a stablecoin issuer were to fail to honor its redemption obligations, this could undermine public confidence in stablecoins and in digital assets more broadly, which could have a widespread impact on the onchain economy, causing the prices of other stablecoins and digital assets to become more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stablecoins purport to be backed by underlying reserve assets, a fundamental issue in the event of the bankruptcy or insolvency of the issuer of a given stablecoin is which party possesses beneficial ownership of the underlying reserve assets: the holder of the stablecoin, or the issuer. If a particular stablecoin were structured in a manner that entitles its holder only to a contractual right to payment from the issuer (even if such payments are to be derived from the underlying assets), then the assets underlying the stablecoins may be considered to be the property of the issuer’s bankruptcy estate, such that all of the issuer’s creditors would be entitled to their pro rata share of such assets, with the stablecoin holder being treated as an unsecured creditor of the issuer. In such an event, if the issuer were to have insufficient funds or assets to satisfy the claims of its creditors, then the holder of a stablecoin would likely receive only a partial recovery, and not the full purported value of its stablecoin holdings. Conversely, if a particular stablecoin were structured in a manner that entitles its holder to absolute beneficial ownership of the underlying reserve assets, whereby the issuer holds bare legal title to the underlying assets but has no beneficial interest or property rights in such assets, then the holders would likely have a stronger claim on the underlying assets in the event of a bankruptcy or insolvency of the issuer. However, due to the novelty of stablecoins, courts have not yet considered the treatment of underlying reserve assets in the context of a bankruptcy or insolvency of a stablecoin issuer, and there can be no certainty as to a court’s determination in such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We may not be able to sell a digital asset promptly or at a reasonable time or price. Although there may be an institutional market for certain digital assets, it is not possible to predict exactly how the market for such assets will develop or whether they will continue to exist. A digital asset that was liquid at the time of purchase may subsequently become illiquid, and its value may decline as a result. In addition, transaction costs are generally higher for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 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a lack of familiarity and some negative publicity associated with digital asset-related companies, existing and potential clients, counterparties and regulators may lose confidence in digital asset management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inception of the onchain economy, numerous digital asset-related companies have been sued, investigated, or shut down due to fraud, manipulative practices, business failure, and security breaches. In many of these instances, clients of these companies were not compensated or made whole for their losses. Larger platforms are more appealing targets for hackers and malware and may also be more likely to be targets of regulatory enforcement actions. For example, in February 2021, Bitfinex settled a long-running legal dispute with the State of New York related to Bitfinex’s alleged misuse of over US$800 million of client assets and, in October 2023, hackers were reported to have stolen US$570 million from the BNB Smart Chain, a blockchain linked with Holdings Ltd. (“Binance”), which operates one of the world’s largest digital asset trading platforms. In February 2025, the digital asset trading platform Bybit reportedly lost approximately $1.5 billion in Ether through a hacker-induced transfer from its cold wallet to a wallet address said to be associated with the Lazarus Group (a hacker group believed to be run by the government of North Korea). Further, in 2022 and 2023, each of Celsius Networks, Voyager Digital, Three Arrows Capital, FTX and Genesis declared bankruptcy. In particular, in November 2022, FTX—which was at the time one of the world’s largest and most popular digital asset trading platforms—became insolvent, and it was revealed that the platform had been misusing client assets, resulting in a loss of confidence in participants of the onchain economy and negative publicity surrounding digital assets more broadly. The U.S. Department of Justice subsequently brought criminal charges, including charges of fraud, violations of federal securities laws, money laundering and campaign finance offenses, against FTX’s former CEO and others. In November 2023, FTX’s former CEO was convicted of fraud and money laundering.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also brought charges against Genesis Capital and Gemini Trust Company, LLC (“Gemini”) in January 2023 for their alleged unregistered offer and sale of securities to retail investors. In March 2024, Genesis Capital settled the charges, agreeing to a final judgment ordering it to pay a $21 million civil penalty.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Further, in June 2023, the SEC initiated lawsuits against Coinbase, Inc. (“Coinbase”) and Binance alleging, among other things, that such firms were operating as unregistered securities exchanges in the United States, and identifying a number of digital assets that the SEC alleges to be unregistered securities. In addition, in November 2023, the SEC filed a complaint against Payward, Inc. and Payward Ventures, Inc. (together known as “Kraken”) and brought similar charges, including an allegation that Kraken operated as an unregistered securities exchange, brokerage and clearing agency. In November 2023, Binance pleaded guilty to the U.S. Justice Department’s investigations into violations relating to the Bank Secrecy Act of 1970, as amended (“BSA”), and failure to register as a money transmitting business and the International Emergency Economic Powers Act, and the founder of Binance pleaded guilty to failing to maintain an effective AML program in violation of the BSA. As part of the settlement, Binance separately reached resolutions with the CFTC, FinCEN and OFAC. In February 2025, Coinbase and the SEC entered into a court-approved joint stipulation to dismiss the SEC’s lawsuit with prejudice. In March 2025, Kraken and the SEC jointly dismissed the SEC’s lawsuit with prejudice. In May 2025, Binance and the SEC jointly dismissed the SEC’s lawsuit with prejudice. Several other digital assets market participants have also announced that the SEC informed them that the SEC was terminating its investigation or enforcement action into their firm. Further, the Justice Department in April 2025 issued a memorandum indicating that it will prioritize cases related to digital assets’ use in crimes of fraud, terrorism, drugs and human trafficking, organized crime, hacking and gang financing, and that other sorts of cases related to digital assets will be deprioritized. The final outcome of these and other lawsuits (to the extent not yet dismissed), their effect on the broader digital asset investment ecosystem and the reputation impact on industry participants, remain uncertain. Such litigation has led, and this or other litigation in the future may lead, to further volatility in digital asset prices.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there have been reports that a significant amount of trading volume on digital asset trading platforms is fabricated and false in nature, with a specific focus on unregulated platforms located outside the United States. Such reports may indicate that the market for digital asset trading platform activities is significantly smaller than otherwise understood.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Negative perception, a lack of stability and standardized regulation in the onchain economy, and the closure or temporary shutdown of digital asset trading platforms due to fraud, business failure, hackers or malware, or government mandated regulation, and associated losses suffered by clients may reduce confidence in the onchain economy and result in greater volatility of the prices of assets, including significant depreciation in value. Any of these events could have an adverse impact on our reputation,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Many digital asset transactions are irrevocable and stolen or incorrectly transferred digital assets may be irretrievable. As a result, any incorrectly executed digital asset transactions could adversely affect our business operations and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 transactions are typically not reversible without the consent and active participation of the recipient of the transaction. Once a transaction has been verified and recorded in a block that is added to the blockchain, an incorrect transfer or theft of a digital asset generally will not be reversible and we may not be capable of seeking compensation for any such transfer or theft. Although transfers of digital assets that we hold and/or that are custodied on behalf of our clients will regularly be made to or from our custody accounts, it is possible that, through computer or human error, or through theft or criminal action, such digital assets could be transferred from our custody accounts in incorrect amounts or to unauthorized third parties, or to uncontrolled accounts.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events have occurred in connection with digital assets in the past. To the extent that we are unable to seek a corrective transaction with such a third party or are incapable of identifying the third party which has received such digital assets through error or theft, we will be unable to revert or otherwise recover incorrectly transferred digital assets. We will also be unable to convert or recover the digital assets transferred to uncontrolled accounts. To the extent that we are unable to seek redress for such error or theft, such loss could have a material adverse effect on our reputation,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Political or economic crises may motivate large-scale sales of digital assets, which would result in a reduction in values and materially and adversely affect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digital assets, as alternatives to fiat currencies that are backed by central governments, are subject to supply and demand forces based upon the desirability of an alternative, decentralized means of buying and selling goods and services, and it is unclear how such supply and demand will be impacted by geopolitical events. For example, political or economic crises could motivate large-scale acquisitions or sales of digital assets either globally, regionally or locally. Large-scale sales of certain digital assets would result in a reduction in their value and could materially and adversely affect our business, operating results,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value of cryptocurrencies and other digital assets may be subject to momentum pricing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Momentum pricing typically is associated with growth stocks and other assets whose valuation, as determined by the investing public, accounts for anticipated future appreciation in value. Cryptocurrency and other digital asset market prices are determined primarily using data from various digital asset trading platforms, over-the-counter markets, and derivative platforms. Momentum pricing may have resulted, and may continue to result, in speculation regarding future appreciation in the value of cryptocurrencies and other digital assets, inflating and making their market prices more volatile, and such effects may be material and adverse. As a result, cryptocurrencies and other digital assets may be more likely to fluctuate in value due to changing investor confidence in future appreciation (or depreciation) in their market prices, which could adversely and materially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Blockchain networks, digital assets and the digital asset trading platforms on which these assets are traded are dependent on internet and other blockchain infrastructure and susceptible to system failures, security risks and rapid technological 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 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our investment and trading strategies, the value of our assets and the value of any investment in us. Any number of technical changes, software upgrades, soft or hard forks, cybersecurity incidents or other changes to the underlying blockchain network may occur from time to time, causing incompatibility, technical issues, disruptions or security weaknesses to our systems. If we are unable to identify, troubleshoot and resolve any such issues successfully, we may no longer be able to support such cryptocurrency, our clients’ assets may be frozen or lost, the security of our hot or cold wallets may be compromised and our systems and technical infrastructure may be affected, all of which could adversely impact the success of our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us. Advancements in quantum computing could break the cryptographic rules of protocols which support certain of our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From time to time, we may encounter technical issues in connection with the integration of supported digital assets and changes or upgrades to the underlying digital asset networks of supported cryptocurrencies or protocols, and more broadly, such changes or upgrades may be delayed or unsuccessful, any of which could materially and adversely affect our investments and trading strategies,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support any digital asset, a variety of front and back-end technical and development work is required to be implemented in our wallet, custody, trading, and other solutions for our clients, and to integrate such supported digital asset with our existing technical infrastructure. For certain digital assets, a significant amount of development work is required and there is no guarantee that we will be able to support successfully any existing or future digital asset. In addition, such integration may introduce software errors or weaknesses into our products and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our products and existing infrastructure. If we are unable to identify, troubleshoot and resolve any such issues successfully, we may no longer be able to support such digital asset, our clients’ assets may be frozen or lost, the security of our hot, warm, or cold wallets may be compromised, and our technical infrastructure may be affected, all of which could adversely impact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Rising adoption of blockchain networks leads to network congestion, as space on decentralized ledgers is inherently scarce. From a design standpoint, striking a balance between security, decentralization, and scalability (or transactional throughput) is subject of great debate among innovators and has led to the creation of a variety of networks that make different trade-offs to achieve different outcomes. If network congestion rises to the point where transaction fees make it prohibitively expensive for average users to operate on the network, those users may stop using the network, and application developers may seek to build on other networks where users can afford to transact.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number of anticipated or unforeseen technical changes or software upgrades, soft or hard forks, cybersecurity incidents or other changes to the underlying blockchain network may cause incompatibility, technical issues, disruptions or security weaknesses to our systems. If we or our third-party providers are unable to identify, troubleshoot and resolve any such issues successfully, we may no longer be able to support such cryptocurrency, our clients’ assets may be frozen or lost, and our technical infrastructure may be affected, all of which could adversely impact the success of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the governance of a digital asset network may not receive sufficient support from users and miners, which may negatively affect that digital asset network’s ability to grow and respond to challenges.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governance of decentralized networks, such as the Bitcoin and Ethereum networks, is by voluntary consensus and open competition. As a result, there may be a lack of consensus or clarity on the governance of any particular decentralized digital asset network, which may stymie such network’s utility and ability to grow and face challenges. The foregoing notwithstanding, the protocols for some decentralized networks, such as the Bitcoin network, are informally managed by a group of core developers that propose amendments to the relevant network’s source code. Core developers’ roles evolve over time, largely based on self-determined participation. If a significant majority of users and miners adopt amendments to a decentralized network based on the proposals of such core developers, such network will be subject to new protocols that may adversely affect the value of the relevant digital asset. As a result of the foregoing, it may be difficult to find solutions or marshal sufficient effort to overcome any future problems, especially long-term problems, on digital asset networks.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 temporary or permanent “fork” could adversely affect our business operations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public blockchain networks, including the Bitcoin network, operate using open-source protocols, meaning that any user can download the software, modify it and then propose that the users and miners of Bitcoin, for example, adopt the modification. The development team for a network might propose and implement amendments to a network’s source code through software upgrades altering the original protocol, including fundamental ideas such as the irreversibility of transactions and limitations on the validation of blockchain software distributed ledgers. Such changes to original protocols and software could materially and adversely affect our business,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When a modification is introduced and a substantial majority of users and miners consent to the modification, the change is implemented and the network remains uninterrupted. However, if less than a substantial majority of users and miners consent to the proposed modification, and the modification is not compatible with the software prior to its modification, the consequence would be what is known as a “hard fork” of the Bitcoin network, with one group running the pre-modified software and the other running the modified software. The effect of such a fork would be the existence of two versions of Bitcoin running in parallel, yet lacking interchangeability. Both Bitcoin and Ethereum networks have experienced “forks” in recent years. A fork can lead to a disruption of networks and its information technology systems, which can further lead to temporary or even permanent loss of client assets. For example, in August 2017, Bitcoin “forked” into Bitcoin and a new digital asset, Bitcoin Cash, as a result of a several-year dispute over how to increase the rate of transactions that the Bitcoin network can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Forks may also occur as a network community’s response to a significant security breach. For example, in June 2016, an anonymous hacker exploited a smart contract running on the Ethereum network to syphon approximately US$60 million of ETH held by the DAO, a distributed autonomous organization, into a segregated account. In response to the hack, most participants in the Ethereum community elected to adopt a “fork” that effectively reversed the hack. However, a minority of users continued to develop the original blockchain, now referred to as “Ethereum Classic” with the digital asset on that blockchain now referred to as Ether Classic, or ETC. ETC now trades on several digital asset trading platforms.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fork may also occur as a result of an unintentional or unanticipated software flaw in the various versions of otherwise compatible software that users run. Such a fork could lead to users and miners abandoning the digital asset with the flawed software. It is possible, however, that a substantial number of users and miners could adopt an incompatible version of the digital asset while resisting community-led efforts to merge the two chains. This could result in a permanent fork, as in the case of Ether and Ether Classic.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many developers have previously initiated hard forks in the Bitcoin blockchain to launch new digital assets, such as Bitcoin Cash, Bitcoin Gold, Bitcoin Silver and Bitcoin Diamond. Later, the Bitcoin Cash blockchain was again forked to launch a new digital asset, Bitcoin Satoshi’s Vision. To the extent such digital assets compete with a digital asset held by us or our clients, such competition could impact demand for such digital asset and could adversely impact our business operations and financial condition. 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 Classic, worth about US$100,000 at that time, as a result of replay attacks. Another possible result of a hard fork is an inherent decrease in the level of security due to significant amounts of mining power remaining on one network or migrating instead to the new forked network. After a hard fork, it may become easier for an individual miner or mining pool’s hashing power to exceed 50% of the processing power of the digital asset network that retained or attracted less mining power, thereby making digital assets that rely on proof-of-work more susceptible to attack.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hard fork may adversely affect the price of the digital asset at the time of announcement or adoption. For example, the announcement of a hard fork could lead to increased demand for the pre-fork digital asset, in anticipation that ownership of the pre-fork digital asset would entitle holders to a new digital asset following the fork. The increased demand for the pre-fork digital asset may cause the price of the digital asset to rise. After the hard fork, it is possible the aggregate price of the two versions of the digital asset running in parallel would be less than the price of the digital asset immediately prior to the fork.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Ethereum network is in the process of implementing software upgrades and other changes to its protocol. For example, in September 2022, the Ethereum network activated the long-awaited “Merge” upgrade. The Merge effectively swapped Ethereum’s consensus mechanism away from proof-of-work to proof-of-stake. A digital asset network’s consensus mechanism is a material aspect of its source code, and any failure to properly implement such a change could have a material adverse effect on the value of digital assets that rely on the Ethereum network, including some of which we or our clients hold. Although the Merge appears to be successful thus far, it is possible that the Merge introduced a currently undiscovered error or vulnerability. It is expected that further developments and forks for the Ethereum network are forthcoming.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future forks could adversely affect our business operations and financial conditions.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its ability to operate.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malicious actor or botnet (a volunteer or hacked collection of computers controlled by networked software coordinating the actions of the computers) obtains a majority of hash rate on a proof-of-work system, or otherwise controls a sizeable portion of supply in a proof-of-stake system, it can maliciously disrupt the blockchain, either by halting functionality, censoring transactions, or even double-spending coins. If such an actor or botnet obtains a majority of the processing power dedicated to mining on a particular digital asset network, it may be able to alter the relevant blockchain on which transactions in that digital asset rely by constructing fraudulent blocks or preventing certain transactions from completing in a timely manner, or at all. The malicious actor or botnet could also control, exclude or modify the ordering of transactions. Although the malicious actor or botnet would not be able to generate new tokens or transactions using such control, it could “double-spend” its own tokens (i.e., spend the same tokens in more than one transaction) and prevent the confirmation of other users’ transactions for so long as it maintained control. To the extent that such malicious actor or botnet did not yield its control of the processing power on the relevant digital asset network or the digital asset community did not reject the fraudulent blocks as malicious, reversing any changes made to the relevant blockchain may not be possible. Further, a malicious actor or botnet could create a flood of transactions in order to slow down the relevant digital asset network.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in August 2020, the Ethereum Classic Network was the target of two double-spend attacks by an unknown actor or actors that gained more than 50% of the processing power of the Ethereum Classic Network. The attack resulted in reorganizations of the Ethereum Classic Blockchain that allowed the attacker or attackers to reverse previously recorded transactions in excess of over US$5.0 million and US$1.0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a malicious actor or botnet could create a flood of transactions in order to slow down the relevant digital asset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have since begun to implement mitigation procedures to significantly increase the difficulty of attacks of this nature by introducing a penalty for delayed block submissions.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crossing of the 50% threshold indicates a greater risk that a single mining pool or small group of mining pools could exert authority over the validation of digital asset transactions, and this risk is heightened if over 50% of the processing power on the network falls within the jurisdiction of a single governmental authority. To the extent that such events occur on the network of a digital asset that we or our clients hold, if the network participants, including any core developers and administrators of mining pools, do not ensure greater decentralization of mining processing power of such network, the feasibility of a malicious actor obtaining control of the processing power on such network will increase, which may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malicious actor may also obtain control over the Bitcoin network through its influence over core developers by gaining direct control over a core developer or an otherwise influential programmer. To the extent that the Bitcoin ecosystem does not grow, the possibility that a malicious actor may be able to obtain control of the processing power on the Bitcoin network in this manner will remain heightened.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above events could materially and adversely affect our business,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theft, loss, hacking, or destruction of private keys required to access any digital assets held in custody for our own account or for our clients may be irreversible. If we are unable to access our private keys or if we experience a hack or other data loss relating to our ability to access any digital assets, it could cause regulatory scrutiny, reputational harm, and other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assets are generally controllable only by the possessor of the unique private key relating to the digital wallet in which the digital assets are held. While blockchain protocols typically require public addresses to be published when used in a transaction, private keys must be safeguarded and kept private in order to prevent a third party from accessing the digital assets held in such a wallet. To the extent that any of the private keys relating to our wallets containing digital assets held for our own account or for our clients is lost, destroyed, or otherwise compromised or unavailable, and no backup of the private key is accessible, we will be unable to access the digital assets held in the related wallet. Further, we cannot provide assurance that our wallets will not be hacked or compromised. Digital assets and blockchain technologies have been, and may in the future be, subject to security breaches, hacking, or other malicious activities. For example, in February 2025, cryptocurrency exchange Bybit suffered the largest crypto heist in history, losing $1.5 billion in Ethereum (ETH) from a cold wallet. Any loss of private keys relating to, or hack or other compromise of, digital wallets used to store our clients’ digital assets could adversely affect our clients’ ability to access or sell their digital assets, require us to reimburse our clients for their losses, and subject us to significant financial losses in addition to losing clients’ trust in us and our products. As such, any loss of private keys due to a hack, a misconduct or error of employee or third-party service provider, or other compromise by third parties could hurt our brand and reputation, result in significant losses, and adversely impact our business. The total value of digital assets in our possession and control is significantly greater than the total value of insurance coverage that would compensate us in the event of theft or other loss of funds, which could cause our business, operating results, and financial condition to be adversely impacted in the event of such uninsured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Adverse developments affecting financial institutions could adversely affect our industry and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was closed by the California Department of Financial Protection and Innovation, which appointed the FDIC as receiver. Similarly, on March 12, 2023, the New York Department of Financial Services took possession of Signature Bank and appointed the FDIC as receiver of the bank. The U.S. Department of the Treasury, the Federal Reserve and the FDIC released a statement that indicated the FDIC would complete its resolution of Silicon Valley Bank and Signature in a manner that fully protects all depositors. The U.S. Department of Treasury, FDIC and Federal Reserve Board also announced a program to provide up to US$25 billion of loans to financial institutions secured by certain of such government securities held by financial institutions to mitigate the risk of potential losses on the sale of such instruments, widespread demands for client withdrawals or other liquidity needs of financial institutions. We have diverse banking relationships with most of our deposits at large, systemically important financial institutions. To the extent that we have deposited funds with banking institutions that fail and are not otherwise protected, we would lose the amount of our deposits over the then current FDIC insurance limit. The loss of our deposits could reduce the amount of cash we have available to operate our business and have an adverse impact on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offer DeFi products to our clients and our clients may suffer losses if the DeFi protocols, or our activities thereon, do not function as expected.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DeFi products to our clients. DeFi protocols achieve their purposes through self-executing smart contracts. Some of these DeFi protocols allow users to, for example, transfer digital assets to a pool from which other users can borrow without requiring an intermediate party to facilitate these transactions. Digital assets transferred to a pool generally earn interest to the lender, based on the rates at which borrowers repay the loan, and can generally be withdrawn with no restrictions. However, these DeFi protocols pose heightened regulatory concerns and are subject to various risks, including the risk that the underlying smart contract is insecure, the risk that borrowers may default and the lender will not be able to recover its digital assets, the risk that any underlying collateral may experience significant volatility, and the risk that certain core developers with protocol administration rights can make unauthorized or harmful changes to the underlying smart contract. If any of these risks materialize, our clients’ digital assets in these DeFi protocols may be adversely impacted, and our reputation, business operations and financial condition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currently offer products involving, and expect to continue to support, certain smart contract-based digital assets. If the underlying smart contracts for these digital assets do not operate as expected, they could lose value and our businesses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offer products involving, and expect to continue to support, various digital 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may suffer negative publicity, be exposed to security vulnerabilities, decline significantly in value, and lose liquidity over a short period of time. As smart contract-based digital assets continue to develop and evolve, we may be subject to unintended or unforeseen regulatory risks and regulatory actions, which may be inconsistently applied across jurisdictions.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makes adverse changes to a smart contract, the design, functionality, features and value of the smart contract, its related digital 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clients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clients to seek damages against us for their losses, result in reputational damage to us, or in other ways adversely impact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American Depositary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ADSs may be volatile.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ADSs became listed on Nasdaq Global Market on December 21, 2017, the trading price of our ADSs has ranged from US$0.21 to US$19.10 per ADS (trading price presented here reflected actual trading price, without retrospectively applied ratio change). The trading prices of our ADSs are volatile and could fluctuate widely due to factors beyond our control.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securities markets may from time to time experience significant price and volume fluctuations that are not related to our operating performance, which may have a material adverse effect on the market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above factors, the price and trading volume of our ADSs may be highly volatile due to multiple other factors, including the following:</w:t>
      </w:r>
    </w:p>
    <w:tbl>
      <w:tblPr>
        <w:tblW w:w="7356" w:type="dxa"/>
        <w:jc w:val="left"/>
        <w:tblInd w:w="0" w:type="dxa"/>
        <w:tblLayout w:type="fixed"/>
        <w:tblCellMar>
          <w:top w:w="0" w:type="dxa"/>
          <w:left w:w="0" w:type="dxa"/>
          <w:bottom w:w="0" w:type="dxa"/>
          <w:right w:w="0"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9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regulatory developments affecting us, our clients and end marketers, or our industry;</w:t>
            </w:r>
          </w:p>
        </w:tc>
      </w:tr>
    </w:tbl>
    <w:tbl>
      <w:tblPr>
        <w:tblW w:w="3261" w:type="dxa"/>
        <w:jc w:val="left"/>
        <w:tblInd w:w="0" w:type="dxa"/>
        <w:tblLayout w:type="fixed"/>
        <w:tblCellMar>
          <w:top w:w="0" w:type="dxa"/>
          <w:left w:w="0" w:type="dxa"/>
          <w:bottom w:w="0" w:type="dxa"/>
          <w:right w:w="0"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8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conditions in the crypto industry;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fluctuation of our results of operations from quarter to quarter due to seasonality in crypto business, which may be affected by the online spending cycles of consumers and marketers’ practices in marketing budget allocation;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announcements of studies and reports relating to the quality of our solutions and service offerings or those of our competitors;</w:t>
            </w:r>
          </w:p>
        </w:tc>
      </w:tr>
    </w:tbl>
    <w:tbl>
      <w:tblPr>
        <w:tblW w:w="6891" w:type="dxa"/>
        <w:jc w:val="left"/>
        <w:tblInd w:w="0" w:type="dxa"/>
        <w:tblLayout w:type="fixed"/>
        <w:tblCellMar>
          <w:top w:w="0" w:type="dxa"/>
          <w:left w:w="0" w:type="dxa"/>
          <w:bottom w:w="0" w:type="dxa"/>
          <w:right w:w="0"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5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the economic performance or market valuations of our competitors;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actual or anticipated fluctuations in our quarterly results of operations and changes in or revisions to our expected results;</w:t>
            </w:r>
          </w:p>
        </w:tc>
      </w:tr>
    </w:tbl>
    <w:tbl>
      <w:tblPr>
        <w:tblW w:w="5496" w:type="dxa"/>
        <w:jc w:val="left"/>
        <w:tblInd w:w="0" w:type="dxa"/>
        <w:tblLayout w:type="fixed"/>
        <w:tblCellMar>
          <w:top w:w="0" w:type="dxa"/>
          <w:left w:w="0" w:type="dxa"/>
          <w:bottom w:w="0" w:type="dxa"/>
          <w:right w:w="0"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1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changes in financial estimates by securities research analysts;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announcements by us or our competitors of new product and service offerings, acquisitions, strategic relationships, joint ventures or capital commitments;</w:t>
            </w:r>
          </w:p>
        </w:tc>
      </w:tr>
    </w:tbl>
    <w:tbl>
      <w:tblPr>
        <w:tblW w:w="4806" w:type="dxa"/>
        <w:jc w:val="left"/>
        <w:tblInd w:w="0" w:type="dxa"/>
        <w:tblLayout w:type="fixed"/>
        <w:tblCellMar>
          <w:top w:w="0" w:type="dxa"/>
          <w:left w:w="0" w:type="dxa"/>
          <w:bottom w:w="0" w:type="dxa"/>
          <w:right w:w="0"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4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additions to or departures of our senior management;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486" w:type="dxa"/>
        <w:jc w:val="left"/>
        <w:tblInd w:w="0" w:type="dxa"/>
        <w:tblLayout w:type="fixed"/>
        <w:tblCellMar>
          <w:top w:w="0" w:type="dxa"/>
          <w:left w:w="0" w:type="dxa"/>
          <w:bottom w:w="0" w:type="dxa"/>
          <w:right w:w="0"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1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detrimental negative publicity about us, our management or our industry;</w:t>
            </w:r>
          </w:p>
        </w:tc>
      </w:tr>
    </w:tbl>
    <w:tbl>
      <w:tblPr>
        <w:tblW w:w="4776" w:type="dxa"/>
        <w:jc w:val="left"/>
        <w:tblInd w:w="0" w:type="dxa"/>
        <w:tblLayout w:type="fixed"/>
        <w:tblCellMar>
          <w:top w:w="0" w:type="dxa"/>
          <w:left w:w="0" w:type="dxa"/>
          <w:bottom w:w="0" w:type="dxa"/>
          <w:right w:w="0"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3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fluctuations of the price of various cryptocurrencies;</w:t>
            </w:r>
          </w:p>
        </w:tc>
      </w:tr>
    </w:tbl>
    <w:tbl>
      <w:tblPr>
        <w:tblW w:w="3771" w:type="dxa"/>
        <w:jc w:val="left"/>
        <w:tblInd w:w="0" w:type="dxa"/>
        <w:tblLayout w:type="fixed"/>
        <w:tblCellMar>
          <w:top w:w="0" w:type="dxa"/>
          <w:left w:w="0" w:type="dxa"/>
          <w:bottom w:w="0" w:type="dxa"/>
          <w:right w:w="0"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3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fluctuations of currency exchange rates;</w:t>
            </w:r>
          </w:p>
        </w:tc>
      </w:tr>
    </w:tbl>
    <w:tbl>
      <w:tblPr>
        <w:tblW w:w="8646" w:type="dxa"/>
        <w:jc w:val="left"/>
        <w:tblInd w:w="0" w:type="dxa"/>
        <w:tblLayout w:type="fixed"/>
        <w:tblCellMar>
          <w:top w:w="0" w:type="dxa"/>
          <w:left w:w="0" w:type="dxa"/>
          <w:bottom w:w="0" w:type="dxa"/>
          <w:right w:w="0" w:type="dxa"/>
        </w:tblCellMar>
      </w:tblPr>
      <w:tblGrid>
        <w:gridCol w:w="124"/>
        <w:gridCol w:w="256"/>
        <w:gridCol w:w="8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2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release or expiry of lock-up or other transfer restrictions on our outstanding ordinary shares or ADSs;</w:t>
            </w:r>
          </w:p>
        </w:tc>
      </w:tr>
    </w:tbl>
    <w:tbl>
      <w:tblPr>
        <w:tblW w:w="6321" w:type="dxa"/>
        <w:jc w:val="left"/>
        <w:tblInd w:w="0" w:type="dxa"/>
        <w:tblLayout w:type="fixed"/>
        <w:tblCellMar>
          <w:top w:w="0" w:type="dxa"/>
          <w:left w:w="0" w:type="dxa"/>
          <w:bottom w:w="0" w:type="dxa"/>
          <w:right w:w="0"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9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sales or perceived potential sales of additional ordinary shares or ADSs;</w:t>
            </w:r>
          </w:p>
        </w:tc>
      </w:tr>
    </w:tbl>
    <w:tbl>
      <w:tblPr>
        <w:tblW w:w="3336" w:type="dxa"/>
        <w:jc w:val="left"/>
        <w:tblInd w:w="0" w:type="dxa"/>
        <w:tblLayout w:type="fixed"/>
        <w:tblCellMar>
          <w:top w:w="0" w:type="dxa"/>
          <w:left w:w="0" w:type="dxa"/>
          <w:bottom w:w="0" w:type="dxa"/>
          <w:right w:w="0"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9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share repurchase program; and</w:t>
            </w:r>
          </w:p>
        </w:tc>
      </w:tr>
    </w:tbl>
    <w:tbl>
      <w:tblPr>
        <w:tblW w:w="4656" w:type="dxa"/>
        <w:jc w:val="left"/>
        <w:tblInd w:w="0" w:type="dxa"/>
        <w:tblLayout w:type="fixed"/>
        <w:tblCellMar>
          <w:top w:w="0" w:type="dxa"/>
          <w:left w:w="0" w:type="dxa"/>
          <w:bottom w:w="0" w:type="dxa"/>
          <w:right w:w="0"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2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potential litigation or regulatory investing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ADSs will trade.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global financial crisis, the trade wars, the Russia-Ukraine conflict, the Hamas-Israel conflict, the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not comply with the minimum listing requirements of the Nasdaq.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currently listed on the Nasdaq Global Market. In order to maintain listing on the Nasdaq, we must satisfy minimum financial and other continued listing requirements and standards. If we were not able to maintain compliance with this requirement or any other applicable listing standard of the Nasdaq, our ADSs would be subject to delisting. In the event that our ADSs are delisted from the Nasdaq and are not eligible for quotation or listing on another market or exchange, trading of our ADSs could be conducted only in the over-the-counter market established for unlisted securities such as OTC markets. In such event, it could become more difficult to dispose of, or obtain accurate price quotations for our ADSs, which could cause the price of our ADSs to decline further. As a result, our ability to obtain adequate financing for the continuation of our operations would be substantially impaired, which could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30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Mr. Michael Wu, our chairman of the board and Chief Executive Officer, beneficially owned an aggregate of 36,233,237 Class B ordinary shares. Due to the disparate voting powers associated with our dual-class share structure, Mr. Wu beneficially owned approximately 91.9% of the aggregate voting power of the Company as of March 31, 2026. See “Item 6. Directors, Senior Management and Employees—E. Share Ownership.” As a result of the dual-class share structure and the concentration of ownership, Mr. Wu will have considerable influence over matters such as decisions regarding change of directors, mergers, change of control transactions and other significant corporate actions. He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directors, officers and principal shareholders have substantial influence over our company and their interests may not be aligned with the interests of our other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and officers collectively beneficially owned an aggregate of 92.5% of the total voting power of our outstanding ordinary shares as of March 31, 2026. See “Item 6. Directors, Senior Management and Employees—E. Share Ownership.” As a result, they have substantial influence over our business, including significant corporate actions such as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share incentives, which may result in increased share based compensation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granted, and may continue to grant, share incentives to employees, directors and advisors to incentivize their performance and align their interests with ours. As of March 31, 2026, 332,375 Class A ordinary shares were outstanding under our Post-IPO Share Incentive Plan, representing the shares underlying the unvested 15,500 restricted Class A ordinary shares units, vested and unexercised options to purchase 95,060 Class A ordinary shares, and unvested options to purchase 221,815 Class A ordinary shares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share-based compensation for these share incentive awards using a fair value based method and recognize expenses in our consolidated statements of comprehensive loss in accordance with International Financial Reporting Standards (“IFRS”) issued by the International Accounting Standards Board. We will incur additional share based compensation expenses in the future as we continue to grant share incentives using the ordinary shares reserved for this platform. We believe the granting of share-based compensation is of significant importance to our ability to attract and retain key personnel and employees, and we will continue to grant share-based compensation to them in the future. As a result, our expenses associated with share-based compensation may increase, which may have an adverse effect on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publish inaccurate or unfavorable research about our business, the market price for our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our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you must rely on price appreciation of our ADSs for return on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that contain anti-takeover provisions that could discourage a third party from acquiring us and adversely affect the rights of holders of our Class A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memorandum and articles of association contain certain provisions that could limit the ability of others to acquire control of our company, including a dual-class share structure that gives greater voting power to the Class B ordinary shares beneficially owned by Mr. Michael Wu,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Nasdaq corporate governance listing standards.; these practices may afford less protection to shareholders than they would enjoy if we complied fully with the Nasdaq corporate governance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have relied on and intend to continue to rely on some of the exemptions provided by the Nasdaq Stock Market Rules to a foreign private issuer, including exemptions from the requirements to have: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shareholder approval for certain events, including the establishment or amendment of certain equity based compensation plans and arrangements and certain transactions involving issuances of 20% or more interest in our company;</w:t>
            </w:r>
          </w:p>
        </w:tc>
      </w:tr>
    </w:tbl>
    <w:tbl>
      <w:tblPr>
        <w:tblW w:w="5346" w:type="dxa"/>
        <w:jc w:val="left"/>
        <w:tblInd w:w="0" w:type="dxa"/>
        <w:tblLayout w:type="fixed"/>
        <w:tblCellMar>
          <w:top w:w="0" w:type="dxa"/>
          <w:left w:w="0" w:type="dxa"/>
          <w:bottom w:w="0" w:type="dxa"/>
          <w:right w:w="0"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9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majority of independent directors on our board of directors;</w:t>
            </w:r>
          </w:p>
        </w:tc>
      </w:tr>
    </w:tbl>
    <w:tbl>
      <w:tblPr>
        <w:tblW w:w="4011" w:type="dxa"/>
        <w:jc w:val="left"/>
        <w:tblInd w:w="0" w:type="dxa"/>
        <w:tblLayout w:type="fixed"/>
        <w:tblCellMar>
          <w:top w:w="0" w:type="dxa"/>
          <w:left w:w="0" w:type="dxa"/>
          <w:bottom w:w="0" w:type="dxa"/>
          <w:right w:w="0"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annual general meeting of shareholders;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0" w:type="dxa"/>
          <w:left w:w="0" w:type="dxa"/>
          <w:bottom w:w="0" w:type="dxa"/>
          <w:right w:w="0"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3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as defined under the Nasdaq rules, and as a result, will qualify for exemptions from certain corporate governance requirements. Although we do not intend to rely on these exemptions at this time, we may do so in the future and you may not have the same protections afforded to shareholders of companies that are subject to such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“controlled company” as defined under the Nasdaq rules because Mr. Wu beneficially owned approximately 91.9% of the aggregate voting power of the Company as of March 31, 2026. For so long as we remain a controlled company under that definition, we are permitted to elect to rely, and may rely, on certain exemptions from Nasdaq corporate governance rules. As a foreign private issuer and a “controlled company”, we are permitted to elect to rely, and may rely, on certain exemptions from corporate governance rules, including:</w:t>
      </w:r>
    </w:p>
    <w:tbl>
      <w:tblPr>
        <w:tblW w:w="6801" w:type="dxa"/>
        <w:jc w:val="left"/>
        <w:tblInd w:w="0" w:type="dxa"/>
        <w:tblLayout w:type="fixed"/>
        <w:tblCellMar>
          <w:top w:w="0" w:type="dxa"/>
          <w:left w:w="0" w:type="dxa"/>
          <w:bottom w:w="0" w:type="dxa"/>
          <w:right w:w="0"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4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requirement that a majority of our Board consist of independent directors;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requirement that our compensation, nominating and corporate governance committee be composed entirely of independent directors;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requirement for an annual performance evaluation of our compensation, nominating and corporate governance committee.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intend to rely on these exemptions as may be changed from time to time and, accordingly, you may not have the same protections afforded to shareholders of companies that are subject to all of the corporate governance requirements of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face difficulties in protecting your interests, and your ability to protect your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Our corporate affairs are governed by our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courts are also unlikely:</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recognize or enforce against us judgments of courts of the United States based on certain civil liability provisions of U.S. securities laws;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impose liabilities against us, in original actions brought in the Cayman Islands, based on certain civil liability provisions of U.S. securities laws that are penal in nature.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incorporated under the laws of the Cayman Islands. We conduct all of our current operations outside the United States, and all of our assets are located outside the United States. Many of our directors and executive officers are nationals or residents of jurisdictions other than the United States and most of their assets are located outside of the United States.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of Singapore, of Hong Kong and of Dubai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who are reside out of the U.S. See “—Enforceability Of Civil Liabilities.”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you may not be able to exercise your right to vote your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Except in limited circumstances, the depositary for our ADSs will give us a discretionary proxy to vote the Class A ordinary shares underlying your ADSs if you do not vote at shareholders’ meetings, which could adversely affect your interests.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rights to pursue claims against the depositary as a holder of ADSs are limited by the terms of the deposit agreement and the deposit agreement may be amended or terminated without your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Your right to participate in any future rights offerings may be limited, which may cause dilution to your holdings.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not receive dividends or other distributions on our Class A ordinary shares and you may not receive any value for them, if it is illegal or impractical to make them available to you.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You may be subject to limitations on transfer of your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or current reports on Form 8-K;</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sections of the Exchange Act requiring principal shareholders to file public reports of their stock ownership and trading activities and liability for insiders who profit from trades made in a short period of time; and</w:t>
            </w:r>
          </w:p>
        </w:tc>
      </w:tr>
    </w:tbl>
    <w:tbl>
      <w:tblPr>
        <w:tblW w:w="8301" w:type="dxa"/>
        <w:jc w:val="left"/>
        <w:tblInd w:w="0" w:type="dxa"/>
        <w:tblLayout w:type="fixed"/>
        <w:tblCellMar>
          <w:top w:w="0" w:type="dxa"/>
          <w:left w:w="0" w:type="dxa"/>
          <w:bottom w:w="0" w:type="dxa"/>
          <w:right w:w="0"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9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and reports on Form 6-K relating to certain material events promptly after we publicly announce these events.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 and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increased costs as a result of being a public company, and our compliance costs may continue to increase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incurred additional legal, accounting and other expenses as a public reporting company. For example, we are required to comply with additional requirements of the rules and regulations of the SEC and requirements of the Nasdaq Global Market, including applicable corporate governance practices.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believe we were a passive foreign investment company, or PFIC, for United States federal income tax purposes for our prior taxable year and there is significant risk that we will be a PFIC for our current taxable year and in future taxable years, which could subject United States investors in our ADSs or ordinary shares to significant adverse U.S. federal income tax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For this purpose, cash generally is treated as a passive asset. Goodwill is treated as an active asset under the PFIC rules to the extent attributable to activities that produce active income for these purposes.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entity as being owned by us for U.S. federal income tax purposes because we control its management decisions and are entitled to substantially all of the economic benefits associated with the entity.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market price of our ADSs and/or ordinary shares may cause us to be a PFIC in the current or subsequent taxable years. In addition, the composition of our income and assets will also be affected by how, and how quickly, we use our liquid assets. As the PFIC tests must be applied at the end of each year, and the composition of our income and assets and the value of its assets may change over time, there can be no assurance that we will not be a PFIC for any year in which a U.S. Holder holds its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in any taxable year, U.S. Holders (as defined in “Item 10. Additional Information—E. Taxation—United States Federal Income Tax Considerations”) may incur significantly increased U.S. income tax on gain recognized on the sale or other disposition of the ADSs or ordinary shares and on the receipt of distributions on the ADSs or ordinary shares to the extent such gain or distribution is treated as an “excess distribution” under the U.S. federal income tax rules, and may be subject to burdensome reporting requirements. Further, if we are a PFIC for any year during which a U.S. Holder holds our ADSs or ordinary shares, the U.S. Holder generally will be required to continue to treat us as a PFIC for all succeeding years during which the U.S. Holder holds our ADSs or ordinary shares, even if we no longer satisfy the tests described above, unless the U.S. Holder makes a special “purging” election on U.S. Internal Revenue Service (“IRS”) Form 8621. For more information, see “Item 10. Additional Information—E. Taxation—United States Federal Income Tax Considerations—Passive Foreign Investment Company Rules.” U.S. Holders are urged to consult their own tax advisors regarding the U.S. federal income tax consequences of holding ordinary shares or ADSs in a PFIC.</w:t>
      </w:r>
    </w:p>
    <w:p>
      <w:pPr>
        <w:pStyle w:val="TextBody"/>
        <w:bidi w:val="0"/>
        <w:spacing w:before="0" w:after="240"/>
        <w:ind w:left="0" w:right="0" w:hanging="0"/>
        <w:jc w:val="left"/>
        <w:rPr>
          <w:rFonts w:ascii="Times New Roman;Times;serif" w:hAnsi="Times New Roman;Times;serif"/>
          <w:sz w:val="20"/>
        </w:rPr>
      </w:pPr>
      <w:bookmarkStart w:id="41" w:name="ITEM4INFORMATIONONTHECOMPANY_998566"/>
      <w:bookmarkStart w:id="42" w:name="_932d6a07_98f9_4f6e_be26_da747b32843e"/>
      <w:bookmarkEnd w:id="41"/>
      <w:bookmarkEnd w:id="42"/>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History and Development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history can be traced back to 2009, when iClick commenced its online marketing business. In February 2010, iClick restructured its holding structuring by incorporating Optimix Media Asia Limited in the Cayman Islands as the holding company of Optimix HK to facilitate financing and offshore listing. In March 2017, iClick changed its name from Optimix Media Asia Limited to iClick Interactive Asia Group Limited. On December 21, 2017, iClick’s ADSs commenced trading on Nasdaq Global Market under the symbol “ICLK.” iClick implemented an ADS ratio change on November 14, 2022, and completed the disposals of its Chinese Mainland enterprise solutions business and demand-side marketing solutions business in 2024 (the “Disposals”).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29, 2024, iClick entered into a definitive agreement and plan of merger (the “Merger Agreement”), with Overlord Merger Sub Ltd. (“Merger Sub”), pursuant to which the Merger Sub will merge with and into Amber DWM, with Amber DWM continuing as the surviving entity and becoming a wholly-owned subsidiary of iClick (the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expedite the closing of the Merger, the parties entered to an Amendment, Waiver and Framework Agreement (the “Framework Agreement”) to amend and waive certain closing conditions to the Merger, including in relation to the DWM Asset Restructuring and these regulatory approvals, and to provide for alternative arrangements that would afford iClick with substantially the same economic benefits as the transactions contemplated under the Merger Agreement. Specifically, (i) pursuant to the Framework Agreement, the parties have agreed to complete the DWM Asset Restructuring and cause Sparrow Tech Private Limited to become an indirect subsidiary of iClick promptly upon the receipt of the relevant regulatory approvals, and (ii) pursuant to certain intercompany services agreement entered into concurrently with the execution of the Framework Agreement, while the regulatory approvals are pending, iClick will receive 100% of the consolidated basis net income generated by the WFTL Assigned Contracts and 100% consolidated net income of Sparrow Tech Private Limited. The Company became a controller in Sparrow Tech Private Limited as of April 25, 2025. On October 28, 2025, the WFTL Assigned Contracts were assumed by AGTL, which is also a wholly owned subsidiary of Amber Group and an affiliate of ours, and Amber Match Limited, one of our wholly owned subsidiaries, entered into intercompany services agreement with AGTL to replace its previous agreement with WFTL on substantially the same terms. On April 2, 2026, Amber Premium FZE, one of our wholly owned subsidiaries, received a VASP License from Dubai’s VARA. The VASP License grants us the authority to commence operations and to offer three regulated activities in and from the Emirate of Dubai, including virtual asset (VA) Broker</w:t>
        <w:noBreakHyphen/>
        <w:t>Dealer Services, VA Management and Investment Services, and VA Lending and Borrowing Services for global institutional and qualified investors as defined under VARA’s rulebooks. As of the date of this annual report, the DWM Asset Restructuring has not been completed as certain requisite local regulatory approvals have not been obtained.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Merger was closed on March 12, 2025. In connection with the Merger, the Company changed its name from “iClick Interactive Asia Group Limited” to “Amber International Holding Limited”. In addition, the Company’s ADSs began trading under the new ticker symbol “AMBR” on the Nasdaq effective on March 13,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1 Wallich Street, #30-02 Guoco Tower, Singapore 078881. Our telephone number at this address is +65 60220228. Our registered office in the Cayman Islands is located at Maples Corporate Services Limited at PO Box 309, Ugland House, Grand Cayman, KY1-1104, Cayman Islands. Our website is https://www.ambr.io/. The SEC also maintains an internet site at www.sec.gov that contains reports, proxy and information statements, and other information regarding registrants that make electronic filings with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digital asset wealth management platform, operating under the brand name “Amber Premium”, strategically positioned within the rapidly expanding digital asset market. We act as the institutional gateway to crypto finance, providing market access, execution infrastructure, and investment solutions for institutional investors and high-net-worth individuals (HNWIs).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institutions and HNWIs increasingly explore opportunities in the digital asset sector, their initial participation is often through familiar traditional financial instruments, such as exchange-traded funds (ETFs) and direct exposure to Bitcoin. As their engagement deepens, these investors increasingly recognize that the digital asset landscape encompasses a broader range of opportunities, including blockchain-based innovations, decentralized finance (DeFi) applications, and tokenized financial products. We seek to address these evolving needs by offering institutional-grade execution services, comprehensive suite of investment products, and integrated crypto payment solutions that extend beyond traditional financial (TradFi) instruments. Leveraging our market expertise, proprietary technologies, and institutional-level risk management practices, we enable clients to effectively navigate the complexities of the digital asset ecosystem, optimize portfolio strategies, and identify new opportunities for growth within this emerging asset class.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By seamlessly merging traditional finance and decentralized finance, we provide the following major products to meet our clients’ evolving needs: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Comprehensive Wealth Management Solutions</w:t>
            </w:r>
            <w:r>
              <w:rPr>
                <w:rFonts w:ascii="Times New Roman;Times;serif" w:hAnsi="Times New Roman;Times;serif"/>
                <w:sz w:val="20"/>
              </w:rPr>
              <w:t xml:space="preserve"> </w:t>
            </w:r>
            <w:r>
              <w:rPr>
                <w:rFonts w:ascii="Times New Roman;Times;serif" w:hAnsi="Times New Roman;Times;serif"/>
                <w:b/>
                <w:i/>
                <w:sz w:val="20"/>
              </w:rPr>
              <w:t>Structured Investment Products</w:t>
            </w:r>
            <w:r>
              <w:rPr>
                <w:rFonts w:ascii="Times New Roman;Times;serif" w:hAnsi="Times New Roman;Times;serif"/>
                <w:sz w:val="20"/>
              </w:rPr>
              <w:t xml:space="preserve"> – We offer a range of products with option structures, including dual cryptocurrency instruments and accumulator/decumulator products, which are designed to support systematic asset accumulation and manage exposure in a risk-adjusted manner.</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Yield &amp; DeFi Solutions</w:t>
            </w:r>
            <w:r>
              <w:rPr>
                <w:rFonts w:ascii="Times New Roman;Times;serif" w:hAnsi="Times New Roman;Times;serif"/>
                <w:sz w:val="20"/>
              </w:rPr>
              <w:t xml:space="preserve"> – We offer earn programs, staking rewards, and DeFi yield-related products, which are structured to enhance capital efficiency while maintaining effective risk management.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Collateralized Lending</w:t>
            </w:r>
            <w:r>
              <w:rPr>
                <w:rFonts w:ascii="Times New Roman;Times;serif" w:hAnsi="Times New Roman;Times;serif"/>
                <w:sz w:val="20"/>
              </w:rPr>
              <w:t xml:space="preserve"> – We offer crypto-backed financing solutions that allow clients to obtain liquidity against their digital asset holdings. These services include configurable loan terms and automated position monitoring mechanisms designed to reduce the risk of forced liquidation.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Full-Stack Execution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execution solutions provide direct access to over 2,000 trading pairs across more than 100 centralized exchanges (CEXs), decentralized exchanges (DEXs), and over-the-counter (OTC) markets. The platform’s connectivity to a broad network of liquidity sources enables trade execution across a wide range of digital assets.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Automated Execution</w:t>
            </w:r>
            <w:r>
              <w:rPr>
                <w:rFonts w:ascii="Times New Roman;Times;serif" w:hAnsi="Times New Roman;Times;serif"/>
                <w:sz w:val="20"/>
              </w:rPr>
              <w:t xml:space="preserve"> – Our execution services are backed by a high-performance trading infrastructure, supporting automated strategies and advanced order execution methods, such as Volume Weighted Average Price (VWAP) and Time Weighted Average Price (TWAP), and Iceberg strategies for optimized trading.</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OTC Trading</w:t>
            </w:r>
            <w:r>
              <w:rPr>
                <w:rFonts w:ascii="Times New Roman;Times;serif" w:hAnsi="Times New Roman;Times;serif"/>
                <w:sz w:val="20"/>
              </w:rPr>
              <w:t xml:space="preserve"> – We offer over-the-counter trading solutions through a 24/7 institutional OTC desk to facilitate large-order execution through bilateral transactions. The solutions are tailored to institutional clients and are designed to minimize market impact.</w:t>
            </w:r>
          </w:p>
        </w:tc>
      </w:tr>
    </w:tbl>
    <w:p>
      <w:pPr>
        <w:pStyle w:val="TextBody"/>
        <w:pBdr/>
        <w:bidi w:val="0"/>
        <w:spacing w:before="0" w:after="240"/>
        <w:ind w:left="0" w:right="0" w:hanging="360"/>
        <w:jc w:val="both"/>
        <w:rPr>
          <w:rFonts w:ascii="Times New Roman;Times;serif" w:hAnsi="Times New Roman;Times;serif"/>
          <w:b/>
          <w:i/>
          <w:sz w:val="20"/>
        </w:rPr>
      </w:pPr>
      <w:r>
        <w:rPr>
          <w:rFonts w:ascii="Times New Roman;Times;serif" w:hAnsi="Times New Roman;Times;serif"/>
          <w:b/>
          <w:i/>
          <w:sz w:val="20"/>
        </w:rPr>
        <w:t>Seamless Crypto Payment Solutions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Fiat On/Off-Ramp</w:t>
            </w:r>
            <w:r>
              <w:rPr>
                <w:rFonts w:ascii="Times New Roman;Times;serif" w:hAnsi="Times New Roman;Times;serif"/>
                <w:sz w:val="20"/>
              </w:rPr>
              <w:t xml:space="preserve"> – We provide crypto-to-fiat and fiat-to-crypto conversion services through regulated channels, enabling clients to transact between digital assets and traditional currencies in a secure and compliant manner.</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Amber Premium Crypto Card</w:t>
            </w:r>
            <w:r>
              <w:rPr>
                <w:rFonts w:ascii="Times New Roman;Times;serif" w:hAnsi="Times New Roman;Times;serif"/>
                <w:sz w:val="20"/>
              </w:rPr>
              <w:t xml:space="preserve"> – Amber Premium Crypto Card is a virtual payment solution designed to seamlessly integrate digital assets with traditional financial systems. This card enables users to directly spend a broad range of cryptocurrencies—including yield-generating digital assets—at merchants worldwide, with real-time transaction settlement. The Amber Premium Crypto Card aims to enhance the utility of digital assets by facilitating instantaneous and secure payments across the global merchant network.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Technology and Innovation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leverage cutting-edge technology to stay at the forefront of the rapidly evolving digital asset space. We integrate the latest advancements in blockchain technology with traditional financial services, creating a seamless and efficient platform for our clients. Amber Premium’s commitment to technology and innovation ensures that clients have access to secure and user-friendly tools and products that meet the demands of today’s digital economy.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achieved technological advancements in the following key areas: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Proprietary Platforms</w:t>
            </w:r>
            <w:r>
              <w:rPr>
                <w:rFonts w:ascii="Times New Roman;Times;serif" w:hAnsi="Times New Roman;Times;serif"/>
                <w:sz w:val="20"/>
              </w:rPr>
              <w:t xml:space="preserve"> – We have developed proprietary digital platforms that enable clients to manage their portfolios securely and efficiently. These platforms include mobile apps and web interfaces with real-time updates, market analytics and secure transaction execution. Designed with a sleek and user-friendly interface, these platforms ensure accessibility and ease of use for both institutional and high-net-worth individual clients.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Web3 Integration</w:t>
            </w:r>
            <w:r>
              <w:rPr>
                <w:rFonts w:ascii="Times New Roman;Times;serif" w:hAnsi="Times New Roman;Times;serif"/>
                <w:sz w:val="20"/>
              </w:rPr>
              <w:t xml:space="preserve"> – As the Web3 ecosystem continues to grow, we integrate DeFi capabilities into its offerings, which includes access to yield enhanced products, staking rewards and airdrops from leading Web3 projects. By staying ahead of the curve in Web3 technology, we provide our clients with new, lucrative opportunities within the DeFi space.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Web3 Tools</w:t>
            </w:r>
            <w:r>
              <w:rPr>
                <w:rFonts w:ascii="Times New Roman;Times;serif" w:hAnsi="Times New Roman;Times;serif"/>
                <w:sz w:val="20"/>
              </w:rPr>
              <w:t xml:space="preserve"> – We use state-of-the-art blockchain security measures, including advanced encryption, cold and hot wallet storage solutions and multi-factor authentication. This robust infrastructure ensures the safety of client assets and personal data, positioning us as a trusted player in the digital asset industry. </w:t>
            </w:r>
            <w:r>
              <w:rPr>
                <w:rFonts w:ascii="Times New Roman;Times;serif" w:hAnsi="Times New Roman;Times;serif"/>
                <w:i/>
                <w:sz w:val="20"/>
              </w:rPr>
              <w:t>AI and Data Analytics</w:t>
            </w:r>
            <w:r>
              <w:rPr>
                <w:rFonts w:ascii="Times New Roman;Times;serif" w:hAnsi="Times New Roman;Times;serif"/>
                <w:sz w:val="20"/>
              </w:rPr>
              <w:t xml:space="preserve"> – We utilize artificial intelligence and advanced data analytics to enhance our investment strategies and risk management processes. For instance, MIA, our first in-house developed AI agent, has been deployed externally for content generation, social media consistency, and investor engagement, and internally as a proactive workspace assistant accelerating workflows via a proprietary skill hub and secure internal database. In addition, we are actively developing the A-Suite, a cohesive architecture of three AI-native operating systems designed not only to power businesses such as Amber Premium but also to intelligently coordinate liquidity, yield management and asset distribution at scale. In the first quarter of 2026, we expect to officially announce the first of these three operating systems: an AI-native autonomous workflow engine for digital asset liquidity management. Over time, we anticipate that the A-Suite will unlock new, scalable revenue streams and significantly enhance our operating leverage in the periods following its launch.</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Clients and Client Support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Amber Premium served a community of 998 active clients. Active clients are who had conducted at least one transaction during the consecutive three months ended December 31, 2025 or whose assets under management with the Company were greater than US$10 thousand. Our institutional clients comprise sophisticated players across the financial landscape, from established family offices and hedge funds to forward-thinking venture capital firms and crypto-native institutions. Our individual client base consists of high-net-worth and ultra-high-net-worth individuals who are shaping the future of digital asset investments.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heart of our service model is deep client engagement, powered by dedicated relationship managers who understand each client’s unique investment philosophy and objectives. These managers maintain regular strategic dialogue with clients, gathering insights that not only enhance our service delivery but also inform its product development roadmap. The clients are more than just users — they are partners whose strategic vision and investment approaches actively contribute to advancing the onchain economy.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require license to operate our business in Singapore. Sparrow Tech Private Limited, our wholly-owned subsidiary, holds a Major Payment Institution (MPI) License issued by the Monetary Authority of Singapore to provide Digital Payment Token services in Singapore under the Payment Services Act, trading as Amber Premium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 2026, Amber Premium FZE, one of our wholly owned subsidiaries, received a VASP License from Dubai’s VARA. The VASP License grants Amber Premium the authority to commence operations and to offer three regulated activities in and from the Emirate of Dubai, including VA Broker</w:t>
        <w:noBreakHyphen/>
        <w:t>Dealer Services, VA Management and Investment Services, and VA Lending and Borrowing Services for global institutional and qualified investors as defined under VARA’s rulebooks.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comprehensive risk management framework that prioritizes security, compliance and monitoring of the digital assets we hold on behalf of our clients and for our operating purposes.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Comprehensive client on-boarding and ongoing monitoring</w:t>
            </w:r>
            <w:r>
              <w:rPr>
                <w:rFonts w:ascii="Times New Roman;Times;serif" w:hAnsi="Times New Roman;Times;serif"/>
                <w:sz w:val="20"/>
              </w:rPr>
              <w:t xml:space="preserve"> – Our KYC program encompasses key components such as client due diligence, risk assessments, enhanced reviews for high-risk clients and name screening against global sanctions list. Following the client onboarding process, we monitor client profiles and transaction activities to detect and address suspicious behaviors, ensuring compliance with regulatory requirements across our operating jurisdictions. We leverage a combination of proprietary tools and external partnerships to analyze blockchain-based transactions in real-time while overseeing deposits, withdrawals and trades within our ecosystem. This comprehensive setup enables us to swiftly respond to emerging threats in the onchain economy, develop tailored scenarios and typologies for specific transaction patterns, and maintain the flexibility necessary to support new products and services effectively.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Cybersecurity and cryptography technology</w:t>
            </w:r>
            <w:r>
              <w:rPr>
                <w:rFonts w:ascii="Times New Roman;Times;serif" w:hAnsi="Times New Roman;Times;serif"/>
                <w:sz w:val="20"/>
              </w:rPr>
              <w:t xml:space="preserve"> – We prioritize the security of client assets and data by employing best-in-class cybersecurity measures. In collaboration with Amber Group, we have attained multiple globally recognized certifications in cybersecurity and information security, including ISO 27001, demonstrating their robust approach to securing data and mitigating cyber threats. Amber Group and we further align their practices with the National Institute of Standards and Technology (“NIST”) Cybersecurity Framework, ensuring a structured and proactive approach to managing risks. Complementing their cybersecurity focus, Amber Group and we have also achieved certifications in privacy protection, such as ISO 27701 and ISO 29151, and conforms to the NIST Privacy Framework. These accomplishments exemplify our comprehensive capabilities in protecting information and highlight our unwavering dedication to upholding the highest standards of security, privacy and regulatory compliance. To further enhance asset security, Amber Group and we employ a Hardware Security Module solution to manage a combination of cold (air-gapped) and hot wallets. This approach ensures the secure storage and protection of idle crypto assets, providing robust security and peace of mind for clients. See “—Synergistic Collaborations with Amber Group” for more details of the relationship and collaborations between us and Amber Group.</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Advanced risk management framework –</w:t>
            </w:r>
            <w:r>
              <w:rPr>
                <w:rFonts w:ascii="Times New Roman;Times;serif" w:hAnsi="Times New Roman;Times;serif"/>
                <w:sz w:val="20"/>
              </w:rPr>
              <w:t xml:space="preserve"> We have implemented a sophisticated, technology-driven risk management system designed to effectively identify, assess and mitigate risks across our operations while ensuring full compliance with applicable laws and regulations. Our risk and compliance teams collaborate closely, working together to review and address credit, operational, compliance and enterprise risks. Guidelines and measures are continuously updated to reflect evolving regulatory requirements and industry best practices. For example, we have clear and efficient mechanisms of managing various types of risks, and has established related policies to standardize the processes to identify, evaluate, report and mitigate potential risks. The risk team holds regular meetings to evaluate current risk management status and develop mitigation plans for potential risks. To enhance internal controls and operational integrity, we conduct annual internal audits in partnership with reputable third-party auditors. These audits cover daily operations, financial and accounting practices and overall business management, ensuring the organization’s processes remain effective and resilient. Additionally, we have established various specialized internal committees, each dedicated to critical aspects of the organization’s functions. This structure ensures strategic alignment, informed decision-making and effective oversight across all areas of our business.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Synergistic Collaborations with Amber Group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Amber Premium commenced its operations in 2021 as the crypto private banking business of Amber Group, and transitioned to operate independently in the second half of 2023. Amber Group, a shareholder of the Company, is a leading digital financial services provider that offers a diverse range of complementary businesses, including digital asset management business, digital asset advisory, liquidity, investment &amp; research business and digital asset infrastructure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collaboration with Amber Group brings significant strategic value to us, and vice versa. We cooperate with various segments within Amber Group across a number of areas. For instance, the Asset Management division of Amber Group offers an array of earn, structured and fund products, helping our clients optimize their digital asset investments. We and the Asset Management division also jointly develop financial products, such as derivatives or specialty funds, tailored to the unique needs of these clients. Meanwhile, the Advisory, Liquidity, Investment &amp; Research segment, or externally known as Amber Labs, identifies early-stage digital asset companies, presenting investment opportunities to our clients. It also supports the token design and fundraising activity for these clients. The Infrastructure segment via RigSec, an advanced self-custody technology solution, at Amber Group provides us with secure hot and cold wallet infrastructure, ensuring the safe custody of client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we enjoy the following synergies from our mutually beneficial cooperation with Amber Group:</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Unified Branding and Market Positioning –</w:t>
            </w:r>
            <w:r>
              <w:rPr>
                <w:rFonts w:ascii="Times New Roman;Times;serif" w:hAnsi="Times New Roman;Times;serif"/>
                <w:sz w:val="20"/>
              </w:rPr>
              <w:t xml:space="preserve"> We benefit from Amber Group’s strong brand recognition and industry expertise. The association with Amber Group allows us to leverage our established market position and win the trust of a larger pool of potential clients.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Shared Infrastructure and Resources –</w:t>
            </w:r>
            <w:r>
              <w:rPr>
                <w:rFonts w:ascii="Times New Roman;Times;serif" w:hAnsi="Times New Roman;Times;serif"/>
                <w:sz w:val="20"/>
              </w:rPr>
              <w:t xml:space="preserve"> We tap into Amber Group’s advanced technological infrastructure, including its blockchain solutions and digital asset custody services. This shared infrastructure ensures that our clients benefit from robust, secure and scalable platforms.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Cross-selling and Referral Opportunities –</w:t>
            </w:r>
            <w:r>
              <w:rPr>
                <w:rFonts w:ascii="Times New Roman;Times;serif" w:hAnsi="Times New Roman;Times;serif"/>
                <w:sz w:val="20"/>
              </w:rPr>
              <w:t xml:space="preserve"> As part of the Amber Group ecosystem, we have the opportunity to cross-sell its services to Amber Group’s existing clients, while also attracting new clients through Amber Group’s extensive network in the digital asset and traditional financial sectors.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Collaborative Product Development –</w:t>
            </w:r>
            <w:r>
              <w:rPr>
                <w:rFonts w:ascii="Times New Roman;Times;serif" w:hAnsi="Times New Roman;Times;serif"/>
                <w:sz w:val="20"/>
              </w:rPr>
              <w:t xml:space="preserve"> We and Amber Group collaborate on the development of innovative products, such as structured investment strategies and DeFi yield enhanced products. This collaboration enables us to stay ahead of market trends and provide our clients with cutting-edge investment opportunities.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Marketing and Branding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strong brand presence in the digital asset wealth management space, driven by a client-centric approach and high-quality service delivery. Our marketing efforts are focusing on building trust, fostering long-term relationships and positioning itself as the go-to provider of digital asset wealth management services. We adopt the following key marketing and branding strategies: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Referral-based Growth – We have grown our client base primarily through referrals from satisfied clients. By focusing on delivering quality services and personalized solutions, we have established a reputation for excellence, leading to organic growth.</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Targeted Events and Sponsorships – We sponsor and organize exclusive events, seminars and webinars targeted at high-net-worth individuals, institutions and family offices interested in digital assets. These events foster thought leadership and position us as a trusted partner in the digital asset wealth management industry.</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Cross-marketing with Amber Group – We engage in cross-marketing initiatives with Amber Group, its shareholder and strategic partner, allowing both entities to promote their products and services and facilitate client referrals. Through joint campaigns, both Amber Group and us reach a broader audience of potential clients across digital asset and traditional finance sectors.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Educational Content and Thought Leadership – We invest in educating its clients through content marketing, offering insights on digital asset trends, investment strategies and Web3 technologies. This positions we as a knowledgeable leader in the space, helping to attract informed investors.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w:t>
      </w:r>
      <w:r>
        <w:rPr>
          <w:rFonts w:ascii="Times New Roman;Times;serif" w:hAnsi="Times New Roman;Times;serif"/>
          <w:b/>
          <w:sz w:val="20"/>
        </w:rPr>
        <w:t>Legacy Marketing and Enterprise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a lesser extent, we continue to operate legacy marketing solutions and enterprise solutions business in Asia after the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marketing solutions serve as an integrated cross-channel gateway that provides marketers with innovative and cost-effective ways to optimize their online marketing efforts throughout their marketing cycle and achieve their branding and performance-based marketing goals. Our integrated data driven marketing solutions help marketers engage and activate potential customers, as well as monitor and measure the results of marketing campaigns. Our marketing solutions appeal to marketers by offering omni-channel reach to our audience. We provide our clients with one-stop access to a wide variety of cross-channel content distribution opportunities, including those from leading online publishers. We work closely with our content distribution partners to facilitate innovative and effective audience engagement.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Leveraging our data analytics expertise and experience in online marketing, we have launched our enterprise solutions in May 2018 to help clients collect information from different consumer touchpoints, and integrate them into a single data management platform to drive sales and marketing decisions.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our suite of end-to-end solutions, enabled and supported by our extensive data set, sophisticated data analytics capabilities and cutting-edge technologies, we deliver highly integrated customer experience and address clients’ needs to:</w:t>
      </w:r>
    </w:p>
    <w:tbl>
      <w:tblPr>
        <w:tblW w:w="3291" w:type="dxa"/>
        <w:jc w:val="left"/>
        <w:tblInd w:w="0" w:type="dxa"/>
        <w:tblLayout w:type="fixed"/>
        <w:tblCellMar>
          <w:top w:w="0" w:type="dxa"/>
          <w:left w:w="0" w:type="dxa"/>
          <w:bottom w:w="0" w:type="dxa"/>
          <w:right w:w="0"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identify their potential customers;</w:t>
            </w:r>
          </w:p>
        </w:tc>
      </w:tr>
    </w:tbl>
    <w:tbl>
      <w:tblPr>
        <w:tblW w:w="3846" w:type="dxa"/>
        <w:jc w:val="left"/>
        <w:tblInd w:w="0" w:type="dxa"/>
        <w:tblLayout w:type="fixed"/>
        <w:tblCellMar>
          <w:top w:w="0" w:type="dxa"/>
          <w:left w:w="0" w:type="dxa"/>
          <w:bottom w:w="0" w:type="dxa"/>
          <w:right w:w="0"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4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engage and activate potential customers;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21" w:type="dxa"/>
        <w:jc w:val="left"/>
        <w:tblInd w:w="0" w:type="dxa"/>
        <w:tblLayout w:type="fixed"/>
        <w:tblCellMar>
          <w:top w:w="0" w:type="dxa"/>
          <w:left w:w="0" w:type="dxa"/>
          <w:bottom w:w="0" w:type="dxa"/>
          <w:right w:w="0"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3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monitor and measure the results of online marketing campaigns;</w:t>
            </w:r>
          </w:p>
        </w:tc>
      </w:tr>
    </w:tbl>
    <w:tbl>
      <w:tblPr>
        <w:tblW w:w="4701" w:type="dxa"/>
        <w:jc w:val="left"/>
        <w:tblInd w:w="0" w:type="dxa"/>
        <w:tblLayout w:type="fixed"/>
        <w:tblCellMar>
          <w:top w:w="0" w:type="dxa"/>
          <w:left w:w="0" w:type="dxa"/>
          <w:bottom w:w="0" w:type="dxa"/>
          <w:right w:w="0"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3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create content catering to their potential customers;</w:t>
            </w:r>
          </w:p>
        </w:tc>
      </w:tr>
    </w:tbl>
    <w:tbl>
      <w:tblPr>
        <w:tblW w:w="6126" w:type="dxa"/>
        <w:jc w:val="left"/>
        <w:tblInd w:w="0" w:type="dxa"/>
        <w:tblLayout w:type="fixed"/>
        <w:tblCellMar>
          <w:top w:w="0" w:type="dxa"/>
          <w:left w:w="0" w:type="dxa"/>
          <w:bottom w:w="0" w:type="dxa"/>
          <w:right w:w="0"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7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build and operate personalized storefronts on social media platforms;</w:t>
            </w:r>
          </w:p>
        </w:tc>
      </w:tr>
    </w:tbl>
    <w:tbl>
      <w:tblPr>
        <w:tblW w:w="2661" w:type="dxa"/>
        <w:jc w:val="left"/>
        <w:tblInd w:w="0" w:type="dxa"/>
        <w:tblLayout w:type="fixed"/>
        <w:tblCellMar>
          <w:top w:w="0" w:type="dxa"/>
          <w:left w:w="0" w:type="dxa"/>
          <w:bottom w:w="0" w:type="dxa"/>
          <w:right w:w="0"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2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develop SaaS-based tools;</w:t>
            </w:r>
          </w:p>
        </w:tc>
      </w:tr>
    </w:tbl>
    <w:tbl>
      <w:tblPr>
        <w:tblW w:w="3891" w:type="dxa"/>
        <w:jc w:val="left"/>
        <w:tblInd w:w="0" w:type="dxa"/>
        <w:tblLayout w:type="fixed"/>
        <w:tblCellMar>
          <w:top w:w="0" w:type="dxa"/>
          <w:left w:w="0" w:type="dxa"/>
          <w:bottom w:w="0" w:type="dxa"/>
          <w:right w:w="0"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5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provide operational services and support;</w:t>
            </w:r>
          </w:p>
        </w:tc>
      </w:tr>
    </w:tbl>
    <w:tbl>
      <w:tblPr>
        <w:tblW w:w="4956" w:type="dxa"/>
        <w:jc w:val="left"/>
        <w:tblInd w:w="0" w:type="dxa"/>
        <w:tblLayout w:type="fixed"/>
        <w:tblCellMar>
          <w:top w:w="0" w:type="dxa"/>
          <w:left w:w="0" w:type="dxa"/>
          <w:bottom w:w="0" w:type="dxa"/>
          <w:right w:w="0"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5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utilize data analytics to advise business decisions; and</w:t>
            </w:r>
          </w:p>
        </w:tc>
      </w:tr>
    </w:tbl>
    <w:tbl>
      <w:tblPr>
        <w:tblW w:w="2331" w:type="dxa"/>
        <w:jc w:val="left"/>
        <w:tblInd w:w="0" w:type="dxa"/>
        <w:tblLayout w:type="fixed"/>
        <w:tblCellMar>
          <w:top w:w="0" w:type="dxa"/>
          <w:left w:w="0" w:type="dxa"/>
          <w:bottom w:w="0" w:type="dxa"/>
          <w:right w:w="0"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19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marketing automation</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Data and Data Analytics Capabilities and Technologies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Data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data assets are the backbone of our marketing and enterprise solutions and data analytics capabilities. 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and financial institutions, through our data collaboration arrangement with them. Our data assets primarily include users’ intent, interest, online transactional, social data and demographic data, as well as campaign performance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Data Analytics Capabilities and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 deep learning and artificial intelligence, contextual analysis engine parses and natural language processing algorithms.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Predictive Analytics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User profiling engine —</w:t>
            </w:r>
            <w:r>
              <w:rPr>
                <w:rFonts w:ascii="Times New Roman;Times;serif" w:hAnsi="Times New Roman;Times;serif"/>
                <w:sz w:val="20"/>
              </w:rPr>
              <w:t xml:space="preserve"> Combining the data collected through, and processed by, our contextual analysis engine and audience tracking 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Profile Segmentation Algorithms —</w:t>
            </w:r>
            <w:r>
              <w:rPr>
                <w:rFonts w:ascii="Times New Roman;Times;serif" w:hAnsi="Times New Roman;Times;serif"/>
                <w:sz w:val="20"/>
              </w:rPr>
              <w:t xml:space="preserve"> We use various algorithms to organize user profiles, which are generated and updated dynamically in real time, responding to real time changes in user interests and needs. This allows for accurate and detailed segmentation of user interests through multiple dimensions, e.g. by user interest keywords and user interest categories.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Real-Time Matching Technologies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Real-time user engagement algorithms —</w:t>
            </w:r>
            <w:r>
              <w:rPr>
                <w:rFonts w:ascii="Times New Roman;Times;serif" w:hAnsi="Times New Roman;Times;serif"/>
                <w:sz w:val="20"/>
              </w:rPr>
              <w:t xml:space="preserve"> Our real time user engagement algorithms execute marketing decisions based on a wide range of 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Online continuous real-time bid optimization algorithms —</w:t>
            </w:r>
            <w:r>
              <w:rPr>
                <w:rFonts w:ascii="Times New Roman;Times;serif" w:hAnsi="Times New Roman;Times;serif"/>
                <w:sz w:val="20"/>
              </w:rPr>
              <w:t xml:space="preserve"> Our online continuous real-time bid optimization algorithms consider a wide range of parameters, including purchasing efficiency, predicted conversion rate, return on media value, budget allocation efficiency, inventory safety, and what marketers are willing to pay to dynamically optimize our bidding and pricing strategies.</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Content Distribution Channels and Social Medial Platform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Clients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whom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of whether they have direct contractual relationship with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do not have intellectual property rights that are material to our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IV.</w:t>
      </w: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our digital asset wealth management business, we operate in a highly innovative and rapidly evolving industry, where competition is expected to further intensify in the future as existing players enhance their offerings and new entrants emerge. We face significant competition globally from a variety of market participants ranging from crypto-native firms to large traditional financial services providers and financial technology companies. Specifically, we face competition from the following sources: (i) traditional financial technology and brokerage firms that have entered the digital asset wealth management market in recent years and offer overlapping features tailored to similar client segments; (ii) companies focused on the digital asset market, some of whom are potentially able to more quickly adapt to market trends, support a broader range of digital assets, and develop new digital asset-based products and services due to a different standard of regulatory scrutiny and different internal compliance standards; and (iii) crypto-focused companies and traditional financial incumbents that offer point or siloed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position ourselves as a comprehensive digital asset wealth management service provider across a number of platforms and products in the digital asset wealth management industry and distinguish ourselves by targeting high-net-worth individuals and institutional clients and offering integrated and customized services to cater to their intricate digital asset wealth management needs. In addition, we have established a unique position in the market by successfully securing a series of regulatory approvals in key financial hubs around the world. See “—Licenses” and “—Regulation.” Our ability to quickly and continuously innovate to provide products and services to its clients that are native to the onchain economy, and launch additional products and services further separates ourselves from our competition. See “Risk Factors—Risks Related to Our Business—We may not be able to compete effectively, which could materially and adversely affect our business, financial condition, results of operations and prospects, as well as our reputation and brands” for a more comprehensive description of risks related to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online marketing technology market is highly competitive, fragmented and rapidly changing. We mainly compete with online marketing technology companies that offer marketing solutions through demand side platform and use advanced technologies to optimize marketing campaigns for marketers. We compete for content distribution opportunities based on our ability to maximize the value for content distribution channels partners, provide them with a wide array of solutions covering various types of content distribution opportunities and our ability to increase fill rates. We also face competitive pressure from large and well-established internet companies and marketing agencies. With respect to our enterprise solutions, our competitors include local cloud-based commerce and marketing service providers and international SaaS companies.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w:t>
      </w:r>
      <w:r>
        <w:rPr>
          <w:rFonts w:ascii="Times New Roman;Times;serif" w:hAnsi="Times New Roman;Times;serif"/>
          <w:b/>
          <w:sz w:val="20"/>
        </w:rPr>
        <w:t>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regulations or requirements that affect our business activities in the jurisdictions where we primarily operate or our shareholders’ right to receive dividends and other distributions from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Payment Services Act 2019 of Singapore (“PS Act”) is the principal legislation that regulates one of our subsidiaries, Sparrow Tech Private Limited’s activities, as Sparrow Tech Private Limited is licensed as a major payment institution under the PS Act. The PS Act is read with the Payment Services Regulations 2019 (“PSR”), the main subsidiary legislation that effects the objectives of the PS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 PS Act and PSR regulate the licensing and ongoing conduct of business requirements for our subsidiary, Sparrow Tech Private Limited, in areas such as, among others, (1) financial and operational requirements, (2) conduct of business, (3) notifying and/or obtaining approval from the Monetary Authority of Singapore (“MAS”) upon the occurrence of certain prescribed events, (4) prohibitions from carrying on certain businesses, and (5) safeguarding of customer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Sparrow Tech Private Limited is also subject to:</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MAS’s supervisory powers under the PS Act, for example, in relation to (1) inspections and investigations, (2) emergency powers, and (3) assistance to foreign regulatory authorities;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various regulatory instruments issued under the PS Act, in the form of notices, guidelines, circulars, codes, policy statements, practice notes and no-action letters. These regulatory instruments set out the requirements and the expectations of MAS around key areas such as (1) prevention of money laundering and countering the financing of terrorism (2) reporting of suspicious activities and incidents of fraud, (3) periodic submission of regulatory returns, (3) conduct, (4) disclosure and communications, (5) risk management and cyber hygiene and (6) consumer protection safeguards;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Financial Services and Markets Act 2022 of Singapore (“FSM Act”), an omnibus legislation for the financial sector, and its subsidiary legislations. While Sparrow Tech Private Limited is not subject to the licensing regime under the FSM Act by virtue of section 137(5) of the FSM Act as Sparrow Tech Private Limited is already licensed under the PS Act, there are various powers under the FSM Act that can be exercised by the MAS, which would apply to Sparrow Tech Private Limited. There are also various notices and guidelines issued pursuant to the FSM Act, for example, around (1) technology risk management, and (2) cyber hygiene, which would also apply to Sparrow Tech Private Limited;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other regulatory instruments issued by the MAS, which apply across different classes of financial institutions, for example, around (1) risk management, (2) individual accountability and conduct, and (3) delivering fair dealing outcomes to customers;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anti-money laundering and countering the finance of terrorism laws such as the Corruption, Drug Trafficking and Other Serious Crimes (Confiscation of Benefits) Act 1992 of Singapore and Terrorism (Suppression of Financing) Act 2002 of Singapore; and</w:t>
            </w:r>
          </w:p>
        </w:tc>
      </w:tr>
    </w:tbl>
    <w:tbl>
      <w:tblPr>
        <w:tblW w:w="4791" w:type="dxa"/>
        <w:jc w:val="left"/>
        <w:tblInd w:w="0" w:type="dxa"/>
        <w:tblLayout w:type="fixed"/>
        <w:tblCellMar>
          <w:top w:w="0" w:type="dxa"/>
          <w:left w:w="0" w:type="dxa"/>
          <w:bottom w:w="0" w:type="dxa"/>
          <w:right w:w="0"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4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sanctions rules and regulations under Singapore law.</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Dubai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One of our subsidiaries, Amber Premium FZE, is required to comply with the following regulations:</w:t>
      </w:r>
    </w:p>
    <w:tbl>
      <w:tblPr>
        <w:tblW w:w="6816" w:type="dxa"/>
        <w:jc w:val="left"/>
        <w:tblInd w:w="0" w:type="dxa"/>
        <w:tblLayout w:type="fixed"/>
        <w:tblCellMar>
          <w:top w:w="0" w:type="dxa"/>
          <w:left w:w="0" w:type="dxa"/>
          <w:bottom w:w="0" w:type="dxa"/>
          <w:right w:w="0"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4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Virtual Assets and Related Activities Regulations 2023, as amended; and</w:t>
            </w:r>
          </w:p>
        </w:tc>
      </w:tr>
    </w:tbl>
    <w:tbl>
      <w:tblPr>
        <w:tblW w:w="7086" w:type="dxa"/>
        <w:jc w:val="left"/>
        <w:tblInd w:w="0" w:type="dxa"/>
        <w:tblLayout w:type="fixed"/>
        <w:tblCellMar>
          <w:top w:w="0" w:type="dxa"/>
          <w:left w:w="0" w:type="dxa"/>
          <w:bottom w:w="0" w:type="dxa"/>
          <w:right w:w="0"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7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Regulations on the Marketing of Virtual Assets and Related Activities 2024.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Amber Premium FZE must adhere to the rulebooks of the VARA of Dubai, including:</w:t>
      </w:r>
    </w:p>
    <w:tbl>
      <w:tblPr>
        <w:tblW w:w="2421" w:type="dxa"/>
        <w:jc w:val="left"/>
        <w:tblInd w:w="0" w:type="dxa"/>
        <w:tblLayout w:type="fixed"/>
        <w:tblCellMar>
          <w:top w:w="0" w:type="dxa"/>
          <w:left w:w="0" w:type="dxa"/>
          <w:bottom w:w="0" w:type="dxa"/>
          <w:right w:w="0" w:type="dxa"/>
        </w:tblCellMar>
      </w:tblPr>
      <w:tblGrid>
        <w:gridCol w:w="124"/>
        <w:gridCol w:w="256"/>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rulebook;</w:t>
            </w:r>
          </w:p>
        </w:tc>
      </w:tr>
    </w:tbl>
    <w:tbl>
      <w:tblPr>
        <w:tblW w:w="4386" w:type="dxa"/>
        <w:jc w:val="left"/>
        <w:tblInd w:w="0" w:type="dxa"/>
        <w:tblLayout w:type="fixed"/>
        <w:tblCellMar>
          <w:top w:w="0" w:type="dxa"/>
          <w:left w:w="0" w:type="dxa"/>
          <w:bottom w:w="0" w:type="dxa"/>
          <w:right w:w="0"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0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compliance and risk management rulebook;</w:t>
            </w:r>
          </w:p>
        </w:tc>
      </w:tr>
    </w:tbl>
    <w:tbl>
      <w:tblPr>
        <w:tblW w:w="3951" w:type="dxa"/>
        <w:jc w:val="left"/>
        <w:tblInd w:w="0" w:type="dxa"/>
        <w:tblLayout w:type="fixed"/>
        <w:tblCellMar>
          <w:top w:w="0" w:type="dxa"/>
          <w:left w:w="0" w:type="dxa"/>
          <w:bottom w:w="0" w:type="dxa"/>
          <w:right w:w="0"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5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technology and information rulebook;</w:t>
            </w:r>
          </w:p>
        </w:tc>
      </w:tr>
    </w:tbl>
    <w:tbl>
      <w:tblPr>
        <w:tblW w:w="2931" w:type="dxa"/>
        <w:jc w:val="left"/>
        <w:tblInd w:w="0" w:type="dxa"/>
        <w:tblLayout w:type="fixed"/>
        <w:tblCellMar>
          <w:top w:w="0" w:type="dxa"/>
          <w:left w:w="0" w:type="dxa"/>
          <w:bottom w:w="0" w:type="dxa"/>
          <w:right w:w="0"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25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market conduct rulebook;</w:t>
            </w:r>
          </w:p>
        </w:tc>
      </w:tr>
    </w:tbl>
    <w:tbl>
      <w:tblPr>
        <w:tblW w:w="4221" w:type="dxa"/>
        <w:jc w:val="left"/>
        <w:tblInd w:w="0" w:type="dxa"/>
        <w:tblLayout w:type="fixed"/>
        <w:tblCellMar>
          <w:top w:w="0" w:type="dxa"/>
          <w:left w:w="0" w:type="dxa"/>
          <w:bottom w:w="0" w:type="dxa"/>
          <w:right w:w="0"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8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lending and borrowing services rulebook;</w:t>
            </w:r>
          </w:p>
        </w:tc>
      </w:tr>
    </w:tbl>
    <w:tbl>
      <w:tblPr>
        <w:tblW w:w="3786" w:type="dxa"/>
        <w:jc w:val="left"/>
        <w:tblInd w:w="0" w:type="dxa"/>
        <w:tblLayout w:type="fixed"/>
        <w:tblCellMar>
          <w:top w:w="0" w:type="dxa"/>
          <w:left w:w="0" w:type="dxa"/>
          <w:bottom w:w="0" w:type="dxa"/>
          <w:right w:w="0"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4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broker-dealer services rulebook; and</w:t>
            </w:r>
          </w:p>
        </w:tc>
      </w:tr>
    </w:tbl>
    <w:tbl>
      <w:tblPr>
        <w:tblW w:w="5706" w:type="dxa"/>
        <w:jc w:val="left"/>
        <w:tblInd w:w="0" w:type="dxa"/>
        <w:tblLayout w:type="fixed"/>
        <w:tblCellMar>
          <w:top w:w="0" w:type="dxa"/>
          <w:left w:w="0" w:type="dxa"/>
          <w:bottom w:w="0" w:type="dxa"/>
          <w:right w:w="0"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3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virtual asset management and investment services rulebook;</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well as any regulatory guidance issued by VARA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regulations and rulebooks cover matters such as, but not limited to, anti-money laundering compliance, conduct of business requirements, mandatory personnel requirements, reporting requirements to VARA, financial returns and capital requirements, ongoing notification requirements, risk management compliance, consumer protection measures, safeguarding customer assets and financial and operational requirements.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H.M. Chan &amp; Co., our counsel as to Hong Kong law, has advised us that WhaleFin Markets Limited is required to comply with the vast majority of the regulatory requirements attached to a license to operate a virtual asset trading platform (the “AMLO License”) under the Anti-Money Laundering and Counter-Terrorist Financing Ordinance (Cap. 615 of the Laws of Hong Kong) (the “AMLO”). Such requirements are set out in the AMLO and the SFC’s Guidelines for Virtual Asset Trading Platform Operators (“VATP Guidelines”), some of which are highlighted below:</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Conduct of business requirements – The VATP Guidelines set out customary financial services regulatory conduct of business principles which WhaleFin Markets Limited must comply with when providing a “VA Service” (as defined under Schedule 3B of the AMLO) in Hong Kong. Such principles are cast in broad terms to include, among other things, the requirement to:</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81" w:type="dxa"/>
        <w:jc w:val="left"/>
        <w:tblInd w:w="0" w:type="dxa"/>
        <w:tblLayout w:type="fixed"/>
        <w:tblCellMar>
          <w:top w:w="0" w:type="dxa"/>
          <w:left w:w="0" w:type="dxa"/>
          <w:bottom w:w="0" w:type="dxa"/>
          <w:right w:w="0" w:type="dxa"/>
        </w:tblCellMar>
      </w:tblPr>
      <w:tblGrid>
        <w:gridCol w:w="124"/>
        <w:gridCol w:w="241"/>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84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 honestly, fairly, with due skill care and diligence, and in the best interest of clients and the market;</w:t>
            </w:r>
          </w:p>
        </w:tc>
      </w:tr>
    </w:tbl>
    <w:tbl>
      <w:tblPr>
        <w:tblW w:w="5886" w:type="dxa"/>
        <w:jc w:val="left"/>
        <w:tblInd w:w="0" w:type="dxa"/>
        <w:tblLayout w:type="fixed"/>
        <w:tblCellMar>
          <w:top w:w="0" w:type="dxa"/>
          <w:left w:w="0" w:type="dxa"/>
          <w:bottom w:w="0" w:type="dxa"/>
          <w:right w:w="0"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5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avoid conflicts of interest and ensure that clients are fairly treated;</w:t>
            </w:r>
          </w:p>
        </w:tc>
      </w:tr>
    </w:tbl>
    <w:tbl>
      <w:tblPr>
        <w:tblW w:w="7461" w:type="dxa"/>
        <w:jc w:val="left"/>
        <w:tblInd w:w="0" w:type="dxa"/>
        <w:tblLayout w:type="fixed"/>
        <w:tblCellMar>
          <w:top w:w="0" w:type="dxa"/>
          <w:left w:w="0" w:type="dxa"/>
          <w:bottom w:w="0" w:type="dxa"/>
          <w:right w:w="0" w:type="dxa"/>
        </w:tblCellMar>
      </w:tblPr>
      <w:tblGrid>
        <w:gridCol w:w="124"/>
        <w:gridCol w:w="241"/>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70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assess the risk tolerance level and risk profile of clients before providing services; and</w:t>
            </w:r>
          </w:p>
        </w:tc>
      </w:tr>
    </w:tbl>
    <w:tbl>
      <w:tblPr>
        <w:tblW w:w="5361" w:type="dxa"/>
        <w:jc w:val="left"/>
        <w:tblInd w:w="0" w:type="dxa"/>
        <w:tblLayout w:type="fixed"/>
        <w:tblCellMar>
          <w:top w:w="0" w:type="dxa"/>
          <w:left w:w="0" w:type="dxa"/>
          <w:bottom w:w="0" w:type="dxa"/>
          <w:right w:w="0"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49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properly account for and adequately safeguard client assets.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Custody of client assets requirements – WhaleFin Markets Limited is required to appoint a wholly owned Hong Kong-incorporated subsidiary who is licensed as a so-called “Trust or Company Service Provider” under the AMLO to hold and safeguard its client assets on its behalf (“Associated Entity”). WhaleFin Markets Limited’s Associated Entity is Amber Custodian Services Limited (License No. TC007861).</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Personnel requirements – WhaleFin Markets Limited must ensure that its senior management are fit and proper and are sufficiently involved on a day-to-day basis in order to have adequate management oversight of WhaleFin Markets Limited’s business. WhaleFin Markets Limited is also required to appoint an eligible auditor to perform the auditing function in relation to its “VA Service” business.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Financial returns and capital requirements – The AMLO and the VATP Guidelines contain granular requirements in relation to the minimum paid-up share capital and liquid capital that must be maintained by WhaleFin Markets Limited. WhaleFin Markets Limited also has to comply with requirements relating to regular financial returns and reporting to the SFC.</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Ongoing notification requirements – WhaleFin Markets Limited is required to keep the SFC abreast of developments in relation to, amongst other things, its key personnel and business. As such, the AMLO and the VATP Guidelines include detailed requirements relating to the triggers and timings for pre- and/or post-event regulatory notifications that have to be provided to the SFC.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WhaleFin Markets Limited being granted its AMLO License and a license to carry on the Type 1 (dealing in securities) and the Type 7 (providing automated trading services) regulated activities under the Securities and Futures Ordinance (Cap. 571 of the Laws of Hong Kong), its regulatory obligations will not change materially save for the fact that WhaleFin Markets Limited will also have to comply with the requirements set out in the VATP Guidelines when providing “VA Services” in relation to security tokens.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chart illustrates our company’s organizational structure, including our principal subsidiaries and consolidated affiliated entities as of March 31, 2026:</w:t>
      </w:r>
    </w:p>
    <w:p>
      <w:pPr>
        <w:pStyle w:val="TextBody"/>
        <w:bidi w:val="0"/>
        <w:spacing w:before="0" w:after="240"/>
        <w:ind w:left="0" w:right="0" w:hanging="0"/>
        <w:jc w:val="center"/>
        <w:rPr/>
      </w:pPr>
      <w:r>
        <w:rPr/>
        <w:drawing>
          <wp:inline distT="0" distB="0" distL="0" distR="0">
            <wp:extent cx="5775325" cy="72148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5325" cy="7214870"/>
                    </a:xfrm>
                    <a:prstGeom prst="rect">
                      <a:avLst/>
                    </a:prstGeom>
                  </pic:spPr>
                </pic:pic>
              </a:graphicData>
            </a:graphic>
          </wp:inline>
        </w:drawing>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Property, Plant and Equipment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headquarters and principal executive office are located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lease all of our facilities and do not own any real property. As of the date of this annual report, we leased office facilities globally, totaling approximately 2,600 square meters, including 100 square meters for its corporate headquarters in Singapore and 2,000 square meters for its office in Hong Kong and 500 square meters in China. These office spaces are leased from independent third parties, and we plan to renew the leases from time to time as needed.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our existing facilities are sufficient to meet our current operational needs, and we will secure additional facilities, primarily through leasing arrangements, to support our future growth and expansion. If we require additional space, we expect to be able to obtain additional facilities on commercially reasonable terms.</w:t>
      </w:r>
    </w:p>
    <w:p>
      <w:pPr>
        <w:pStyle w:val="TextBody"/>
        <w:bidi w:val="0"/>
        <w:spacing w:before="0" w:after="240"/>
        <w:ind w:left="0" w:right="0" w:hanging="0"/>
        <w:jc w:val="left"/>
        <w:rPr>
          <w:rFonts w:ascii="Times New Roman;Times;serif" w:hAnsi="Times New Roman;Times;serif"/>
          <w:sz w:val="20"/>
        </w:rPr>
      </w:pPr>
      <w:bookmarkStart w:id="43" w:name="ITEM4AUNRESOLVEDSTAFFCOMMENTS_256387"/>
      <w:bookmarkStart w:id="44" w:name="_b96d00b1_5f62_42d2_9a13_af2e2f27f20e"/>
      <w:bookmarkEnd w:id="43"/>
      <w:bookmarkEnd w:id="44"/>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45" w:name="ITEM5OPERATINGANDFINANCIALREVIEWANDPROSP"/>
      <w:bookmarkStart w:id="46" w:name="_3e30ace4_dabe_4c1b_80f2_8842c0b40abb"/>
      <w:bookmarkEnd w:id="45"/>
      <w:bookmarkEnd w:id="46"/>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pStyle w:val="TextBody"/>
        <w:bidi w:val="0"/>
        <w:spacing w:before="0" w:after="240"/>
        <w:ind w:left="0" w:right="0" w:hanging="0"/>
        <w:jc w:val="left"/>
        <w:rPr>
          <w:rFonts w:ascii="Times New Roman;Times;serif" w:hAnsi="Times New Roman;Times;serif"/>
          <w:sz w:val="20"/>
        </w:rPr>
      </w:pPr>
      <w:bookmarkStart w:id="47" w:name="ITEM5AOPERATINGRESULTS_91719"/>
      <w:bookmarkStart w:id="48" w:name="_f68ebd84_dbf7_4840_957c_ec89e5b158f2"/>
      <w:bookmarkEnd w:id="47"/>
      <w:bookmarkEnd w:id="48"/>
      <w:r>
        <w:rPr>
          <w:rFonts w:ascii="Times New Roman;Times;serif" w:hAnsi="Times New Roman;Times;serif"/>
          <w:b/>
          <w:i w:val="false"/>
          <w:caps w:val="false"/>
          <w:smallCaps w:val="false"/>
          <w:sz w:val="20"/>
        </w:rPr>
        <w:t>ITEM 5A.</w:t>
      </w:r>
      <w:r>
        <w:rPr>
          <w:rFonts w:ascii="Times New Roman;Times;serif" w:hAnsi="Times New Roman;Times;serif"/>
          <w:b/>
          <w:sz w:val="20"/>
        </w:rPr>
        <w:t>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12, 2025, iClick completed the Merger with Amber DWM.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 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WFTL effective from January 1, 2025. Therefore, the net income from WFTL Assigned Contracts was not reflected in our results before 2025. On October 28, 2025, the WFTL Assigned Contracts were assumed by AGTL, which is also a wholly owned subsidiary of Amber Group and an affiliate of the Company. On November 25, 2025, Amber Match Limited, one of our wholly owned subsidiaries, entered into intercompany services agreement with AGTL to replace its previous agreement with WFTL on substantially the same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optimize our business to drive returns to the shareholders through proactive monitoring our operations and market trends. As of the end of 2025, certain operations under iClick were classified as held-for-sale, and we completed one of the disposals in October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key factors affecting our financial condition and results of operations include the following: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 Demand for Digital Asset Management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demand for digital asset management products is affected by a variety of factors related to market conditions and overall sentiment towards digital assets. Developments within the onchain economy—such as regulatory changes, technological advancements, or notable actions by major companies—can rapidly alter perceptions and adoption rates. For instance, if leading firms successfully implement fiat on/off ramp services or enhance OTC trading and execution capabilities, this could bolster confidence in digital assets as viable mediums of exchange or stores of value. While occasional challenges like security concerns or regulatory adjustments may arise, they are part of the dynamic landscape influencing user and investor confidence, affecting clients’ demand for these products. Additionally, evolving social media trends and market speculation may sway consumer preferences, impacting which digital assets are perceived as valuable.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ability of digital assets to meet user demands and provide tangible utility is crucial. As consumers seek products that integrate seamlessly into their financial lives, the functionality of digital assets and their ecosystems becomes paramount. These economic fluctuations can further influence these trends, reducing purchasing power and investment willingness at times. On the other hand, they also present opportunities for innovation and adaptability. This interplay of market sentiment, functionality, regulatory landscape, and economic conditions creates a dynamic environment for demand, driving the need for agility and innovation in responding to evolving consumer needs and perceptions in the onchain economy.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Price of Digital Assets and Transaction Volume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earn conversion fees when clients transfer or withdraw funds and/or digital assets from its platform, and perform conversion between fiat currencies and digital assets. We also earn finance income mainly from premiums earned on structured products as well as interest earned from digital asset lending arrangements. Depending on product type, we either charge a flat fee or a percentage of the value of each transaction. Therefore, our operating results are dependent on the prices of digital assets, transaction volumes, and market liquidity for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 May 2025, we announced the crypto reserve plan of up to US$100 million. The reserve strategy will initially focus on high-conviction digital assets, such as Binance Coin (BNB), Solana (SOL), Sui (SUI), Ripple (XRP), Bitcoin (BTC), and Ethereum (ETH) — with flexibility to expand into other ecosystem-aligned tokens as well as allocate funds for stablecoins such as World Liberty Financial USD (USD1). As a result, our financial conditions and results of operation are affected by the fluctuations in the market price of these digital assets and any associated unrealized gains or losses. Such gains or losses may be recognized in our financial statements as a result of changes in the market price of these digital assets relative to the carrying values recorded on our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Effectiveness of Innovative “1+N” Premium Servicing Model and Client Support and Servicing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Central to our offering is the innovative “1+N” premium service model. This client-first approach pairs each client with a dedicated relationship manager (the “1”) supported by a team of domain experts (the “N”), delivering tailored services across the entire digital asset wealth management lifecycle, including fiat on/off ramp services, OTC trading and execution services, standard earn/structured products and DeFi yield-enhanced products. The effectiveness of the “1+N” model may be affected during periods of market volatility, where rapid decisions and responses are crucial, potentially impacting the quality of client engagement and service delivery. In addition, this model requires seamless collaboration between the relationship manager and experts. In addition, our ability to cross-sell our products (e.g., transitioning clients from OTC trading to structured products) could materially affect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Ability to Competitively Price Products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results depend on our ability to competitively price our products and services. Similar to the industry peers, as the industry evolves, we anticipate some fee pressure. Our strategy is to maintain our position as a trusted brand while developing new products and services to enhance our customer value proposition and offset the effects of any future fee pressure. Maintaining and growing client trust in our brand is critical. In addition, our ability to capture value through the development of new and existing products and services may also affect our operating results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Environment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regulatory environment for digital assets is complex and evolving, presenting both challenges and opportunities that could affect our financial performance. While we are committed to designing products and services that adhere to legal requirements, changes in laws and regulations may influence our ability to onboard customers and offer products across various regions.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financial prospects and growth depend significantly on our ability to continue to operate in compliance with these regulations. We design our products and services to ensure legal compliance. We maintain operations and hold licenses in multiple jurisdictions, each subject to our own legal framework. We expect to continue to invest significant resources to comply with these regulatory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disposed business was deconsolidated from us upon the respective disposal, and the results of the disposed business and held-for-sale business are reflected in our consolidated financial statements included in this annual report as discontinued operations accordingly</w:t>
      </w:r>
      <w:r>
        <w:rPr>
          <w:rFonts w:ascii="Times New Roman;Times;serif" w:hAnsi="Times New Roman;Times;serif"/>
          <w:i/>
          <w:sz w:val="20"/>
        </w:rPr>
        <w:t>.</w:t>
      </w:r>
    </w:p>
    <w:tbl>
      <w:tblPr>
        <w:tblW w:w="10205" w:type="dxa"/>
        <w:jc w:val="left"/>
        <w:tblInd w:w="0" w:type="dxa"/>
        <w:tblLayout w:type="fixed"/>
        <w:tblCellMar>
          <w:top w:w="0" w:type="dxa"/>
          <w:left w:w="0" w:type="dxa"/>
          <w:bottom w:w="0" w:type="dxa"/>
          <w:right w:w="0" w:type="dxa"/>
        </w:tblCellMar>
      </w:tblPr>
      <w:tblGrid>
        <w:gridCol w:w="3467"/>
        <w:gridCol w:w="346"/>
        <w:gridCol w:w="844"/>
        <w:gridCol w:w="346"/>
        <w:gridCol w:w="694"/>
        <w:gridCol w:w="346"/>
        <w:gridCol w:w="844"/>
        <w:gridCol w:w="346"/>
        <w:gridCol w:w="694"/>
        <w:gridCol w:w="346"/>
        <w:gridCol w:w="844"/>
        <w:gridCol w:w="346"/>
        <w:gridCol w:w="742"/>
      </w:tblGrid>
      <w:tr>
        <w:trPr/>
        <w:tc>
          <w:tcPr>
            <w:tcW w:w="3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01545" cy="175260"/>
                      <wp:effectExtent l="0" t="0" r="0" b="0"/>
                      <wp:wrapNone/>
                      <wp:docPr id="3" name="Frame1"/>
                      <a:graphic xmlns:a="http://schemas.openxmlformats.org/drawingml/2006/main">
                        <a:graphicData uri="http://schemas.microsoft.com/office/word/2010/wordprocessingShape">
                          <wps:wsp>
                            <wps:cNvSpPr txBox="1"/>
                            <wps:spPr>
                              <a:xfrm>
                                <a:off x="0" y="0"/>
                                <a:ext cx="2201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4"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35940" cy="175260"/>
                      <wp:effectExtent l="0" t="0" r="0" b="0"/>
                      <wp:wrapNone/>
                      <wp:docPr id="5" name="Frame3"/>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6"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40690" cy="175260"/>
                      <wp:effectExtent l="0" t="0" r="0" b="0"/>
                      <wp:wrapNone/>
                      <wp:docPr id="7" name="Frame5"/>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8"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35940" cy="175260"/>
                      <wp:effectExtent l="0" t="0" r="0" b="0"/>
                      <wp:wrapNone/>
                      <wp:docPr id="9" name="Frame7"/>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0"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40690" cy="175260"/>
                      <wp:effectExtent l="0" t="0" r="0" b="0"/>
                      <wp:wrapNone/>
                      <wp:docPr id="11" name="Frame9"/>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2"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35940" cy="175260"/>
                      <wp:effectExtent l="0" t="0" r="0" b="0"/>
                      <wp:wrapNone/>
                      <wp:docPr id="13" name="Frame1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4"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71170" cy="175260"/>
                      <wp:effectExtent l="0" t="0" r="0" b="0"/>
                      <wp:wrapNone/>
                      <wp:docPr id="15" name="Frame13"/>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39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4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8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18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93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left"/>
              <w:rPr/>
            </w:pPr>
            <w:r>
              <w:rPr/>
              <w:t>  ​ ​ ​</w:t>
            </w:r>
          </w:p>
        </w:tc>
        <w:tc>
          <w:tcPr>
            <w:tcW w:w="6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left"/>
              <w:rPr/>
            </w:pPr>
            <w:r>
              <w:rPr/>
              <w:t>  ​ ​ ​</w:t>
            </w:r>
          </w:p>
        </w:tc>
        <w:tc>
          <w:tcPr>
            <w:tcW w:w="6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8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left"/>
              <w:rPr/>
            </w:pPr>
            <w:r>
              <w:rPr/>
              <w:t>  ​ ​ ​</w:t>
            </w:r>
          </w:p>
        </w:tc>
        <w:tc>
          <w:tcPr>
            <w:tcW w:w="74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34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66,089</w:t>
            </w:r>
          </w:p>
        </w:tc>
        <w:tc>
          <w:tcPr>
            <w:tcW w:w="346"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(16,653)</w:t>
            </w:r>
          </w:p>
        </w:tc>
        <w:tc>
          <w:tcPr>
            <w:tcW w:w="346" w:type="dxa"/>
            <w:tcBorders/>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49,436</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(10,812)</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46"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(28,096)</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(4,813)</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(46,841)</w:t>
            </w:r>
          </w:p>
        </w:tc>
        <w:tc>
          <w:tcPr>
            <w:tcW w:w="346"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(3,644)</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(5,306)</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(costs)/income, net</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(losses)/gains, net</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(18,071)</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(Loss)/income before share of loss from an equity investee and income tax expense</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w:t>
            </w:r>
          </w:p>
        </w:tc>
        <w:tc>
          <w:tcPr>
            <w:tcW w:w="346"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from continuing operations attributable to the Company’s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the Company’s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4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c>
          <w:tcPr>
            <w:tcW w:w="346" w:type="dxa"/>
            <w:tcBorders/>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4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 attributable to the Company’s ordinary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(495.1)</w:t>
            </w:r>
          </w:p>
        </w:tc>
        <w:tc>
          <w:tcPr>
            <w:tcW w:w="346" w:type="dxa"/>
            <w:tcBorders/>
            <w:shd w:fill="CCEEFF" w:val="cle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shd w:fill="CCEEFF" w:val="cle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w:t>
            </w:r>
          </w:p>
        </w:tc>
        <w:tc>
          <w:tcPr>
            <w:tcW w:w="346" w:type="dxa"/>
            <w:tcBorders/>
            <w:shd w:fill="CCEEFF" w:val="cle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Components of Results of Continuing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generate revenue primarily from our digital assets services and solutions, and to a lesser extent, from our legacy marketing and enterprise solutions. We derive revenue primarily from four sources: (i) wealth management solutions, which is mainly generated from finance income, premiums earned on structured products and agency fees; (ii) execution solutions, which mainly includes the transaction fees from execution services; (iii) payment solutions, which is generated from the conversion fee of our fiat on/off-ramp services; and (iv) marketing and enterprise solutions, which is generated from online marketing, SaaS products and services provided by iClick after the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shows our revenue breakdown, both in absolute amounts and as percentages of total revenue for the periods presented.</w:t>
      </w:r>
    </w:p>
    <w:tbl>
      <w:tblPr>
        <w:tblW w:w="10183" w:type="dxa"/>
        <w:jc w:val="left"/>
        <w:tblInd w:w="0" w:type="dxa"/>
        <w:tblLayout w:type="fixed"/>
        <w:tblCellMar>
          <w:top w:w="0" w:type="dxa"/>
          <w:left w:w="0" w:type="dxa"/>
          <w:bottom w:w="0" w:type="dxa"/>
          <w:right w:w="0" w:type="dxa"/>
        </w:tblCellMar>
      </w:tblPr>
      <w:tblGrid>
        <w:gridCol w:w="3196"/>
        <w:gridCol w:w="346"/>
        <w:gridCol w:w="886"/>
        <w:gridCol w:w="346"/>
        <w:gridCol w:w="736"/>
        <w:gridCol w:w="346"/>
        <w:gridCol w:w="886"/>
        <w:gridCol w:w="346"/>
        <w:gridCol w:w="736"/>
        <w:gridCol w:w="346"/>
        <w:gridCol w:w="886"/>
        <w:gridCol w:w="346"/>
        <w:gridCol w:w="7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29460" cy="175260"/>
                      <wp:effectExtent l="0" t="0" r="0" b="0"/>
                      <wp:wrapNone/>
                      <wp:docPr id="16" name="Frame14"/>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7"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62610" cy="175260"/>
                      <wp:effectExtent l="0" t="0" r="0" b="0"/>
                      <wp:wrapNone/>
                      <wp:docPr id="18" name="Frame1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19"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67360" cy="175260"/>
                      <wp:effectExtent l="0" t="0" r="0" b="0"/>
                      <wp:wrapNone/>
                      <wp:docPr id="20" name="Frame1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1"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62610" cy="175260"/>
                      <wp:effectExtent l="0" t="0" r="0" b="0"/>
                      <wp:wrapNone/>
                      <wp:docPr id="22" name="Frame2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67360" cy="175260"/>
                      <wp:effectExtent l="0" t="0" r="0" b="0"/>
                      <wp:wrapNone/>
                      <wp:docPr id="24" name="Frame2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25"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62610" cy="175260"/>
                      <wp:effectExtent l="0" t="0" r="0" b="0"/>
                      <wp:wrapNone/>
                      <wp:docPr id="26" name="Frame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175260"/>
                      <wp:effectExtent l="0" t="0" r="0" b="0"/>
                      <wp:wrapNone/>
                      <wp:docPr id="28" name="Frame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19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Digital Assets Services and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2,734</w:t>
            </w:r>
          </w:p>
        </w:tc>
        <w:tc>
          <w:tcPr>
            <w:tcW w:w="34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7,475</w:t>
            </w:r>
          </w:p>
        </w:tc>
        <w:tc>
          <w:tcPr>
            <w:tcW w:w="346" w:type="dxa"/>
            <w:tcBorders/>
            <w:shd w:fill="CCEEFF" w:val="clear"/>
            <w:vAlign w:val="center"/>
          </w:tcPr>
          <w:p>
            <w:pPr>
              <w:pStyle w:val="TableContents"/>
              <w:bidi w:val="0"/>
              <w:spacing w:before="0" w:after="0"/>
              <w:ind w:left="0" w:right="0" w:hanging="0"/>
              <w:jc w:val="center"/>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50,238</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Wealth management solutions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Execution solutions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solutions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Marketing and Enterprise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15,851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2,734</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7,475</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66,089</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revenue mainly consists of interests and premium costs paid to clients, the premium costs associated with managing the risks of the underlying assets of our structured products when acting on a principal basis, and customer referral fees. To a lesser extent, our cost of revenue also consists of media cost in connection with specified-action marketing campaigns and direct service costs of enterprise solutions.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classify our operating expenses into three categories: research and development expenses, sales and marketing expenses, and general and administrative expenses. The following table sets forth our operating expenses, both in absolute amount and as a percentage of our revenue, for the periods presented.</w:t>
      </w:r>
    </w:p>
    <w:tbl>
      <w:tblPr>
        <w:tblW w:w="10078" w:type="dxa"/>
        <w:jc w:val="left"/>
        <w:tblInd w:w="0" w:type="dxa"/>
        <w:tblLayout w:type="fixed"/>
        <w:tblCellMar>
          <w:top w:w="0" w:type="dxa"/>
          <w:left w:w="0" w:type="dxa"/>
          <w:bottom w:w="0" w:type="dxa"/>
          <w:right w:w="0" w:type="dxa"/>
        </w:tblCellMar>
      </w:tblPr>
      <w:tblGrid>
        <w:gridCol w:w="3091"/>
        <w:gridCol w:w="346"/>
        <w:gridCol w:w="886"/>
        <w:gridCol w:w="346"/>
        <w:gridCol w:w="736"/>
        <w:gridCol w:w="346"/>
        <w:gridCol w:w="886"/>
        <w:gridCol w:w="346"/>
        <w:gridCol w:w="736"/>
        <w:gridCol w:w="346"/>
        <w:gridCol w:w="886"/>
        <w:gridCol w:w="346"/>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962785" cy="175260"/>
                      <wp:effectExtent l="0" t="0" r="0" b="0"/>
                      <wp:wrapNone/>
                      <wp:docPr id="29" name="Frame27"/>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2610" cy="175260"/>
                      <wp:effectExtent l="0" t="0" r="0" b="0"/>
                      <wp:wrapNone/>
                      <wp:docPr id="31" name="Frame2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2"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67360" cy="175260"/>
                      <wp:effectExtent l="0" t="0" r="0" b="0"/>
                      <wp:wrapNone/>
                      <wp:docPr id="33" name="Frame3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34"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62610" cy="175260"/>
                      <wp:effectExtent l="0" t="0" r="0" b="0"/>
                      <wp:wrapNone/>
                      <wp:docPr id="35" name="Frame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67360" cy="175260"/>
                      <wp:effectExtent l="0" t="0" r="0" b="0"/>
                      <wp:wrapNone/>
                      <wp:docPr id="37" name="Frame3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8"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62610" cy="175260"/>
                      <wp:effectExtent l="0" t="0" r="0" b="0"/>
                      <wp:wrapNone/>
                      <wp:docPr id="39" name="Frame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0"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5935" cy="175260"/>
                      <wp:effectExtent l="0" t="0" r="0" b="0"/>
                      <wp:wrapNone/>
                      <wp:docPr id="41"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6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w:t>
            </w:r>
          </w:p>
        </w:tc>
        <w:tc>
          <w:tcPr>
            <w:tcW w:w="19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20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(4,813)</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(176.1)</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(7,801)</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(104.3)</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(46,841)</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(70.9)</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Research and development expenses.</w:t>
            </w:r>
            <w:r>
              <w:rPr>
                <w:caps w:val="false"/>
                <w:smallCaps w:val="false"/>
              </w:rPr>
              <w:t xml:space="preserve"> </w:t>
            </w:r>
            <w:r>
              <w:rPr>
                <w:rFonts w:ascii="Times New Roman;Times;serif" w:hAnsi="Times New Roman;Times;serif"/>
                <w:b w:val="false"/>
                <w:i w:val="false"/>
                <w:caps w:val="false"/>
                <w:smallCaps w:val="false"/>
                <w:sz w:val="20"/>
              </w:rPr>
              <w:t>Research and development expenses consist primarily of technology infrastructure expenses, software services expenses incurred in operating, maintaining, and enhancing our platform and in developing new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Sales and marketing expenses</w:t>
            </w:r>
            <w:r>
              <w:rPr>
                <w:rFonts w:ascii="Times New Roman;Times;serif" w:hAnsi="Times New Roman;Times;serif"/>
                <w:b w:val="false"/>
                <w:i w:val="false"/>
                <w:caps w:val="false"/>
                <w:smallCaps w:val="false"/>
                <w:sz w:val="20"/>
              </w:rPr>
              <w:t>. Our sales and marketing expenses primarily consist of (i) salary and welfare expenses, and (ii) branding, marketing and promotional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General and administrative expenses.</w:t>
            </w:r>
            <w:r>
              <w:rPr>
                <w:caps w:val="false"/>
                <w:smallCaps w:val="false"/>
              </w:rPr>
              <w:t xml:space="preserve"> </w:t>
            </w:r>
            <w:r>
              <w:rPr>
                <w:rFonts w:ascii="Times New Roman;Times;serif" w:hAnsi="Times New Roman;Times;serif"/>
                <w:b w:val="false"/>
                <w:i w:val="false"/>
                <w:caps w:val="false"/>
                <w:smallCaps w:val="false"/>
                <w:sz w:val="20"/>
              </w:rPr>
              <w:t>Our general and administrative expenses primarily consist of personnel expenses, legal, audit and other professional service fees.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(Losses)/Gains,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(losses)/gains, net consists of realized and unrealized fair value changes of digital assets, fair value changes on crypto assets loan receivables, the write-off of certain other payables, fair value gain on financial assets at fair value through profit or loss from US listed equity security, dividend income from investment, government grants, and foreign currency exchange difference,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Taxation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British Virgin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Singapore are subject to the Singapore corporate tax of 17%.</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foreign-sourced income. In addition, payments of dividends from our Hong Kong subsidiary to us are not subject to any Hong Kong withholding tax.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Generally, the VIE, our PRC subsidiary, which are considered PRC resident enterprises under PRC tax law, are subject to enterprise income tax on their worldwide taxable income as determined under PRC tax laws and accounting standards at a rate of 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Dividends paid by our wholly foreign-owned subsidiary in Chinese Mainland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Chinese Mainland were deemed to be a “resident enterprise” under the PRC Enterprise Income Tax Law, it would be subject to enterprise income tax on its worldwide income at a rate of 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Year Ended December 31, 2025 Compared to Year Ended December 31,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Our revenue increased by US$58.6 million, or 784.1%, from US$7.5 million in 2024 to US$66.1 million in 2025, primarily driven by the growth in the core Amber Premium Business reflected by the Assigned Contract</w:t>
      </w:r>
      <w:r>
        <w:rPr>
          <w:rFonts w:ascii="Times New Roman;Times;serif" w:hAnsi="Times New Roman;Times;serif"/>
          <w:sz w:val="15"/>
        </w:rPr>
        <w:t>1</w:t>
      </w:r>
      <w:r>
        <w:rPr>
          <w:rFonts w:ascii="Times New Roman;Times;serif" w:hAnsi="Times New Roman;Times;serif"/>
          <w:sz w:val="20"/>
        </w:rPr>
        <w:t>, and the Marketing and Enterprise Solutions following the Merger on March 12,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wealth management solutions increased by US$28.7 million, or 463.6%, from US$6.2 million in 2024 to US$34.9 million in 2025, reflecting broader adoption of our offerings supported by the strong demand on our diversified investment products and services, including new accumulator/decumulator products introduced in the fourth quarter of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execution solutions increased by US$10.9 million, or 3,413.4%, from US$0.3 million in 2024 to US$11.2 million in 2025, mainly driven by the increase in client trading activities with us and improved average fee rate and spread mix throughout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payment solutions increased by US$3.1 million, or 325.2%, from US$1.0 million in 2024 to US$4.1 million in 2025, mainly contributed from increased volumes.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marketing and enterprise solutions was US$15.9 million, contributed by online marketing, SaaS products and services after the Merger.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cost of revenue increased by US$11.7 million, or 234.4%, from US$5.0 million in 2024 to US$16.7 million in 2025, as a result of our sales growth during the year.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Profit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our gross profit increased from US$2.5 million in 2024 to US$49.4 million in 2025. Our gross profit margin was significantly improved from 33.4% to 74.8% during the same periods, which was primarily contributed by the accelerated growth in Amber Premium business and higher-margin marketing and enterprise solutions.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increased by US$39.0 million, or 500.4%, from US$7.8 million in 2024 to US$46.8 million in 2025, primarily due to increase of staff cost, IT expenses, and legal and professional fee for ongoing business expansion and development of new products and services. The operating expenses as a percentage of revenue decreased from 104.3% in 2024 to 70.9% in 2025.</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Our research and development expenses increased from US$0.5 million in 2024 to US$10.8 million in 2025, primarily attributable to the increase of technology infrastructure expenses and software services expenses.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Our sales and marketing increased from US$0.1 million in 2024 to US$7.9 million in 2025. The increase was primarily due to the increase in staff cost, and marketing and promotion expenses during the year. </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Our general and administrative expenses increased from US$7.3 million in 2024 to US$28.1 million in 2025, primarily due to personnel expenses for business growth, and legal, audit and other professional service fees after the Company going public. </w:t>
            </w:r>
          </w:p>
        </w:tc>
      </w:tr>
    </w:tbl>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For purposes of this annual report, unless otherwise indicated, the financial results discussed under “Amber Premium Business” include the net income attributable to the Company from the Assigned Contracts under the intercompany services agreements described at the beginning of the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Finance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finance income, net was US$0.5 million in 2025, compared to finance income, net of US$0.1 million in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(Losses)/Gains,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gains, net was US$0.5 million in 2025, primarily attributable from the write-off of certain other payables of US$0.7 million, dividend income from investment of US$0.5 million, and gain from US listed equity security of US$0.5 million during the year, partially offset by fair value change of crypto assets loan receivables and digital assets. Other losses, net was US$18.1 million in 2024, mainly represented unrealized fair value loss of digital assets on loan from related parties denominated in digital assets. The related party loan was waived prior to the Merger.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of Loss from an Equity Investee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recorded share of loss from an equity investee of US$50 thousand in 2025. Our share of loss of an equity investee is primarily associated with net loss from our joint venture with VGI Global Media Plc in Thailand.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incurred income tax credit of US$1.1 million in 2025, and nil income tax in 2024. The income tax credit in 2025 was primarily due to reversal of deferred tax liabilities during the year.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(Loss)/Income from continuing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recorded net income from continuing operations of US$4.7 million in 2025, as compared to net loss from continuing operations of US$23.3 million in the year ended December 31,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Year Ended December 31, 2024 Compared to Year Ended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revenue increased by US$4.7 million, or 173.4%, from US$2.7 million in 2023 to US$7.5 million in 2024, primarily driven by robust market growth in the digital asset industry and strategic partnerships, which resulted in higher transaction volumes and broader client participation.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wealth management solutions increased by US$4.6 million, or 283.1%, from US$1.6 million in 2023 to US$6.2 million in 2024, contributed by strong demand on our diverse investment products, such as structured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execution solutions increased by US$0.2 million, or 131.9%, from US$0.1 million in 2023 to US$0.3 million in 2024, primarily due to improvement in average execution fee rate resulting from strategic partnerships, as well as increase in execution trading volume due to favorable market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our payment solutions was relatively stable at US$1.0 million in 2023 and 2024 each.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cost of revenue increased by US$3.4 million, or 218.2%, from US$1.6 million in 2023 to US$5.0 million in 2024, primarily driven by the growth in wealth management solutions business.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Gross Profit and Gross Profit Margin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our gross profit increased from US$1.2 million in 2023 to US$2.5 million in 2024. Our gross profit margin was declined from 42.8% to 33.4% during the same periods, which was primarily because of the increase in customer referral fees.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expenses increased by US$3.0 million, or 62.1%, from US$4.8 million in 2023 to US$7.8 million in 2024, aligned with our business growth and development. The operating expenses as a percentage of revenue decreased from 176.1% in 2023 to 104.3% in 2024.</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Our research and development expenses increased from US$0.4 million in 2023 to US$0.5 million in 2024, primarily attributable to the increase of IT and related services fee.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Our sales and marketing increased from US$10 thousand in 2023 to US$0.1 million in 2024, primarily because Amber DWM held more promotional events during the year. </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Our general and administrative expenses increased from US$4.4 million in 2023 to US$7.3 million in 2024, primarily related to personnel expenses, legal and professional fee for business expansion. </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Finance (Costs)/Income,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finance income, net was US$0.1 million in 2024, compared to finance costs, net of US$0.1 million in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Losses,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other losses, net was US$18.1 million in 2024, mainly represented unrealized fair value loss of digital assets on loan from related parties denominated in digital assets. The related party loan was waived prior to the Merger. Other losses, net was US$9.7 million in 2023, mainly represented unrealized fair value loss of digital assets of US$9.5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did not incur income tax expense in 2024 and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from continuing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foregoing, we recorded net loss from continuing operations of US$23.3 million in 2024, as compared to net loss from continuing operations of US$13.5 million in the year ended December 31, 2023.</w:t>
      </w:r>
    </w:p>
    <w:p>
      <w:pPr>
        <w:pStyle w:val="TextBody"/>
        <w:bidi w:val="0"/>
        <w:spacing w:before="0" w:after="240"/>
        <w:ind w:left="0" w:right="0" w:hanging="0"/>
        <w:jc w:val="left"/>
        <w:rPr>
          <w:rFonts w:ascii="Times New Roman;Times;serif" w:hAnsi="Times New Roman;Times;serif"/>
          <w:sz w:val="20"/>
        </w:rPr>
      </w:pPr>
      <w:bookmarkStart w:id="49" w:name="ITEM5BLIQUIDITYANDCAPITALRESOURCES_84457"/>
      <w:bookmarkStart w:id="50" w:name="_b3ac56f1_e603_49dc_acd6_e334b726aca1"/>
      <w:bookmarkEnd w:id="49"/>
      <w:bookmarkEnd w:id="50"/>
      <w:r>
        <w:rPr>
          <w:rFonts w:ascii="Times New Roman;Times;serif" w:hAnsi="Times New Roman;Times;serif"/>
          <w:b/>
          <w:i w:val="false"/>
          <w:caps w:val="false"/>
          <w:smallCaps w:val="false"/>
          <w:sz w:val="20"/>
        </w:rPr>
        <w:t>ITEM 5B.</w:t>
      </w: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reporting period, our principal sources of liquidity have been cash generated from our operating activities, and advances from our ultimate holding company, Amber Group and related companies. As of December 31, 2025, we had US$33.9 million in cash and cash equivalents primarily consisted of bank balances which are readily convertible to known amounts of cash and subject to insignificant risk of changes in value. As of December 31, 2025, our cash and cash equivalents primarily consisted of cash on hand, cash held at bank, and time deposits placed with banks or other financial institutions, which have original maturities of three months or less. We closely monitor our cash balance and future payments obligations by preparing monthly management account and regular fund reports to provide a timely overview of our overall cash position and liquidity and risk control measurements. Such reports will be reviewed by the management. In addition, we have adopted a stringent cash management policy. We also regularly monitor our current and expected liquidity requirements to ensure that we maintain sufficient cash balances to meet our liquidity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and Working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tbl>
      <w:tblPr>
        <w:tblW w:w="7352" w:type="dxa"/>
        <w:jc w:val="left"/>
        <w:tblInd w:w="0" w:type="dxa"/>
        <w:tblLayout w:type="fixed"/>
        <w:tblCellMar>
          <w:top w:w="0" w:type="dxa"/>
          <w:left w:w="0" w:type="dxa"/>
          <w:bottom w:w="0" w:type="dxa"/>
          <w:right w:w="0" w:type="dxa"/>
        </w:tblCellMar>
      </w:tblPr>
      <w:tblGrid>
        <w:gridCol w:w="4306"/>
        <w:gridCol w:w="146"/>
        <w:gridCol w:w="796"/>
        <w:gridCol w:w="346"/>
        <w:gridCol w:w="571"/>
        <w:gridCol w:w="346"/>
        <w:gridCol w:w="841"/>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34310" cy="175260"/>
                      <wp:effectExtent l="0" t="0" r="0" b="0"/>
                      <wp:wrapNone/>
                      <wp:docPr id="42" name="Frame40"/>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43" name="Frame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5460" cy="175260"/>
                      <wp:effectExtent l="0" t="0" r="0" b="0"/>
                      <wp:wrapNone/>
                      <wp:docPr id="44" name="Frame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45"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2585" cy="175260"/>
                      <wp:effectExtent l="0" t="0" r="0" b="0"/>
                      <wp:wrapNone/>
                      <wp:docPr id="46" name="Frame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7"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34035" cy="175260"/>
                      <wp:effectExtent l="0" t="0" r="0" b="0"/>
                      <wp:wrapNone/>
                      <wp:docPr id="48" name="Frame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29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5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9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Consolidated Cash Flow Data:</w:t>
            </w:r>
          </w:p>
        </w:tc>
        <w:tc>
          <w:tcPr>
            <w:tcW w:w="1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(24,551)</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1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10,739</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37,297</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(decrease)/increase in cash and bank balances</w:t>
            </w:r>
          </w:p>
        </w:tc>
        <w:tc>
          <w:tcPr>
            <w:tcW w:w="1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5,484</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23,485</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bank balances at beginning of year</w:t>
            </w:r>
          </w:p>
        </w:tc>
        <w:tc>
          <w:tcPr>
            <w:tcW w:w="1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6,277</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on exchange rate changes on bank balances</w:t>
            </w:r>
          </w:p>
        </w:tc>
        <w:tc>
          <w:tcPr>
            <w:tcW w:w="1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bank balances at end of year</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6,277</w:t>
            </w:r>
          </w:p>
        </w:tc>
        <w:tc>
          <w:tcPr>
            <w:tcW w:w="3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29,895</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US$24.6 million in 2025, which was mainly attributable to the non-cash adjusting items of US$36.0 million and net loss before tax from discontinued operations of US$2.3 million, partially offset by net increase in working capital of US$9.8 million, net profit before tax from continuing operations of US$3.6 million, and income tax refund of US$0.3 million. The non-cash adjusting items mainly consisted of net income received or settled in digital assets of US$36.7 million. The net increase in working capital was primarily attributable to the disposal of crypto assets held of US$11.6 million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amounted to US$0.6 million in 2024, which was mainly attributable to net loss before tax of US$23.3 million, partially offset by non-cash adjusting items of US$16.0 million and a net increase in working capital of US$6.7 million. The non-cash adjusting items of US$16.0 million mainly consisted of unrealized fair value changes on amount due to related parties denominated in digital assets of US$18.0 million. The net increase in working capital was primarily attributable to the disposal of crypto assets held of US$5.7 million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amounted to US$11.5 million in 2023, which was primarily related to our net increase in working capital of US$15.4 million and non-cash adjusting items of US$9.6 million, partially offset by net loss before tax of US$13.5 million. The net increase in working capital was primarily attributable to the disposal of crypto assets held of US$15.1 million during the year. The non-cash adjusting items mainly consisted of unrealized fair value loss on amount due to related parties denominated in digital assets of US$9.3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in 2025 was US$10.7 million, primarily attributable to the net cash acquired from business combination of US$17.8 million, partially offset by the increase in crypto assets loan receivables of US$4.0 million and net cash disposed from the disposal of subsidiaries of US$2.6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in 2024 was US$58 thousand, primarily attributable to the interest received during the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nil cash movement in investing activities in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in 2025 was US$37.3 million, which was primarily attributable to net proceeds from private placement of US$25.3 million, and net proceeds from related parties of US$13.6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in 2024 was US$6.0 million, mainly attributable to proceeds from issuance of ordinary and preference shares of US$13.5 million during the year, partially offset by repayment to related parties, net amounting to US$7.5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in 2023 was US$11.8 million, mainly attributable to the repayment to related parties, net during the year.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Credit Facilities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the following legacy credit facilities from iClick: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In March 2019, certain subsidiaries of iClick entered into a facility agreement with a commercial bank, which was amended in March 2024 to provide for a one-year factoring loans of HK$11.7 million (US$1.5 million). We provide corporate guarantee and accounts receivable as pledge to secure our obligations under this revolving loan. The interest rate of this loan facility was at 4.25% per annum over 1-month Hong Kong Interbank Offered Rate (“HIBOR”) for loan in HK$, 2.00% per annum over 1-month CNH HIBOR for loan in RMB, or 4.32% over US$ reference rate. We had no outstanding balance under these loan facilities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(ii) In October 2019, certain subsidiaries of iClick entered into a one-year facility agreement for working capital loans with a commercial bank, which was amended in September 2025 to provide for (a) US$7.5 million combined limit for pre-shipment buyer loan and post-shipment buyer loan, (b) US$0.5 million overdraft facilities. We provide corporate guarantee and bank deposits as pledge to secure our obligations under these loan facilities. For the pre-shipment buyer loan and post-shipment buyer loan, the interest rate is at either (a) HIBOR plus 3.85% per annum if the loan is drawn down in HK$, (b) 3.95% over US$ reference rate per annum if the loan is drawn down in US$, or (c) 3.85% over CNH HIBOR per annum if the loan is drawn down in RMB. For the overdraft facility, the interest rate is at the bank’s US$ best lending rate. We had no outstanding balance under these loan facilities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no financial covenants as set out in these loan agreements were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those shown above, we did not have any significant capital and other commitments, long-term obligations, or guarantees as of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made capital expenditures of US$0.1 million and US$0.4 million in 2024 and 2025, respectively. In these periods, our capital expenditures were mainly used for purchase of computer software. We will continue to make capital expenditures to support our business. There was nil capital expenditures in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2025 and any subsequent interim period primarily include our operating lease obligations, which primarily represent our obligations for leasing office premises.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contractual obligations and commitments as of December 31, 2025.</w:t>
      </w:r>
    </w:p>
    <w:tbl>
      <w:tblPr>
        <w:tblW w:w="6789" w:type="dxa"/>
        <w:jc w:val="left"/>
        <w:tblInd w:w="0" w:type="dxa"/>
        <w:tblLayout w:type="fixed"/>
        <w:tblCellMar>
          <w:top w:w="0" w:type="dxa"/>
          <w:left w:w="0" w:type="dxa"/>
          <w:bottom w:w="0" w:type="dxa"/>
          <w:right w:w="0" w:type="dxa"/>
        </w:tblCellMar>
      </w:tblPr>
      <w:tblGrid>
        <w:gridCol w:w="1411"/>
        <w:gridCol w:w="346"/>
        <w:gridCol w:w="781"/>
        <w:gridCol w:w="346"/>
        <w:gridCol w:w="946"/>
        <w:gridCol w:w="346"/>
        <w:gridCol w:w="1156"/>
        <w:gridCol w:w="346"/>
        <w:gridCol w:w="111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895985" cy="175260"/>
                      <wp:effectExtent l="0" t="0" r="0" b="0"/>
                      <wp:wrapNone/>
                      <wp:docPr id="49" name="Frame47"/>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0"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1" name="Frame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2"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00710" cy="175260"/>
                      <wp:effectExtent l="0" t="0" r="0" b="0"/>
                      <wp:wrapNone/>
                      <wp:docPr id="53" name="Frame5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4"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34060" cy="175260"/>
                      <wp:effectExtent l="0" t="0" r="0" b="0"/>
                      <wp:wrapNone/>
                      <wp:docPr id="55" name="Frame5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05485" cy="175260"/>
                      <wp:effectExtent l="0" t="0" r="0" b="0"/>
                      <wp:wrapNone/>
                      <wp:docPr id="57" name="Frame5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111" w:type="dxa"/>
            <w:tcBorders/>
            <w:vAlign w:val="center"/>
          </w:tcPr>
          <w:p>
            <w:pPr>
              <w:pStyle w:val="TableContents"/>
              <w:bidi w:val="0"/>
              <w:spacing w:before="0" w:after="0"/>
              <w:ind w:left="0" w:right="0" w:hanging="0"/>
              <w:jc w:val="center"/>
              <w:rPr/>
            </w:pPr>
            <w:r>
              <w:rPr/>
              <w:t>  ​ ​ ​</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demand or</w:t>
            </w:r>
          </w:p>
        </w:tc>
        <w:tc>
          <w:tcPr>
            <w:tcW w:w="34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Within 2 to 5</w:t>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w:t>
            </w:r>
          </w:p>
        </w:tc>
        <w:tc>
          <w:tcPr>
            <w:tcW w:w="34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within 1 year</w:t>
            </w:r>
          </w:p>
        </w:tc>
        <w:tc>
          <w:tcPr>
            <w:tcW w:w="346" w:type="dxa"/>
            <w:tcBorders/>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6789"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32"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Amber International Holding Limited is a Cayman Islands exempted limited liability company, used as a holding company with no material operations of its own. We conduct our operations primarily through our wholly-owned subsidiaries and other consolidated entities in Hong Kong, Singapore, Dubai and the PRC. As a result, our ability to pay dividends depends upon dividends paid by our subsidiaries. If our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the accounting standards and regulations of Hong Kong, Singapore, Dubai and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 governing legislation for the distribution of dividends in Singapore is the Companies Act 1967 of Singapore (the “Companies Act”). Under Section 403(1) of the Companies Act, a Singapore company is only allowed to pay dividends out of profits and there are certain restrictions on the use of profits for the purposes of dividend declaration. Firstly, pursuant to Section 403(1A) of the Companies Act, any profits of a company applied towards the purchase or acquisition of its own shares pursuant to the share buyback provisions under the Companies Act cannot be payable as dividends to the shareholders. However, under Section 403(1B) of the Companies Act the foregoing restriction does not apply to any part of the proceeds received by the company as consideration for a sale or disposal of its treasury shares which the company has applied towards the profits of the company. Further, pursuant to Section 403(1C) of the Companies Act, any gains derived from the sale of or disposal of treasury shares cannot be payable as dividends to the shareholders of the company. In addition to complying with the Companies Act, the payment of dividends must also be in accordance with the company’s constitution and the generally acceptable accounting principles in Singapore.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H.M. Chan &amp; Co., our counsel as to Hong Kong law, has advised us that under the current practice of the Inland Revenue Department of Hong Kong, no tax is payable in Hong Kong in respect of dividends paid by us as a company incorporated in Cayman Islands. There are no restrictions or limitations under the laws of Hong Kong imposed on the conversion of HK dollar into foreign currencies and the remittance of currencies out of Hong Kong. A Hong Kong company is, however, subject to the requirement under the Companies Ordinance of Hong Kong that it may only make a distribution out of profits available for distribution or other distributable reserves.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51" w:name="ITEM5CRESEARCHANDDEVELOPMENTPATENTSANDLI"/>
      <w:bookmarkStart w:id="52" w:name="_88ced62d_3758_4ac2_bf1f_7bb659a8afc5"/>
      <w:bookmarkEnd w:id="51"/>
      <w:bookmarkEnd w:id="52"/>
      <w:r>
        <w:rPr>
          <w:rFonts w:ascii="Times New Roman;Times;serif" w:hAnsi="Times New Roman;Times;serif"/>
          <w:b/>
          <w:i w:val="false"/>
          <w:caps w:val="false"/>
          <w:smallCaps w:val="false"/>
          <w:sz w:val="20"/>
        </w:rPr>
        <w:t>ITEM 5C.</w:t>
      </w:r>
      <w:r>
        <w:rPr>
          <w:rFonts w:ascii="Times New Roman;Times;serif" w:hAnsi="Times New Roman;Times;serif"/>
          <w:b/>
          <w:sz w:val="20"/>
        </w:rPr>
        <w:t>RESEARCH AND DEVELOPMENT, PATENTS AND LICENSES, ETC.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Overview—License” and “—Intellectual Property.”</w:t>
      </w:r>
    </w:p>
    <w:p>
      <w:pPr>
        <w:pStyle w:val="TextBody"/>
        <w:bidi w:val="0"/>
        <w:spacing w:before="0" w:after="240"/>
        <w:ind w:left="0" w:right="0" w:hanging="0"/>
        <w:jc w:val="left"/>
        <w:rPr>
          <w:rFonts w:ascii="Times New Roman;Times;serif" w:hAnsi="Times New Roman;Times;serif"/>
          <w:sz w:val="20"/>
        </w:rPr>
      </w:pPr>
      <w:bookmarkStart w:id="53" w:name="ITEM5DTRENDINFORMATION_972097"/>
      <w:bookmarkStart w:id="54" w:name="_cfe4bddf_0bb1_464d_b46b_90a4dfd111db"/>
      <w:bookmarkEnd w:id="53"/>
      <w:bookmarkEnd w:id="54"/>
      <w:r>
        <w:rPr>
          <w:rFonts w:ascii="Times New Roman;Times;serif" w:hAnsi="Times New Roman;Times;serif"/>
          <w:b/>
          <w:i w:val="false"/>
          <w:caps w:val="false"/>
          <w:smallCaps w:val="false"/>
          <w:sz w:val="20"/>
        </w:rPr>
        <w:t>ITEM 5D.</w:t>
      </w:r>
      <w:r>
        <w:rPr>
          <w:rFonts w:ascii="Times New Roman;Times;serif" w:hAnsi="Times New Roman;Times;serif"/>
          <w:b/>
          <w:sz w:val="20"/>
        </w:rPr>
        <w:t>TREND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period from January 1, 2025 to December 31, 2025 that are reasonably likely to have a material effect on our revenue, income, profitability, liquidity or capital resources, or that would cause reported consolidated financial information not necessarily to be indicative of future operating results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5" w:name="ITEM5ECRITICALACCOUNTINGESTIMATESAuditor"/>
      <w:bookmarkStart w:id="56" w:name="_baf4284f_527c_43b9_b57f_770ce03ad825"/>
      <w:bookmarkEnd w:id="55"/>
      <w:bookmarkEnd w:id="56"/>
      <w:r>
        <w:rPr>
          <w:rFonts w:ascii="Times New Roman;Times;serif" w:hAnsi="Times New Roman;Times;serif"/>
          <w:b/>
          <w:i w:val="false"/>
          <w:caps w:val="false"/>
          <w:smallCaps w:val="false"/>
          <w:sz w:val="20"/>
        </w:rPr>
        <w:t>ITEM 5E.</w:t>
      </w:r>
      <w:r>
        <w:rPr>
          <w:rFonts w:ascii="Times New Roman;Times;serif" w:hAnsi="Times New Roman;Times;serif"/>
          <w:b/>
          <w:sz w:val="20"/>
        </w:rPr>
        <w:t xml:space="preserve">CRITICAL ACCOUNTING ESTIMATES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and analysis of our financial condition and results of operations relates to our consolidated financial statements, which have been prepared in accordance with IFRS issued by the International Accounting Standards Board.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Changes in estimates used in these and other items could have a material impact on our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a detailed discussion of our significant accounting policies and related judgments, see “Notes to the Consolidated Financial Statements - Note 2. Material accounting policy information” to this annual report.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accounting estimates relate to the significant areas involving management’s judgments and estimates in the preparation of our financial statements, and are those that management believes are the most critical to aid the understanding and evaluation of this management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Derivative financial instruments are measured at fair value at initial recognition and designated to be measured subsequently at fair value through profit or loss. The fair value measurement of the call and put options and dual currency contracts is determined using the Black-Scholes option pricing model and Monte Carlo simulation model and involves significant management judgment and estimation uncertainty. These valuation models require the use of significant unobservable inputs and assumptions, including expected volatility, correlation assumptions, simulation outcomes, and contractual time to maturity.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determines the expected volatility based on the historical price volatility of the underlying digital assets over a period corresponding to the remaining contractual maturity of the instruments. The estimated volatility is used as a key input in the valuation models to simulate potential future price movements of the underlying digital assets and determine the fair value of the instruments. However, digital asset markets are inherently volatile and subject to significant price fluctuations. Accordingly, historical price volatility may not be indicative of future market performance and actual outcomes may differ materially from management’s estimates. Any significant changes in digital asset prices, market conditions, or valuation assumptions could result in a material change in the fair value measurement of these financial instruments.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 of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is not amortized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Goodwill is allocated to each of the cash-generating units (“CGU”s) for the purpose of impairment testing. The allocation is made to those CGUs or groups of CGUs that are expected to benefit from the business combination in which the goodwill arose. The units or groups of units are identified at the lowest level at which goodwill is monitored for internal management purposes, below the operating segment.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reporting units, which include (i) Sparrow Group and (ii) iClick Group. Our consolidated goodwill balance was US$53.1 million as of December 31, 2025, and the goodwill associated with the Sparrow Group and iClick Group was US$16.7 million and US$36.4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Determining whether goodwill is impaired requires the measurement of the recoverable amount of the cash-generating units (“CGU”) based on an estimation of the value-in-use of the CGU to which goodwill has been allocated. The value-in-use calculation requires the entity to estimate the future cash flows expected to arise from the CGU derived from long-term forecasts which included a future cash flow projection and an estimated terminal value, and a suitable discount rate in order to calculate present value. The cash flow projection is based on management’s most recent view of the long-term outlook in order to come up with growth rates, the estimated terminal value using a terminal year long-term future growth rate, discount rates, and other assumptions deemed reasonable by management. Inherent in our development of cash flow projections are assumptions and estimates derived from a review of our operating results, business plan forecasts, expected growth rates, and risk adjusted discount rates, similar to those a market participant would use to assess value-in-use. We also make certain assumptions about future economic conditions and other data. Many of the factors used in assessing value-in-use are outside the control of management, and these assumptions and estimates may change in future periods. Changes in assumptions or estimates can materially affect the value-in-use measurement of CGU and, therefore, can affect the test results.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annual impairment test conducted for the years ended December 31, 2023, 2024 and 2025, no impairment loss was recognized.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57" w:name="ITEM6DIRECTORSSENIORMANAGEMENTANDEMPLOYE"/>
      <w:bookmarkStart w:id="58" w:name="_8279b858_0a9a_4544_9e24_ec551482081b"/>
      <w:bookmarkEnd w:id="57"/>
      <w:bookmarkEnd w:id="58"/>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p>
    <w:tbl>
      <w:tblPr>
        <w:tblW w:w="3212" w:type="dxa"/>
        <w:jc w:val="left"/>
        <w:tblInd w:w="0" w:type="dxa"/>
        <w:tblLayout w:type="fixed"/>
        <w:tblCellMar>
          <w:top w:w="0" w:type="dxa"/>
          <w:left w:w="0" w:type="dxa"/>
          <w:bottom w:w="0" w:type="dxa"/>
          <w:right w:w="0" w:type="dxa"/>
        </w:tblCellMar>
      </w:tblPr>
      <w:tblGrid>
        <w:gridCol w:w="301"/>
        <w:gridCol w:w="291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Senior Management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tbl>
      <w:tblPr>
        <w:tblW w:w="8461" w:type="dxa"/>
        <w:jc w:val="left"/>
        <w:tblInd w:w="0" w:type="dxa"/>
        <w:tblLayout w:type="fixed"/>
        <w:tblCellMar>
          <w:top w:w="0" w:type="dxa"/>
          <w:left w:w="0" w:type="dxa"/>
          <w:bottom w:w="0" w:type="dxa"/>
          <w:right w:w="0" w:type="dxa"/>
        </w:tblCellMar>
      </w:tblPr>
      <w:tblGrid>
        <w:gridCol w:w="2881"/>
        <w:gridCol w:w="346"/>
        <w:gridCol w:w="436"/>
        <w:gridCol w:w="346"/>
        <w:gridCol w:w="4261"/>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829435" cy="29210"/>
                      <wp:effectExtent l="0" t="0" r="0" b="0"/>
                      <wp:wrapNone/>
                      <wp:docPr id="58" name="Frame56"/>
                      <a:graphic xmlns:a="http://schemas.openxmlformats.org/drawingml/2006/main">
                        <a:graphicData uri="http://schemas.microsoft.com/office/word/2010/wordprocessingShape">
                          <wps:wsp>
                            <wps:cNvSpPr txBox="1"/>
                            <wps:spPr>
                              <a:xfrm>
                                <a:off x="0" y="0"/>
                                <a:ext cx="1829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29210"/>
                      <wp:effectExtent l="0" t="0" r="0" b="0"/>
                      <wp:wrapNone/>
                      <wp:docPr id="59" name="Frame5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76860" cy="29210"/>
                      <wp:effectExtent l="0" t="0" r="0" b="0"/>
                      <wp:wrapNone/>
                      <wp:docPr id="60" name="Frame58"/>
                      <a:graphic xmlns:a="http://schemas.openxmlformats.org/drawingml/2006/main">
                        <a:graphicData uri="http://schemas.microsoft.com/office/word/2010/wordprocessingShape">
                          <wps:wsp>
                            <wps:cNvSpPr txBox="1"/>
                            <wps:spPr>
                              <a:xfrm>
                                <a:off x="0" y="0"/>
                                <a:ext cx="276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29210"/>
                      <wp:effectExtent l="0" t="0" r="0" b="0"/>
                      <wp:wrapNone/>
                      <wp:docPr id="61" name="Frame5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705735" cy="29210"/>
                      <wp:effectExtent l="0" t="0" r="0" b="0"/>
                      <wp:wrapNone/>
                      <wp:docPr id="62" name="Frame60"/>
                      <a:graphic xmlns:a="http://schemas.openxmlformats.org/drawingml/2006/main">
                        <a:graphicData uri="http://schemas.microsoft.com/office/word/2010/wordprocessingShape">
                          <wps:wsp>
                            <wps:cNvSpPr txBox="1"/>
                            <wps:spPr>
                              <a:xfrm>
                                <a:off x="0" y="0"/>
                                <a:ext cx="2705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1285" cy="29210"/>
                      <wp:effectExtent l="0" t="0" r="0" b="0"/>
                      <wp:wrapNone/>
                      <wp:docPr id="63" name="Frame61"/>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4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88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Wu</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426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and Chief Executive Officer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Shen</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Vicky Wang</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Director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 Bao</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Product Officer and Director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Jiao</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Wai Winson Ip</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left"/>
              <w:rPr/>
            </w:pPr>
            <w:r>
              <w:rPr/>
              <w:t>​</w:t>
            </w:r>
          </w:p>
        </w:tc>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Michael Wu</w:t>
      </w:r>
      <w:r>
        <w:rPr>
          <w:rFonts w:ascii="Times New Roman;Times;serif" w:hAnsi="Times New Roman;Times;serif"/>
          <w:sz w:val="20"/>
        </w:rPr>
        <w:t xml:space="preserve"> has served as our chief executive officer since August 2025 and our chairman of the board of directors since March 2025. Mr. Wu is a co-founder of Amber Group and has served as its chief executive officer since the founding of Amber Group, and as a director of Amber DWM since February 2024. Prior to founding Amber Group, Mr. Wu served as a portfolio manager at Arete Capital Partners from March 2017 to December 2017. Prior to that, he served as an FX &amp; rates trader at Morgan Stanley from June 2013 to February 2017. Mr. Wu received his bachelor’s degree in economics from Dartmouth College in 2013.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Bo Shen</w:t>
      </w:r>
      <w:r>
        <w:rPr>
          <w:rFonts w:ascii="Times New Roman;Times;serif" w:hAnsi="Times New Roman;Times;serif"/>
          <w:sz w:val="20"/>
        </w:rPr>
        <w:t xml:space="preserve"> has served as our director since December 2025. Mr. Shen has extensive experience in supporting blockchain startups and advancing transparent and efficient systems globally. Mr. Shen has been a Founding and Managing Partner at Fenbushi Capital, a Shanghai venture capital firm investing in blockchain companies, since October 2015. Prior to that, Mr. Shen had over two decades of experience in financial services and investment fields, including senior leadership roles in Raymond James Financial Inc., MCI, China Orient Asset Management Company, and DACx, among others. Mr. Shen holds a bachelor’s degree from the University of Shanghai for Science and Technology and a Master’s degree from the Georgia Institute of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Vicky Wang</w:t>
      </w:r>
      <w:r>
        <w:rPr>
          <w:rFonts w:ascii="Times New Roman;Times;serif" w:hAnsi="Times New Roman;Times;serif"/>
          <w:sz w:val="20"/>
        </w:rPr>
        <w:t xml:space="preserve"> has served as our director and President since August 2025. Ms. Wang has extensive expertise in digital wealth management, financial consulting, and investment strategy across both traditional and digital markets. She has been a partner of Amber Group since 2023, leading its digital wealth management business and overseeing global sales, marketing, and investor relations. She played a pivotal role in building Amber Premium, shaping its service model and market positioning. From 2021 to 2023, Ms. Wang served as Sales Team Leader at Amber Group, driving its revenue growth and advancing key partnerships. Prior to joining Amber Group, Ms. Wang gained extensive investment experience at leading financial institutions, covering both primary and secondary market and serving top global clients and institutions on investment and financing opportunities. Ms. Wang received her master’s degree in business administration from Imperial College London.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Wayne Huo</w:t>
      </w:r>
      <w:r>
        <w:rPr>
          <w:rFonts w:ascii="Times New Roman;Times;serif" w:hAnsi="Times New Roman;Times;serif"/>
          <w:sz w:val="20"/>
        </w:rPr>
        <w:t xml:space="preserve"> has served as our director since March 2025. Mr. Huo served as our chief executive officer from March 2025 to August 2025. Mr. Huo is a co-founder of Amber Group and served as its chief operating officer since the founding of Amber Group until March 2025. Mr. Huo has been an independent director of Aether Holdings, Inc. (NASDAQ: ATHR) since December 2025. Prior to founding Amber Group, Mr. Huo served as an FX option trader at Morgan Stanley from February 2014 to August 2015. Mr. Huo received his bachelor’s degree in applied mathematics, finance &amp; economics from University of Toronto in 2012 and his master’s degree in mathematical finance from New York University in 2013.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Yi Bao</w:t>
      </w:r>
      <w:r>
        <w:rPr>
          <w:rFonts w:ascii="Times New Roman;Times;serif" w:hAnsi="Times New Roman;Times;serif"/>
          <w:sz w:val="20"/>
        </w:rPr>
        <w:t xml:space="preserve"> has served as our chief product officer since September 2025, and director since December 2025. Mr. Bao has extensive experience in crypto-related financial products, OTC trading and payment, business operations and strategic partnership. Mr. Bao served as Chief Business Officer of Amber Premium from March 2025 to August 2025. He joined Amber Group as a strategic development director in 2020, and was subsequently promoted to a partner and has become a managing partner of Amber Group since April 2025. Prior to joining Amber Group, Mr. Bao served as an operation director and business development manager at TIDEiSun Group and as an analyst at GSR Capital. Mr. Bao received his bachelor’s degree in mechanical engineering from Tsinghua University in 2012, and his dual bachelor’s degree in economics from Peking University in 2014. He also received a Ph.D. in mechanical engineering from Tsinghua University in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Jie Jiao</w:t>
      </w:r>
      <w:r>
        <w:rPr>
          <w:rFonts w:ascii="Times New Roman;Times;serif" w:hAnsi="Times New Roman;Times;serif"/>
          <w:sz w:val="20"/>
        </w:rPr>
        <w:t xml:space="preserve"> has served as our director since July 2025. Ms. Jiao has extensive experience in initial public offerings, private equity financing and corporate legal affairs. Ms. Jiao currently serves as an adviser to Play for Dream Inc. She is an independent non-executive director of China Sunshine Paper Holdings Company Limited (2002.HK), TradeGo Fintech Limited (8017.HK), LVGEM (China) Real Estate Investment Limited (0095.HK), Palasino Holdings Limited (2536.HK), EPI (Holdings) Limited (0689.HK) and Tianli Holdings Group Limited (0117.HK). Ms. Jiao is also an independent director of Quhuo Limited (NASDAQ: QH). Ms. Jiao received her bachelor of laws degree and bachelor of economics degree from Peking University. Ms. Jiao also received her degree of Magister Juris from University of Oxford. Ms. Jiao is a CFA charterholder, a member of CPA Australia and obtained the Legal Professional Qualification Certificate from the Ministry of Justice of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Lub Bun Chong</w:t>
      </w:r>
      <w:r>
        <w:rPr>
          <w:rFonts w:ascii="Times New Roman;Times;serif" w:hAnsi="Times New Roman;Times;serif"/>
          <w:sz w:val="20"/>
        </w:rPr>
        <w:t xml:space="preserve"> has served as our director since July 2019. Mr. Chong is currently a partner of C Consultancy Limited, a 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Philip Kan</w:t>
      </w:r>
      <w:r>
        <w:rPr>
          <w:rFonts w:ascii="Times New Roman;Times;serif" w:hAnsi="Times New Roman;Times;serif"/>
          <w:sz w:val="20"/>
        </w:rPr>
        <w:t xml:space="preserve"> has served as our director since January 2021. Mr. Kan has extensive experience in management, finance, 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Wing Wai Winson Ip</w:t>
      </w:r>
      <w:r>
        <w:rPr>
          <w:rFonts w:ascii="Times New Roman;Times;serif" w:hAnsi="Times New Roman;Times;serif"/>
          <w:sz w:val="20"/>
        </w:rPr>
        <w:t xml:space="preserve"> has served as our director since June 2024. Mr. Ip has more than 20 years of experience in financial and operational management, compliance and ESG management, investment, merger and acquisition, investor relations, accounting and auditing. Currently, he is an independent non-executive director and the chairperson of the audit committee of Deewin Tianxia Co., Ltd (2418.HK) from 2021. He was an independent non-executive director and an audit committee member of 8088 Investment Holdings Limited (8088.HK) from 2020 to 2022. He served as an executive director of Beijing Beida Jade Bird Universal Sci-Tech Company Limited (8095.HK) and then served as a non-executive director of Beijing Beida Jade Bird Universal Sci-Tech Company Limited from 2018 to 2021. He has held multiple leadership positions, including as the chief financial officer at Sincere Watch (Hong Kong) Limited (0444.HK) from 2020 to 2021, the chief financial officer and company secretary of Huili Resources (Group) Limited (1303.HK) from 2011 to 2019, and the vice president of King Stone Energy Group Limited (663.HK) from 2010 to now. He had also worked at KPMG. Mr. Ip obtained his bachelor of business administration in accounting from The Hong Kong University of Science and Technology in 2000 and is currently a member of the Hong Kong Institute of Certified Public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Josephine Ngai Yuk Chun</w:t>
      </w:r>
      <w:r>
        <w:rPr>
          <w:rFonts w:ascii="Times New Roman;Times;serif" w:hAnsi="Times New Roman;Times;serif"/>
          <w:sz w:val="20"/>
        </w:rPr>
        <w:t xml:space="preserve"> has served as our chief financial officer since March 2024. Before that, Ms. Ngai was our vice president, finance and group financial controller. Ms. Ngai has been an independent director of Man Shun Group (Holdings) Limited (1746.HK) since June 2024. Prior to joining us, Ms. Ngai served in auditing capacity at Big Four accounting firm and senior management roles in conglomerates listed on the Hong Kong Stock Exchange. She received a bachelor’s degree in accounting from the Hong Kong Polytechnic University and an EMBA degree from the Chinese University of Hong Kong. Ms. Ngai is a Member of the Hong Kong Institute of Certified Public Accountants.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 with Executive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entered into employment agreements with each of our executive officers.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Term and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or her position after we provide relevant training to him or her. A senior executive officer may terminate his or her employment at any time by giving three months’ prior written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Confidentiality; 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Non-Competition and Non-Solicitation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his or her employment and at least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Compensation of Directors and Executive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we paid an aggregate of approximately US$1.6 million in cash to our executive officers, and we paid an aggregate of approximately US$0.1 million to our non-executive directors. Subject to the requirements under the applicable laws, we have not set aside or accrued any amount to provide pension, retirement or other similar benefits to our executive officers and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 Incentive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2018 Plan, the maximum number of ordinary shares that may be issued to the beneficiaries is 2,398,137. As of March 31, 2026, nil options were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 of Awards.</w:t>
      </w:r>
      <w:r>
        <w:rPr>
          <w:rFonts w:ascii="Times New Roman;Times;serif" w:hAnsi="Times New Roman;Times;serif"/>
          <w:sz w:val="20"/>
        </w:rPr>
        <w:t xml:space="preserve"> The 2018 Plan permits the award of options to purchase our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xml:space="preserve"> Any award granted under the 2018 Plan is evidenced by an award agreement that sets forth terms, conditions and limitations on 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xml:space="preserve"> We may grant awards to employees of our company or any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xml:space="preserve"> Unless otherwise stated in respective grants, subject to forfeiture and arrangement on termination of employment or service, 25% 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w:t>
      </w:r>
      <w:r>
        <w:rPr>
          <w:rFonts w:ascii="Times New Roman;Times;serif" w:hAnsi="Times New Roman;Times;serif"/>
          <w:sz w:val="20"/>
        </w:rPr>
        <w:t xml:space="preserve"> Vested options will become exercisable during the first five business days of January, April, July and October until the 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xml:space="preserve"> The participant will not be permitted to transfer, assign, dispose of, or create or purport to create any encumbrances over any option. In principle, all options shall be exercisable only by the participants. Any such transfer, assignment, disposal or encumbrance or purported encumbrance shall result in the automatic cancellation of the 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2018 Plan.</w:t>
      </w:r>
      <w:r>
        <w:rPr>
          <w:rFonts w:ascii="Times New Roman;Times;serif" w:hAnsi="Times New Roman;Times;serif"/>
          <w:sz w:val="20"/>
        </w:rPr>
        <w:t xml:space="preserve"> Our board of directors may amend or discontinue the 2018 Plan, provided that such amendment or termination shall not impair the rights of a participant under any award without such participant’s consent.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Post-IPO Plan, previously named as 2017 Share Incentive Plan, which became effective in December 2017, is to promote the success of our business. On September 22, 2018, August 31, 2020, February 26, 2021, December 31, 2021, and May 16, 2025, our board of directors approved an increase of 1,500,000 Class A ordinary shares, 1,000,000 Class A ordinary shares, 1,000,000 Class A ordinary shares, 1,500,000 Class A ordinary shares, 5,000,000 Class A ordinary shares, respectively, to the award pool under the Post-IPO Plan. As a result, the maximum aggregate number of Class A ordinary shares available for all awards under the Post-IPO Share Incentive Plan will initially be 11,000,000 Class A ordinary shares, plus an annual increase for each fiscal year during the term of the Post-IPO Plan commencing with the fiscal year beginning January 1, 2026, by an amount equal to (i) 0.5% of the total number of Class A shares issued and outstanding on the last day of the immediately preceding fiscal year, or (ii) such number of Shares as may be determined by the Board, the size of the award pool to be equitably adjusted in the event of any share dividend, subdivision, reclassification, recapitalization, split, reverse split, combination, consolidation or similar transactions. All of such shares will be Class A ordinary shares. As of March 31, 2026, the award pool under the Post-IPO Plan is 14,256,145 Class A ordinary shares. As of March 31, 2026, 332,375 Class A ordinary shares are outstanding under our Post-IPO Plan, representing the shares underlying the unvested 15,500 restricted Class A ordinary shares units, vested and unexercised options to purchase 95,060 Class A ordinary shares, and unvested options to purchase 221,815 Class A ordinary shares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Post-IPO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Types of Awards.</w:t>
      </w:r>
      <w:r>
        <w:rPr>
          <w:rFonts w:ascii="Times New Roman;Times;serif" w:hAnsi="Times New Roman;Times;serif"/>
          <w:sz w:val="20"/>
        </w:rPr>
        <w:t xml:space="preserve"> The Post-IPO Plan permits the awards of options, restricted shares and restricted share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Plan Administration.</w:t>
      </w:r>
      <w:r>
        <w:rPr>
          <w:rFonts w:ascii="Times New Roman;Times;serif" w:hAnsi="Times New Roman;Times;serif"/>
          <w:sz w:val="20"/>
        </w:rPr>
        <w:t xml:space="preserve"> Our board of directors or a committee of one or more members of the board of directors will administer the Post-IPO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Award Agreement.</w:t>
      </w:r>
      <w:r>
        <w:rPr>
          <w:rFonts w:ascii="Times New Roman;Times;serif" w:hAnsi="Times New Roman;Times;serif"/>
          <w:sz w:val="20"/>
        </w:rPr>
        <w:t xml:space="preserve"> Awards granted under the Post-IPO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Eligibility.</w:t>
      </w:r>
      <w:r>
        <w:rPr>
          <w:rFonts w:ascii="Times New Roman;Times;serif" w:hAnsi="Times New Roman;Times;serif"/>
          <w:sz w:val="20"/>
        </w:rPr>
        <w:t xml:space="preserve"> We may grant awards to our employees, directors and consultants of our company. However, we may grant options that are intended to qualify as incentive share options only to our employees and employees of our parent companies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Vesting Schedule.</w:t>
      </w:r>
      <w:r>
        <w:rPr>
          <w:rFonts w:ascii="Times New Roman;Times;serif" w:hAnsi="Times New Roman;Times;serif"/>
          <w:sz w:val="20"/>
        </w:rPr>
        <w:t xml:space="preserve"> 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Exercise of Options.</w:t>
      </w:r>
      <w:r>
        <w:rPr>
          <w:rFonts w:ascii="Times New Roman;Times;serif" w:hAnsi="Times New Roman;Times;serif"/>
          <w:sz w:val="20"/>
        </w:rPr>
        <w:t xml:space="preserve"> The plan administrator determines the exercise price for each award, which is stated in the award agreement. The vested portion of option will expire if not exercised prior to the time as the plan administrator determines at the time of its grant. However, the maximum exercisable term is ten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Transfer Restrictions.</w:t>
      </w:r>
      <w:r>
        <w:rPr>
          <w:rFonts w:ascii="Times New Roman;Times;serif" w:hAnsi="Times New Roman;Times;serif"/>
          <w:sz w:val="20"/>
        </w:rPr>
        <w:t xml:space="preserve"> Awards may not be transferred in any manner by the recipient other than by will or the laws of descent and distribution, except as otherwise provided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Termination and amendment of the Post-IPO Plan.</w:t>
      </w:r>
      <w:r>
        <w:rPr>
          <w:rFonts w:ascii="Times New Roman;Times;serif" w:hAnsi="Times New Roman;Times;serif"/>
          <w:sz w:val="20"/>
        </w:rPr>
        <w:t xml:space="preserve"> Unless terminated earlier, the Post-IPO Plan has a term of ten years. Our board of directors has 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March 31, 2026, the outstanding restricted share units granted under the Post-IPO Plan to our directors, executive officers and other grantees.</w:t>
      </w:r>
    </w:p>
    <w:tbl>
      <w:tblPr>
        <w:tblW w:w="9519" w:type="dxa"/>
        <w:jc w:val="left"/>
        <w:tblInd w:w="0" w:type="dxa"/>
        <w:tblLayout w:type="fixed"/>
        <w:tblCellMar>
          <w:top w:w="0" w:type="dxa"/>
          <w:left w:w="0" w:type="dxa"/>
          <w:bottom w:w="0" w:type="dxa"/>
          <w:right w:w="0" w:type="dxa"/>
        </w:tblCellMar>
      </w:tblPr>
      <w:tblGrid>
        <w:gridCol w:w="2251"/>
        <w:gridCol w:w="346"/>
        <w:gridCol w:w="1726"/>
        <w:gridCol w:w="346"/>
        <w:gridCol w:w="1126"/>
        <w:gridCol w:w="346"/>
        <w:gridCol w:w="1246"/>
        <w:gridCol w:w="346"/>
        <w:gridCol w:w="17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29385" cy="175260"/>
                      <wp:effectExtent l="0" t="0" r="0" b="0"/>
                      <wp:wrapNone/>
                      <wp:docPr id="64" name="Frame62"/>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5"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96010" cy="175260"/>
                      <wp:effectExtent l="0" t="0" r="0" b="0"/>
                      <wp:wrapNone/>
                      <wp:docPr id="66" name="Frame64"/>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67"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15010" cy="175260"/>
                      <wp:effectExtent l="0" t="0" r="0" b="0"/>
                      <wp:wrapNone/>
                      <wp:docPr id="68" name="Frame6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69"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791210" cy="175260"/>
                      <wp:effectExtent l="0" t="0" r="0" b="0"/>
                      <wp:wrapNone/>
                      <wp:docPr id="70" name="Frame6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1"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34110" cy="175260"/>
                      <wp:effectExtent l="0" t="0" r="0" b="0"/>
                      <wp:wrapNone/>
                      <wp:docPr id="72" name="Frame70"/>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8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center"/>
              <w:rPr/>
            </w:pPr>
            <w:r>
              <w:rPr/>
              <w:t>​</w:t>
            </w:r>
          </w:p>
        </w:tc>
      </w:tr>
      <w:tr>
        <w:trPr/>
        <w:tc>
          <w:tcPr>
            <w:tcW w:w="225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w:t>
            </w:r>
          </w:p>
        </w:tc>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Share Units</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2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Wai Winson Ip</w:t>
            </w:r>
          </w:p>
        </w:tc>
        <w:tc>
          <w:tcPr>
            <w:tcW w:w="3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46"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24, 2024</w:t>
            </w:r>
          </w:p>
        </w:tc>
        <w:tc>
          <w:tcPr>
            <w:tcW w:w="346" w:type="dxa"/>
            <w:tcBorders/>
            <w:shd w:fill="CCEEFF" w:val="clear"/>
            <w:vAlign w:val="center"/>
          </w:tcPr>
          <w:p>
            <w:pPr>
              <w:pStyle w:val="TableContents"/>
              <w:bidi w:val="0"/>
              <w:spacing w:before="0" w:after="0"/>
              <w:ind w:left="0" w:right="0" w:hanging="0"/>
              <w:jc w:val="left"/>
              <w:rPr/>
            </w:pPr>
            <w:r>
              <w:rPr/>
              <w:t>​</w:t>
            </w:r>
          </w:p>
        </w:tc>
        <w:tc>
          <w:tcPr>
            <w:tcW w:w="1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24, 2034</w:t>
            </w:r>
          </w:p>
        </w:tc>
      </w:tr>
      <w:tr>
        <w:trPr/>
        <w:tc>
          <w:tcPr>
            <w:tcW w:w="22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46" w:type="dxa"/>
            <w:tcBorders/>
            <w:vAlign w:val="center"/>
          </w:tcPr>
          <w:p>
            <w:pPr>
              <w:pStyle w:val="TableContents"/>
              <w:bidi w:val="0"/>
              <w:spacing w:before="0" w:after="0"/>
              <w:ind w:left="0" w:right="0" w:hanging="0"/>
              <w:jc w:val="left"/>
              <w:rPr/>
            </w:pPr>
            <w:r>
              <w:rPr/>
              <w:t> </w:t>
            </w:r>
          </w:p>
        </w:tc>
        <w:tc>
          <w:tcPr>
            <w:tcW w:w="17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April 1, 2023</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December 11, 2027</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Less than 1% of our total outstanding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March 31, 2026, the outstanding options granted under the Post-IPO Plan to our directors, executive officers and other grantees.</w:t>
      </w:r>
    </w:p>
    <w:tbl>
      <w:tblPr>
        <w:tblW w:w="8124" w:type="dxa"/>
        <w:jc w:val="left"/>
        <w:tblInd w:w="0" w:type="dxa"/>
        <w:tblLayout w:type="fixed"/>
        <w:tblCellMar>
          <w:top w:w="0" w:type="dxa"/>
          <w:left w:w="0" w:type="dxa"/>
          <w:bottom w:w="0" w:type="dxa"/>
          <w:right w:w="0" w:type="dxa"/>
        </w:tblCellMar>
      </w:tblPr>
      <w:tblGrid>
        <w:gridCol w:w="826"/>
        <w:gridCol w:w="346"/>
        <w:gridCol w:w="1321"/>
        <w:gridCol w:w="346"/>
        <w:gridCol w:w="1126"/>
        <w:gridCol w:w="346"/>
        <w:gridCol w:w="1681"/>
        <w:gridCol w:w="346"/>
        <w:gridCol w:w="1786"/>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4510" cy="175260"/>
                      <wp:effectExtent l="0" t="0" r="0" b="0"/>
                      <wp:wrapNone/>
                      <wp:docPr id="73" name="Frame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838835" cy="175260"/>
                      <wp:effectExtent l="0" t="0" r="0" b="0"/>
                      <wp:wrapNone/>
                      <wp:docPr id="75" name="Frame7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76"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715010" cy="175260"/>
                      <wp:effectExtent l="0" t="0" r="0" b="0"/>
                      <wp:wrapNone/>
                      <wp:docPr id="77" name="Frame7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78"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067435" cy="175260"/>
                      <wp:effectExtent l="0" t="0" r="0" b="0"/>
                      <wp:wrapNone/>
                      <wp:docPr id="79" name="Frame7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0"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34110" cy="175260"/>
                      <wp:effectExtent l="0" t="0" r="0" b="0"/>
                      <wp:wrapNone/>
                      <wp:docPr id="81" name="Frame79"/>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0"/>
              <w:ind w:left="0" w:right="0" w:hanging="0"/>
              <w:jc w:val="left"/>
              <w:rPr/>
            </w:pPr>
            <w:r>
              <w:rPr/>
              <w:t>  ​ ​ ​</w:t>
            </w:r>
          </w:p>
        </w:tc>
        <w:tc>
          <w:tcPr>
            <w:tcW w:w="112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86"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86" w:type="dxa"/>
            <w:tcBorders/>
            <w:vAlign w:val="center"/>
          </w:tcPr>
          <w:p>
            <w:pPr>
              <w:pStyle w:val="TableContents"/>
              <w:bidi w:val="0"/>
              <w:spacing w:before="0" w:after="0"/>
              <w:ind w:left="0" w:right="0" w:hanging="0"/>
              <w:jc w:val="center"/>
              <w:rPr/>
            </w:pPr>
            <w:r>
              <w:rPr/>
              <w:t>​</w:t>
            </w:r>
          </w:p>
        </w:tc>
      </w:tr>
      <w:tr>
        <w:trPr/>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46" w:type="dxa"/>
            <w:tcBorders/>
            <w:vAlign w:val="center"/>
          </w:tcPr>
          <w:p>
            <w:pPr>
              <w:pStyle w:val="TableContents"/>
              <w:bidi w:val="0"/>
              <w:spacing w:before="0" w:after="0"/>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Grantees</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Nil</w:t>
            </w:r>
          </w:p>
        </w:tc>
        <w:tc>
          <w:tcPr>
            <w:tcW w:w="346" w:type="dxa"/>
            <w:tcBorders/>
            <w:shd w:fill="CCEEFF" w:val="clear"/>
            <w:vAlign w:val="center"/>
          </w:tcPr>
          <w:p>
            <w:pPr>
              <w:pStyle w:val="TableContents"/>
              <w:bidi w:val="0"/>
              <w:spacing w:before="0" w:after="0"/>
              <w:ind w:left="0" w:right="0" w:hanging="0"/>
              <w:jc w:val="left"/>
              <w:rPr/>
            </w:pPr>
            <w:r>
              <w:rPr/>
              <w:t>​</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December 22, 2025</w:t>
            </w:r>
          </w:p>
        </w:tc>
        <w:tc>
          <w:tcPr>
            <w:tcW w:w="346" w:type="dxa"/>
            <w:tcBorders/>
            <w:shd w:fill="CCEEFF" w:val="clear"/>
            <w:vAlign w:val="center"/>
          </w:tcPr>
          <w:p>
            <w:pPr>
              <w:pStyle w:val="TableContents"/>
              <w:bidi w:val="0"/>
              <w:spacing w:before="0" w:after="0"/>
              <w:ind w:left="0" w:right="0" w:hanging="0"/>
              <w:jc w:val="left"/>
              <w:rPr/>
            </w:pPr>
            <w:r>
              <w:rPr/>
              <w:t>​</w:t>
            </w:r>
          </w:p>
        </w:tc>
        <w:tc>
          <w:tcPr>
            <w:tcW w:w="17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December 22, 2035</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Less than 1% of our total outstanding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option, RSU and any other equity award of iClick that is outstanding and unexercised immediately prior to time as the Merger becomes effective, whether or not vested or exercisable, shall remain outstanding and shall remain subject to the terms and conditions of (a) the 2018 Share Incentive Plan, or (b) the Post-IPO Plan, as applicable, and any relevant award agreements applicable to such equity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Board Practices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consists of nine directors, including executive directors and non-executive directors. Pursuant to our tenth amended and restated memorandum and articles of association, the size of our board of directors shall be limited to nine.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foreign private issuer (as such term is defined in Rule 3b - 4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 corporate governance and nominating committee, and an investment committee under the board of directors. We have adopted a charter for each of the audit committee, compensation committee, corporate governance and nominating committee, and investment committee. Each committee’s members and functions are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xml:space="preserve"> Our audit committee consists of Wing Wai Winson Ip, Lub Bun Chong, and Philip Kan, and is chaired by Wing Wai Winson Ip. Wing Wai Winson Ip, Lub Bun Chong, and Philip Kan each satisfy the “independence” requirements of the Rule 5605(a)(2) of the Listing Rules of the Nasdaq Stock Market and meet the independence standards under Rule 10A 3 under the Exchange Act. We have determined that each of Wing Wai Winson Ip and Lub Bun Chong qualify as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selecting the independent registered public accounting firm and pre-screening all auditing and non-auditing services permitted to be performed by the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with the independent registered public accounting firm any audit problems or difficulties and management’s response;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and approving all proposed related party transactions, as defined in Item 404 of Regulation S-K under the Securities Act;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major issues as to the adequacy of our internal controls and any special audit steps adopted in light of material control deficiencies;</w:t>
            </w:r>
          </w:p>
        </w:tc>
      </w:tr>
    </w:tbl>
    <w:tbl>
      <w:tblPr>
        <w:tblW w:w="7071" w:type="dxa"/>
        <w:jc w:val="left"/>
        <w:tblInd w:w="0" w:type="dxa"/>
        <w:tblLayout w:type="fixed"/>
        <w:tblCellMar>
          <w:top w:w="0" w:type="dxa"/>
          <w:left w:w="0" w:type="dxa"/>
          <w:bottom w:w="0" w:type="dxa"/>
          <w:right w:w="0"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669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annually reviewing and reassessing the adequacy of our audit committee charter;</w:t>
            </w:r>
          </w:p>
        </w:tc>
      </w:tr>
    </w:tbl>
    <w:tbl>
      <w:tblPr>
        <w:tblW w:w="9786" w:type="dxa"/>
        <w:jc w:val="left"/>
        <w:tblInd w:w="0" w:type="dxa"/>
        <w:tblLayout w:type="fixed"/>
        <w:tblCellMar>
          <w:top w:w="0" w:type="dxa"/>
          <w:left w:w="0" w:type="dxa"/>
          <w:bottom w:w="0" w:type="dxa"/>
          <w:right w:w="0"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4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registered public accounting firm; and</w:t>
            </w:r>
          </w:p>
        </w:tc>
      </w:tr>
    </w:tbl>
    <w:tbl>
      <w:tblPr>
        <w:tblW w:w="4086" w:type="dxa"/>
        <w:jc w:val="left"/>
        <w:tblInd w:w="0" w:type="dxa"/>
        <w:tblLayout w:type="fixed"/>
        <w:tblCellMar>
          <w:top w:w="0" w:type="dxa"/>
          <w:left w:w="0" w:type="dxa"/>
          <w:bottom w:w="0" w:type="dxa"/>
          <w:right w:w="0"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7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reporting regularly to the board of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xml:space="preserve"> Our compensation committee consists of Michael Wu, Yi Bao and Jie Jiao, and is chaired by Michael Wu.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the total compensation package for our executive officers and making recommendations to the board with respect to it;</w:t>
            </w:r>
          </w:p>
        </w:tc>
      </w:tr>
    </w:tbl>
    <w:tbl>
      <w:tblPr>
        <w:tblW w:w="9411" w:type="dxa"/>
        <w:jc w:val="left"/>
        <w:tblInd w:w="0" w:type="dxa"/>
        <w:tblLayout w:type="fixed"/>
        <w:tblCellMar>
          <w:top w:w="0" w:type="dxa"/>
          <w:left w:w="0" w:type="dxa"/>
          <w:bottom w:w="0" w:type="dxa"/>
          <w:right w:w="0"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0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the compensation of our directors and making recommendations to the board with respect to it;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Corporate Governance and Nominating Committee</w:t>
      </w:r>
      <w:r>
        <w:rPr>
          <w:rFonts w:ascii="Times New Roman;Times;serif" w:hAnsi="Times New Roman;Times;serif"/>
          <w:sz w:val="20"/>
        </w:rPr>
        <w:t xml:space="preserve"> Our corporate governance and nominating committee consists of Philip Kan, Michael Wu, Vicky Wang, Jie Jiao and Wayne Huo, and is chaired by Philip Kan. Philip Kan satisfies the “independence” requirements of the Listing Rules of the Nasdaq Stock Market. The corporate governance and nominating committee will assist the board in selecting individuals qualified to become our directors and in determining the composition of the board and its committees. The corporate governance and nominating committee will be responsible for, among other things: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recommending nominees to the board for election or re-election to the board, or for appointment to fill any vacancy on the board;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with regards to characteristics such as independence, age, skills, experience and availability of service to us;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Investment Committee</w:t>
      </w:r>
      <w:r>
        <w:rPr>
          <w:rFonts w:ascii="Times New Roman;Times;serif" w:hAnsi="Times New Roman;Times;serif"/>
          <w:sz w:val="20"/>
        </w:rPr>
        <w:t xml:space="preserve"> Our investment committee consists of Lub Bun Chong, Michael Wu, Wayne Huo, Jie Jiao, Vicky Wang, Yi Bao and Bo Shen, and is chaired by Lub Bun Chong. The investment committee oversees the Company’s investment transactions, management, policies and guidelines. The investment committee will be responsible for, among other things:</w:t>
      </w:r>
    </w:p>
    <w:tbl>
      <w:tblPr>
        <w:tblW w:w="9651" w:type="dxa"/>
        <w:jc w:val="left"/>
        <w:tblInd w:w="0" w:type="dxa"/>
        <w:tblLayout w:type="fixed"/>
        <w:tblCellMar>
          <w:top w:w="0" w:type="dxa"/>
          <w:left w:w="0" w:type="dxa"/>
          <w:bottom w:w="0" w:type="dxa"/>
          <w:right w:w="0"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review and recommend to the Board for its approval of the Company’s overall investment policy and guidelines;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approve transactions to be conducted by the Company and/or its subsidiaries or variable interest entity in line with the Company’s strategic plans and for purposes of the long term development of the Company;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review the performance and compliance of each transaction conducted by the Company and/or its subsidiaries or variable interest entity with the Company’s investment policy and guidelines.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have a common law duty to act honestly in good faith with a view to our best interests and for a proper purpose. Our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7851" w:type="dxa"/>
        <w:jc w:val="left"/>
        <w:tblInd w:w="0" w:type="dxa"/>
        <w:tblLayout w:type="fixed"/>
        <w:tblCellMar>
          <w:top w:w="0" w:type="dxa"/>
          <w:left w:w="0" w:type="dxa"/>
          <w:bottom w:w="0" w:type="dxa"/>
          <w:right w:w="0"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74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convening general meetings and reporting our board’s work at our shareholders’ meetings;</w:t>
            </w:r>
          </w:p>
        </w:tc>
      </w:tr>
    </w:tbl>
    <w:tbl>
      <w:tblPr>
        <w:tblW w:w="3636" w:type="dxa"/>
        <w:jc w:val="left"/>
        <w:tblInd w:w="0" w:type="dxa"/>
        <w:tblLayout w:type="fixed"/>
        <w:tblCellMar>
          <w:top w:w="0" w:type="dxa"/>
          <w:left w:w="0" w:type="dxa"/>
          <w:bottom w:w="0" w:type="dxa"/>
          <w:right w:w="0"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32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declaring dividends and distributions;</w:t>
            </w:r>
          </w:p>
        </w:tc>
      </w:tr>
    </w:tbl>
    <w:tbl>
      <w:tblPr>
        <w:tblW w:w="4401" w:type="dxa"/>
        <w:jc w:val="left"/>
        <w:tblInd w:w="0" w:type="dxa"/>
        <w:tblLayout w:type="fixed"/>
        <w:tblCellMar>
          <w:top w:w="0" w:type="dxa"/>
          <w:left w:w="0" w:type="dxa"/>
          <w:bottom w:w="0" w:type="dxa"/>
          <w:right w:w="0"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402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determining our business and investment plans;</w:t>
            </w:r>
          </w:p>
        </w:tc>
      </w:tr>
    </w:tbl>
    <w:tbl>
      <w:tblPr>
        <w:tblW w:w="6096" w:type="dxa"/>
        <w:jc w:val="left"/>
        <w:tblInd w:w="0" w:type="dxa"/>
        <w:tblLayout w:type="fixed"/>
        <w:tblCellMar>
          <w:top w:w="0" w:type="dxa"/>
          <w:left w:w="0" w:type="dxa"/>
          <w:bottom w:w="0" w:type="dxa"/>
          <w:right w:w="0"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71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bl>
    <w:tbl>
      <w:tblPr>
        <w:tblW w:w="5451" w:type="dxa"/>
        <w:jc w:val="left"/>
        <w:tblInd w:w="0" w:type="dxa"/>
        <w:tblLayout w:type="fixed"/>
        <w:tblCellMar>
          <w:top w:w="0" w:type="dxa"/>
          <w:left w:w="0" w:type="dxa"/>
          <w:bottom w:w="0" w:type="dxa"/>
          <w:right w:w="0"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0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preparing our annual financial budgets and financial reports;</w:t>
            </w:r>
          </w:p>
        </w:tc>
      </w:tr>
    </w:tbl>
    <w:tbl>
      <w:tblPr>
        <w:tblW w:w="7071" w:type="dxa"/>
        <w:jc w:val="left"/>
        <w:tblInd w:w="0" w:type="dxa"/>
        <w:tblLayout w:type="fixed"/>
        <w:tblCellMar>
          <w:top w:w="0" w:type="dxa"/>
          <w:left w:w="0" w:type="dxa"/>
          <w:bottom w:w="0" w:type="dxa"/>
          <w:right w:w="0"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669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formulating proposals for the increase or reduction of our authorized capital; and</w:t>
            </w:r>
          </w:p>
        </w:tc>
      </w:tr>
    </w:tbl>
    <w:tbl>
      <w:tblPr>
        <w:tblW w:w="7626" w:type="dxa"/>
        <w:jc w:val="left"/>
        <w:tblInd w:w="0" w:type="dxa"/>
        <w:tblLayout w:type="fixed"/>
        <w:tblCellMar>
          <w:top w:w="0" w:type="dxa"/>
          <w:left w:w="0" w:type="dxa"/>
          <w:bottom w:w="0" w:type="dxa"/>
          <w:right w:w="0"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72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exercising other powers, functions and duties as conferred by our articles of association.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Pursuant to our tenth amended and restated memorandum and articles of association, a majority of our directors then in office shall have the power from time to time to appoint any person as director to fill a casual vacancy on the board or as an addition to the existing board (subject to the maximum size limit). Any director so appointed by the board shall hold office only until the next following annual general meeting and shall then be eligible for re-election or re-appointment by the board of directors. We may by ordinary resolution of our shareholders appoint any person to be a director. Our directors will not be subject to a term of office and will hold their offices until such time as they are removed from office by an ordinary resolution of our shareholders at any time before the expiration of his period of office notwithstanding anything in our tenth amended and restated memorandum and articles of association or in any agreement between us and such director (but without prejudice to any claim for damages under any such agreement), or by way of resolution of the board provided that such removal is for cause. “Cause” shall mean a conviction for a criminal offence involving dishonesty or engaging in conduct which brings the director or us into disrepute or which results in material financial detriment to us. In addition, the office of any of our directors shall be vacated if the director (a) resigns his office by notice in writing delivered to us at the office or tendered at a meeting of the board of directors; (b) becomes of unsound mind or dies; (c) without special leave of absence from our board of directors, is absent from meetings of the board for three consecutive meetings and the board of directors re-solves that his office be vacated;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 “Statues” shall mean the Companies Act (As Revised) of the Cayman Islands and every other law of the Legislature of the Cayman Islands for the time being in force applying to or affecting us and/or our tenth amended and restated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tenth amended and restated memorandum and articles of association, the board of directors shall have a chairman of elected and appointed by a majority of the directors then in office, and any removal of chairman of the board is subject to shareholder approval by ordinary resolution.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2024 and 2025, we had a total of 894, 225 and 295 employees, respectively. The table below provides a breakdown of our employees by function as of December 31, 2025:</w:t>
      </w:r>
    </w:p>
    <w:tbl>
      <w:tblPr>
        <w:tblW w:w="5120" w:type="dxa"/>
        <w:jc w:val="left"/>
        <w:tblInd w:w="0" w:type="dxa"/>
        <w:tblLayout w:type="fixed"/>
        <w:tblCellMar>
          <w:top w:w="0" w:type="dxa"/>
          <w:left w:w="0" w:type="dxa"/>
          <w:bottom w:w="0" w:type="dxa"/>
          <w:right w:w="0" w:type="dxa"/>
        </w:tblCellMar>
      </w:tblPr>
      <w:tblGrid>
        <w:gridCol w:w="2596"/>
        <w:gridCol w:w="346"/>
        <w:gridCol w:w="886"/>
        <w:gridCol w:w="346"/>
        <w:gridCol w:w="9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48460" cy="175260"/>
                      <wp:effectExtent l="0" t="0" r="0" b="0"/>
                      <wp:wrapNone/>
                      <wp:docPr id="82" name="Frame8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3"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2610" cy="175260"/>
                      <wp:effectExtent l="0" t="0" r="0" b="0"/>
                      <wp:wrapNone/>
                      <wp:docPr id="84" name="Frame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85"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00710" cy="175260"/>
                      <wp:effectExtent l="0" t="0" r="0" b="0"/>
                      <wp:wrapNone/>
                      <wp:docPr id="86" name="Frame8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  ​ ​ ​</w:t>
            </w:r>
          </w:p>
        </w:tc>
        <w:tc>
          <w:tcPr>
            <w:tcW w:w="946" w:type="dxa"/>
            <w:tcBorders/>
            <w:vAlign w:val="center"/>
          </w:tcPr>
          <w:p>
            <w:pPr>
              <w:pStyle w:val="TableContents"/>
              <w:bidi w:val="0"/>
              <w:spacing w:before="0" w:after="0"/>
              <w:ind w:left="0" w:right="0" w:hanging="0"/>
              <w:jc w:val="center"/>
              <w:rPr/>
            </w:pPr>
            <w:r>
              <w:rPr/>
              <w:t>  ​ ​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employees</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Total</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and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Development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had a total of 295 employees, representing an increase of 31% from 225 as of December 31, 2024. The growth was primarily driven by the Merger with Amber DWM on March 12, 2025, partially offset by our ongoing operational efficiency initiatives and the disposal of certain iClick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standard labor contracts and confidentiality agreements with our management and employees. Our success is driven by our ability to attract, motivate, train and retain qualified talent. We believe we offer our employees competitive compensation packages and fosters an environment that encourages professional growth and self-development. As a result, we have consistently attracted and retained skilled personnel while maintaining a stable and experienced core management team.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our employees are represented by labor unions.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with respect to the beneficial ownership of our ordinary shares as of March 31, 2026 by:</w:t>
      </w:r>
    </w:p>
    <w:tbl>
      <w:tblPr>
        <w:tblW w:w="4416" w:type="dxa"/>
        <w:jc w:val="left"/>
        <w:tblInd w:w="0" w:type="dxa"/>
        <w:tblLayout w:type="fixed"/>
        <w:tblCellMar>
          <w:top w:w="0" w:type="dxa"/>
          <w:left w:w="0" w:type="dxa"/>
          <w:bottom w:w="0" w:type="dxa"/>
          <w:right w:w="0"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pPr>
            <w:r>
              <w:rPr/>
              <w:t>●</w:t>
            </w:r>
          </w:p>
        </w:tc>
        <w:tc>
          <w:tcPr>
            <w:tcW w:w="40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of our directors and executive officers; and</w:t>
            </w:r>
          </w:p>
        </w:tc>
      </w:tr>
    </w:tbl>
    <w:tbl>
      <w:tblPr>
        <w:tblW w:w="7866" w:type="dxa"/>
        <w:jc w:val="left"/>
        <w:tblInd w:w="0" w:type="dxa"/>
        <w:tblLayout w:type="fixed"/>
        <w:tblCellMar>
          <w:top w:w="0" w:type="dxa"/>
          <w:left w:w="0" w:type="dxa"/>
          <w:bottom w:w="0" w:type="dxa"/>
          <w:right w:w="0"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left"/>
              <w:rPr/>
            </w:pPr>
            <w:r>
              <w:rPr/>
              <w:t>●</w:t>
            </w:r>
          </w:p>
        </w:tc>
        <w:tc>
          <w:tcPr>
            <w:tcW w:w="74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each person known to us to own beneficially more than 5% of our total outstanding shares.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2026, there were 471,376,257 ordinary shares outstanding, par value $0.001 per share, being the sum of 435,143,020 Class A ordinary shares and 36,233,237 Class B ordinary shares. The calculations in the table below are based on 469,187,623 ordinary shares outstanding as of March 31, 2026, comprising (i) 432,954,386 Class A ordinary shares, excluding the 2,188,634 Class A ordinary shares held by JPMorgan Chase Bank N.A. (“JPMorgan”), our depositary, underlying the share based awards reserved for issuance under our Post-IPO Plan or our 2018 Plan, and (ii) 36,233,237 Class B ordinary shares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March 31, 2026, including through the exercise of any option, warrant or other right or the conversion of any other security. These shares, however, are not included in the computation of the percentage ownership of any other person.</w:t>
      </w:r>
    </w:p>
    <w:tbl>
      <w:tblPr>
        <w:tblW w:w="10205" w:type="dxa"/>
        <w:jc w:val="left"/>
        <w:tblInd w:w="0" w:type="dxa"/>
        <w:tblLayout w:type="fixed"/>
        <w:tblCellMar>
          <w:top w:w="0" w:type="dxa"/>
          <w:left w:w="0" w:type="dxa"/>
          <w:bottom w:w="0" w:type="dxa"/>
          <w:right w:w="0" w:type="dxa"/>
        </w:tblCellMar>
      </w:tblPr>
      <w:tblGrid>
        <w:gridCol w:w="3399"/>
        <w:gridCol w:w="346"/>
        <w:gridCol w:w="1141"/>
        <w:gridCol w:w="346"/>
        <w:gridCol w:w="1036"/>
        <w:gridCol w:w="346"/>
        <w:gridCol w:w="1141"/>
        <w:gridCol w:w="346"/>
        <w:gridCol w:w="466"/>
        <w:gridCol w:w="361"/>
        <w:gridCol w:w="871"/>
        <w:gridCol w:w="406"/>
      </w:tblGrid>
      <w:tr>
        <w:trPr/>
        <w:tc>
          <w:tcPr>
            <w:tcW w:w="3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58365" cy="175260"/>
                      <wp:effectExtent l="0" t="0" r="0" b="0"/>
                      <wp:wrapNone/>
                      <wp:docPr id="87" name="Frame85"/>
                      <a:graphic xmlns:a="http://schemas.openxmlformats.org/drawingml/2006/main">
                        <a:graphicData uri="http://schemas.microsoft.com/office/word/2010/wordprocessingShape">
                          <wps:wsp>
                            <wps:cNvSpPr txBox="1"/>
                            <wps:spPr>
                              <a:xfrm>
                                <a:off x="0" y="0"/>
                                <a:ext cx="215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24535" cy="175260"/>
                      <wp:effectExtent l="0" t="0" r="0" b="0"/>
                      <wp:wrapNone/>
                      <wp:docPr id="89"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57860" cy="175260"/>
                      <wp:effectExtent l="0" t="0" r="0" b="0"/>
                      <wp:wrapNone/>
                      <wp:docPr id="91" name="Frame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2"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24535" cy="175260"/>
                      <wp:effectExtent l="0" t="0" r="0" b="0"/>
                      <wp:wrapNone/>
                      <wp:docPr id="93" name="Frame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5910" cy="175260"/>
                      <wp:effectExtent l="0" t="0" r="0" b="0"/>
                      <wp:wrapNone/>
                      <wp:docPr id="95" name="Frame9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9235" cy="175260"/>
                      <wp:effectExtent l="0" t="0" r="0" b="0"/>
                      <wp:wrapNone/>
                      <wp:docPr id="96" name="Frame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53085" cy="175260"/>
                      <wp:effectExtent l="0" t="0" r="0" b="0"/>
                      <wp:wrapNone/>
                      <wp:docPr id="97" name="Frame9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57810" cy="175260"/>
                      <wp:effectExtent l="0" t="0" r="0" b="0"/>
                      <wp:wrapNone/>
                      <wp:docPr id="98" name="Frame9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05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 Beneficially Owned</w:t>
            </w:r>
          </w:p>
        </w:tc>
        <w:tc>
          <w:tcPr>
            <w:tcW w:w="406" w:type="dxa"/>
            <w:tcBorders/>
            <w:vAlign w:val="center"/>
          </w:tcPr>
          <w:p>
            <w:pPr>
              <w:pStyle w:val="TableContents"/>
              <w:bidi w:val="0"/>
              <w:spacing w:before="0" w:after="0"/>
              <w:ind w:left="0" w:right="0" w:hanging="0"/>
              <w:jc w:val="left"/>
              <w:rPr/>
            </w:pPr>
            <w:r>
              <w:rPr/>
              <w:t> </w:t>
            </w:r>
          </w:p>
        </w:tc>
      </w:tr>
      <w:tr>
        <w:trPr/>
        <w:tc>
          <w:tcPr>
            <w:tcW w:w="33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left"/>
              <w:rPr/>
            </w:pPr>
            <w:r>
              <w:rPr/>
              <w:t> </w:t>
            </w:r>
          </w:p>
        </w:tc>
      </w:tr>
      <w:tr>
        <w:trPr/>
        <w:tc>
          <w:tcPr>
            <w:tcW w:w="33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406" w:type="dxa"/>
            <w:tcBorders/>
            <w:vAlign w:val="center"/>
          </w:tcPr>
          <w:p>
            <w:pPr>
              <w:pStyle w:val="TableContents"/>
              <w:bidi w:val="0"/>
              <w:spacing w:before="0" w:after="0"/>
              <w:ind w:left="0" w:right="0" w:hanging="0"/>
              <w:jc w:val="left"/>
              <w:rPr/>
            </w:pPr>
            <w:r>
              <w:rPr/>
              <w:t> </w:t>
            </w:r>
          </w:p>
        </w:tc>
      </w:tr>
      <w:tr>
        <w:trPr/>
        <w:tc>
          <w:tcPr>
            <w:tcW w:w="33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9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Ordinary Shares</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c>
          <w:tcPr>
            <w:tcW w:w="406" w:type="dxa"/>
            <w:tcBorders/>
            <w:vAlign w:val="center"/>
          </w:tcPr>
          <w:p>
            <w:pPr>
              <w:pStyle w:val="TableContents"/>
              <w:bidi w:val="0"/>
              <w:spacing w:before="0" w:after="0"/>
              <w:ind w:left="0" w:right="0" w:hanging="0"/>
              <w:jc w:val="left"/>
              <w:rPr/>
            </w:pPr>
            <w:r>
              <w:rPr/>
              <w:t> </w:t>
            </w:r>
          </w:p>
        </w:tc>
      </w:tr>
      <w:tr>
        <w:trPr/>
        <w:tc>
          <w:tcPr>
            <w:tcW w:w="33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Power %</w:t>
            </w:r>
          </w:p>
        </w:tc>
        <w:tc>
          <w:tcPr>
            <w:tcW w:w="406" w:type="dxa"/>
            <w:tcBorders/>
            <w:vAlign w:val="center"/>
          </w:tcPr>
          <w:p>
            <w:pPr>
              <w:pStyle w:val="TableContents"/>
              <w:bidi w:val="0"/>
              <w:spacing w:before="0" w:after="0"/>
              <w:ind w:left="0" w:right="0" w:hanging="0"/>
              <w:jc w:val="left"/>
              <w:rPr/>
            </w:pPr>
            <w:r>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9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Michael Wu </w:t>
            </w:r>
            <w:r>
              <w:rPr>
                <w:rFonts w:ascii="Times New Roman;Times;serif" w:hAnsi="Times New Roman;Times;serif"/>
                <w:sz w:val="15"/>
              </w:rPr>
              <w:t>(1)(2)</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346,067,985</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 Shen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Vicky Wang</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Huo</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Yi Bao</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Jie Jiao</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Lub Bun Chong</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Kan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Wing Wai Winson Ip</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318,884,683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355,117,920</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9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9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Global Limited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Fort Limited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36,233,237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346,067,985</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9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Amber Primary Unit Holding Limited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309,834,748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Notes:</w:t>
      </w:r>
    </w:p>
    <w:tbl>
      <w:tblPr>
        <w:tblW w:w="4082" w:type="dxa"/>
        <w:jc w:val="left"/>
        <w:tblInd w:w="0" w:type="dxa"/>
        <w:tblLayout w:type="fixed"/>
        <w:tblCellMar>
          <w:top w:w="0" w:type="dxa"/>
          <w:left w:w="0" w:type="dxa"/>
          <w:bottom w:w="0" w:type="dxa"/>
          <w:right w:w="0" w:type="dxa"/>
        </w:tblCellMar>
      </w:tblPr>
      <w:tblGrid>
        <w:gridCol w:w="301"/>
        <w:gridCol w:w="3781"/>
      </w:tblGrid>
      <w:tr>
        <w:trPr/>
        <w:tc>
          <w:tcPr>
            <w:tcW w:w="3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37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Less than 1% of our total outstanding shares.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both"/>
              <w:rPr/>
            </w:pPr>
            <w:r>
              <w:rPr/>
              <w:t>††</w:t>
            </w:r>
          </w:p>
        </w:tc>
        <w:tc>
          <w:tcPr>
            <w:tcW w:w="99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ownership is calculated by dividing the number of ordinary shares beneficially owned by such person or group, including shares that such person or group has the right to acquire within 60 days of March 31, 2026, by the sum of (1) 469,187,623, which is the total number of ordinary shares outstanding as of March 31, 2026; and (2) the number of ordinary shares that such person or group has the right to acquire within 60 days of March 31, 2026.</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40"/>
              <w:jc w:val="both"/>
              <w:rPr/>
            </w:pPr>
            <w:r>
              <w:rPr/>
              <w:t>††</w:t>
            </w:r>
          </w:p>
        </w:tc>
        <w:tc>
          <w:tcPr>
            <w:tcW w:w="994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30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309,834,748 Class A ordinary shares held by Amber Global Limited. Mr. Michael Wu is deemed to be a beneficial owner of all the shares held by Amber Global Limited by virtue of his entitlement to appoint a majority of the board of directors of Amber Global Limited. Mr. Michael Wu disclaims beneficial ownership of such shares except to the extent of his pecuniary interest therein, if any. Amber Global Limited is a Cayman Islands company with its registered address at Vistra (Cayman) Limited, P.O. Box 31119, Grand Pavilion, Hibiscus Way, 802 West Bay Road, Grand Cayman, KY1-1205, Cayman Islands.</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(i) 309,834,748 Class A Ordinary Shares held by Amber Global Limited, and (ii) 36,233,237 Class B Ordinary Shares held by Amber Fort Limited. Each Class B ordinary share is convertible into one Class A ordinary share at any time at the option of the holder thereof. Each Class B Ordinary Share is entitled to 30 votes per share, and each Class A Ordinary Share is entitled to one vote per share. Mr. Michael Wu is the sole director of Amber Fort Limited. Amber Fort Limited may be deemed to be a beneficial owner of all the shares held by Amber Global Limited by virtue of its entitlement to appoint a majority of the board of directors of Amber Global Limited jointly with Amber Primary Unit Holding Limited. The registered address of Amber Fort Limited is at PO Box 309, Ugland House, Grand Cayman, KY1-1104, Cayman Islands.</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Represents 309,834,748 Class A ordinary shares held by Amber Global Limited. Amber Primary Unit Holding Limited may be deemed to be a beneficial owner of all the shares held by Amber Global Limited by virtue of its entitlement to appoint a majority of the board of directors of Amber Global Limited jointly with Amber Fort Limited. Amber Primary Unit Holding Limited is a British Virgin Islands company with its registered address at Kingston Chambers, PO Box 173, Road Town, Tortola, British Virgin Islands.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our knowledge, as of March 31, 2026, 71,793,185 or 15.3% of our ordinary shares were held by one record holder in the United States, which was JPMorgan, the depositary of our ADS program. The number of beneficial owners of our ADSs in the United States is likely to be much larger than the number of record holders of our ordinary shares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aware of any arrangement that may, at a subsequent date, result in a change of control of our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Disclosure of a Registrant’s Action to Recover Erroneously Awarded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59" w:name="ITEM7MAJORSHAREHOLDERSANDRELATEDPARTYTRA"/>
      <w:bookmarkStart w:id="60" w:name="_111a0f6c_0d4d_4e69_b878_3e132a5bfb34"/>
      <w:bookmarkEnd w:id="59"/>
      <w:bookmarkEnd w:id="60"/>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Major Shareholders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relationships with related parties who had transaction with the Company and our subsidiaries are summarized as follows:</w:t>
      </w:r>
    </w:p>
    <w:tbl>
      <w:tblPr>
        <w:tblW w:w="6678" w:type="dxa"/>
        <w:jc w:val="left"/>
        <w:tblInd w:w="0" w:type="dxa"/>
        <w:tblLayout w:type="fixed"/>
        <w:tblCellMar>
          <w:top w:w="0" w:type="dxa"/>
          <w:left w:w="0" w:type="dxa"/>
          <w:bottom w:w="0" w:type="dxa"/>
          <w:right w:w="0" w:type="dxa"/>
        </w:tblCellMar>
      </w:tblPr>
      <w:tblGrid>
        <w:gridCol w:w="4066"/>
        <w:gridCol w:w="346"/>
        <w:gridCol w:w="226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81910" cy="29210"/>
                      <wp:effectExtent l="0" t="0" r="0" b="0"/>
                      <wp:wrapNone/>
                      <wp:docPr id="99" name="Frame97"/>
                      <a:graphic xmlns:a="http://schemas.openxmlformats.org/drawingml/2006/main">
                        <a:graphicData uri="http://schemas.microsoft.com/office/word/2010/wordprocessingShape">
                          <wps:wsp>
                            <wps:cNvSpPr txBox="1"/>
                            <wps:spPr>
                              <a:xfrm>
                                <a:off x="0" y="0"/>
                                <a:ext cx="2581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29210"/>
                      <wp:effectExtent l="0" t="0" r="0" b="0"/>
                      <wp:wrapNone/>
                      <wp:docPr id="100" name="Frame9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38910" cy="29210"/>
                      <wp:effectExtent l="0" t="0" r="0" b="0"/>
                      <wp:wrapNone/>
                      <wp:docPr id="101" name="Frame99"/>
                      <a:graphic xmlns:a="http://schemas.openxmlformats.org/drawingml/2006/main">
                        <a:graphicData uri="http://schemas.microsoft.com/office/word/2010/wordprocessingShape">
                          <wps:wsp>
                            <wps:cNvSpPr txBox="1"/>
                            <wps:spPr>
                              <a:xfrm>
                                <a:off x="0" y="0"/>
                                <a:ext cx="1438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06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Related parties</w:t>
            </w:r>
          </w:p>
        </w:tc>
        <w:tc>
          <w:tcPr>
            <w:tcW w:w="34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pPr>
            <w:r>
              <w:rPr/>
              <w:t>  ​ ​ ​</w:t>
            </w:r>
          </w:p>
        </w:tc>
        <w:tc>
          <w:tcPr>
            <w:tcW w:w="2266"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Relationship to the Company</w:t>
            </w:r>
          </w:p>
        </w:tc>
      </w:tr>
      <w:tr>
        <w:trPr/>
        <w:tc>
          <w:tcPr>
            <w:tcW w:w="4066" w:type="dxa"/>
            <w:tcBorders>
              <w:top w:val="single" w:sz="2" w:space="0" w:color="000000"/>
            </w:tcBorders>
            <w:shd w:fill="CCEEFF" w:val="clear"/>
            <w:tcMar>
              <w:top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AM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North America Ltd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WhaleFin Markets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Gamma Digital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Rigsec Technology Holding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Services NA, LLC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AAC Global Holding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Global Alpha Fund Management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Affiliate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transactions with related parties took place at terms agreed between the parties during the financial period:</w:t>
      </w:r>
    </w:p>
    <w:p>
      <w:pPr>
        <w:pStyle w:val="TextBody"/>
        <w:bidi w:val="0"/>
        <w:spacing w:before="0" w:after="0"/>
        <w:ind w:left="0" w:right="0" w:hanging="0"/>
        <w:jc w:val="left"/>
        <w:rPr/>
      </w:pPr>
      <w:r>
        <w:rPr/>
        <w:t>​</w:t>
      </w:r>
    </w:p>
    <w:tbl>
      <w:tblPr>
        <w:tblW w:w="7807" w:type="dxa"/>
        <w:jc w:val="left"/>
        <w:tblInd w:w="0" w:type="dxa"/>
        <w:tblLayout w:type="fixed"/>
        <w:tblCellMar>
          <w:top w:w="0" w:type="dxa"/>
          <w:left w:w="0" w:type="dxa"/>
          <w:bottom w:w="0" w:type="dxa"/>
          <w:right w:w="0" w:type="dxa"/>
        </w:tblCellMar>
      </w:tblPr>
      <w:tblGrid>
        <w:gridCol w:w="4066"/>
        <w:gridCol w:w="346"/>
        <w:gridCol w:w="886"/>
        <w:gridCol w:w="346"/>
        <w:gridCol w:w="886"/>
        <w:gridCol w:w="346"/>
        <w:gridCol w:w="93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581910" cy="175260"/>
                      <wp:effectExtent l="0" t="0" r="0" b="0"/>
                      <wp:wrapNone/>
                      <wp:docPr id="102" name="Frame100"/>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3"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2610" cy="175260"/>
                      <wp:effectExtent l="0" t="0" r="0" b="0"/>
                      <wp:wrapNone/>
                      <wp:docPr id="104" name="Frame1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5"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2610" cy="175260"/>
                      <wp:effectExtent l="0" t="0" r="0" b="0"/>
                      <wp:wrapNone/>
                      <wp:docPr id="106" name="Frame10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07"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1185" cy="175260"/>
                      <wp:effectExtent l="0" t="0" r="0" b="0"/>
                      <wp:wrapNone/>
                      <wp:docPr id="108"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3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generated from:</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Global Alpha Fund Management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Rigsec Technology Holding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Digital Limited</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5,637</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42,980</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 to:</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income from:</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WhaleFin Markets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AAC Global Holding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Outsourcing/support services provided by:</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North America Ltd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AM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Services NA, LLC</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expenses to:</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fee to:</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Payment on behalf:</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Waiver of balance by:</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  ​</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47,106</w:t>
            </w:r>
          </w:p>
        </w:tc>
        <w:tc>
          <w:tcPr>
            <w:tcW w:w="346"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7792" w:type="dxa"/>
        <w:jc w:val="left"/>
        <w:tblInd w:w="0" w:type="dxa"/>
        <w:tblLayout w:type="fixed"/>
        <w:tblCellMar>
          <w:top w:w="0" w:type="dxa"/>
          <w:left w:w="0" w:type="dxa"/>
          <w:bottom w:w="0" w:type="dxa"/>
          <w:right w:w="0" w:type="dxa"/>
        </w:tblCellMar>
      </w:tblPr>
      <w:tblGrid>
        <w:gridCol w:w="3616"/>
        <w:gridCol w:w="346"/>
        <w:gridCol w:w="1321"/>
        <w:gridCol w:w="346"/>
        <w:gridCol w:w="886"/>
        <w:gridCol w:w="346"/>
        <w:gridCol w:w="93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96160" cy="175260"/>
                      <wp:effectExtent l="0" t="0" r="0" b="0"/>
                      <wp:wrapNone/>
                      <wp:docPr id="109" name="Frame107"/>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38835" cy="175260"/>
                      <wp:effectExtent l="0" t="0" r="0" b="0"/>
                      <wp:wrapNone/>
                      <wp:docPr id="111" name="Frame10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2"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62610" cy="175260"/>
                      <wp:effectExtent l="0" t="0" r="0" b="0"/>
                      <wp:wrapNone/>
                      <wp:docPr id="113" name="Frame11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4"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15" name="Frame1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January 1,</w:t>
            </w:r>
          </w:p>
        </w:tc>
        <w:tc>
          <w:tcPr>
            <w:tcW w:w="346" w:type="dxa"/>
            <w:tcBorders/>
            <w:vAlign w:val="center"/>
          </w:tcPr>
          <w:p>
            <w:pPr>
              <w:pStyle w:val="TableContents"/>
              <w:bidi w:val="0"/>
              <w:spacing w:before="0" w:after="0"/>
              <w:ind w:left="0" w:right="0" w:hanging="0"/>
              <w:jc w:val="center"/>
              <w:rPr/>
            </w:pPr>
            <w:r>
              <w:rPr/>
              <w:t>​</w:t>
            </w:r>
          </w:p>
        </w:tc>
        <w:tc>
          <w:tcPr>
            <w:tcW w:w="21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c>
          <w:tcPr>
            <w:tcW w:w="34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(US$in</w:t>
            </w:r>
          </w:p>
        </w:tc>
      </w:tr>
      <w:tr>
        <w:trPr/>
        <w:tc>
          <w:tcPr>
            <w:tcW w:w="36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 (Note)</w:t>
            </w:r>
          </w:p>
        </w:tc>
        <w:tc>
          <w:tcPr>
            <w:tcW w:w="3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Note: The loan payable to AG Global Technology Limited Inc. is for working capital purpose. It is unsecured, interest-free, repayable on demand, and denominated in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2026, we entered into a service agreement with Lead Accelerating Limited, a wholly owned subsidiary of Amber Global Limited, pursuant to which we agreed to provide platform technical, platform and operational services through a self-developed technology platform in connection with the market making business beginning in the second quarter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our Variable Interest Entity and its Shareholder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Employees—A. Directors and Senior Management—Employment Agreements and Indemnification Agreements with Executive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 of Directors and Executive Officers—Share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Interests of Experts and Counsel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61" w:name="ITEM8FINANCIALINFORMATION_469941"/>
      <w:bookmarkStart w:id="62" w:name="_9cc36186_058f_49fb_ae53_5f014d9ebd36"/>
      <w:bookmarkEnd w:id="61"/>
      <w:bookmarkEnd w:id="62"/>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p>
    <w:tbl>
      <w:tblPr>
        <w:tblW w:w="5132" w:type="dxa"/>
        <w:jc w:val="left"/>
        <w:tblInd w:w="0" w:type="dxa"/>
        <w:tblLayout w:type="fixed"/>
        <w:tblCellMar>
          <w:top w:w="0" w:type="dxa"/>
          <w:left w:w="0" w:type="dxa"/>
          <w:bottom w:w="0" w:type="dxa"/>
          <w:right w:w="0" w:type="dxa"/>
        </w:tblCellMar>
      </w:tblPr>
      <w:tblGrid>
        <w:gridCol w:w="301"/>
        <w:gridCol w:w="4831"/>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and Other Financial Information</w:t>
            </w:r>
          </w:p>
        </w:tc>
      </w:tr>
    </w:tbl>
    <w:p>
      <w:pPr>
        <w:pStyle w:val="TextBody"/>
        <w:bidi w:val="0"/>
        <w:spacing w:lineRule="auto" w:line="304" w:before="0" w:after="240"/>
        <w:ind w:left="720" w:right="0" w:hanging="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and Administrative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Policy and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discretion as to whether to distribute dividends, subject to applicable laws.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limited liability company, used as a holding company incorporated in the Cayman Islands. We rely principally on dividends from our subsidiaries for our cash requirements, including any payment of dividends to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Significant Changes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240"/>
        <w:ind w:left="0" w:right="0" w:hanging="0"/>
        <w:jc w:val="left"/>
        <w:rPr>
          <w:rFonts w:ascii="Times New Roman;Times;serif" w:hAnsi="Times New Roman;Times;serif"/>
          <w:sz w:val="20"/>
        </w:rPr>
      </w:pPr>
      <w:bookmarkStart w:id="63" w:name="ITEM9THEOFFERANDLISTING_837699"/>
      <w:bookmarkStart w:id="64" w:name="_0ae080ed_8c4e_4b44_98e3_534a8ddb3236"/>
      <w:bookmarkEnd w:id="63"/>
      <w:bookmarkEnd w:id="64"/>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Offering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one ADS representing five Class A ordinary shares, have been listed on the Nasdaq Global Market since December 21, 2017.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Expenses of the Issue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sz w:val="20"/>
        </w:rPr>
      </w:pPr>
      <w:bookmarkStart w:id="65" w:name="ITEM10ADDITIONALINFORMATION_718205"/>
      <w:bookmarkStart w:id="66" w:name="_40de464b_a363_4b53_bc6a_4c1cd05d05ab"/>
      <w:bookmarkEnd w:id="65"/>
      <w:bookmarkEnd w:id="66"/>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Share Capital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Memorandum and Articles of Association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tenth amended and restated memorandum and articles of association, as well as the Companies Act (Revised) insofar as they relate to the material terms of our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i/>
          <w:sz w:val="20"/>
        </w:rPr>
        <w:t>Objects of Our Company</w:t>
      </w:r>
      <w:r>
        <w:rPr>
          <w:rFonts w:ascii="Times New Roman;Times;serif" w:hAnsi="Times New Roman;Times;serif"/>
          <w:sz w:val="20"/>
        </w:rPr>
        <w:t>. Under our tenth amended and restated memorandum and articles of association, the objects of our company are unrestricted and we have the full power and authority to carry out any object not prohibited by the laws of the Cayman Islands.</w:t>
      </w:r>
    </w:p>
    <w:p>
      <w:pPr>
        <w:pStyle w:val="TextBody"/>
        <w:bidi w:val="0"/>
        <w:spacing w:before="0" w:after="180"/>
        <w:ind w:left="0" w:right="0" w:firstLine="720"/>
        <w:jc w:val="both"/>
        <w:rPr>
          <w:rFonts w:ascii="Times New Roman;Times;serif" w:hAnsi="Times New Roman;Times;serif"/>
          <w:i/>
          <w:sz w:val="20"/>
        </w:rPr>
      </w:pPr>
      <w:r>
        <w:rPr>
          <w:rFonts w:ascii="Times New Roman;Times;serif" w:hAnsi="Times New Roman;Times;serif"/>
          <w:i/>
          <w:sz w:val="20"/>
        </w:rPr>
        <w:t>Ordinary Shares. Our ordinary shares are issued in registered form and are issued when registered in our register of members. Our shareholders who are non-residents of the Cayman Islands may freely hold and vote their shares.</w:t>
      </w:r>
    </w:p>
    <w:p>
      <w:pPr>
        <w:pStyle w:val="TextBody"/>
        <w:bidi w:val="0"/>
        <w:spacing w:before="0" w:after="180"/>
        <w:ind w:left="0" w:right="0" w:firstLine="720"/>
        <w:jc w:val="both"/>
        <w:rPr>
          <w:rFonts w:ascii="Times New Roman;Times;serif" w:hAnsi="Times New Roman;Times;serif"/>
          <w:i/>
          <w:sz w:val="20"/>
        </w:rPr>
      </w:pPr>
      <w:r>
        <w:rPr>
          <w:rFonts w:ascii="Times New Roman;Times;serif" w:hAnsi="Times New Roman;Times;serif"/>
          <w:i/>
          <w:sz w:val="20"/>
        </w:rPr>
        <w:t>Register of Members. Under Cayman Islands law, we must keep a register of members and there should be entered therein:</w:t>
      </w:r>
    </w:p>
    <w:tbl>
      <w:tblPr>
        <w:tblW w:w="3891" w:type="dxa"/>
        <w:jc w:val="left"/>
        <w:tblInd w:w="0" w:type="dxa"/>
        <w:tblLayout w:type="fixed"/>
        <w:tblCellMar>
          <w:top w:w="0" w:type="dxa"/>
          <w:left w:w="0" w:type="dxa"/>
          <w:bottom w:w="0" w:type="dxa"/>
          <w:right w:w="0" w:type="dxa"/>
        </w:tblCellMar>
      </w:tblPr>
      <w:tblGrid>
        <w:gridCol w:w="124"/>
        <w:gridCol w:w="31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(a)</w:t>
            </w:r>
          </w:p>
        </w:tc>
        <w:tc>
          <w:tcPr>
            <w:tcW w:w="345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the names and addresses of the members;</w:t>
            </w:r>
          </w:p>
        </w:tc>
      </w:tr>
    </w:tbl>
    <w:tbl>
      <w:tblPr>
        <w:tblW w:w="6351" w:type="dxa"/>
        <w:jc w:val="left"/>
        <w:tblInd w:w="0" w:type="dxa"/>
        <w:tblLayout w:type="fixed"/>
        <w:tblCellMar>
          <w:top w:w="0" w:type="dxa"/>
          <w:left w:w="0" w:type="dxa"/>
          <w:bottom w:w="0" w:type="dxa"/>
          <w:right w:w="0" w:type="dxa"/>
        </w:tblCellMar>
      </w:tblPr>
      <w:tblGrid>
        <w:gridCol w:w="124"/>
        <w:gridCol w:w="331"/>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(b)</w:t>
            </w:r>
          </w:p>
        </w:tc>
        <w:tc>
          <w:tcPr>
            <w:tcW w:w="589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a statement of the shares held by each member, and the statement shall:</w:t>
            </w:r>
          </w:p>
        </w:tc>
      </w:tr>
    </w:tbl>
    <w:tbl>
      <w:tblPr>
        <w:tblW w:w="7746" w:type="dxa"/>
        <w:jc w:val="left"/>
        <w:tblInd w:w="0" w:type="dxa"/>
        <w:tblLayout w:type="fixed"/>
        <w:tblCellMar>
          <w:top w:w="0" w:type="dxa"/>
          <w:left w:w="0" w:type="dxa"/>
          <w:bottom w:w="0" w:type="dxa"/>
          <w:right w:w="0" w:type="dxa"/>
        </w:tblCellMar>
      </w:tblPr>
      <w:tblGrid>
        <w:gridCol w:w="124"/>
        <w:gridCol w:w="211"/>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i.</w:t>
            </w:r>
          </w:p>
        </w:tc>
        <w:tc>
          <w:tcPr>
            <w:tcW w:w="741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confirm the amount paid or agreed to be considered as paid on the shares of each member;</w:t>
            </w:r>
          </w:p>
        </w:tc>
      </w:tr>
    </w:tbl>
    <w:tbl>
      <w:tblPr>
        <w:tblW w:w="5811" w:type="dxa"/>
        <w:jc w:val="left"/>
        <w:tblInd w:w="0" w:type="dxa"/>
        <w:tblLayout w:type="fixed"/>
        <w:tblCellMar>
          <w:top w:w="0" w:type="dxa"/>
          <w:left w:w="0" w:type="dxa"/>
          <w:bottom w:w="0" w:type="dxa"/>
          <w:right w:w="0" w:type="dxa"/>
        </w:tblCellMar>
      </w:tblPr>
      <w:tblGrid>
        <w:gridCol w:w="124"/>
        <w:gridCol w:w="271"/>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ii.</w:t>
            </w:r>
          </w:p>
        </w:tc>
        <w:tc>
          <w:tcPr>
            <w:tcW w:w="541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confirm the number and category of shares held by each member;</w:t>
            </w:r>
          </w:p>
        </w:tc>
      </w:tr>
    </w:tbl>
    <w:tbl>
      <w:tblPr>
        <w:tblW w:w="10205" w:type="dxa"/>
        <w:jc w:val="left"/>
        <w:tblInd w:w="0" w:type="dxa"/>
        <w:tblLayout w:type="fixed"/>
        <w:tblCellMar>
          <w:top w:w="0" w:type="dxa"/>
          <w:left w:w="0" w:type="dxa"/>
          <w:bottom w:w="0" w:type="dxa"/>
          <w:right w:w="0" w:type="dxa"/>
        </w:tblCellMar>
      </w:tblPr>
      <w:tblGrid>
        <w:gridCol w:w="124"/>
        <w:gridCol w:w="331"/>
        <w:gridCol w:w="9750"/>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iii.</w:t>
            </w:r>
          </w:p>
        </w:tc>
        <w:tc>
          <w:tcPr>
            <w:tcW w:w="9750"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confirm whether each relevant category of shares held by a member carries voting rights under our current memorandum and articles of association, and if so, whether such voting rights are conditional;</w:t>
            </w:r>
          </w:p>
        </w:tc>
      </w:tr>
    </w:tbl>
    <w:tbl>
      <w:tblPr>
        <w:tblW w:w="7581" w:type="dxa"/>
        <w:jc w:val="left"/>
        <w:tblInd w:w="0" w:type="dxa"/>
        <w:tblLayout w:type="fixed"/>
        <w:tblCellMar>
          <w:top w:w="0" w:type="dxa"/>
          <w:left w:w="0" w:type="dxa"/>
          <w:bottom w:w="0" w:type="dxa"/>
          <w:right w:w="0" w:type="dxa"/>
        </w:tblCellMar>
      </w:tblPr>
      <w:tblGrid>
        <w:gridCol w:w="124"/>
        <w:gridCol w:w="31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(c)</w:t>
            </w:r>
          </w:p>
        </w:tc>
        <w:tc>
          <w:tcPr>
            <w:tcW w:w="714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tbl>
      <w:tblPr>
        <w:tblW w:w="4881" w:type="dxa"/>
        <w:jc w:val="left"/>
        <w:tblInd w:w="0" w:type="dxa"/>
        <w:tblLayout w:type="fixed"/>
        <w:tblCellMar>
          <w:top w:w="0" w:type="dxa"/>
          <w:left w:w="0" w:type="dxa"/>
          <w:bottom w:w="0" w:type="dxa"/>
          <w:right w:w="0" w:type="dxa"/>
        </w:tblCellMar>
      </w:tblPr>
      <w:tblGrid>
        <w:gridCol w:w="124"/>
        <w:gridCol w:w="331"/>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(d)</w:t>
            </w:r>
          </w:p>
        </w:tc>
        <w:tc>
          <w:tcPr>
            <w:tcW w:w="442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Dividends. The holders of our ordinary shares are entitled to such dividends as may be declared by our board of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thirty (30) votes on all matters subject to vote at general meetings of the Company. Unless otherwise required under the laws of the Cayman Islands, Class A ordinary shares and Class B ordinary shares shall vote together as a single class.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tenth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5781" w:type="dxa"/>
        <w:jc w:val="left"/>
        <w:tblInd w:w="0" w:type="dxa"/>
        <w:tblLayout w:type="fixed"/>
        <w:tblCellMar>
          <w:top w:w="0" w:type="dxa"/>
          <w:left w:w="0" w:type="dxa"/>
          <w:bottom w:w="0" w:type="dxa"/>
          <w:right w:w="0"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4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tbl>
      <w:tblPr>
        <w:tblW w:w="5181" w:type="dxa"/>
        <w:jc w:val="left"/>
        <w:tblInd w:w="0" w:type="dxa"/>
        <w:tblLayout w:type="fixed"/>
        <w:tblCellMar>
          <w:top w:w="0" w:type="dxa"/>
          <w:left w:w="0" w:type="dxa"/>
          <w:bottom w:w="0" w:type="dxa"/>
          <w:right w:w="0"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480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 fee of such maximum sum as the Nasdaq may determine to be payable or such lesser sum as our directors may from time to time require is paid to us in respect thereof.</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Issuance of Additional Shares. Our tenth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tenth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tbl>
      <w:tblPr>
        <w:tblW w:w="2856" w:type="dxa"/>
        <w:jc w:val="left"/>
        <w:tblInd w:w="0" w:type="dxa"/>
        <w:tblLayout w:type="fixed"/>
        <w:tblCellMar>
          <w:top w:w="0" w:type="dxa"/>
          <w:left w:w="0" w:type="dxa"/>
          <w:bottom w:w="0" w:type="dxa"/>
          <w:right w:w="0"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24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designation of the series;</w:t>
            </w:r>
          </w:p>
        </w:tc>
      </w:tr>
    </w:tbl>
    <w:tbl>
      <w:tblPr>
        <w:tblW w:w="3261" w:type="dxa"/>
        <w:jc w:val="left"/>
        <w:tblInd w:w="0" w:type="dxa"/>
        <w:tblLayout w:type="fixed"/>
        <w:tblCellMar>
          <w:top w:w="0" w:type="dxa"/>
          <w:left w:w="0" w:type="dxa"/>
          <w:bottom w:w="0" w:type="dxa"/>
          <w:right w:w="0"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288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number of shares of the series;</w:t>
            </w:r>
          </w:p>
        </w:tc>
      </w:tr>
    </w:tbl>
    <w:tbl>
      <w:tblPr>
        <w:tblW w:w="6366" w:type="dxa"/>
        <w:jc w:val="left"/>
        <w:tblInd w:w="0" w:type="dxa"/>
        <w:tblLayout w:type="fixed"/>
        <w:tblCellMar>
          <w:top w:w="0" w:type="dxa"/>
          <w:left w:w="0" w:type="dxa"/>
          <w:bottom w:w="0" w:type="dxa"/>
          <w:right w:w="0"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98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tbl>
      <w:tblPr>
        <w:tblW w:w="5616" w:type="dxa"/>
        <w:jc w:val="left"/>
        <w:tblInd w:w="0" w:type="dxa"/>
        <w:tblLayout w:type="fixed"/>
        <w:tblCellMar>
          <w:top w:w="0" w:type="dxa"/>
          <w:left w:w="0" w:type="dxa"/>
          <w:bottom w:w="0" w:type="dxa"/>
          <w:right w:w="0"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23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board of directors may issue preferred shares without action by our shareholders to the extent authorized but unissued.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Issuance of these shares may dilute the voting power of holders of ordinary shares.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Anti-Takeover Provisions. Some provisions of our tenth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8046" w:type="dxa"/>
        <w:jc w:val="left"/>
        <w:tblInd w:w="0" w:type="dxa"/>
        <w:tblLayout w:type="fixed"/>
        <w:tblCellMar>
          <w:top w:w="0" w:type="dxa"/>
          <w:left w:w="0" w:type="dxa"/>
          <w:bottom w:w="0" w:type="dxa"/>
          <w:right w:w="0"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766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tenth amended and restated memorandum and articles of association for a proper purpose and for what they believe in good faith to be in the best interests of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General Meetings of Shareholders and Shareholder Proposals. Our shareholders’ general meetings may be held in such place within or outside the Cayman Islands as our board of directors considers appropriate.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an exempted Cayman Islands company, we are not obliged by law to call shareholders’ annual general meetings. Our tenth amended and restated memorandum and articles of association provide that we may, but shall not be obliged to, in each year hold a general meeting as our annual general meeting.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tbl>
      <w:tblPr>
        <w:tblW w:w="7776" w:type="dxa"/>
        <w:jc w:val="left"/>
        <w:tblInd w:w="0" w:type="dxa"/>
        <w:tblLayout w:type="fixed"/>
        <w:tblCellMar>
          <w:top w:w="0" w:type="dxa"/>
          <w:left w:w="0" w:type="dxa"/>
          <w:bottom w:w="0" w:type="dxa"/>
          <w:right w:w="0"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739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tbl>
      <w:tblPr>
        <w:tblW w:w="5451" w:type="dxa"/>
        <w:jc w:val="left"/>
        <w:tblInd w:w="0" w:type="dxa"/>
        <w:tblLayout w:type="fixed"/>
        <w:tblCellMar>
          <w:top w:w="0" w:type="dxa"/>
          <w:left w:w="0" w:type="dxa"/>
          <w:bottom w:w="0" w:type="dxa"/>
          <w:right w:w="0"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07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tbl>
      <w:tblPr>
        <w:tblW w:w="4536" w:type="dxa"/>
        <w:jc w:val="left"/>
        <w:tblInd w:w="0" w:type="dxa"/>
        <w:tblLayout w:type="fixed"/>
        <w:tblCellMar>
          <w:top w:w="0" w:type="dxa"/>
          <w:left w:w="0" w:type="dxa"/>
          <w:bottom w:w="0" w:type="dxa"/>
          <w:right w:w="0"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415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tbl>
      <w:tblPr>
        <w:tblW w:w="5796" w:type="dxa"/>
        <w:jc w:val="left"/>
        <w:tblInd w:w="0" w:type="dxa"/>
        <w:tblLayout w:type="fixed"/>
        <w:tblCellMar>
          <w:top w:w="0" w:type="dxa"/>
          <w:left w:w="0" w:type="dxa"/>
          <w:bottom w:w="0" w:type="dxa"/>
          <w:right w:w="0"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541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may issue negotiable or bearer shares or shares with no par value;</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usually given for 20 years in the first instance);</w:t>
            </w:r>
          </w:p>
        </w:tc>
      </w:tr>
    </w:tbl>
    <w:tbl>
      <w:tblPr>
        <w:tblW w:w="8841" w:type="dxa"/>
        <w:jc w:val="left"/>
        <w:tblInd w:w="0" w:type="dxa"/>
        <w:tblLayout w:type="fixed"/>
        <w:tblCellMar>
          <w:top w:w="0" w:type="dxa"/>
          <w:left w:w="0" w:type="dxa"/>
          <w:bottom w:w="0" w:type="dxa"/>
          <w:right w:w="0"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84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tbl>
      <w:tblPr>
        <w:tblW w:w="4431" w:type="dxa"/>
        <w:jc w:val="left"/>
        <w:tblInd w:w="0" w:type="dxa"/>
        <w:tblLayout w:type="fixed"/>
        <w:tblCellMar>
          <w:top w:w="0" w:type="dxa"/>
          <w:left w:w="0" w:type="dxa"/>
          <w:bottom w:w="0" w:type="dxa"/>
          <w:right w:w="0"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405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may register as a limited duration company; and</w:t>
            </w:r>
          </w:p>
        </w:tc>
      </w:tr>
    </w:tbl>
    <w:tbl>
      <w:tblPr>
        <w:tblW w:w="4386" w:type="dxa"/>
        <w:jc w:val="left"/>
        <w:tblInd w:w="0" w:type="dxa"/>
        <w:tblLayout w:type="fixed"/>
        <w:tblCellMar>
          <w:top w:w="0" w:type="dxa"/>
          <w:left w:w="0" w:type="dxa"/>
          <w:bottom w:w="0" w:type="dxa"/>
          <w:right w:w="0"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40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Material Contracts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and “Item 10. Additional Information—C. Material Contracts” or elsewhere in this annual report.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Exchange Controls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Overview—Regulation—Regulations on Foreign Exchange” and “—Regulations on Dividend Distribution.”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summary of the material Cayman Islands, Hong Kong, Singapore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Singapore and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Cayman Islands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Travers Thorp Alberga, our Cayman Islands counsel, has advised us that 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Hong Kong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H.M. Chan &amp; Co., our counsel as to Hong Kong law, has advised us that under the current laws of Hong Kong:</w:t>
      </w:r>
    </w:p>
    <w:tbl>
      <w:tblPr>
        <w:tblW w:w="7926" w:type="dxa"/>
        <w:jc w:val="left"/>
        <w:tblInd w:w="0" w:type="dxa"/>
        <w:tblLayout w:type="fixed"/>
        <w:tblCellMar>
          <w:top w:w="0" w:type="dxa"/>
          <w:left w:w="0" w:type="dxa"/>
          <w:bottom w:w="0" w:type="dxa"/>
          <w:right w:w="0"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75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No profit tax is imposed in Hong Kong in respect of capital gains from the sale of the ADSs.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Revenue gains from the sale of the ADSs by persons carrying on a trade, profession or business in Hong Kong where the gains are derived from or arise in Hong Kong from the trade, profession or business will be chargeable to Hong Kong profits tax, which is currently imposed at the rate of 16.5% on corporations and at a maximum rate of 15% on individuals and unincorporated businesses.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Gains arising from the sale of the ADSs, where the purchases and sales of such ordinary shares are effected outside of Hong Kong such as, for example, in the Cayman Islands, should not be subject to Hong Kong profits tax.</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According to the current tax practice of the Inland Revenue Department of Hong Kong, dividends paid on our ordinary shares would not be subject to any Hong Kong tax.</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 Hong Kong stamp duty is payable on the purchase and sale of the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Singapore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Harry Elias Partnership LLP, our counsel as to Singapore law, has advised us that there shall also be exempt from income tax any dividends paid on or after January 1, 2008 by any company resident in Singapore. Hence, the shareholders of a company resident in Singapore (“Singapore tax resident company”) are tax-exempt on their dividend income paid by such Singapore tax resident company. Being “resident in Singapore”, in relation to a company, means a company where the control and management of its business is exercised in Singapore. Goods and Services Tax (“GST”) is a broad-based consumption tax levied on the import of goods (collected by the Singapore Customs), as well as nearly all supplies of goods and services in Singapore. Issue, allotment or transfer of shares are exempt from GST. GST shall also not be chargeable on dividend payments on the basis that they should not be regarded as any supply of goods or services under the Goods and Services Tax Act 1993 of Singapore.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PRC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Jingtian &amp; Gongcheng, our counsel as to PRC law, has advised us that generally, the VIE, our PRC subsidiary, which are considered PRC resident enterprises under PRC tax law, are subject to enterprise income tax on their worldwide taxable income as determined under PRC tax laws and accounting standards at a rate of 25%.</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Dividends paid by our wholly foreign-owned subsidiary in Chinese Mainland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our holding company in the Cayman Islands or any of our subsidiaries outside of Chinese Mainland were deemed to be a “resident enterprise” under the PRC Enterprise Income Tax Law, it would be subject to enterprise income tax on its worldwide income at a rate of 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United States Federal Income Tax Considerations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following is a summary of material U.S. federal income tax considerations that are likely to be relevant to the purchase, ownership and disposition of our ordinary shares or ADSs by a U.S. Holder (as defined below).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engaged in a trade or business in Hong Kong or Singapore,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general, if you are a U.S. Holder of ADSs, you will be treated, for U.S. federal income tax purposes, as the beneficial owner of the underlying ordinary shares that are represented by those ADSs.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Special U.S. tax rules apply to companies that are considered to be PFICs. We will be classified as a PFIC in a particular taxable year if either</w:t>
      </w:r>
    </w:p>
    <w:tbl>
      <w:tblPr>
        <w:tblW w:w="7026" w:type="dxa"/>
        <w:jc w:val="left"/>
        <w:tblInd w:w="0" w:type="dxa"/>
        <w:tblLayout w:type="fixed"/>
        <w:tblCellMar>
          <w:top w:w="0" w:type="dxa"/>
          <w:left w:w="0" w:type="dxa"/>
          <w:bottom w:w="0" w:type="dxa"/>
          <w:right w:w="0"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66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75 percent or more of our gross income for the taxable year is passive income; or</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average percentage of the value of our assets that produce or are held for the production of passive income is at least 50 percent.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this purpose, cash generally is treated as a passive asset. Goodwill is treated as an active asset under the PFIC rules to the extent attributable to activities that produce active income.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entity as being owned by us for U.S. federal income tax purposes because we control its management decisions and are entitled to substantially all of the economic benefits associated with the entity.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the market price of our ADSs and/or ordinary shares may cause us to be a PFIC for the current or subsequent taxable years. In addition, the composition of our income and assets will also be affected by how, and how quickly, we use our liquid assets. If we determine not to deploy significant amounts of cash for active purposes, or if it were determined that we do not own the stock of the consolidated variable interest entity for U.S. federal income tax purposes, our risk of being a PFIC may substantially increase.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the event that we are classified as a PFIC in any year and a U.S. Holder does not make a mark-to-market election, as described below, the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of our ordinary shares or ADSs.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Additionally, dividends paid by us will not be eligible for the special reduced rate of taxes described above under “—Taxation of Dividends.” If we are classified as a PFIC for any taxable year in which a U.S. Holder owns our ordinary shares or ADSs, we will generally continue to be treated as a PFIC with respect to the U.S. Holder for all succeeding years during which the U.S. Holder owns our ordinary shares or ADSs, even if we cease to meet the threshold requirements for PFIC status (unless the U.S. Holder makes a special “purging” election on IRS Form 8621 with respect to our ordinary shares or ADSs once we are no longer a PFIC). Classification as a PFIC may also have other adverse tax consequences, including, in the case of individuals, the denial of a step-up in the basis of his or her ordinary shares or ADSs at death. U.S. Holders are urged to consult their own tax advisors about the application of the PFIC rules to us.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ordinary shares or ADSs and we have any direct, and in certain circumstances, indirect subsidiaries that are PFICs (each a “Subsidiary PFIC”), the U.S. Holder will be treated as owning its pro rata share of the stock of each Subsidiary PFIC for purposes of the application of these rules, and the U.S. Holder generally would be subject to similar rules with respect to distributions to us by, and dispositions by us of the stock of, any Subsidiary PFIC.</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If we are a PFIC for any taxable year, in lieu of being subject to the general rules discussed above, a U.S. Holder may elect to mark its ordinary shares or ADSs to market, provided that the ordinary shares or ADSs are considered “marketable.” The ordinary shares or ADSs will be marketable if they are regularly traded on certain U.S. stock exchanges, including the Nasdaq Global Market, or on a non-U.S. stock exchange if (i) the exchange is regulated or supervised by a governmental authority in the country in which the exchange is located; (ii) the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w:t>
      </w:r>
      <w:r>
        <w:rPr>
          <w:rFonts w:ascii="Times New Roman;Times;serif" w:hAnsi="Times New Roman;Times;serif"/>
          <w:i/>
          <w:sz w:val="20"/>
        </w:rPr>
        <w:t>de minimis</w:t>
      </w:r>
      <w:r>
        <w:rPr>
          <w:rFonts w:ascii="Times New Roman;Times;serif" w:hAnsi="Times New Roman;Times;serif"/>
          <w:sz w:val="20"/>
        </w:rPr>
        <w:t xml:space="preserve"> quantities, on at least 15 days during each calendar quarter. It should be noted that only the ADSs, and not the ordinary shares, are listed on the Nasdaq Global Market, and the ordinary shares themselves are not listed on any stock exchange. Consequently, a mark-to-market election is not expected to be available for a U.S. Holder that holds ordinary shares that are not represented by ADSs.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If the U.S. Holder makes this mark-to-market election with respect to its ADSs, the holder will be required in any year in which we are a PFIC to include as ordinary income the excess of the fair market value of the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of the holder’s ADSs will be taxed as ordinary income in the year of sale, and any loss will be treated as an ordinary loss to the extent of the U.S. Holder’s net mark-to-market gains from previous years. Once made, the election cannot be revoked without the consent of the IRS unless the ADSs cease to be marketable.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U.S. Holder will not, however, be able to make a mark-to-market election with respect to the stock of any Subsidiary PFIC. Therefore, the U.S. Holder would continue to be subject to the excess distribution rules with respect to any of our subsidiaries that are PFICs, any distributions received by us from a subsidiary that is a PFIC and any gain recognized by us upon a sale of equity interests in a subsidiary that is a PFIC, even if the U.S. Holder has made a mark-to-market election with respect to our ADSs. The interaction of the mark-to-market rules and the rules governing lower-tier PFICs is complex and uncertain.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We do not intend, however, to prepare or provide the information that would enable U.S. Holders to make QEF elections.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U.S. Holders should consult their own tax advisors regarding the U.S. federal income tax considerations discussed above and the availability and desirability of making a mark-to-market election.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Taxation of Dividends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Subject to the discussion above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do not expect to maintain calculations of our earnings and profits in accordance with U.S. federal income tax principles.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Therefore, U.S. Holders should expect that distributions generally will be treated as dividends for U.S. federal income tax purposes.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00"/>
              <w:jc w:val="both"/>
              <w:rPr/>
            </w:pPr>
            <w:r>
              <w:rPr/>
              <w:t>●</w:t>
            </w:r>
          </w:p>
        </w:tc>
        <w:tc>
          <w:tcPr>
            <w:tcW w:w="9825"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we were not, in the year prior to the year in which the dividend was paid, and are not, in the year in which the dividend is paid, a PFIC.</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ADSs are listed on the Nasdaq Global Market, and will qualify as readily tradable on an established securities market in the United States so long as they are so listed.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Taxation of Dispositions of ADSs or Ordinary Shares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ADSs or ordinary shares have been held for more than one year. Long-term capital gain realized by a U.S. Holder that is an individual generally is subject to taxation at a preferential rate. The deductibility of capital losses is subject to limitations.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Deposits and withdrawals of ordinary shares by U.S. Holders in exchange for ADSs will not result in the realization of gain or loss for U.S. federal income tax purposes.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Foreign Financial Asset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Backup Withholding and Information Reporting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holder that is a foreign corporation or a non-resident alien individual may be required to comply with certification and identification procedures in order to establish its exemption from information reporting and backup withholding.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Dividends and Paying Agents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Statement by Experts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Documents on Display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www.sec.gov. As a foreign private issuer, we are exempt from the rules under the Exchange Act prescribing the furnishing and content of quarterly reports and proxy statements. On December 18, 2025, the Holding Foreign Insiders Accountable Act (HFIAA) was enacted as part of the National Defense Authorization Act for Fiscal Year 2026, mandating directors and officers of foreign private issuers to make insider reports under Section 16(a) of the Exchange Act, effective March 18, 2026. Our principal shareholders continue to remain exempt from the reporting under Section 16(a) of the Exchange Act and our directors, officers and principal shareholders continue to remain exempt from the short-swing profit recovery provisions contained in Section 16(b) of the Exchange Act.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will furnish JPMorgan, the depositary of our ADSs, with our annual reports, which will include a review of operations and annual audited consolidated financial statements prepared in conformity with IFRS,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Subsidiary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a list of our subsidiaries, see “Item 4. Information on the Company—C. Organizational Structure.”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Annual Report to Security Holders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sz w:val="20"/>
        </w:rPr>
      </w:pPr>
      <w:bookmarkStart w:id="67" w:name="ITEM11QUANTITATIVEANDQUALITATIVEDISCLOSU"/>
      <w:bookmarkStart w:id="68" w:name="_89b29895_f578_498b_94f6_71bea38637c3"/>
      <w:bookmarkEnd w:id="67"/>
      <w:bookmarkEnd w:id="68"/>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activities expose us to a variety of financial risks from our operation. The key financial risks include credit risk, liquidity risk and market risk (including foreign currency risk, digital asset price risk, risks associated with the storage and protection of digital assets and investment risk related to trading of digital assets).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currency risk arises from cash flows from transactions denominated in foreign currencies. We have transactional currency exposures arising from sales or purchases that are denominated in a currency other than the functional currency, primarily SGD and RMB. If the U.S. dollar appreciates or depreciates against the SGD by 5%, our profit or loss would be higher or lower by approximately US$18,000 in the year ended December 31, 2025. If the U.S. dollar appreciates or depreciates against the RMB by 5%, our profit or loss would be higher or lower by approximately US$146,000 in the year ended December 31, 2025. We do not have any formal policy for hedging against currency risk. The value of the SGD against the U.S. dollar, RMB against the U.S. dollar and other currencies may fluctuate and is affected by, among other things, changes in economic conditions in Singapore, China and U.S. and by their foreign exchange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SGD or RMB for our operations, appreciation of SGD or RMB against the U.S. dollar would reduce the SGD or RMB amount we receive from the conversion. Conversely, if we decide to convert SGD or RMB into U.S. dollars for the purpose of making payments for dividends on our ordinary shares or ADSs, servicing our outstanding debts, or for other business purposes, appreciation of the U.S. dollar against the SGD or RMB would reduce the U.S. dollar amounts available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of our operating activities are transacted in Hong Kong dollars. We consider the foreign exchange risk in relation to transactions denominated in Hong Kong dollars with respect to U.S. dollars is not significant as HK dollar is pegged to U.S. dollar.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Assets Price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Crypto asset risk is the risk that future profit and financial position will fluctuate because of changes in the price of crypto assets. Digital assets that we deal with in our trading activities are digital assets such as BTC and ETH which can be traded in a number of public exchanges.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price risk arise from digital assets and digital assets payables which are both measured on a fair value basis. In particular, our operating result may depend upon the market price of BTC and ETH, as well as other digital assets. If the price of BTC and ETH rise by 30%, our profit would increase by approximately US$623,000 and US$353,000 in the year ended December 31, 2025, respectively. Digital asset prices have fluctuated significantly from time to time. There is no assurance that digital asset prices will reflect historical trends.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price risk of digital assets arising from trading of digital assets business is partially offset by remeasurement of digital assets payables representing the obligations to deliver digital assets held by us in the customers’ accounts to the customers under the respective trading arrangements with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Associated with Storage and Protection of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primarily store our digital assets with cryptocurrency custodians to facilitate customers deposits and withdrawals. Due to the lack of an insurance policy for our digital assets, any disruptions or closures of cryptocurrency custodians, as well as potential cyber-attacks or thefts, could result in substantial losses for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Investment Risk Related to Trading of Digital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follow a fully hedged strategy for structured products. Each user-facing structured product is quoted by a related party and a spread is added before it is quoted to clients. Therefore, there is no exposure to structured products.</w:t>
      </w:r>
    </w:p>
    <w:p>
      <w:pPr>
        <w:pStyle w:val="TextBody"/>
        <w:bidi w:val="0"/>
        <w:spacing w:before="0" w:after="240"/>
        <w:ind w:left="0" w:right="0" w:hanging="0"/>
        <w:jc w:val="left"/>
        <w:rPr>
          <w:rFonts w:ascii="Times New Roman;Times;serif" w:hAnsi="Times New Roman;Times;serif"/>
          <w:sz w:val="20"/>
        </w:rPr>
      </w:pPr>
      <w:bookmarkStart w:id="69" w:name="ITEM12DESCRIPTIONOFSECURITIESOTHERTHANEQ"/>
      <w:bookmarkStart w:id="70" w:name="_b0f0bfd9_ff99_4e0f_b249_f6f676bf4b9e"/>
      <w:bookmarkEnd w:id="69"/>
      <w:bookmarkEnd w:id="70"/>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Debt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Warrants and Rights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Other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fee of up to US$0.05 per ADS for any cash distribution made, or for any elective cash/stock dividend offered, pursuant to the deposit agreement;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fee of up to US$0.05 per ADR held for the direct or indirect distribution of securities or the net cash proceeds from the public or private sale of any such securities;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amount for the reimbursement of such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tc>
      </w:tr>
    </w:tbl>
    <w:tbl>
      <w:tblPr>
        <w:tblW w:w="5451" w:type="dxa"/>
        <w:jc w:val="left"/>
        <w:tblInd w:w="0" w:type="dxa"/>
        <w:tblLayout w:type="fixed"/>
        <w:tblCellMar>
          <w:top w:w="0" w:type="dxa"/>
          <w:left w:w="0" w:type="dxa"/>
          <w:bottom w:w="0" w:type="dxa"/>
          <w:right w:w="0"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0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stock transfer or other taxes and other governmental charges;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transaction fee per cancellation request and any applicable delivery expenses (which are payable by such persons or holders);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transfer or registration fees for the registration of transfer of deposited securities on any applicable register in connection with the deposit or withdrawal of deposited securities;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 connection with the conversion of foreign currency into U.S. dollars, JPMorgan shall deduct out of such foreign currency the fees, expenses and other charges charged by it and/or its agent (which may be a division, branch or affiliate) so appointed in connection with such conversion. JPMorgan and/or its agent may act as principal for such conversion of foreign currency.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1" w:name="PARTII_422372"/>
      <w:bookmarkStart w:id="72" w:name="_b902ee7a_c221_4646_b18e_ffc6a232b2b5"/>
      <w:bookmarkEnd w:id="71"/>
      <w:bookmarkEnd w:id="72"/>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sz w:val="20"/>
        </w:rPr>
      </w:pPr>
      <w:bookmarkStart w:id="73" w:name="ITEM13DEFAULTSDIVIDENDARREARAGESANDDELIN"/>
      <w:bookmarkEnd w:id="73"/>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74" w:name="ITEM14MATERIALMODIFICATIONSTOTHERIGHTSOF"/>
      <w:bookmarkStart w:id="75" w:name="_492811cb_a41e_4232_b284_f12bec9522b8"/>
      <w:bookmarkEnd w:id="74"/>
      <w:bookmarkEnd w:id="75"/>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 Material Modifications to the Rights of Security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10. Additional Information—B. Memorandum and Articles of Association—Ordinary Shares” for a description of the rights of securities holders, which remain unchanged.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rFonts w:ascii="Times New Roman;Times;serif" w:hAnsi="Times New Roman;Times;serif"/>
          <w:sz w:val="20"/>
        </w:rPr>
      </w:pPr>
      <w:bookmarkStart w:id="76" w:name="ITEM15CONTROLSANDPROCEDURES_956790"/>
      <w:bookmarkStart w:id="77" w:name="_275cdeb1_948b_4a79_84ee_90b976a26879"/>
      <w:bookmarkEnd w:id="76"/>
      <w:bookmarkEnd w:id="77"/>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2025.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IFRS.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management conducted an assessment of the effectiveness of our internal control over financial reporting as of December 31, 2025.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2025, our internal control over financial reporting was not effective. We acknowledged three material weaknesses in our internal control over financial reporting. These three material weaknesses identified relate to (1) the Company did not maintain an effective information and communication component of internal control over financial reporting, as defined by the COSO framework. Specifically, management did not adequately identify, assess, and document the sources of information to ensure the reliability of such information used in financial reporting. As a result of this material weakness, the design and operation of process-level controls and financial reporting controls were ineffective across the Company’s business process cycles, (2) the Company did not implement or operate controls in the Digital Assets Services and Solutions segment consistently or on a timely manner. Deficiencies included executing control activities, performing appropriate reviews, and maintaining adequate documentation to evidence control performance, and (3) the Company did not design and maintain sufficient documentation to support management review controls across the Company’s business process cycles, which limited management’s ability to evidence the precision of such reviews and the basis for conclusions reached. These findings could result in adjustments to our financial statements not identified in a timely and complete manner, causing material misstatements in the Company's financial reporting.</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Management is committed to improving the Company’s internal control over financial reporting. To remediate any applicable material weaknesses, management will continue to implement the following actions: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external resources to investigate and enhance business process control documentation, and to assist with management’s self-assessment and testing of internal controls, as necessary.</w:t>
            </w:r>
          </w:p>
        </w:tc>
      </w:tr>
    </w:tbl>
    <w:tbl>
      <w:tblPr>
        <w:tblW w:w="9036" w:type="dxa"/>
        <w:jc w:val="left"/>
        <w:tblInd w:w="0" w:type="dxa"/>
        <w:tblLayout w:type="fixed"/>
        <w:tblCellMar>
          <w:top w:w="28" w:type="dxa"/>
          <w:left w:w="28" w:type="dxa"/>
          <w:bottom w:w="28" w:type="dxa"/>
          <w:right w:w="28" w:type="dxa"/>
        </w:tblCellMar>
      </w:tblPr>
      <w:tblGrid>
        <w:gridCol w:w="124"/>
        <w:gridCol w:w="256"/>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control activities specifically designed to verify the reliability of information, where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structured control testing program to continuously monitor the design and operating effectiveness of key controls.</w:t>
            </w:r>
          </w:p>
        </w:tc>
      </w:tr>
    </w:tbl>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 management review controls by documenting and evaluating the performance of each review activity.</w:t>
            </w:r>
          </w:p>
        </w:tc>
      </w:tr>
    </w:tbl>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Company is dedicated to remediating any material weaknesses. Once management has designed and implemented appropriate controls, and those controls have operated for a sufficient period of time, management will conduct testing to determine their effectiveness. Management will continue to monitor the remediation plan and make adjustments it deems appropriate.</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While we intend to complete the remediation process as quickly as practicable, we are unable at this time to estimate its duration, and there can be no assurance that our initiatives will ultimately be successful in remediating the identified and applicable material weaknesses. Until the investigation and remediation efforts are complete, the applicable material weaknesses may continue to exist. Furthermore, we cannot assure that additional material weaknesses will not be identified in the future, including during audits conducted under Section 404 of the Sarbanes-Oxley Act or for other reasons.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Independent Registered Public Accounting Firm</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Adverse Opinion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Amber International Holding Limited’s (the Company’s) internal control over financial reporting as of December 31, 2025,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(COSO). In our opinion, because of the effect of the material weakness described in the following paragraph on the achievement of the objectives of the control criteria, the Company has not maintained effective internal control over financial reporting as of December 31, 2025,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material weakness is a control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an effective information and communication component of internal control over financial reporting, as defined by the COSO framework. Specifically, management did not adequately identify, assess, and document the sources of information to ensure the reliability of such information used in financial reporting. As a result of this material weakness, the design and operation of process-level controls and financial reporting controls were ineffective across the Company’s business process cycles.</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implement or operate controls in the Digital Assets Services and Solutions segment consistently or on a timely manner. Deficiencies included executing control activities, performing appropriate reviews, and maintaining adequate documentation to evidence control performance.</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sufficient documentation to support management review controls across the Company’s business process cycles, which limited management’s ability to evidence the precision of such reviews and the basis for conclusions reached.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material weaknesses were considered in determining the nature, timing, and extent of audit tests applied in our audit of the 2025 consolidated financial statements, and this report does not affect our report dated May 13, 2026, on those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consolidated financial statements of the Company, and our report dated May 13, 2026, expressed an unqualified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tbl>
      <w:tblPr>
        <w:tblW w:w="2192" w:type="dxa"/>
        <w:jc w:val="left"/>
        <w:tblInd w:w="0" w:type="dxa"/>
        <w:tblLayout w:type="fixed"/>
        <w:tblCellMar>
          <w:top w:w="0" w:type="dxa"/>
          <w:left w:w="0" w:type="dxa"/>
          <w:bottom w:w="0" w:type="dxa"/>
          <w:right w:w="0" w:type="dxa"/>
        </w:tblCellMar>
      </w:tblPr>
      <w:tblGrid>
        <w:gridCol w:w="1906"/>
        <w:gridCol w:w="23"/>
        <w:gridCol w:w="109"/>
        <w:gridCol w:w="154"/>
      </w:tblGrid>
      <w:tr>
        <w:trPr/>
        <w:tc>
          <w:tcPr>
            <w:tcW w:w="1929"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WWC, P.C.</w:t>
            </w:r>
          </w:p>
        </w:tc>
        <w:tc>
          <w:tcPr>
            <w:tcW w:w="286" w:type="dxa"/>
            <w:gridSpan w:val="3"/>
            <w:tcBorders/>
            <w:vAlign w:val="center"/>
          </w:tcPr>
          <w:p>
            <w:pPr>
              <w:pStyle w:val="TableContents"/>
              <w:bidi w:val="0"/>
              <w:spacing w:before="0" w:after="0"/>
              <w:ind w:left="0" w:right="0" w:hanging="0"/>
              <w:jc w:val="left"/>
              <w:rPr/>
            </w:pPr>
            <w:r>
              <w:rPr/>
              <w:t>​</w:t>
            </w:r>
          </w:p>
        </w:tc>
      </w:tr>
      <w:tr>
        <w:trPr/>
        <w:tc>
          <w:tcPr>
            <w:tcW w:w="190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86" w:type="dxa"/>
            <w:gridSpan w:val="3"/>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286" w:type="dxa"/>
            <w:gridSpan w:val="3"/>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286" w:type="dxa"/>
            <w:gridSpan w:val="3"/>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286" w:type="dxa"/>
            <w:gridSpan w:val="3"/>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286"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not been any changes in our internal control over financial reporting in the year ended December 31, 2025, which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8" w:name="ITEM16Reserved_860031"/>
      <w:bookmarkStart w:id="79" w:name="_7ee2cc82_89ca_43b3_9411_827a2a2490dc"/>
      <w:bookmarkEnd w:id="78"/>
      <w:bookmarkEnd w:id="79"/>
      <w:r>
        <w:rPr>
          <w:rFonts w:ascii="Times New Roman;Times;serif" w:hAnsi="Times New Roman;Times;serif"/>
          <w:b/>
          <w:i w:val="false"/>
          <w:caps w:val="false"/>
          <w:smallCaps w:val="false"/>
          <w:sz w:val="20"/>
        </w:rPr>
        <w:t>ITEM 16.</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bookmarkStart w:id="80" w:name="ITEM16AAUDITCOMMITTEEFINANCIALEXPERT_449"/>
      <w:bookmarkStart w:id="81" w:name="_e29c0bcf_fa32_413d_88d9_30ca3e911bf3"/>
      <w:bookmarkEnd w:id="80"/>
      <w:bookmarkEnd w:id="81"/>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Wing Wai Winson Ip and Lub Bun Chong are our audit committee financial experts. Each of them satisfies the independent requirements of the Rule 5605(c)(2) of the Listing Rules of the Nasdaq Stock Market and meet the independence standards under Rule 10A-3 under the Exchange Act.</w:t>
      </w:r>
    </w:p>
    <w:p>
      <w:pPr>
        <w:pStyle w:val="TextBody"/>
        <w:bidi w:val="0"/>
        <w:spacing w:before="0" w:after="240"/>
        <w:ind w:left="0" w:right="0" w:hanging="0"/>
        <w:jc w:val="left"/>
        <w:rPr>
          <w:rFonts w:ascii="Times New Roman;Times;serif" w:hAnsi="Times New Roman;Times;serif"/>
          <w:sz w:val="20"/>
        </w:rPr>
      </w:pPr>
      <w:bookmarkStart w:id="82" w:name="ITEM16BCODEOFETHICS_249461"/>
      <w:bookmarkStart w:id="83" w:name="_e2851d7b_7f36_4cd1_8cda_320b84b6553b"/>
      <w:bookmarkEnd w:id="82"/>
      <w:bookmarkEnd w:id="83"/>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adopted a code of business conduct and ethics that applies to our directors, officers and employees. We have filed our currently effective code of business conduct and ethics as an exhibit to our annual report on Form 20-F, and posted a copy of our code of business conduct and ethics on our investor relations website at https://ir.ambr.io.</w:t>
      </w:r>
    </w:p>
    <w:p>
      <w:pPr>
        <w:pStyle w:val="TextBody"/>
        <w:bidi w:val="0"/>
        <w:spacing w:before="0" w:after="240"/>
        <w:ind w:left="0" w:right="0" w:hanging="0"/>
        <w:jc w:val="left"/>
        <w:rPr>
          <w:rFonts w:ascii="Times New Roman;Times;serif" w:hAnsi="Times New Roman;Times;serif"/>
          <w:sz w:val="20"/>
        </w:rPr>
      </w:pPr>
      <w:bookmarkStart w:id="84" w:name="ITEM16CPRINCIPALACCOUNTANTFEESANDSERVICE"/>
      <w:bookmarkStart w:id="85" w:name="_d1d99807_5825_45d9_900b_ebb23c514d79"/>
      <w:bookmarkEnd w:id="84"/>
      <w:bookmarkEnd w:id="85"/>
      <w:r>
        <w:rPr>
          <w:rFonts w:ascii="Times New Roman;Times;serif" w:hAnsi="Times New Roman;Times;serif"/>
          <w:b/>
          <w:i w:val="false"/>
          <w:caps w:val="false"/>
          <w:smallCaps w:val="false"/>
          <w:sz w:val="20"/>
        </w:rPr>
        <w:t>ITEM 16C.</w:t>
      </w:r>
      <w:r>
        <w:rPr>
          <w:rFonts w:ascii="Times New Roman;Times;serif" w:hAnsi="Times New Roman;Times;serif"/>
          <w:b/>
          <w:sz w:val="20"/>
        </w:rPr>
        <w:t xml:space="preserve">PRINCIPAL ACCOUNTANT FEES AND SERVICES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WWC, our independent registered public accounting firm, for the periods indicated. We did not pay any other fees to our independent registered public accounting firm during the periods indicated below.</w:t>
      </w:r>
    </w:p>
    <w:tbl>
      <w:tblPr>
        <w:tblW w:w="3616" w:type="dxa"/>
        <w:jc w:val="left"/>
        <w:tblInd w:w="0" w:type="dxa"/>
        <w:tblLayout w:type="fixed"/>
        <w:tblCellMar>
          <w:top w:w="0" w:type="dxa"/>
          <w:left w:w="0" w:type="dxa"/>
          <w:bottom w:w="0" w:type="dxa"/>
          <w:right w:w="0" w:type="dxa"/>
        </w:tblCellMar>
      </w:tblPr>
      <w:tblGrid>
        <w:gridCol w:w="1756"/>
        <w:gridCol w:w="346"/>
        <w:gridCol w:w="494"/>
        <w:gridCol w:w="367"/>
        <w:gridCol w:w="653"/>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15060" cy="175260"/>
                      <wp:effectExtent l="0" t="0" r="0" b="0"/>
                      <wp:wrapNone/>
                      <wp:docPr id="116" name="Frame114"/>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17"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13690" cy="175260"/>
                      <wp:effectExtent l="0" t="0" r="0" b="0"/>
                      <wp:wrapNone/>
                      <wp:docPr id="118" name="Frame116"/>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33045" cy="175260"/>
                      <wp:effectExtent l="0" t="0" r="0" b="0"/>
                      <wp:wrapNone/>
                      <wp:docPr id="119" name="Frame11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14655" cy="175260"/>
                      <wp:effectExtent l="0" t="0" r="0" b="0"/>
                      <wp:wrapNone/>
                      <wp:docPr id="120" name="Frame118"/>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7" w:type="dxa"/>
            <w:tcBorders/>
            <w:vAlign w:val="center"/>
          </w:tcPr>
          <w:p>
            <w:pPr>
              <w:pStyle w:val="TableContents"/>
              <w:bidi w:val="0"/>
              <w:spacing w:before="0" w:after="0"/>
              <w:ind w:left="0" w:right="0" w:hanging="0"/>
              <w:jc w:val="left"/>
              <w:rPr/>
            </w:pPr>
            <w:r>
              <w:rPr/>
              <w:t>  ​ ​ ​</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16"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1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thousands)</w:t>
            </w:r>
          </w:p>
        </w:tc>
      </w:tr>
      <w:tr>
        <w:trPr/>
        <w:tc>
          <w:tcPr>
            <w:tcW w:w="17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4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67"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r>
      <w:tr>
        <w:trPr/>
        <w:tc>
          <w:tcPr>
            <w:tcW w:w="17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 </w:t>
            </w:r>
          </w:p>
        </w:tc>
        <w:tc>
          <w:tcPr>
            <w:tcW w:w="653" w:type="dxa"/>
            <w:tcBorders/>
            <w:vAlign w:val="center"/>
          </w:tcPr>
          <w:p>
            <w:pPr>
              <w:pStyle w:val="TableContents"/>
              <w:bidi w:val="0"/>
              <w:spacing w:before="0" w:after="0"/>
              <w:ind w:left="0" w:right="0" w:hanging="0"/>
              <w:jc w:val="right"/>
              <w:rPr/>
            </w:pPr>
            <w:r>
              <w:rPr/>
              <w:t>—</w:t>
            </w:r>
          </w:p>
        </w:tc>
      </w:tr>
      <w:tr>
        <w:trPr/>
        <w:tc>
          <w:tcPr>
            <w:tcW w:w="17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Audit related fees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4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7" w:type="dxa"/>
            <w:tcBorders/>
            <w:shd w:fill="CCEEFF" w:val="clear"/>
            <w:vAlign w:val="center"/>
          </w:tcPr>
          <w:p>
            <w:pPr>
              <w:pStyle w:val="TableContents"/>
              <w:bidi w:val="0"/>
              <w:spacing w:before="0" w:after="0"/>
              <w:ind w:left="0" w:right="0" w:hanging="0"/>
              <w:jc w:val="left"/>
              <w:rPr/>
            </w:pPr>
            <w:r>
              <w:rPr/>
              <w:t> </w:t>
            </w:r>
          </w:p>
        </w:tc>
        <w:tc>
          <w:tcPr>
            <w:tcW w:w="653" w:type="dxa"/>
            <w:tcBorders/>
            <w:shd w:fill="CCEEFF" w:val="clear"/>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for professional services rendered by our principal auditors for the audit of our annual financial statements, internal control over financial reporting and the review of our comparative interim financial statements.</w:t>
            </w:r>
          </w:p>
        </w:tc>
      </w:tr>
    </w:tbl>
    <w:tbl>
      <w:tblPr>
        <w:tblW w:w="6302" w:type="dxa"/>
        <w:jc w:val="left"/>
        <w:tblInd w:w="0" w:type="dxa"/>
        <w:tblLayout w:type="fixed"/>
        <w:tblCellMar>
          <w:top w:w="0" w:type="dxa"/>
          <w:left w:w="0" w:type="dxa"/>
          <w:bottom w:w="0" w:type="dxa"/>
          <w:right w:w="0" w:type="dxa"/>
        </w:tblCellMar>
      </w:tblPr>
      <w:tblGrid>
        <w:gridCol w:w="346"/>
        <w:gridCol w:w="5956"/>
      </w:tblGrid>
      <w:tr>
        <w:trPr/>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5956" w:type="dxa"/>
            <w:tcBorders/>
            <w:vAlign w:val="center"/>
          </w:tcPr>
          <w:p>
            <w:pPr>
              <w:pStyle w:val="TableContents"/>
              <w:bidi w:val="0"/>
              <w:spacing w:before="0" w:after="240"/>
              <w:jc w:val="both"/>
              <w:rPr/>
            </w:pPr>
            <w:r>
              <w:rPr/>
              <w:t>“</w:t>
            </w:r>
            <w:r>
              <w:rPr>
                <w:rFonts w:ascii="Times New Roman;Times;serif" w:hAnsi="Times New Roman;Times;serif"/>
                <w:sz w:val="20"/>
              </w:rPr>
              <w:t>Tax fees” include fees billed for tax compliance and tax consultations.</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40"/>
              <w:jc w:val="both"/>
              <w:rPr/>
            </w:pPr>
            <w:r>
              <w:rPr/>
              <w:t>“</w:t>
            </w:r>
            <w:r>
              <w:rPr>
                <w:rFonts w:ascii="Times New Roman;Times;serif" w:hAnsi="Times New Roman;Times;serif"/>
                <w:sz w:val="20"/>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other service provided by WWC as described above,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bidi w:val="0"/>
        <w:spacing w:before="0" w:after="240"/>
        <w:ind w:left="0" w:right="0" w:hanging="0"/>
        <w:jc w:val="left"/>
        <w:rPr>
          <w:rFonts w:ascii="Times New Roman;Times;serif" w:hAnsi="Times New Roman;Times;serif"/>
          <w:sz w:val="20"/>
        </w:rPr>
      </w:pPr>
      <w:bookmarkStart w:id="86" w:name="ITEM16DEXEMPTIONSFROMTHELISTINGSTANDARDS"/>
      <w:bookmarkStart w:id="87" w:name="_2ce41f54_2117_4793_a8b2_3523cfd47cc3"/>
      <w:bookmarkEnd w:id="86"/>
      <w:bookmarkEnd w:id="87"/>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8" w:name="ITEM16EPURCHASESOFEQUITYSECURITIESBYTHEI"/>
      <w:bookmarkStart w:id="89" w:name="_92f53776_a1b0_43de_9394_651951b97b67"/>
      <w:bookmarkEnd w:id="88"/>
      <w:bookmarkEnd w:id="89"/>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2025, we announced a share repurchase program authorized by our board of directors, under which we may repurchase up to US$50 million of our ADSs, each representing five Class A ordinary shares during a period of up to 12 months starting from December 1, 2025. Repurchases under our share repurchase program may be made from time to time through open market transactions at prevailing market prices, in privately negotiated transactions, in block trades and/or through other legally permissible means, depending on the market conditions and in accordance with the applicable rules and regulations. Our board of directors will review the share repurchase program periodically, and may authorize adjustments to its terms and size. The timing and number of the share repurchases will be subject to various factors including, but not limited to share price, trading volume and general market conditions, along with our working capital requirements and general business conditions. We plan to fund the repurchases from a combination of our cash balance and cash generated from our operations, and do not expect the repurchase program to adversely affect its existing business strategies.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information about our purchases of outstanding ADSs in 2025:</w:t>
      </w:r>
    </w:p>
    <w:tbl>
      <w:tblPr>
        <w:tblW w:w="9354" w:type="dxa"/>
        <w:jc w:val="left"/>
        <w:tblInd w:w="0" w:type="dxa"/>
        <w:tblLayout w:type="fixed"/>
        <w:tblCellMar>
          <w:top w:w="0" w:type="dxa"/>
          <w:left w:w="0" w:type="dxa"/>
          <w:bottom w:w="0" w:type="dxa"/>
          <w:right w:w="0" w:type="dxa"/>
        </w:tblCellMar>
      </w:tblPr>
      <w:tblGrid>
        <w:gridCol w:w="1426"/>
        <w:gridCol w:w="346"/>
        <w:gridCol w:w="1576"/>
        <w:gridCol w:w="346"/>
        <w:gridCol w:w="1771"/>
        <w:gridCol w:w="346"/>
        <w:gridCol w:w="1486"/>
        <w:gridCol w:w="346"/>
        <w:gridCol w:w="171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905510" cy="175260"/>
                      <wp:effectExtent l="0" t="0" r="0" b="0"/>
                      <wp:wrapNone/>
                      <wp:docPr id="121" name="Frame11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22"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000760" cy="175260"/>
                      <wp:effectExtent l="0" t="0" r="0" b="0"/>
                      <wp:wrapNone/>
                      <wp:docPr id="123" name="Frame121"/>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24"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124585" cy="175260"/>
                      <wp:effectExtent l="0" t="0" r="0" b="0"/>
                      <wp:wrapNone/>
                      <wp:docPr id="125" name="Frame12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6"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43610" cy="175260"/>
                      <wp:effectExtent l="0" t="0" r="0" b="0"/>
                      <wp:wrapNone/>
                      <wp:docPr id="127" name="Frame12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28"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086485" cy="175260"/>
                      <wp:effectExtent l="0" t="0" r="0" b="0"/>
                      <wp:wrapNone/>
                      <wp:docPr id="129" name="Frame127"/>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7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771"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48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left"/>
              <w:rPr/>
            </w:pPr>
            <w:r>
              <w:rPr/>
              <w:t>  ​ ​ ​</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 Approximately</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 Total Number</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 Value of ADSs</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ADSs Purchased</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 Total Number of</w:t>
            </w:r>
          </w:p>
        </w:tc>
        <w:tc>
          <w:tcPr>
            <w:tcW w:w="3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 Average Price Paid</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 or Programs</w: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ADSs Purchased</w:t>
            </w:r>
          </w:p>
        </w:tc>
        <w:tc>
          <w:tcPr>
            <w:tcW w:w="346" w:type="dxa"/>
            <w:tcBorders/>
            <w:vAlign w:val="center"/>
          </w:tcPr>
          <w:p>
            <w:pPr>
              <w:pStyle w:val="TableContents"/>
              <w:bidi w:val="0"/>
              <w:spacing w:before="0" w:after="0"/>
              <w:ind w:left="0" w:right="0" w:hanging="0"/>
              <w:jc w:val="left"/>
              <w:rPr/>
            </w:pPr>
            <w:r>
              <w:rPr/>
              <w:t>​</w:t>
            </w:r>
          </w:p>
        </w:tc>
        <w:tc>
          <w:tcPr>
            <w:tcW w:w="17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 ADS (US$)</w:t>
            </w:r>
            <w:r>
              <w:rPr>
                <w:rFonts w:ascii="Times New Roman;Times;serif" w:hAnsi="Times New Roman;Times;serif"/>
                <w:b/>
                <w:sz w:val="12"/>
              </w:rPr>
              <w:t>(1)</w:t>
            </w:r>
          </w:p>
        </w:tc>
        <w:tc>
          <w:tcPr>
            <w:tcW w:w="34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346" w:type="dxa"/>
            <w:tcBorders/>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US$million)</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2025</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2025</w:t>
            </w:r>
          </w:p>
        </w:tc>
        <w:tc>
          <w:tcPr>
            <w:tcW w:w="346" w:type="dxa"/>
            <w:tcBorders/>
            <w:vAlign w:val="center"/>
          </w:tcPr>
          <w:p>
            <w:pPr>
              <w:pStyle w:val="TableContents"/>
              <w:bidi w:val="0"/>
              <w:spacing w:before="0" w:after="0"/>
              <w:ind w:left="0" w:right="0" w:hanging="0"/>
              <w:jc w:val="left"/>
              <w:rPr/>
            </w:pPr>
            <w:r>
              <w:rPr/>
              <w:t> </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516,703</w:t>
            </w:r>
          </w:p>
        </w:tc>
        <w:tc>
          <w:tcPr>
            <w:tcW w:w="346" w:type="dxa"/>
            <w:tcBorders/>
            <w:vAlign w:val="center"/>
          </w:tcPr>
          <w:p>
            <w:pPr>
              <w:pStyle w:val="TableContents"/>
              <w:bidi w:val="0"/>
              <w:spacing w:before="0" w:after="0"/>
              <w:ind w:left="0" w:right="0" w:hanging="0"/>
              <w:jc w:val="left"/>
              <w:rPr/>
            </w:pPr>
            <w:r>
              <w:rPr/>
              <w:t> </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516,703</w:t>
            </w:r>
          </w:p>
        </w:tc>
        <w:tc>
          <w:tcPr>
            <w:tcW w:w="34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516,703</w:t>
            </w:r>
          </w:p>
        </w:tc>
        <w:tc>
          <w:tcPr>
            <w:tcW w:w="346" w:type="dxa"/>
            <w:tcBorders/>
            <w:shd w:fill="CCEEFF" w:val="clear"/>
            <w:vAlign w:val="center"/>
          </w:tcPr>
          <w:p>
            <w:pPr>
              <w:pStyle w:val="TableContents"/>
              <w:bidi w:val="0"/>
              <w:spacing w:before="0" w:after="0"/>
              <w:ind w:left="0" w:right="0" w:hanging="0"/>
              <w:jc w:val="left"/>
              <w:rPr/>
            </w:pPr>
            <w:r>
              <w:rPr/>
              <w:t> </w:t>
            </w:r>
          </w:p>
        </w:tc>
        <w:tc>
          <w:tcPr>
            <w:tcW w:w="1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516,703</w:t>
            </w:r>
          </w:p>
        </w:tc>
        <w:tc>
          <w:tcPr>
            <w:tcW w:w="346" w:type="dxa"/>
            <w:tcBorders/>
            <w:shd w:fill="CCEEFF" w:val="clear"/>
            <w:vAlign w:val="center"/>
          </w:tcPr>
          <w:p>
            <w:pPr>
              <w:pStyle w:val="TableContents"/>
              <w:bidi w:val="0"/>
              <w:spacing w:before="0" w:after="0"/>
              <w:ind w:left="0" w:right="0" w:hanging="0"/>
              <w:jc w:val="left"/>
              <w:rPr/>
            </w:pPr>
            <w:r>
              <w:rPr/>
              <w:t> </w:t>
            </w:r>
          </w:p>
        </w:tc>
        <w:tc>
          <w:tcPr>
            <w:tcW w:w="171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49.13</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ADS represent five Class A ordinary shares. The average price per ADS is calculated using the execution price for each repurchase excluding commissions paid to brokers.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90" w:name="ITEM16F_63808"/>
      <w:bookmarkStart w:id="91" w:name="_db4189d2_cc8d_479a_876f_e2104a6f23df"/>
      <w:bookmarkEnd w:id="90"/>
      <w:bookmarkEnd w:id="91"/>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disclosure called for by paragraph (a) of this Item 16F was previously reported, as that term is defined in Rule 12b-2 under the Exchange Act, in our annual report on Form 20-F for the fiscal year ended December 31, 2024 filed with the SEC on April 29,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2" w:name="ITEM16GCORPORATEGOVERNANCE_683248"/>
      <w:bookmarkStart w:id="93" w:name="_2a715693_a55e_4bf0_9578_2768f6edf70b"/>
      <w:bookmarkEnd w:id="92"/>
      <w:bookmarkEnd w:id="93"/>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have relied on and intend to continue to rely on some of the exemptions provided by the Nasdaq Stock Market Rules to a foreign private issuer, including exemptions from the requirements to have: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shareholder approval for certain events, including the establishment or amendment of certain equity based compensation plans and arrangements and certain transactions involving issuances of a 20% or more interest in our company;</w:t>
            </w:r>
          </w:p>
        </w:tc>
      </w:tr>
    </w:tbl>
    <w:tbl>
      <w:tblPr>
        <w:tblW w:w="5346" w:type="dxa"/>
        <w:jc w:val="left"/>
        <w:tblInd w:w="0" w:type="dxa"/>
        <w:tblLayout w:type="fixed"/>
        <w:tblCellMar>
          <w:top w:w="0" w:type="dxa"/>
          <w:left w:w="0" w:type="dxa"/>
          <w:bottom w:w="0" w:type="dxa"/>
          <w:right w:w="0"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49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majority of independent directors on our board of directors;</w:t>
            </w:r>
          </w:p>
        </w:tc>
      </w:tr>
    </w:tbl>
    <w:tbl>
      <w:tblPr>
        <w:tblW w:w="4011" w:type="dxa"/>
        <w:jc w:val="left"/>
        <w:tblInd w:w="0" w:type="dxa"/>
        <w:tblLayout w:type="fixed"/>
        <w:tblCellMar>
          <w:top w:w="0" w:type="dxa"/>
          <w:left w:w="0" w:type="dxa"/>
          <w:bottom w:w="0" w:type="dxa"/>
          <w:right w:w="0"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 annual general meeting of shareholders;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only independent directors being involved in the selection of director nominees and determination of executive officer compensation; and</w:t>
            </w:r>
          </w:p>
        </w:tc>
      </w:tr>
    </w:tbl>
    <w:tbl>
      <w:tblPr>
        <w:tblW w:w="5751" w:type="dxa"/>
        <w:jc w:val="left"/>
        <w:tblInd w:w="0" w:type="dxa"/>
        <w:tblLayout w:type="fixed"/>
        <w:tblCellMar>
          <w:top w:w="0" w:type="dxa"/>
          <w:left w:w="0" w:type="dxa"/>
          <w:bottom w:w="0" w:type="dxa"/>
          <w:right w:w="0"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53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regularly scheduled executive sessions of independent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Information—D. Risk Factors—Risks Related to Our American Depositary Shares—We are a foreign private issuer within the meaning of the rules under the Exchange Act, and as such we are exempt from certain provisions applicable to U.S. domestic public companies.”</w:t>
      </w:r>
    </w:p>
    <w:p>
      <w:pPr>
        <w:pStyle w:val="TextBody"/>
        <w:bidi w:val="0"/>
        <w:spacing w:before="0" w:after="240"/>
        <w:ind w:left="0" w:right="0" w:hanging="0"/>
        <w:jc w:val="left"/>
        <w:rPr>
          <w:rFonts w:ascii="Times New Roman;Times;serif" w:hAnsi="Times New Roman;Times;serif"/>
          <w:sz w:val="20"/>
        </w:rPr>
      </w:pPr>
      <w:bookmarkStart w:id="94" w:name="ITEM16HMINESAFETYDISCLOSURE_498329"/>
      <w:bookmarkStart w:id="95" w:name="_3219f09b_abdd_4bc8_8b37_720f05fd9158"/>
      <w:bookmarkEnd w:id="94"/>
      <w:bookmarkEnd w:id="95"/>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96" w:name="ITEM16IDISCLOSUREREGARDINGFOREIGNJURISDI"/>
      <w:bookmarkStart w:id="97" w:name="_14e45cf7_e3cd_4430_bcf1_86eacc3cab8c"/>
      <w:bookmarkEnd w:id="96"/>
      <w:bookmarkEnd w:id="97"/>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98" w:name="ITEM16JINSIDERTRADINGPOLICIES_132056"/>
      <w:bookmarkStart w:id="99" w:name="_1a0d4b25_69e5_49a3_b28e_a7d70aa3616a"/>
      <w:bookmarkEnd w:id="98"/>
      <w:bookmarkEnd w:id="99"/>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an insider trading policy (the “Insider Trading Policy”), which governs the purchase, sale and other dispositions of our securities by our directors, executive officers and employees. Insider Trading Policy aims to promote compliance with applicable insider trading laws, rules and regulations, and the Nasdaq listing standards. A copy of our Insider Trading Policy is filed as Exhibit 11.2 to this Annual Report.</w:t>
      </w:r>
    </w:p>
    <w:p>
      <w:pPr>
        <w:pStyle w:val="TextBody"/>
        <w:bidi w:val="0"/>
        <w:spacing w:before="0" w:after="240"/>
        <w:ind w:left="0" w:right="0" w:hanging="0"/>
        <w:jc w:val="left"/>
        <w:rPr>
          <w:rFonts w:ascii="Times New Roman;Times;serif" w:hAnsi="Times New Roman;Times;serif"/>
          <w:sz w:val="20"/>
        </w:rPr>
      </w:pPr>
      <w:bookmarkStart w:id="100" w:name="ITEM16KCYBERSECURITY_908849"/>
      <w:bookmarkStart w:id="101" w:name="_d1cd4870_b3c9_49b5_9778_c5e196a4a787"/>
      <w:bookmarkEnd w:id="100"/>
      <w:bookmarkEnd w:id="101"/>
      <w:r>
        <w:rPr>
          <w:rFonts w:ascii="Times New Roman;Times;serif" w:hAnsi="Times New Roman;Times;serif"/>
          <w:b/>
          <w:i w:val="false"/>
          <w:caps w:val="false"/>
          <w:smallCaps w:val="false"/>
          <w:sz w:val="20"/>
        </w:rPr>
        <w:t>ITEM 16K.</w:t>
      </w:r>
      <w:r>
        <w:rPr>
          <w:rFonts w:ascii="Times New Roman;Times;serif" w:hAnsi="Times New Roman;Times;serif"/>
          <w:b/>
          <w:sz w:val="20"/>
        </w:rPr>
        <w:t>CYBERSECURITY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implemented processes for assessing, identifying and managing material risks from cybersecurity threats. These processes mainly include:</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conducting risk assessments to identify material cybersecurity risks to our critical systems, information, products and services, as well as broader enterprise IT environment;</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developing risk-based action plans to manage identified vulnerabilities and implementing new protocols and infrastructure improvements;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61" w:type="dxa"/>
        <w:jc w:val="left"/>
        <w:tblInd w:w="0" w:type="dxa"/>
        <w:tblLayout w:type="fixed"/>
        <w:tblCellMar>
          <w:top w:w="0" w:type="dxa"/>
          <w:left w:w="0" w:type="dxa"/>
          <w:bottom w:w="0" w:type="dxa"/>
          <w:right w:w="0"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378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investigating cybersecurity incidents, if any;</w:t>
            </w:r>
          </w:p>
        </w:tc>
      </w:tr>
    </w:tbl>
    <w:tbl>
      <w:tblPr>
        <w:tblW w:w="7821" w:type="dxa"/>
        <w:jc w:val="left"/>
        <w:tblInd w:w="0" w:type="dxa"/>
        <w:tblLayout w:type="fixed"/>
        <w:tblCellMar>
          <w:top w:w="0" w:type="dxa"/>
          <w:left w:w="0" w:type="dxa"/>
          <w:bottom w:w="0" w:type="dxa"/>
          <w:right w:w="0"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74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monitoring cybersecurity threats to sensitive data and unauthorized access to our systems;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implementing secure access control measures to our critical IT systems, equipment, and devices to prevent unauthorized access; and</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the severity of the cybersecurity risk and the potential impact of such risk on our business operations, developing and executing protocols to promptly report material cybersecurity incidents to our board of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integrated cybersecurity risk management into our overall enterprise risk management system. In addition, our policies require regular cybersecurity, information security, and threat awareness training for relevant personnel.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assessment, identification, and management of cybersecurity risks are conducted internally, without reliance on outsourced personnel, and are supported by the use of mature, reputable, and industry-recognized security tools. In 2025, we did not have any cybersecurity incidents that have materially affected or are reasonably likely to materially affect our business, results of operations, or financial condition. However, despite our efforts, we cannot eliminate all risks from cybersecurity threats, or provide assurances that we have not experienced an undetected cybersecurity incident. For more information about these risks, please see “Item 3.D. Key Information—Risk Factors—Risks Related to Our Business and Industry.”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oversees our cybersecurity risk profile and exposures. Specifically, our board of directors (i) maintains oversight of the disclosure related to cybersecurity matters in our current reports or periodic reports (including annual reports on Form 20-F); (ii) reviews and approves material cybersecurity policies, and (iii) reviews updates to the status of any material cybersecurity incidents or material risks from cybersecurity threats, and the disclosure issues, if any, presented by our IT department.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delegates its authorities and powers in managing risks associated with cybersecurity threats to our IT department.</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IT department consists of seven members, who have relevant experience in information security, compliance and risk management. Our IT department is responsible for the daily security operation and maintenance of our information systems and monitoring and coordinating our cybersecurity risk management processes, including preparing internal policies and remediation plans with respect to cybersecurity risk assessment and management, and promptly reporting material cybersecurity risk or incidents to our board of directors.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0"/>
              <w:jc w:val="both"/>
              <w:rPr/>
            </w:pPr>
            <w:r>
              <w:rPr/>
              <w:t>●</w:t>
            </w:r>
          </w:p>
        </w:tc>
        <w:tc>
          <w:tcPr>
            <w:tcW w:w="98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addition, our IT department is responsible for implementing our cybersecurity risk management plans, regularly monitoring the prevention, detection, mitigation, and remediation of cybersecurity incidents, and reporting information about our cybersecurity risk and assessments results to a senior member of the IT department. This senior member has approximately eight years of experience in cybersecurity management.</w:t>
            </w:r>
          </w:p>
        </w:tc>
      </w:tr>
    </w:tbl>
    <w:p>
      <w:pPr>
        <w:pStyle w:val="TextBody"/>
        <w:pBdr/>
        <w:bidi w:val="0"/>
        <w:spacing w:before="0" w:after="240"/>
        <w:ind w:left="72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 w:name="PARTIII_998881"/>
      <w:bookmarkStart w:id="103" w:name="_14480561_a9e5_4c7e_9d06_fc8eb312d466"/>
      <w:bookmarkEnd w:id="102"/>
      <w:bookmarkEnd w:id="103"/>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sz w:val="20"/>
        </w:rPr>
      </w:pPr>
      <w:bookmarkStart w:id="104" w:name="ITEM17FINANCIALSTATEMENTS_643046"/>
      <w:bookmarkEnd w:id="104"/>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 Financial Statements.”.</w:t>
      </w:r>
    </w:p>
    <w:p>
      <w:pPr>
        <w:pStyle w:val="TextBody"/>
        <w:bidi w:val="0"/>
        <w:spacing w:before="0" w:after="240"/>
        <w:ind w:left="0" w:right="0" w:hanging="0"/>
        <w:jc w:val="left"/>
        <w:rPr>
          <w:rFonts w:ascii="Times New Roman;Times;serif" w:hAnsi="Times New Roman;Times;serif"/>
          <w:sz w:val="20"/>
        </w:rPr>
      </w:pPr>
      <w:bookmarkStart w:id="105" w:name="ITEM18FINANCIALSTATEMENTS_815150"/>
      <w:bookmarkStart w:id="106" w:name="_d09037cb_557f_421a_859d_f3eba98a8f83"/>
      <w:bookmarkEnd w:id="105"/>
      <w:bookmarkEnd w:id="106"/>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pages beginning on page F-1 in this annual report.</w:t>
      </w:r>
    </w:p>
    <w:p>
      <w:pPr>
        <w:pStyle w:val="TextBody"/>
        <w:bidi w:val="0"/>
        <w:spacing w:before="0" w:after="240"/>
        <w:ind w:left="0" w:right="0" w:hanging="0"/>
        <w:jc w:val="left"/>
        <w:rPr>
          <w:rFonts w:ascii="Times New Roman;Times;serif" w:hAnsi="Times New Roman;Times;serif"/>
          <w:sz w:val="20"/>
        </w:rPr>
      </w:pPr>
      <w:bookmarkStart w:id="107" w:name="ITEM19EXHIBITSCompanytoaddanynewmaterial"/>
      <w:bookmarkStart w:id="108" w:name="_c5c886d5_076c_4754_a3cd_15cfc1a889be"/>
      <w:bookmarkEnd w:id="107"/>
      <w:bookmarkEnd w:id="108"/>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766"/>
        <w:gridCol w:w="346"/>
        <w:gridCol w:w="9093"/>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86410" cy="29210"/>
                      <wp:effectExtent l="0" t="0" r="0" b="0"/>
                      <wp:wrapNone/>
                      <wp:docPr id="130" name="Frame128"/>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774055" cy="29210"/>
                      <wp:effectExtent l="0" t="0" r="0" b="0"/>
                      <wp:wrapNone/>
                      <wp:docPr id="131" name="Frame129"/>
                      <a:graphic xmlns:a="http://schemas.openxmlformats.org/drawingml/2006/main">
                        <a:graphicData uri="http://schemas.microsoft.com/office/word/2010/wordprocessingShape">
                          <wps:wsp>
                            <wps:cNvSpPr txBox="1"/>
                            <wps:spPr>
                              <a:xfrm>
                                <a:off x="0" y="0"/>
                                <a:ext cx="57740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Exhibit </w:t>
              <w:br/>
              <w:t>Number</w:t>
            </w:r>
          </w:p>
        </w:tc>
        <w:tc>
          <w:tcPr>
            <w:tcW w:w="346" w:type="dxa"/>
            <w:tcBorders/>
            <w:vAlign w:val="center"/>
          </w:tcPr>
          <w:p>
            <w:pPr>
              <w:pStyle w:val="TableContents"/>
              <w:bidi w:val="0"/>
              <w:spacing w:before="0" w:after="0"/>
              <w:ind w:left="0" w:right="0" w:hanging="0"/>
              <w:jc w:val="center"/>
              <w:rPr/>
            </w:pPr>
            <w:r>
              <w:rPr/>
              <w:t>  ​ ​ ​</w:t>
            </w:r>
          </w:p>
        </w:tc>
        <w:tc>
          <w:tcPr>
            <w:tcW w:w="90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 of Document</w:t>
            </w:r>
          </w:p>
        </w:tc>
      </w:tr>
      <w:tr>
        <w:trPr/>
        <w:tc>
          <w:tcPr>
            <w:tcW w:w="7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9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Tenth Amended and Restated Memorandum and Articles of Association, as currently in effect (incorporated by reference to Exhibit 1.1 to the annual report on Form 20-F for the year ended December 31, 2024 (file No. 001-38313) filed with the Securities and Exchange Commission on April 29,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Registrant’s Specimen American Depositary Receipt (included in Exhibit 2.4)</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Registrant’s Specimen Certificate for Class A Ordinary Shares (incorporated by reference to Exhibit 2.2 to the annual report on Form 20-F for the year ended December 31, 2024 (file No. 001-38313) filed with the Securities and Exchange Commission on April 29,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2.3</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Description of the Rights of Ordinary Shares and ADSs (incorporated by reference to Exhibit 2.3 to the annual report on Form 20-F for the year ended December 31, 2024 (file No. 001-38313) filed with the Securities and Exchange Commission on April 29,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Amended and Restated Deposit Agreement among the Registrant, the depositary and holders and beneficial owners of American Depositary Receipts (incorporated by reference to Exhibit (a) to the Form F-6 Registration Statement (file No. 333-288354) filed with the Securities and Exchange Commission on June 26,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2.5</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F-6 Registration Statement under the Securities Act of 1933 for Depositary Shares Evidenced by American Depositary Receipts (file No. 333-288354) filed with the Securities and Exchange Commission on June 26,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4.7</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Indemnification Agreement with Executive Officers and Directors (incorporated by reference to Exhibit 4.7 to the annual report on Form 20-F for the year ended December 31, 2024 (file No. 001-38313) filed with the Securities and Exchange Commission on April 29,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4.8</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Employment Agreement and One Way Non-disclosure Agreement with Executive Officers (incorporated by reference to Exhibit 10.10 of our Registration Statement on Form F-1 (file No. 333-221034) filed with the Securities and Exchange Commission on October 20, 2017)</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4.9</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2025 Post-IPO Share Incentive Plan of Amber International Holding Limited, as amended and restated on May 16, 2025 (incorporated by reference to Exhibit 10.1 of our Registration Statement on Form S-8 (file No. 333-288385) filed with the Securities and Exchange Commission on June 27,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4.11</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Agreement and Plan of Merger, dated as of November 29, 2024, by and among the Registrant, Overlord Merger Sub Ltd., and Amber DWM Holding Limited (incorporated by reference to Exhibit 99.2 to Form 6-K (file No. 001-38313) filed with the Securities and Exchange Commission on November 29, 2024)</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4.12</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Amendment, Waiver and Framework Agreement, dated as of March 12, 2025, by and among iClick Interactive Asia Group Limited, Amber DWM Holding Limited, Overlord Merger Sub Ltd., Amber Global Limited and WhaleFin Technologies Limited (incorporated by reference to Exhibit 99.2 to Form 6-K (file No. 001-38313) filed with the Securities and Exchange Commission on March 12,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4.14</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Intercompany Services Agreement, dated as of November 25, 2025, by and among Amber Match Limited, AG Global Technology Limited Inc., and WhaleFin Technologies Limited (incorporated by reference to Exhibit 99.1 to Form 6-K (file No. 001-38313) filed with the Securities and Exchange Commission on November 26, 2025)</w:t>
              </w:r>
            </w:hyperlink>
          </w:p>
        </w:tc>
      </w:tr>
      <w:tr>
        <w:trPr/>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both"/>
              <w:rPr/>
            </w:pPr>
            <w:r>
              <w:rPr/>
              <w:t>​</w:t>
            </w:r>
          </w:p>
        </w:tc>
        <w:tc>
          <w:tcPr>
            <w:tcW w:w="9093"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43"/>
        <w:gridCol w:w="109"/>
        <w:gridCol w:w="9453"/>
      </w:tblGrid>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8.1*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8d1.htm">
              <w:r>
                <w:rPr>
                  <w:rStyle w:val="InternetLink"/>
                  <w:rFonts w:ascii="Times New Roman;Times;serif" w:hAnsi="Times New Roman;Times;serif"/>
                  <w:b w:val="false"/>
                  <w:i w:val="false"/>
                  <w:caps w:val="false"/>
                  <w:smallCaps w:val="false"/>
                  <w:sz w:val="20"/>
                </w:rPr>
                <w:t>Subsidiaries of the Registrant</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11.1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Code of Business Conduct and Ethics of the Registrant (incorporated by reference to Exhibit 11.1 to the annual report on Form 20-F for the year ended December 31, 2024 (file No. 001-38313) filed with the Securities and Exchange Commission on April 29, 2025)</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11.2*</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1d2.htm">
              <w:r>
                <w:rPr>
                  <w:rStyle w:val="InternetLink"/>
                  <w:rFonts w:ascii="Times New Roman;Times;serif" w:hAnsi="Times New Roman;Times;serif"/>
                  <w:b w:val="false"/>
                  <w:i w:val="false"/>
                  <w:caps w:val="false"/>
                  <w:smallCaps w:val="false"/>
                  <w:sz w:val="20"/>
                </w:rPr>
                <w:t>Statement of Policies Governing Material Non-public Information, Trading in Company Securities by Insiders and the Prevention of Insider Trading</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12.1*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12.2*</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13.2**</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15.1*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5d1.htm">
              <w:r>
                <w:rPr>
                  <w:rStyle w:val="InternetLink"/>
                  <w:rFonts w:ascii="Times New Roman;Times;serif" w:hAnsi="Times New Roman;Times;serif"/>
                  <w:b w:val="false"/>
                  <w:i w:val="false"/>
                  <w:caps w:val="false"/>
                  <w:smallCaps w:val="false"/>
                  <w:sz w:val="20"/>
                </w:rPr>
                <w:t>Consent of Travers Thorp Alberga</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15.2*</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5d2.htm">
              <w:r>
                <w:rPr>
                  <w:rStyle w:val="InternetLink"/>
                  <w:rFonts w:ascii="Times New Roman;Times;serif" w:hAnsi="Times New Roman;Times;serif"/>
                  <w:b w:val="false"/>
                  <w:i w:val="false"/>
                  <w:caps w:val="false"/>
                  <w:smallCaps w:val="false"/>
                  <w:sz w:val="20"/>
                </w:rPr>
                <w:t>Consent of Jingtian &amp; Gongcheng</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15.3*</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5d3.htm">
              <w:r>
                <w:rPr>
                  <w:rStyle w:val="InternetLink"/>
                  <w:rFonts w:ascii="Times New Roman;Times;serif" w:hAnsi="Times New Roman;Times;serif"/>
                  <w:b w:val="false"/>
                  <w:i w:val="false"/>
                  <w:caps w:val="false"/>
                  <w:smallCaps w:val="false"/>
                  <w:sz w:val="20"/>
                </w:rPr>
                <w:t>Consent of Harry Elias Partnership LLP</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15.4*</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5d4.htm">
              <w:r>
                <w:rPr>
                  <w:rStyle w:val="InternetLink"/>
                  <w:rFonts w:ascii="Times New Roman;Times;serif" w:hAnsi="Times New Roman;Times;serif"/>
                  <w:b w:val="false"/>
                  <w:i w:val="false"/>
                  <w:caps w:val="false"/>
                  <w:smallCaps w:val="false"/>
                  <w:sz w:val="20"/>
                </w:rPr>
                <w:t>Consent of H.M. Chan &amp; Co.</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15.5*</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15d5.htm">
              <w:r>
                <w:rPr>
                  <w:rStyle w:val="InternetLink"/>
                  <w:rFonts w:ascii="Times New Roman;Times;serif" w:hAnsi="Times New Roman;Times;serif"/>
                  <w:b w:val="false"/>
                  <w:i w:val="false"/>
                  <w:caps w:val="false"/>
                  <w:smallCaps w:val="false"/>
                  <w:sz w:val="20"/>
                </w:rPr>
                <w:t>Consent of WWC, P.C.</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97.1*</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hyperlink w:anchor="ambr-20251231xex97d1.htm">
              <w:r>
                <w:rPr>
                  <w:rStyle w:val="InternetLink"/>
                  <w:rFonts w:ascii="Times New Roman;Times;serif" w:hAnsi="Times New Roman;Times;serif"/>
                  <w:b w:val="false"/>
                  <w:i w:val="false"/>
                  <w:caps w:val="false"/>
                  <w:smallCaps w:val="false"/>
                  <w:sz w:val="20"/>
                </w:rPr>
                <w:t>Policy for the Recovery of Erroneously Awarded Compensation of the Registrant</w:t>
              </w:r>
            </w:hyperlink>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Instance Document—this instance document does not appear in the Interactive Data File because its XBRL tags are not embedded within the Inline XBRL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6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pPr>
            <w:r>
              <w:rPr/>
              <w:t>​</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0"/>
              <w:ind w:left="0" w:right="0" w:hanging="0"/>
              <w:jc w:val="both"/>
              <w:rPr/>
            </w:pPr>
            <w:r>
              <w:rPr/>
              <w:t>​</w:t>
            </w:r>
          </w:p>
        </w:tc>
        <w:tc>
          <w:tcPr>
            <w:tcW w:w="94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Cover Page Interactive Data File (embedded within the Inline XBRL document)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with this annual report on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with this annual report on Form 20-F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 w:name="SIGNATURES_905137"/>
      <w:bookmarkStart w:id="110" w:name="_95cc768e_ac17_4776_8362_7b5632c9a091"/>
      <w:bookmarkEnd w:id="109"/>
      <w:bookmarkEnd w:id="110"/>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this Form 20-F on its behalf.</w:t>
      </w:r>
    </w:p>
    <w:tbl>
      <w:tblPr>
        <w:tblW w:w="8014" w:type="dxa"/>
        <w:jc w:val="left"/>
        <w:tblInd w:w="0" w:type="dxa"/>
        <w:tblLayout w:type="fixed"/>
        <w:tblCellMar>
          <w:top w:w="0" w:type="dxa"/>
          <w:left w:w="0" w:type="dxa"/>
          <w:bottom w:w="0" w:type="dxa"/>
          <w:right w:w="0" w:type="dxa"/>
        </w:tblCellMar>
      </w:tblPr>
      <w:tblGrid>
        <w:gridCol w:w="1741"/>
        <w:gridCol w:w="346"/>
        <w:gridCol w:w="631"/>
        <w:gridCol w:w="529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105535" cy="175260"/>
                      <wp:effectExtent l="0" t="0" r="0" b="0"/>
                      <wp:wrapNone/>
                      <wp:docPr id="132" name="Frame13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3"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00685" cy="175260"/>
                      <wp:effectExtent l="0" t="0" r="0" b="0"/>
                      <wp:wrapNone/>
                      <wp:docPr id="134" name="Frame1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362960" cy="175260"/>
                      <wp:effectExtent l="0" t="0" r="0" b="0"/>
                      <wp:wrapNone/>
                      <wp:docPr id="135" name="Frame133"/>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92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2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Wu</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2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Wu</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and Chief Executive Officer</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52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11" w:name="_c157cdad_e94d_40fc_90ae_dc08ef7c6b56"/>
      <w:bookmarkEnd w:id="111"/>
      <w:r>
        <w:rPr>
          <w:rFonts w:ascii="Times New Roman;Times;serif" w:hAnsi="Times New Roman;Times;serif"/>
          <w:b/>
          <w:sz w:val="20"/>
        </w:rPr>
        <w:t>AMBER INTERNATIONAL HOLDING LIMITED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183"/>
        <w:gridCol w:w="1022"/>
      </w:tblGrid>
      <w:tr>
        <w:trPr/>
        <w:tc>
          <w:tcPr>
            <w:tcW w:w="9183" w:type="dxa"/>
            <w:tcBorders/>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183" w:type="dxa"/>
            <w:tcBorders/>
            <w:shd w:fill="CCEEFF" w:val="clear"/>
            <w:vAlign w:val="center"/>
          </w:tcPr>
          <w:p>
            <w:pPr>
              <w:pStyle w:val="TableContents"/>
              <w:pBdr/>
              <w:bidi w:val="0"/>
              <w:spacing w:before="0" w:after="0"/>
              <w:ind w:left="0" w:right="0" w:hanging="0"/>
              <w:jc w:val="both"/>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102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F-2 </w:t>
            </w:r>
          </w:p>
        </w:tc>
      </w:tr>
      <w:tr>
        <w:trPr/>
        <w:tc>
          <w:tcPr>
            <w:tcW w:w="9183" w:type="dxa"/>
            <w:tcBorders/>
            <w:vAlign w:val="center"/>
          </w:tcPr>
          <w:p>
            <w:pPr>
              <w:pStyle w:val="TableContents"/>
              <w:pBdr/>
              <w:bidi w:val="0"/>
              <w:spacing w:before="0" w:after="0"/>
              <w:ind w:left="0" w:right="0" w:hanging="0"/>
              <w:jc w:val="both"/>
              <w:rPr/>
            </w:pPr>
            <w:hyperlink w:anchor="CONSOLIDATEDSTATEMENTSOFFINANCIALPOSITIO">
              <w:r>
                <w:rPr>
                  <w:rStyle w:val="InternetLink"/>
                  <w:rFonts w:ascii="Times New Roman;Times;serif" w:hAnsi="Times New Roman;Times;serif"/>
                  <w:b w:val="false"/>
                  <w:i w:val="false"/>
                  <w:caps w:val="false"/>
                  <w:smallCaps w:val="false"/>
                  <w:sz w:val="20"/>
                </w:rPr>
                <w:t>Consolidated Statements of Financial Position as of December 31, 2023, 2024 and 2025</w:t>
              </w:r>
            </w:hyperlink>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183" w:type="dxa"/>
            <w:tcBorders/>
            <w:shd w:fill="CCEEFF" w:val="clear"/>
            <w:vAlign w:val="center"/>
          </w:tcPr>
          <w:p>
            <w:pPr>
              <w:pStyle w:val="TableContents"/>
              <w:pBdr/>
              <w:bidi w:val="0"/>
              <w:spacing w:before="0" w:after="0"/>
              <w:ind w:left="0" w:right="0" w:hanging="0"/>
              <w:jc w:val="both"/>
              <w:rPr/>
            </w:pPr>
            <w:hyperlink w:anchor="CONSOLIDATEDSTATEMENTSOFPROFITORLOSS_771">
              <w:r>
                <w:rPr>
                  <w:rStyle w:val="InternetLink"/>
                  <w:rFonts w:ascii="Times New Roman;Times;serif" w:hAnsi="Times New Roman;Times;serif"/>
                  <w:b w:val="false"/>
                  <w:i w:val="false"/>
                  <w:caps w:val="false"/>
                  <w:smallCaps w:val="false"/>
                  <w:sz w:val="20"/>
                </w:rPr>
                <w:t>Consolidated Statements of Profit or Loss for the Years Ended December 31, 2023, 2024 and 2025</w:t>
              </w:r>
            </w:hyperlink>
            <w:r>
              <w:rPr>
                <w:rFonts w:ascii="Times New Roman;Times;serif" w:hAnsi="Times New Roman;Times;serif"/>
                <w:sz w:val="20"/>
              </w:rPr>
              <w:t xml:space="preserve">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183" w:type="dxa"/>
            <w:tcBorders/>
            <w:vAlign w:val="center"/>
          </w:tcPr>
          <w:p>
            <w:pPr>
              <w:pStyle w:val="TableContents"/>
              <w:pBdr/>
              <w:bidi w:val="0"/>
              <w:spacing w:before="0" w:after="0"/>
              <w:ind w:left="0" w:right="0" w:hanging="0"/>
              <w:jc w:val="both"/>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2023, 2024 and 2025</w:t>
              </w:r>
            </w:hyperlink>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183" w:type="dxa"/>
            <w:tcBorders/>
            <w:shd w:fill="CCEEFF" w:val="clear"/>
            <w:vAlign w:val="center"/>
          </w:tcPr>
          <w:p>
            <w:pPr>
              <w:pStyle w:val="TableContents"/>
              <w:pBdr/>
              <w:bidi w:val="0"/>
              <w:spacing w:before="0" w:after="0"/>
              <w:ind w:left="0" w:right="0" w:hanging="0"/>
              <w:jc w:val="both"/>
              <w:rPr/>
            </w:pPr>
            <w:hyperlink w:anchor="CONSOLIDATEDSTATEMENTSOFCHANGESINEQUITY_">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2023, 2024 and 2025</w:t>
              </w:r>
            </w:hyperlink>
            <w:r>
              <w:rPr>
                <w:rFonts w:ascii="Times New Roman;Times;serif" w:hAnsi="Times New Roman;Times;serif"/>
                <w:sz w:val="20"/>
              </w:rPr>
              <w:t xml:space="preserve"> </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183" w:type="dxa"/>
            <w:tcBorders/>
            <w:vAlign w:val="center"/>
          </w:tcPr>
          <w:p>
            <w:pPr>
              <w:pStyle w:val="TableContents"/>
              <w:pBdr/>
              <w:bidi w:val="0"/>
              <w:spacing w:before="0" w:after="0"/>
              <w:ind w:left="0" w:right="0" w:hanging="0"/>
              <w:jc w:val="both"/>
              <w:rPr/>
            </w:pPr>
            <w:hyperlink w:anchor="CONSOLIDATEDSTATEMENTSOFCASHFLOWS_192531">
              <w:r>
                <w:rPr>
                  <w:rStyle w:val="InternetLink"/>
                  <w:rFonts w:ascii="Times New Roman;Times;serif" w:hAnsi="Times New Roman;Times;serif"/>
                  <w:b w:val="false"/>
                  <w:i w:val="false"/>
                  <w:caps w:val="false"/>
                  <w:smallCaps w:val="false"/>
                  <w:sz w:val="20"/>
                </w:rPr>
                <w:t>Consolidated Statements of Cash Flows for the Years Ended December 31, 2023, 2024 and 2025</w:t>
              </w:r>
            </w:hyperlink>
            <w:r>
              <w:rPr>
                <w:rFonts w:ascii="Times New Roman;Times;serif" w:hAnsi="Times New Roman;Times;serif"/>
                <w:sz w:val="20"/>
              </w:rPr>
              <w:t xml:space="preserve"> </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9183" w:type="dxa"/>
            <w:tcBorders/>
            <w:shd w:fill="CCEEFF" w:val="clear"/>
            <w:vAlign w:val="center"/>
          </w:tcPr>
          <w:p>
            <w:pPr>
              <w:pStyle w:val="TableContents"/>
              <w:pBdr/>
              <w:bidi w:val="0"/>
              <w:spacing w:before="0" w:after="0"/>
              <w:ind w:left="0" w:right="0" w:hanging="0"/>
              <w:jc w:val="both"/>
              <w:rPr/>
            </w:pPr>
            <w:hyperlink w:anchor="Organizationandprincipalactivities_34003">
              <w:r>
                <w:rPr>
                  <w:rStyle w:val="InternetLink"/>
                  <w:rFonts w:ascii="Times New Roman;Times;serif" w:hAnsi="Times New Roman;Times;serif"/>
                  <w:b w:val="false"/>
                  <w:i w:val="false"/>
                  <w:caps w:val="false"/>
                  <w:smallCaps w:val="false"/>
                  <w:sz w:val="20"/>
                </w:rPr>
                <w:t>Notes to Consolidated Financial Statements</w:t>
              </w:r>
            </w:hyperlink>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F-10 - F-89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112" w:name="ReportofIndependentRegisteredPublicAccou"/>
      <w:bookmarkStart w:id="113" w:name="_1eeee21e_bd67_4c9b_be1d_58dca41fe836"/>
      <w:bookmarkEnd w:id="112"/>
      <w:bookmarkEnd w:id="113"/>
      <w:r>
        <w:rPr/>
        <w:drawing>
          <wp:inline distT="0" distB="0" distL="0" distR="0">
            <wp:extent cx="5733415" cy="1009650"/>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17"/>
                    <a:stretch>
                      <a:fillRect/>
                    </a:stretch>
                  </pic:blipFill>
                  <pic:spPr bwMode="auto">
                    <a:xfrm>
                      <a:off x="0" y="0"/>
                      <a:ext cx="5733415" cy="100965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The Board of Directors and Shareholders of</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audited the accompanying consolidated statements of financial position of Amber International Holding Limited and its subsidiaries (the “Company”) as of December 31, 2023, 2024 and 2025, and the related consolidated statements of profit or loss, comprehensive loss, changes in shareholders’ equity, and cash flows in each of the years for the three-year period ended December 31, 2025, and the related notes (collectively referred to as the financial statements). In our opinion, the financial statements present fairly, in all material respects, the financial position of the Company as of December 31, 2023, 2024 and 2025, and the results of its operations and its cash flows for each of the years in the three-year period ended December 31, 2025, in conformity with International Financial Reporting Standards as issued by the International Accounting Standards Board.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Times;serif" w:hAnsi="Times New Roman;Times;serif"/>
          <w:i/>
          <w:sz w:val="20"/>
        </w:rPr>
        <w:t>Internal Control—Integrated Framework (2013)</w:t>
      </w:r>
      <w:r>
        <w:rPr>
          <w:rFonts w:ascii="Times New Roman;Times;serif" w:hAnsi="Times New Roman;Times;serif"/>
          <w:sz w:val="20"/>
        </w:rPr>
        <w:t xml:space="preserve"> issued by the Committee of Sponsoring Organizations of the Treadway Commission (COSO), and our report dated May 13, 2026, expressed an adverse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they relates.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recognition – Service income from a related party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disclosed in Note 2.23 to the consolidated financial statements, the Company provides operational support services to a related-party’s digital asset trading platform and in return it is entitled to receive all net income generated by the related party. The revenue generated from this service contributed approximately 42% of the Company’s total revenue.</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principal consideration for our determination that this is a critical audit matter was the high degree of auditor effort required in performing procedures related to the Company’s service income. The related party’s digital asset trading platform offers a wide range of products and services, each possessing different operating characteristics and mechanisms. This required significant audit effort to understand the underlying mechanics of each of the products and services, including assessment of the Company’s performance of the operational support services promised under the contractual arrangements. Consequently, the audit procedures performed to audit each product and services are customized based on the terms of each contract with customers and promised performance obligations to be performed by the Company.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primary procedures we performed to address this critical audit matter included the following, among others: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and reviewed the service contract to understand the contractual terms and assessed the identification of performance obligation in accordance with IFRS 15 Revenue from Contracts with Customers.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relevant contracts or term sheets or supporting information to understand the transaction flows and to assess the revenue recognition in accordance with IFRS 15 Revenue from Contracts with Customers.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test of details on a sampling basis and inspected the relevant supporting documents to validate performance obligation satisfied by the Company and net revenue is appropriately recognized.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procedures to test the reliability of the information transacted within the trading platform, including tests of IT General Controls.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Impairment assessment of goodwill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disclosed in Note 16 to the consolidated financial statements, as at December 31, 2025, the carrying value of the Company’s goodwill arising from the acquisition of Sparrow Holdings Pte. Limited and its subsidiaries (collectively, the “Sparrow Group”) and iClick Interactive Asia Group Limited, the Company’s predecessor merger with Amber DWM Holding Limited accounted for as a reverse acquisition for accounting purposes (“iClick Group”), amounted to US$16,735,000 and US$36,401,000 respectively. For the purpose of the impairment assessment, management has identified Sparrow Group and iClick Group as separate cash generating units (“CGU”) to which the goodwill has been allocated. </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Impairment assessment is carried out annually and whenever there is an indication that the carrying value of the CGU may be impaired. Management used value-in-use approach based on discounted cash flow projections to assess the recoverable amounts of the CGUs. This assessment requires management to make judgements over certain key inputs for the projections in relation to revenue growth rates, terminal growth rate and discount rate. Management concluded that the recoverable amount exceeded the carrying amount and, accordingly, no impairment was recognized.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Given the significant judgement and estimation involved in assessing the recoverable amounts, this was identified as a critical audit matter.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primary procedures we performed to address this critical audit matter included the following, among others: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reasonableness of management’s key assumptions on revenue growth rates, gross profit margins, discount rate and terminal growth rate, by taking into consideration the current and expected future economic conditions.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Assessed the appropriateness of management’s assumptions by comparing to past historical performance and considering current developments.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sensitivity analyses on the key assumptions to evaluate the effect of change in those assumptions on the recoverable amount of the CGUs.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WWC, P.C.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WWC, P.C.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Certified Public Accountants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PCAOB ID No. 1171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 Mateo, California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May 13,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4" w:name="_9627258e_bff5_48c2_a772_8224a5e2d0f7"/>
      <w:bookmarkEnd w:id="114"/>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bookmarkStart w:id="115" w:name="CONSOLIDATEDSTATEMENTSOFFINANCIALPOSITIO"/>
      <w:bookmarkEnd w:id="115"/>
      <w:r>
        <w:rPr>
          <w:rFonts w:ascii="Times New Roman;Times;serif" w:hAnsi="Times New Roman;Times;serif"/>
          <w:b/>
          <w:sz w:val="20"/>
        </w:rPr>
        <w:t>CONSOLIDATED STATEMENTS OF FINANCIAL POSITION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6" w:name="Tc_5hs4vGnOsUyAQqx0ImXb-A_63_0"/>
      <w:bookmarkStart w:id="117" w:name="Tc_X60ang_k7kijXUt4IS6Udw_61_0"/>
      <w:bookmarkStart w:id="118" w:name="Tc_CVIBLRI5o0q6dZJJe7a-OA_60_0"/>
      <w:bookmarkStart w:id="119" w:name="Tc_X5efHGu3zEaPAgud9WAI5A_59_2"/>
      <w:bookmarkStart w:id="120" w:name="Tc_-clrNhiFXUCrOA62mJOECw_59_0"/>
      <w:bookmarkStart w:id="121" w:name="Tc_a9EOT-7kqEaLtNXr0HECpw_58_6"/>
      <w:bookmarkStart w:id="122" w:name="Tc_qa-4vfpOvEeUZRbvrCiV-Q_58_4"/>
      <w:bookmarkStart w:id="123" w:name="Tc_gqEi2TZ76kCnsplxWI_9AQ_58_2"/>
      <w:bookmarkStart w:id="124" w:name="Tc_jMSIW81aE06BC9EeU4uOkQ_58_0"/>
      <w:bookmarkStart w:id="125" w:name="Tc_2iEQjajqiUOXOD_KibKu2w_57_2"/>
      <w:bookmarkStart w:id="126" w:name="Tc_9geRrDrKnkyNYdVmKKQLHw_57_0"/>
      <w:bookmarkStart w:id="127" w:name="Tc_FT5f-LOAukGtOSLKBt5k7g_56_2"/>
      <w:bookmarkStart w:id="128" w:name="Tc_6niZBTuHVkmlyQUjymeNUw_56_0"/>
      <w:bookmarkStart w:id="129" w:name="Tc_MJMWDLJwbEO1ztMgTa-VBQ_55_0"/>
      <w:bookmarkStart w:id="130" w:name="Tc_hRGoDELfhkC5D_EjQHNgIQ_53_0"/>
      <w:bookmarkStart w:id="131" w:name="Tc_jec7Azv0b0OX6jfJYpUcHg_51_4"/>
      <w:bookmarkStart w:id="132" w:name="Tc_eJXv825hP0ibmUWnGhFQHQ_51_0"/>
      <w:bookmarkStart w:id="133" w:name="Tc_7rgAFGl790GZqDNXtf6WGQ_50_6"/>
      <w:bookmarkStart w:id="134" w:name="Tc_M4HAZirXgUiEb8WjcSDrdQ_50_4"/>
      <w:bookmarkStart w:id="135" w:name="Tc_mnusE-N-yUKnpl3KAvloHw_50_2"/>
      <w:bookmarkStart w:id="136" w:name="Tc_1lg74cKRpECRYPcjm8fcsg_50_0"/>
      <w:bookmarkStart w:id="137" w:name="Tc_0RaWhvWrLUiDEreTkbXGoA_49_4"/>
      <w:bookmarkStart w:id="138" w:name="Tc_r7TYoek5LEGklKdTyFm_fQ_49_2"/>
      <w:bookmarkStart w:id="139" w:name="Tc_QyJy3almkkyBe73Y16hLMQ_49_0"/>
      <w:bookmarkStart w:id="140" w:name="Tc_elLyJ_TtwE2v-sMvDowcDQ_48_0"/>
      <w:bookmarkStart w:id="141" w:name="Tc_4qaSVaYTCkShv1_-0NyycQ_46_0"/>
      <w:bookmarkStart w:id="142" w:name="Tc_qZyynE208kWh5QUkTGDnBA_45_6"/>
      <w:bookmarkStart w:id="143" w:name="Tc_aDod6ZQN6UKu12_-dLPxDg_45_4"/>
      <w:bookmarkStart w:id="144" w:name="Tc_yhQLp4YiaEKxN0a13JGnxw_45_2"/>
      <w:bookmarkStart w:id="145" w:name="Tc_ClaWPMiF70uz1eAJlj1S0g_45_0"/>
      <w:bookmarkStart w:id="146" w:name="Tc_ZqwZTXryTEasLBbq-ZoZ3w_43_6"/>
      <w:bookmarkStart w:id="147" w:name="Tc_6tpOvFa7XEShlEHI26kT6A_43_4"/>
      <w:bookmarkStart w:id="148" w:name="Tc_NlMKBjh0jkediQ4oQa01kg_43_0"/>
      <w:bookmarkStart w:id="149" w:name="Tc_rNnzgy28jU6foNU1SVG3Uw_42_4"/>
      <w:bookmarkStart w:id="150" w:name="Tc_uwhmKM1rvUS5lcKiLxzkjg_42_2"/>
      <w:bookmarkStart w:id="151" w:name="Tc_HLSelPYaI0aHFSnM7UVezA_42_0"/>
      <w:bookmarkStart w:id="152" w:name="Tc_-DEo38TfI0KfL9vftFHh8w_41_2"/>
      <w:bookmarkStart w:id="153" w:name="Tc_718qbkKrt0O07mZc6-gOEg_41_0"/>
      <w:bookmarkStart w:id="154" w:name="Tc_RqBxtXLrNEW4yUBQHavzDg_40_2"/>
      <w:bookmarkStart w:id="155" w:name="Tc_VA8j8bmKhkm7LzRpep4s0g_40_0"/>
      <w:bookmarkStart w:id="156" w:name="Tc_LaGbD35riEOjy8QRIaI7ag_39_2"/>
      <w:bookmarkStart w:id="157" w:name="Tc_ouud_h78nkGWxsRYtt_tzQ_39_0"/>
      <w:bookmarkStart w:id="158" w:name="Tc_dJV2To8UAUyB4t9lHLU_yg_38_6"/>
      <w:bookmarkStart w:id="159" w:name="Tc__KnKxBnKWUaffbA1ZCUh3Q_38_4"/>
      <w:bookmarkStart w:id="160" w:name="Tc_mNarnaBid02rlGs6lRtQuw_38_2"/>
      <w:bookmarkStart w:id="161" w:name="Tc_ATaDtAqRJ0GCJRnd4De-ww_38_0"/>
      <w:bookmarkStart w:id="162" w:name="Tc_6PiKkQwEtE6ejGJzymG_CA_37_4"/>
      <w:bookmarkStart w:id="163" w:name="Tc_ySQ7WMj_BUKuIh-WDZKufA_37_2"/>
      <w:bookmarkStart w:id="164" w:name="Tc_k7k4pRwOIUWfSx4i2S8wfw_37_0"/>
      <w:bookmarkStart w:id="165" w:name="Tc_oJY75C2nE0icNMwk7Rpv5Q_36_2"/>
      <w:bookmarkStart w:id="166" w:name="Tc_5ii-eYgDRESNMGOGP03Hew_36_0"/>
      <w:bookmarkStart w:id="167" w:name="Tc_VMfhKr39PkGhWoc5lND5Wg_35_0"/>
      <w:bookmarkStart w:id="168" w:name="Tc_DJNtIAo1fEyjyL7mFSn8RQ_34_0"/>
      <w:bookmarkStart w:id="169" w:name="Tc_1uStFX_IDU2rh0Xo13fUAA_32_0"/>
      <w:bookmarkStart w:id="170" w:name="Tc_6BWUDr2IqkeCMMU2QAOHyw_30_0"/>
      <w:bookmarkStart w:id="171" w:name="Tc_8iZEF68D30eLSnRpJSlhJw_29_6"/>
      <w:bookmarkStart w:id="172" w:name="Tc_GFUBw92600OeH5CwRQfufA_29_4"/>
      <w:bookmarkStart w:id="173" w:name="Tc_yOW9KsD2A0KDvqCQSfwt_w_29_2"/>
      <w:bookmarkStart w:id="174" w:name="Tc_Hp-5-TB69ky_aeiiatc1wg_29_0"/>
      <w:bookmarkStart w:id="175" w:name="Tc_BXiZcPdgsUKIBNZofOShHg_28_6"/>
      <w:bookmarkStart w:id="176" w:name="Tc_rWSBERVzWkmKhHB0JKSqAw_28_4"/>
      <w:bookmarkStart w:id="177" w:name="Tc_XVJcwbIAC0G5eWajw_Dihg_28_2"/>
      <w:bookmarkStart w:id="178" w:name="Tc_IfW5hayzjUC36xTD8l-nDg_28_0"/>
      <w:bookmarkStart w:id="179" w:name="Tc_JLMGDw8x6Ei8yf7w7bUaeQ_27_6"/>
      <w:bookmarkStart w:id="180" w:name="Tc_FaOCG1ZRfEyxEQe4fxrPxQ_27_4"/>
      <w:bookmarkStart w:id="181" w:name="Tc_D7LNGoPx00uyo6BEB9GCBA_27_2"/>
      <w:bookmarkStart w:id="182" w:name="Tc_xKs4kPb4xEuDtCa66Qb5Hg_27_0"/>
      <w:bookmarkStart w:id="183" w:name="Tc_AcJ8nVsIMUuUZXw76pO5Jw_26_6"/>
      <w:bookmarkStart w:id="184" w:name="Tc_rSb5gqsqgk2bcUNda_d80w_26_4"/>
      <w:bookmarkStart w:id="185" w:name="Tc_nuztFvkGzUOQADeglwW7gA_26_2"/>
      <w:bookmarkStart w:id="186" w:name="Tc_7g9hzv1p3kSiipKjACg30g_26_0"/>
      <w:bookmarkStart w:id="187" w:name="Tc_uU_ftodRMUSi8TQ7daBPsw_25_4"/>
      <w:bookmarkStart w:id="188" w:name="Tc_gnmkCPPIrk2n4w58Z_awkQ_25_2"/>
      <w:bookmarkStart w:id="189" w:name="Tc_mm-YMgEZ-UGeSf6BQx8zRg_25_0"/>
      <w:bookmarkStart w:id="190" w:name="Tc_w6UFUOd64UyDxI8PwugNKQ_24_2"/>
      <w:bookmarkStart w:id="191" w:name="Tc_2JUF8Y1hTUCsCb9s331e7w_24_0"/>
      <w:bookmarkStart w:id="192" w:name="Tc_OVzqC_fZX02tbe1DHEHOrQ_23_2"/>
      <w:bookmarkStart w:id="193" w:name="Tc_6Nl7eQKBk0-ufM5lyXXG8g_23_0"/>
      <w:bookmarkStart w:id="194" w:name="Tc_vhVu7giqBku4S1P96-ZQdA_22_6"/>
      <w:bookmarkStart w:id="195" w:name="Tc_GSQJWuhioE6Z7NvdvEzxzQ_22_2"/>
      <w:bookmarkStart w:id="196" w:name="Tc_PxGUMF3kBUyz4bmG58iqbw_22_0"/>
      <w:bookmarkStart w:id="197" w:name="Tc_VWgkjHufvku78wWOXd6trw_21_0"/>
      <w:bookmarkStart w:id="198" w:name="Tc_a2JBrj9xQ0eRZNmcBelbdQ_19_0"/>
      <w:bookmarkStart w:id="199" w:name="Tc_iNUECBxFjkSIkQ9EhNsxJw_18_6"/>
      <w:bookmarkStart w:id="200" w:name="Tc_AWa4TIu6mEq0MCxVUCEpTQ_18_4"/>
      <w:bookmarkStart w:id="201" w:name="Tc_a1TPEzAZ0UOW0ByeoxEnUQ_18_2"/>
      <w:bookmarkStart w:id="202" w:name="Tc_vmWE2g5JZkeD_tRy9a6hlw_18_0"/>
      <w:bookmarkStart w:id="203" w:name="Tc_jdCzfgmdnE20sIsLEY_wIA_16_2"/>
      <w:bookmarkStart w:id="204" w:name="Tc_mVVAKjni9EGpMDQvcGeyWQ_16_0"/>
      <w:bookmarkStart w:id="205" w:name="Tc_V9mFxaQ8gUCkGJevaErEHw_15_2"/>
      <w:bookmarkStart w:id="206" w:name="Tc_yp5mcNtb0E63YRk2NNSwHQ_15_0"/>
      <w:bookmarkStart w:id="207" w:name="Tc_KFrbUMXO0USgG--RzEEY2A_14_2"/>
      <w:bookmarkStart w:id="208" w:name="Tc_jYOIyQwP0EuAiwvGs2BM8w_14_0"/>
      <w:bookmarkStart w:id="209" w:name="Tc_DvWG3dvP90G3dNU-slvUjA_13_2"/>
      <w:bookmarkStart w:id="210" w:name="Tc_PNE78jLVHkGzd3agc65RMA_13_0"/>
      <w:bookmarkStart w:id="211" w:name="Tc_62thr1tRuESYp9W_tTErEg_12_4"/>
      <w:bookmarkStart w:id="212" w:name="Tc_VDq0AOrYnE-ouXIVlidPKA_12_2"/>
      <w:bookmarkStart w:id="213" w:name="Tc_3vRuroFytk6hmjHGubNyQg_12_0"/>
      <w:bookmarkStart w:id="214" w:name="Tc__ixDdmVH10OoSXiZOYmwTw_11_6"/>
      <w:bookmarkStart w:id="215" w:name="Tc__uH2a-HJeEip8CaAySr63Q_11_4"/>
      <w:bookmarkStart w:id="216" w:name="Tc_a22A-n_JmkaeFcIUmqmcSQ_11_0"/>
      <w:bookmarkStart w:id="217" w:name="Tc_Vv4jdi8_AUWJgVoccHnY2A_10_2"/>
      <w:bookmarkStart w:id="218" w:name="Tc_J6m2l_CV7UGRAf836crFLw_10_0"/>
      <w:bookmarkStart w:id="219" w:name="Tc_tbBxY4r6JE22quackPwAmw_9_4"/>
      <w:bookmarkStart w:id="220" w:name="Tc_8VePxqsEIECcI90D1yx5JQ_9_2"/>
      <w:bookmarkStart w:id="221" w:name="Tc_09uI2GtPgUSWzgHhzgIcVA_9_0"/>
      <w:bookmarkStart w:id="222" w:name="Tc_Ad9CzFTWQECSbQxVioqF0Q_8_4"/>
      <w:bookmarkStart w:id="223" w:name="Tc_I1sGJolCSUqQYhb4iQGetg_8_2"/>
      <w:bookmarkStart w:id="224" w:name="Tc_Wzh4xBtV30CGexzC-Wu5Kw_8_0"/>
      <w:bookmarkStart w:id="225" w:name="Tc_NQry_FHNdUWNrOOYKwKzgw_7_4"/>
      <w:bookmarkStart w:id="226" w:name="Tc_IhCWL3baqkytRln4qKt-zA_7_2"/>
      <w:bookmarkStart w:id="227" w:name="Tc_IDlfIYuZxkGefpyt3znWDw_7_0"/>
      <w:bookmarkStart w:id="228" w:name="Tc_dZUyG0mIkEG2nD9FqKZ1iw_6_6"/>
      <w:bookmarkStart w:id="229" w:name="Tc_b5OD-9n_yke6wFw_oloc4A_6_4"/>
      <w:bookmarkStart w:id="230" w:name="Tc_09HDxZrPCEOLohUs9fE4Ag_6_2"/>
      <w:bookmarkStart w:id="231" w:name="Tc_r5NyBpLzyECb305LSI1apQ_6_0"/>
      <w:bookmarkStart w:id="232" w:name="Tc_9NZkp3cU2UGzmnV64dCG_A_5_2"/>
      <w:bookmarkStart w:id="233" w:name="Tc_ngBgj2u1cEq-up4hsVC6gg_5_0"/>
      <w:bookmarkStart w:id="234" w:name="Tc_CJFgIuUty0SmjzyLqHWGOg_4_0"/>
      <w:bookmarkStart w:id="235" w:name="Tc_rtxknJKpCki8maQLJ7CkzQ_3_0"/>
      <w:bookmarkStart w:id="236" w:name="Tc_eUQzsTpyUUORevrseRPZjg_2_8"/>
      <w:bookmarkStart w:id="237" w:name="Tc_ZNz9beremkWHgKJxGTy65A_2_6"/>
      <w:bookmarkStart w:id="238" w:name="Tc_PF7r_0sRIkuPd1ol8JABmg_2_4"/>
      <w:bookmarkStart w:id="239" w:name="Tc_2XtAr6MWx0uZ71D7Be4jHw_2_2"/>
      <w:bookmarkStart w:id="240" w:name="Tc_BhaAL1EvIUSitBWW8jcAzA_1_6"/>
      <w:bookmarkStart w:id="241" w:name="Tc__f85VPmZK0uYeVx3k7_soA_1_4"/>
      <w:bookmarkStart w:id="242" w:name="_958daa3d_6a0b_401c_8f64_9e3a52f9138f"/>
      <w:bookmarkStart w:id="243" w:name="Tc_5hs4vGnOsUyAQqx0ImXb-A_63_0"/>
      <w:bookmarkStart w:id="244" w:name="Tc_X60ang_k7kijXUt4IS6Udw_61_0"/>
      <w:bookmarkStart w:id="245" w:name="Tc_CVIBLRI5o0q6dZJJe7a-OA_60_0"/>
      <w:bookmarkStart w:id="246" w:name="Tc_X5efHGu3zEaPAgud9WAI5A_59_2"/>
      <w:bookmarkStart w:id="247" w:name="Tc_-clrNhiFXUCrOA62mJOECw_59_0"/>
      <w:bookmarkStart w:id="248" w:name="Tc_a9EOT-7kqEaLtNXr0HECpw_58_6"/>
      <w:bookmarkStart w:id="249" w:name="Tc_qa-4vfpOvEeUZRbvrCiV-Q_58_4"/>
      <w:bookmarkStart w:id="250" w:name="Tc_gqEi2TZ76kCnsplxWI_9AQ_58_2"/>
      <w:bookmarkStart w:id="251" w:name="Tc_jMSIW81aE06BC9EeU4uOkQ_58_0"/>
      <w:bookmarkStart w:id="252" w:name="Tc_2iEQjajqiUOXOD_KibKu2w_57_2"/>
      <w:bookmarkStart w:id="253" w:name="Tc_9geRrDrKnkyNYdVmKKQLHw_57_0"/>
      <w:bookmarkStart w:id="254" w:name="Tc_FT5f-LOAukGtOSLKBt5k7g_56_2"/>
      <w:bookmarkStart w:id="255" w:name="Tc_6niZBTuHVkmlyQUjymeNUw_56_0"/>
      <w:bookmarkStart w:id="256" w:name="Tc_MJMWDLJwbEO1ztMgTa-VBQ_55_0"/>
      <w:bookmarkStart w:id="257" w:name="Tc_hRGoDELfhkC5D_EjQHNgIQ_53_0"/>
      <w:bookmarkStart w:id="258" w:name="Tc_jec7Azv0b0OX6jfJYpUcHg_51_4"/>
      <w:bookmarkStart w:id="259" w:name="Tc_eJXv825hP0ibmUWnGhFQHQ_51_0"/>
      <w:bookmarkStart w:id="260" w:name="Tc_7rgAFGl790GZqDNXtf6WGQ_50_6"/>
      <w:bookmarkStart w:id="261" w:name="Tc_M4HAZirXgUiEb8WjcSDrdQ_50_4"/>
      <w:bookmarkStart w:id="262" w:name="Tc_mnusE-N-yUKnpl3KAvloHw_50_2"/>
      <w:bookmarkStart w:id="263" w:name="Tc_1lg74cKRpECRYPcjm8fcsg_50_0"/>
      <w:bookmarkStart w:id="264" w:name="Tc_0RaWhvWrLUiDEreTkbXGoA_49_4"/>
      <w:bookmarkStart w:id="265" w:name="Tc_r7TYoek5LEGklKdTyFm_fQ_49_2"/>
      <w:bookmarkStart w:id="266" w:name="Tc_QyJy3almkkyBe73Y16hLMQ_49_0"/>
      <w:bookmarkStart w:id="267" w:name="Tc_elLyJ_TtwE2v-sMvDowcDQ_48_0"/>
      <w:bookmarkStart w:id="268" w:name="Tc_4qaSVaYTCkShv1_-0NyycQ_46_0"/>
      <w:bookmarkStart w:id="269" w:name="Tc_qZyynE208kWh5QUkTGDnBA_45_6"/>
      <w:bookmarkStart w:id="270" w:name="Tc_aDod6ZQN6UKu12_-dLPxDg_45_4"/>
      <w:bookmarkStart w:id="271" w:name="Tc_yhQLp4YiaEKxN0a13JGnxw_45_2"/>
      <w:bookmarkStart w:id="272" w:name="Tc_ClaWPMiF70uz1eAJlj1S0g_45_0"/>
      <w:bookmarkStart w:id="273" w:name="Tc_ZqwZTXryTEasLBbq-ZoZ3w_43_6"/>
      <w:bookmarkStart w:id="274" w:name="Tc_6tpOvFa7XEShlEHI26kT6A_43_4"/>
      <w:bookmarkStart w:id="275" w:name="Tc_NlMKBjh0jkediQ4oQa01kg_43_0"/>
      <w:bookmarkStart w:id="276" w:name="Tc_rNnzgy28jU6foNU1SVG3Uw_42_4"/>
      <w:bookmarkStart w:id="277" w:name="Tc_uwhmKM1rvUS5lcKiLxzkjg_42_2"/>
      <w:bookmarkStart w:id="278" w:name="Tc_HLSelPYaI0aHFSnM7UVezA_42_0"/>
      <w:bookmarkStart w:id="279" w:name="Tc_-DEo38TfI0KfL9vftFHh8w_41_2"/>
      <w:bookmarkStart w:id="280" w:name="Tc_718qbkKrt0O07mZc6-gOEg_41_0"/>
      <w:bookmarkStart w:id="281" w:name="Tc_RqBxtXLrNEW4yUBQHavzDg_40_2"/>
      <w:bookmarkStart w:id="282" w:name="Tc_VA8j8bmKhkm7LzRpep4s0g_40_0"/>
      <w:bookmarkStart w:id="283" w:name="Tc_LaGbD35riEOjy8QRIaI7ag_39_2"/>
      <w:bookmarkStart w:id="284" w:name="Tc_ouud_h78nkGWxsRYtt_tzQ_39_0"/>
      <w:bookmarkStart w:id="285" w:name="Tc_dJV2To8UAUyB4t9lHLU_yg_38_6"/>
      <w:bookmarkStart w:id="286" w:name="Tc__KnKxBnKWUaffbA1ZCUh3Q_38_4"/>
      <w:bookmarkStart w:id="287" w:name="Tc_mNarnaBid02rlGs6lRtQuw_38_2"/>
      <w:bookmarkStart w:id="288" w:name="Tc_ATaDtAqRJ0GCJRnd4De-ww_38_0"/>
      <w:bookmarkStart w:id="289" w:name="Tc_6PiKkQwEtE6ejGJzymG_CA_37_4"/>
      <w:bookmarkStart w:id="290" w:name="Tc_ySQ7WMj_BUKuIh-WDZKufA_37_2"/>
      <w:bookmarkStart w:id="291" w:name="Tc_k7k4pRwOIUWfSx4i2S8wfw_37_0"/>
      <w:bookmarkStart w:id="292" w:name="Tc_oJY75C2nE0icNMwk7Rpv5Q_36_2"/>
      <w:bookmarkStart w:id="293" w:name="Tc_5ii-eYgDRESNMGOGP03Hew_36_0"/>
      <w:bookmarkStart w:id="294" w:name="Tc_VMfhKr39PkGhWoc5lND5Wg_35_0"/>
      <w:bookmarkStart w:id="295" w:name="Tc_DJNtIAo1fEyjyL7mFSn8RQ_34_0"/>
      <w:bookmarkStart w:id="296" w:name="Tc_1uStFX_IDU2rh0Xo13fUAA_32_0"/>
      <w:bookmarkStart w:id="297" w:name="Tc_6BWUDr2IqkeCMMU2QAOHyw_30_0"/>
      <w:bookmarkStart w:id="298" w:name="Tc_8iZEF68D30eLSnRpJSlhJw_29_6"/>
      <w:bookmarkStart w:id="299" w:name="Tc_GFUBw92600OeH5CwRQfufA_29_4"/>
      <w:bookmarkStart w:id="300" w:name="Tc_yOW9KsD2A0KDvqCQSfwt_w_29_2"/>
      <w:bookmarkStart w:id="301" w:name="Tc_Hp-5-TB69ky_aeiiatc1wg_29_0"/>
      <w:bookmarkStart w:id="302" w:name="Tc_BXiZcPdgsUKIBNZofOShHg_28_6"/>
      <w:bookmarkStart w:id="303" w:name="Tc_rWSBERVzWkmKhHB0JKSqAw_28_4"/>
      <w:bookmarkStart w:id="304" w:name="Tc_XVJcwbIAC0G5eWajw_Dihg_28_2"/>
      <w:bookmarkStart w:id="305" w:name="Tc_IfW5hayzjUC36xTD8l-nDg_28_0"/>
      <w:bookmarkStart w:id="306" w:name="Tc_JLMGDw8x6Ei8yf7w7bUaeQ_27_6"/>
      <w:bookmarkStart w:id="307" w:name="Tc_FaOCG1ZRfEyxEQe4fxrPxQ_27_4"/>
      <w:bookmarkStart w:id="308" w:name="Tc_D7LNGoPx00uyo6BEB9GCBA_27_2"/>
      <w:bookmarkStart w:id="309" w:name="Tc_xKs4kPb4xEuDtCa66Qb5Hg_27_0"/>
      <w:bookmarkStart w:id="310" w:name="Tc_AcJ8nVsIMUuUZXw76pO5Jw_26_6"/>
      <w:bookmarkStart w:id="311" w:name="Tc_rSb5gqsqgk2bcUNda_d80w_26_4"/>
      <w:bookmarkStart w:id="312" w:name="Tc_nuztFvkGzUOQADeglwW7gA_26_2"/>
      <w:bookmarkStart w:id="313" w:name="Tc_7g9hzv1p3kSiipKjACg30g_26_0"/>
      <w:bookmarkStart w:id="314" w:name="Tc_uU_ftodRMUSi8TQ7daBPsw_25_4"/>
      <w:bookmarkStart w:id="315" w:name="Tc_gnmkCPPIrk2n4w58Z_awkQ_25_2"/>
      <w:bookmarkStart w:id="316" w:name="Tc_mm-YMgEZ-UGeSf6BQx8zRg_25_0"/>
      <w:bookmarkStart w:id="317" w:name="Tc_w6UFUOd64UyDxI8PwugNKQ_24_2"/>
      <w:bookmarkStart w:id="318" w:name="Tc_2JUF8Y1hTUCsCb9s331e7w_24_0"/>
      <w:bookmarkStart w:id="319" w:name="Tc_OVzqC_fZX02tbe1DHEHOrQ_23_2"/>
      <w:bookmarkStart w:id="320" w:name="Tc_6Nl7eQKBk0-ufM5lyXXG8g_23_0"/>
      <w:bookmarkStart w:id="321" w:name="Tc_vhVu7giqBku4S1P96-ZQdA_22_6"/>
      <w:bookmarkStart w:id="322" w:name="Tc_GSQJWuhioE6Z7NvdvEzxzQ_22_2"/>
      <w:bookmarkStart w:id="323" w:name="Tc_PxGUMF3kBUyz4bmG58iqbw_22_0"/>
      <w:bookmarkStart w:id="324" w:name="Tc_VWgkjHufvku78wWOXd6trw_21_0"/>
      <w:bookmarkStart w:id="325" w:name="Tc_a2JBrj9xQ0eRZNmcBelbdQ_19_0"/>
      <w:bookmarkStart w:id="326" w:name="Tc_iNUECBxFjkSIkQ9EhNsxJw_18_6"/>
      <w:bookmarkStart w:id="327" w:name="Tc_AWa4TIu6mEq0MCxVUCEpTQ_18_4"/>
      <w:bookmarkStart w:id="328" w:name="Tc_a1TPEzAZ0UOW0ByeoxEnUQ_18_2"/>
      <w:bookmarkStart w:id="329" w:name="Tc_vmWE2g5JZkeD_tRy9a6hlw_18_0"/>
      <w:bookmarkStart w:id="330" w:name="Tc_jdCzfgmdnE20sIsLEY_wIA_16_2"/>
      <w:bookmarkStart w:id="331" w:name="Tc_mVVAKjni9EGpMDQvcGeyWQ_16_0"/>
      <w:bookmarkStart w:id="332" w:name="Tc_V9mFxaQ8gUCkGJevaErEHw_15_2"/>
      <w:bookmarkStart w:id="333" w:name="Tc_yp5mcNtb0E63YRk2NNSwHQ_15_0"/>
      <w:bookmarkStart w:id="334" w:name="Tc_KFrbUMXO0USgG--RzEEY2A_14_2"/>
      <w:bookmarkStart w:id="335" w:name="Tc_jYOIyQwP0EuAiwvGs2BM8w_14_0"/>
      <w:bookmarkStart w:id="336" w:name="Tc_DvWG3dvP90G3dNU-slvUjA_13_2"/>
      <w:bookmarkStart w:id="337" w:name="Tc_PNE78jLVHkGzd3agc65RMA_13_0"/>
      <w:bookmarkStart w:id="338" w:name="Tc_62thr1tRuESYp9W_tTErEg_12_4"/>
      <w:bookmarkStart w:id="339" w:name="Tc_VDq0AOrYnE-ouXIVlidPKA_12_2"/>
      <w:bookmarkStart w:id="340" w:name="Tc_3vRuroFytk6hmjHGubNyQg_12_0"/>
      <w:bookmarkStart w:id="341" w:name="Tc__ixDdmVH10OoSXiZOYmwTw_11_6"/>
      <w:bookmarkStart w:id="342" w:name="Tc__uH2a-HJeEip8CaAySr63Q_11_4"/>
      <w:bookmarkStart w:id="343" w:name="Tc_a22A-n_JmkaeFcIUmqmcSQ_11_0"/>
      <w:bookmarkStart w:id="344" w:name="Tc_Vv4jdi8_AUWJgVoccHnY2A_10_2"/>
      <w:bookmarkStart w:id="345" w:name="Tc_J6m2l_CV7UGRAf836crFLw_10_0"/>
      <w:bookmarkStart w:id="346" w:name="Tc_tbBxY4r6JE22quackPwAmw_9_4"/>
      <w:bookmarkStart w:id="347" w:name="Tc_8VePxqsEIECcI90D1yx5JQ_9_2"/>
      <w:bookmarkStart w:id="348" w:name="Tc_09uI2GtPgUSWzgHhzgIcVA_9_0"/>
      <w:bookmarkStart w:id="349" w:name="Tc_Ad9CzFTWQECSbQxVioqF0Q_8_4"/>
      <w:bookmarkStart w:id="350" w:name="Tc_I1sGJolCSUqQYhb4iQGetg_8_2"/>
      <w:bookmarkStart w:id="351" w:name="Tc_Wzh4xBtV30CGexzC-Wu5Kw_8_0"/>
      <w:bookmarkStart w:id="352" w:name="Tc_NQry_FHNdUWNrOOYKwKzgw_7_4"/>
      <w:bookmarkStart w:id="353" w:name="Tc_IhCWL3baqkytRln4qKt-zA_7_2"/>
      <w:bookmarkStart w:id="354" w:name="Tc_IDlfIYuZxkGefpyt3znWDw_7_0"/>
      <w:bookmarkStart w:id="355" w:name="Tc_dZUyG0mIkEG2nD9FqKZ1iw_6_6"/>
      <w:bookmarkStart w:id="356" w:name="Tc_b5OD-9n_yke6wFw_oloc4A_6_4"/>
      <w:bookmarkStart w:id="357" w:name="Tc_09HDxZrPCEOLohUs9fE4Ag_6_2"/>
      <w:bookmarkStart w:id="358" w:name="Tc_r5NyBpLzyECb305LSI1apQ_6_0"/>
      <w:bookmarkStart w:id="359" w:name="Tc_9NZkp3cU2UGzmnV64dCG_A_5_2"/>
      <w:bookmarkStart w:id="360" w:name="Tc_ngBgj2u1cEq-up4hsVC6gg_5_0"/>
      <w:bookmarkStart w:id="361" w:name="Tc_CJFgIuUty0SmjzyLqHWGOg_4_0"/>
      <w:bookmarkStart w:id="362" w:name="Tc_rtxknJKpCki8maQLJ7CkzQ_3_0"/>
      <w:bookmarkStart w:id="363" w:name="Tc_eUQzsTpyUUORevrseRPZjg_2_8"/>
      <w:bookmarkStart w:id="364" w:name="Tc_ZNz9beremkWHgKJxGTy65A_2_6"/>
      <w:bookmarkStart w:id="365" w:name="Tc_PF7r_0sRIkuPd1ol8JABmg_2_4"/>
      <w:bookmarkStart w:id="366" w:name="Tc_2XtAr6MWx0uZ71D7Be4jHw_2_2"/>
      <w:bookmarkStart w:id="367" w:name="Tc_BhaAL1EvIUSitBWW8jcAzA_1_6"/>
      <w:bookmarkStart w:id="368" w:name="Tc__f85VPmZK0uYeVx3k7_soA_1_4"/>
      <w:bookmarkStart w:id="369" w:name="_958daa3d_6a0b_401c_8f64_9e3a52f9138f"/>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tbl>
      <w:tblPr>
        <w:tblW w:w="6757" w:type="dxa"/>
        <w:jc w:val="left"/>
        <w:tblInd w:w="0" w:type="dxa"/>
        <w:tblLayout w:type="fixed"/>
        <w:tblCellMar>
          <w:top w:w="0" w:type="dxa"/>
          <w:left w:w="0" w:type="dxa"/>
          <w:bottom w:w="0" w:type="dxa"/>
          <w:right w:w="0" w:type="dxa"/>
        </w:tblCellMar>
      </w:tblPr>
      <w:tblGrid>
        <w:gridCol w:w="3076"/>
        <w:gridCol w:w="346"/>
        <w:gridCol w:w="376"/>
        <w:gridCol w:w="346"/>
        <w:gridCol w:w="1081"/>
        <w:gridCol w:w="109"/>
        <w:gridCol w:w="601"/>
        <w:gridCol w:w="146"/>
        <w:gridCol w:w="67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953260" cy="175260"/>
                      <wp:effectExtent l="0" t="0" r="0" b="0"/>
                      <wp:wrapNone/>
                      <wp:docPr id="137" name="Frame134"/>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38"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8760" cy="175260"/>
                      <wp:effectExtent l="0" t="0" r="0" b="0"/>
                      <wp:wrapNone/>
                      <wp:docPr id="139" name="Frame13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0"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86435" cy="175260"/>
                      <wp:effectExtent l="0" t="0" r="0" b="0"/>
                      <wp:wrapNone/>
                      <wp:docPr id="141" name="Frame13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2"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81635" cy="175260"/>
                      <wp:effectExtent l="0" t="0" r="0" b="0"/>
                      <wp:wrapNone/>
                      <wp:docPr id="143" name="Frame1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2710" cy="175260"/>
                      <wp:effectExtent l="0" t="0" r="0" b="0"/>
                      <wp:wrapNone/>
                      <wp:docPr id="144" name="Frame14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45"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January 1,</w:t>
            </w:r>
          </w:p>
        </w:tc>
        <w:tc>
          <w:tcPr>
            <w:tcW w:w="109" w:type="dxa"/>
            <w:tcBorders/>
            <w:vAlign w:val="center"/>
          </w:tcPr>
          <w:p>
            <w:pPr>
              <w:pStyle w:val="TableContents"/>
              <w:bidi w:val="0"/>
              <w:spacing w:before="0" w:after="0"/>
              <w:ind w:left="0" w:right="0" w:hanging="0"/>
              <w:jc w:val="center"/>
              <w:rPr/>
            </w:pPr>
            <w:r>
              <w:rPr/>
              <w:t>​</w:t>
            </w:r>
          </w:p>
        </w:tc>
        <w:tc>
          <w:tcPr>
            <w:tcW w:w="14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As of December 31,</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109"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1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center"/>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center"/>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Current assets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6,277</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29,895</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Time deposits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3,049</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Digital assets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3,005</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33,509</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USDC</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1,827</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12,449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Trade and other receivables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16,625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recoverable</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Collateral receivables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14,414</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3,407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 due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10,532</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11,533</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32,341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Financial assets at fair value through profits or loss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11</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22,084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Crypto assets loan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7,868</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69,934</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42,141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financial assets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1,576</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w:t>
            </w:r>
          </w:p>
        </w:tc>
      </w:tr>
      <w:tr>
        <w:trPr/>
        <w:tc>
          <w:tcPr>
            <w:tcW w:w="3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19,672</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112,235</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196,915</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Assets classified as held for sale </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19,672</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112,235</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196,932</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14</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160</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16</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16,735</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16,735</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53,136</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704</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1,484</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Investment accounted for using equity method </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Financial assets at fair value through profits or loss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1,189</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receivables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non-current assets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17,179</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17,599</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59,447</w:t>
            </w:r>
          </w:p>
        </w:tc>
      </w:tr>
      <w:tr>
        <w:trPr/>
        <w:tc>
          <w:tcPr>
            <w:tcW w:w="3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assets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36,851</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129,834</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256,379</w:t>
            </w:r>
          </w:p>
        </w:tc>
      </w:tr>
      <w:tr>
        <w:trPr/>
        <w:tc>
          <w:tcPr>
            <w:tcW w:w="3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LIABILITIES AND EQUITY</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Trade and other payables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1,841</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13,427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Collateral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14,414</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10,941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Contract liabilities </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19</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8,575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Liabilities due to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13,867</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71,523</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61,351</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Amount due to related parties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31</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26,875</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9,980</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48,031</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1,576</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Lease liabilities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513</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41,399</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99,564</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144,021</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Liabilities classified as held for sale </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1,277</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current liabilities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41,399</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99,564</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145,298</w:t>
            </w:r>
          </w:p>
        </w:tc>
      </w:tr>
      <w:tr>
        <w:trPr/>
        <w:tc>
          <w:tcPr>
            <w:tcW w:w="30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Non-current liabilities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485</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non-current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485</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769</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41,399</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100,049</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146,067</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Equity</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Share capital </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1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premium</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2,999</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13,499</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90,540</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Treasury shares </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21</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(903)</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reserves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22</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6,069</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53,175</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53,390</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Accumulated losses</w:t>
            </w:r>
          </w:p>
        </w:tc>
        <w:tc>
          <w:tcPr>
            <w:tcW w:w="3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(13,617)</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(36,890)</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(33,139)</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(4,548)</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29,785</w:t>
            </w:r>
          </w:p>
        </w:tc>
        <w:tc>
          <w:tcPr>
            <w:tcW w:w="1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110,312</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equity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36,851</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129,834</w:t>
            </w:r>
          </w:p>
        </w:tc>
        <w:tc>
          <w:tcPr>
            <w:tcW w:w="1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256,379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70" w:name="_37ed18ea_e6e9_42eb_b7d3_507106873bc8"/>
      <w:bookmarkEnd w:id="370"/>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bookmarkStart w:id="371" w:name="CONSOLIDATEDSTATEMENTSOFPROFITORLOSS_771"/>
      <w:bookmarkEnd w:id="371"/>
      <w:r>
        <w:rPr>
          <w:rFonts w:ascii="Times New Roman;Times;serif" w:hAnsi="Times New Roman;Times;serif"/>
          <w:b/>
          <w:sz w:val="20"/>
        </w:rPr>
        <w:t>CONSOLIDATED STATEMENTS OF PROFIT OR LOSS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72" w:name="Tc_-SXgchyzeUuONj4m_ZGCow_42_6"/>
      <w:bookmarkStart w:id="373" w:name="Tc_gCanfHT_kEyi4yPeZ5kNTg_42_4"/>
      <w:bookmarkStart w:id="374" w:name="Tc_KDoREWuZMkmb3p822EpcBw_42_0"/>
      <w:bookmarkStart w:id="375" w:name="Tc_HqpVbZgWOESRAHJ23s09RA_41_0"/>
      <w:bookmarkStart w:id="376" w:name="Tc_Tmo8aBthTEWm_91VZzbDDw_40_0"/>
      <w:bookmarkStart w:id="377" w:name="Tc_gqLokf0I1UGsZO7P3KZ10g_37_6"/>
      <w:bookmarkStart w:id="378" w:name="Tc_stdI-FJnFEmr7LE9Lnco6A_37_4"/>
      <w:bookmarkStart w:id="379" w:name="Tc_qW2QJz8ZXU-2qIN5lie7GQ_37_0"/>
      <w:bookmarkStart w:id="380" w:name="Tc__1ZGse-qUEaxCzpdztQMtw_36_0"/>
      <w:bookmarkStart w:id="381" w:name="Tc_OGFASNfkBU2ziQgIFOAPSw_35_0"/>
      <w:bookmarkStart w:id="382" w:name="Tc_Wk25ndGrGU-2tOJmzxa1sw_33_0"/>
      <w:bookmarkStart w:id="383" w:name="Tc_Xom5akQBrEmZryyekDJxzQ_31_6"/>
      <w:bookmarkStart w:id="384" w:name="Tc_PveEZcS8_kWLu7chH5-axQ_31_4"/>
      <w:bookmarkStart w:id="385" w:name="Tc_uruiT4Mk7ES_ycTytT-BYg_31_2"/>
      <w:bookmarkStart w:id="386" w:name="Tc_oJ1RBRZ1zEuYmqtj_yLYKw_31_0"/>
      <w:bookmarkStart w:id="387" w:name="Tc_BAXXi2Wf-kajualcT0H4hQ_30_0"/>
      <w:bookmarkStart w:id="388" w:name="Tc_RVnZTX9p2kaQQElcxT-9Vw_28_0"/>
      <w:bookmarkStart w:id="389" w:name="Tc_rihMzs9zOUqI-v3LHeZQ9A_27_6"/>
      <w:bookmarkStart w:id="390" w:name="Tc_gpUgAU028EemxYBJ1snR7g_27_4"/>
      <w:bookmarkStart w:id="391" w:name="Tc_fP52gsWMUUqDYBt8TK1_yw_27_2"/>
      <w:bookmarkStart w:id="392" w:name="Tc_-BYZjJ2zp0GXV69vWM2IBw_27_0"/>
      <w:bookmarkStart w:id="393" w:name="Tc_-2Z1Ucigg0i52bBl6S64vw_26_6"/>
      <w:bookmarkStart w:id="394" w:name="Tc_9CnfSkEWrEOEn6dWnT_vsw_26_4"/>
      <w:bookmarkStart w:id="395" w:name="Tc_XAYr3ECiLE63XNO5mv0L9g_26_2"/>
      <w:bookmarkStart w:id="396" w:name="Tc_2eBMwizqDE6gFS-hfuV2wg_26_0"/>
      <w:bookmarkStart w:id="397" w:name="Tc_SV9FYOGra0-VGbivv7PNzg_24_0"/>
      <w:bookmarkStart w:id="398" w:name="Tc_JIRSirbHNkyQXAi6Y1s7rA_22_0"/>
      <w:bookmarkStart w:id="399" w:name="Tc_e-7ayAoAwEyh-t0UQMGH-g_21_0"/>
      <w:bookmarkStart w:id="400" w:name="Tc_beuvVl6ga0-bZmQRHIkiZA_20_8"/>
      <w:bookmarkStart w:id="401" w:name="Tc_A7hOOsaMR0m1tQvSkIuekA_20_0"/>
      <w:bookmarkStart w:id="402" w:name="Tc_hIKfP-305kmccXdknHVCYg_19_0"/>
      <w:bookmarkStart w:id="403" w:name="Tc_Rb4R75_W-0iQ7fDW3FVjZA_18_2"/>
      <w:bookmarkStart w:id="404" w:name="Tc_J3dbR4lUXEC-PEtmwvsnDw_18_0"/>
      <w:bookmarkStart w:id="405" w:name="Tc_l0VgdYxm50O1HUNf5It4xg_17_2"/>
      <w:bookmarkStart w:id="406" w:name="Tc_aeMZKd0H6kaolVGKF-UycA_17_0"/>
      <w:bookmarkStart w:id="407" w:name="Tc_VrBM2cu8xkebO3Ol7rGZpg_16_4"/>
      <w:bookmarkStart w:id="408" w:name="Tc_Tx9R3G3tS0OAGH9P1-6YyQ_16_2"/>
      <w:bookmarkStart w:id="409" w:name="Tc_gmV9WRmXq0mf5kb3eY9SMg_16_0"/>
      <w:bookmarkStart w:id="410" w:name="Tc_eQXZ2nWZDUCMVt3kGX8rAQ_14_0"/>
      <w:bookmarkStart w:id="411" w:name="Tc_-siabRdBmEm31OVk5b-gEQ_12_2"/>
      <w:bookmarkStart w:id="412" w:name="Tc_WZuczJD2ekWr_NANEXvDrg_12_0"/>
      <w:bookmarkStart w:id="413" w:name="Tc_bsmz5jtQpEC4A2-Rlgs6Cw_11_0"/>
      <w:bookmarkStart w:id="414" w:name="Tc_QAcG38A6ukWDp4OkEX3zrQ_10_0"/>
      <w:bookmarkStart w:id="415" w:name="Tc_Khm4qwlSukCzaeM72ZCgaA_9_0"/>
      <w:bookmarkStart w:id="416" w:name="Tc_WewYPdpRUEuF3WEVVHxSzA_8_0"/>
      <w:bookmarkStart w:id="417" w:name="Tc_ZgVNGzpupk6RwWugfEnDSQ_6_0"/>
      <w:bookmarkStart w:id="418" w:name="Tc_q3iNSdPZK0earS1nZjXojg_5_0"/>
      <w:bookmarkStart w:id="419" w:name="Tc_Z9NqZOMx5UmhCiSiJ_KEAA_4_2"/>
      <w:bookmarkStart w:id="420" w:name="Tc_qbRZ7AlnMk2T4kx5icECVw_4_0"/>
      <w:bookmarkStart w:id="421" w:name="Tc_Qxms266oS0K875MamDlx_Q_3_0"/>
      <w:bookmarkStart w:id="422" w:name="Tc_2QuZWAsJokajTOZorCVNpw_2_8"/>
      <w:bookmarkStart w:id="423" w:name="Tc_LhqVtZLe702gW_Ra-Sr4tQ_2_6"/>
      <w:bookmarkStart w:id="424" w:name="Tc_mEvHdmtxi06nuY0leuLh5g_2_4"/>
      <w:bookmarkStart w:id="425" w:name="Tc_4na3gFK-ykaicZB9dvHYwQ_2_2"/>
      <w:bookmarkStart w:id="426" w:name="Tc_seErylDTz02W8uvDO_oqIw_1_4"/>
      <w:bookmarkStart w:id="427" w:name="_28dcf053_e180_4737_98d2_176f58ae4d7d"/>
      <w:bookmarkStart w:id="428" w:name="Tc_-SXgchyzeUuONj4m_ZGCow_42_6"/>
      <w:bookmarkStart w:id="429" w:name="Tc_gCanfHT_kEyi4yPeZ5kNTg_42_4"/>
      <w:bookmarkStart w:id="430" w:name="Tc_KDoREWuZMkmb3p822EpcBw_42_0"/>
      <w:bookmarkStart w:id="431" w:name="Tc_HqpVbZgWOESRAHJ23s09RA_41_0"/>
      <w:bookmarkStart w:id="432" w:name="Tc_Tmo8aBthTEWm_91VZzbDDw_40_0"/>
      <w:bookmarkStart w:id="433" w:name="Tc_gqLokf0I1UGsZO7P3KZ10g_37_6"/>
      <w:bookmarkStart w:id="434" w:name="Tc_stdI-FJnFEmr7LE9Lnco6A_37_4"/>
      <w:bookmarkStart w:id="435" w:name="Tc_qW2QJz8ZXU-2qIN5lie7GQ_37_0"/>
      <w:bookmarkStart w:id="436" w:name="Tc__1ZGse-qUEaxCzpdztQMtw_36_0"/>
      <w:bookmarkStart w:id="437" w:name="Tc_OGFASNfkBU2ziQgIFOAPSw_35_0"/>
      <w:bookmarkStart w:id="438" w:name="Tc_Wk25ndGrGU-2tOJmzxa1sw_33_0"/>
      <w:bookmarkStart w:id="439" w:name="Tc_Xom5akQBrEmZryyekDJxzQ_31_6"/>
      <w:bookmarkStart w:id="440" w:name="Tc_PveEZcS8_kWLu7chH5-axQ_31_4"/>
      <w:bookmarkStart w:id="441" w:name="Tc_uruiT4Mk7ES_ycTytT-BYg_31_2"/>
      <w:bookmarkStart w:id="442" w:name="Tc_oJ1RBRZ1zEuYmqtj_yLYKw_31_0"/>
      <w:bookmarkStart w:id="443" w:name="Tc_BAXXi2Wf-kajualcT0H4hQ_30_0"/>
      <w:bookmarkStart w:id="444" w:name="Tc_RVnZTX9p2kaQQElcxT-9Vw_28_0"/>
      <w:bookmarkStart w:id="445" w:name="Tc_rihMzs9zOUqI-v3LHeZQ9A_27_6"/>
      <w:bookmarkStart w:id="446" w:name="Tc_gpUgAU028EemxYBJ1snR7g_27_4"/>
      <w:bookmarkStart w:id="447" w:name="Tc_fP52gsWMUUqDYBt8TK1_yw_27_2"/>
      <w:bookmarkStart w:id="448" w:name="Tc_-BYZjJ2zp0GXV69vWM2IBw_27_0"/>
      <w:bookmarkStart w:id="449" w:name="Tc_-2Z1Ucigg0i52bBl6S64vw_26_6"/>
      <w:bookmarkStart w:id="450" w:name="Tc_9CnfSkEWrEOEn6dWnT_vsw_26_4"/>
      <w:bookmarkStart w:id="451" w:name="Tc_XAYr3ECiLE63XNO5mv0L9g_26_2"/>
      <w:bookmarkStart w:id="452" w:name="Tc_2eBMwizqDE6gFS-hfuV2wg_26_0"/>
      <w:bookmarkStart w:id="453" w:name="Tc_SV9FYOGra0-VGbivv7PNzg_24_0"/>
      <w:bookmarkStart w:id="454" w:name="Tc_JIRSirbHNkyQXAi6Y1s7rA_22_0"/>
      <w:bookmarkStart w:id="455" w:name="Tc_e-7ayAoAwEyh-t0UQMGH-g_21_0"/>
      <w:bookmarkStart w:id="456" w:name="Tc_beuvVl6ga0-bZmQRHIkiZA_20_8"/>
      <w:bookmarkStart w:id="457" w:name="Tc_A7hOOsaMR0m1tQvSkIuekA_20_0"/>
      <w:bookmarkStart w:id="458" w:name="Tc_hIKfP-305kmccXdknHVCYg_19_0"/>
      <w:bookmarkStart w:id="459" w:name="Tc_Rb4R75_W-0iQ7fDW3FVjZA_18_2"/>
      <w:bookmarkStart w:id="460" w:name="Tc_J3dbR4lUXEC-PEtmwvsnDw_18_0"/>
      <w:bookmarkStart w:id="461" w:name="Tc_l0VgdYxm50O1HUNf5It4xg_17_2"/>
      <w:bookmarkStart w:id="462" w:name="Tc_aeMZKd0H6kaolVGKF-UycA_17_0"/>
      <w:bookmarkStart w:id="463" w:name="Tc_VrBM2cu8xkebO3Ol7rGZpg_16_4"/>
      <w:bookmarkStart w:id="464" w:name="Tc_Tx9R3G3tS0OAGH9P1-6YyQ_16_2"/>
      <w:bookmarkStart w:id="465" w:name="Tc_gmV9WRmXq0mf5kb3eY9SMg_16_0"/>
      <w:bookmarkStart w:id="466" w:name="Tc_eQXZ2nWZDUCMVt3kGX8rAQ_14_0"/>
      <w:bookmarkStart w:id="467" w:name="Tc_-siabRdBmEm31OVk5b-gEQ_12_2"/>
      <w:bookmarkStart w:id="468" w:name="Tc_WZuczJD2ekWr_NANEXvDrg_12_0"/>
      <w:bookmarkStart w:id="469" w:name="Tc_bsmz5jtQpEC4A2-Rlgs6Cw_11_0"/>
      <w:bookmarkStart w:id="470" w:name="Tc_QAcG38A6ukWDp4OkEX3zrQ_10_0"/>
      <w:bookmarkStart w:id="471" w:name="Tc_Khm4qwlSukCzaeM72ZCgaA_9_0"/>
      <w:bookmarkStart w:id="472" w:name="Tc_WewYPdpRUEuF3WEVVHxSzA_8_0"/>
      <w:bookmarkStart w:id="473" w:name="Tc_ZgVNGzpupk6RwWugfEnDSQ_6_0"/>
      <w:bookmarkStart w:id="474" w:name="Tc_q3iNSdPZK0earS1nZjXojg_5_0"/>
      <w:bookmarkStart w:id="475" w:name="Tc_Z9NqZOMx5UmhCiSiJ_KEAA_4_2"/>
      <w:bookmarkStart w:id="476" w:name="Tc_qbRZ7AlnMk2T4kx5icECVw_4_0"/>
      <w:bookmarkStart w:id="477" w:name="Tc_Qxms266oS0K875MamDlx_Q_3_0"/>
      <w:bookmarkStart w:id="478" w:name="Tc_2QuZWAsJokajTOZorCVNpw_2_8"/>
      <w:bookmarkStart w:id="479" w:name="Tc_LhqVtZLe702gW_Ra-Sr4tQ_2_6"/>
      <w:bookmarkStart w:id="480" w:name="Tc_mEvHdmtxi06nuY0leuLh5g_2_4"/>
      <w:bookmarkStart w:id="481" w:name="Tc_4na3gFK-ykaicZB9dvHYwQ_2_2"/>
      <w:bookmarkStart w:id="482" w:name="Tc_seErylDTz02W8uvDO_oqIw_1_4"/>
      <w:bookmarkStart w:id="483" w:name="_28dcf053_e180_4737_98d2_176f58ae4d7d"/>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tbl>
      <w:tblPr>
        <w:tblW w:w="10205" w:type="dxa"/>
        <w:jc w:val="left"/>
        <w:tblInd w:w="0" w:type="dxa"/>
        <w:tblLayout w:type="fixed"/>
        <w:tblCellMar>
          <w:top w:w="0" w:type="dxa"/>
          <w:left w:w="0" w:type="dxa"/>
          <w:bottom w:w="0" w:type="dxa"/>
          <w:right w:w="0" w:type="dxa"/>
        </w:tblCellMar>
      </w:tblPr>
      <w:tblGrid>
        <w:gridCol w:w="5806"/>
        <w:gridCol w:w="346"/>
        <w:gridCol w:w="660"/>
        <w:gridCol w:w="346"/>
        <w:gridCol w:w="769"/>
        <w:gridCol w:w="346"/>
        <w:gridCol w:w="769"/>
        <w:gridCol w:w="346"/>
        <w:gridCol w:w="817"/>
      </w:tblGrid>
      <w:tr>
        <w:trPr/>
        <w:tc>
          <w:tcPr>
            <w:tcW w:w="5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686810" cy="175260"/>
                      <wp:effectExtent l="0" t="0" r="0" b="0"/>
                      <wp:wrapNone/>
                      <wp:docPr id="146" name="Frame143"/>
                      <a:graphic xmlns:a="http://schemas.openxmlformats.org/drawingml/2006/main">
                        <a:graphicData uri="http://schemas.microsoft.com/office/word/2010/wordprocessingShape">
                          <wps:wsp>
                            <wps:cNvSpPr txBox="1"/>
                            <wps:spPr>
                              <a:xfrm>
                                <a:off x="0" y="0"/>
                                <a:ext cx="3686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47"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19100" cy="175260"/>
                      <wp:effectExtent l="0" t="0" r="0" b="0"/>
                      <wp:wrapNone/>
                      <wp:docPr id="148" name="Frame145"/>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49"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88315" cy="175260"/>
                      <wp:effectExtent l="0" t="0" r="0" b="0"/>
                      <wp:wrapNone/>
                      <wp:docPr id="150" name="Frame147"/>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1"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88315" cy="175260"/>
                      <wp:effectExtent l="0" t="0" r="0" b="0"/>
                      <wp:wrapNone/>
                      <wp:docPr id="152" name="Frame149"/>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3"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8795" cy="175260"/>
                      <wp:effectExtent l="0" t="0" r="0" b="0"/>
                      <wp:wrapNone/>
                      <wp:docPr id="154" name="Frame151"/>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 31(a)</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34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66,089</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(16,653)</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1,169</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2,495</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49,436</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(10,812)</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(7,269)</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(28,096)</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(4,813)</w:t>
            </w:r>
          </w:p>
        </w:tc>
        <w:tc>
          <w:tcPr>
            <w:tcW w:w="346" w:type="dxa"/>
            <w:tcBorders/>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w:t>
            </w:r>
          </w:p>
        </w:tc>
        <w:tc>
          <w:tcPr>
            <w:tcW w:w="346" w:type="dxa"/>
            <w:tcBorders/>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(46,841)</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(loss)/profit</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(3,644)</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(5,306)</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2,595</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net</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gain/(loss) on disposal of digital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fair value changes of digital assets on loan from related parties denominated in digital assets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of digital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changes of digital assets on loan from related parties denominated in digital assets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(18,007)</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(Loss)/profit from continuing operations before share of loss from an equity investee and income tax expense</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0"/>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3,648</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 from an equity investee</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from continuing operations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4,665</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lef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w:t>
            </w:r>
          </w:p>
        </w:tc>
        <w:tc>
          <w:tcPr>
            <w:tcW w:w="34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5.2, 5.3</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(loss)/profit</w:t>
            </w:r>
          </w:p>
        </w:tc>
        <w:tc>
          <w:tcPr>
            <w:tcW w:w="34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shd w:fill="CCEEFF" w:val="clear"/>
            <w:vAlign w:val="center"/>
          </w:tcPr>
          <w:p>
            <w:pPr>
              <w:pStyle w:val="TableContents"/>
              <w:bidi w:val="0"/>
              <w:spacing w:before="0" w:after="0"/>
              <w:ind w:left="0" w:right="0" w:hanging="0"/>
              <w:jc w:val="left"/>
              <w:rPr/>
            </w:pPr>
            <w:r>
              <w:rPr/>
              <w:t> </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2,630</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(loss)/profit attributable to:</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Owners of Amber International Holding Limited</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3,751</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5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0"/>
              <w:ind w:left="0" w:right="0" w:hanging="0"/>
              <w:jc w:val="left"/>
              <w:rPr/>
            </w:pPr>
            <w:r>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0"/>
              <w:ind w:left="0" w:right="0" w:hanging="0"/>
              <w:jc w:val="left"/>
              <w:rPr/>
            </w:pPr>
            <w:r>
              <w:rPr/>
              <w:t>​</w:t>
            </w:r>
          </w:p>
        </w:tc>
        <w:tc>
          <w:tcPr>
            <w:tcW w:w="8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2,630</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(loss)/profit attributable to owners of Amber International Holding Limited arises from:</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r>
      <w:tr>
        <w:trPr/>
        <w:tc>
          <w:tcPr>
            <w:tcW w:w="58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4,665</w:t>
            </w:r>
          </w:p>
        </w:tc>
      </w:tr>
      <w:tr>
        <w:trPr/>
        <w:tc>
          <w:tcPr>
            <w:tcW w:w="58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58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shd w:fill="CCEEFF" w:val="clear"/>
            <w:vAlign w:val="center"/>
          </w:tcPr>
          <w:p>
            <w:pPr>
              <w:pStyle w:val="TableContents"/>
              <w:bidi w:val="0"/>
              <w:spacing w:before="0" w:after="0"/>
              <w:ind w:left="0" w:right="0" w:hanging="0"/>
              <w:jc w:val="left"/>
              <w:rPr/>
            </w:pPr>
            <w:r>
              <w:rPr/>
              <w:t>​</w:t>
            </w:r>
          </w:p>
        </w:tc>
        <w:tc>
          <w:tcPr>
            <w:tcW w:w="7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shd w:fill="CCEEFF" w:val="clear"/>
            <w:vAlign w:val="center"/>
          </w:tcPr>
          <w:p>
            <w:pPr>
              <w:pStyle w:val="TableContents"/>
              <w:bidi w:val="0"/>
              <w:spacing w:before="0" w:after="0"/>
              <w:ind w:left="0" w:right="0" w:hanging="0"/>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3,751</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84" w:name="_d9830ac3_e196_4972_ad1f_ae7588173c1a"/>
      <w:bookmarkEnd w:id="484"/>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bookmarkStart w:id="485" w:name="CONSOLIDATEDSTATEMENTSOFCOMPREHENSIVELOS"/>
      <w:bookmarkStart w:id="486" w:name="_707195"/>
      <w:bookmarkEnd w:id="485"/>
      <w:bookmarkEnd w:id="486"/>
      <w:r>
        <w:rPr>
          <w:rFonts w:ascii="Times New Roman;Times;serif" w:hAnsi="Times New Roman;Times;serif"/>
          <w:b/>
          <w:sz w:val="20"/>
        </w:rPr>
        <w:t>CONSOLIDATED STATEMENTS OF COMPREHENSIVE LOSS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(US$’000, except share data and per share data, or otherwise noted)</w:t>
      </w:r>
    </w:p>
    <w:p>
      <w:pPr>
        <w:pStyle w:val="Normal"/>
        <w:bidi w:val="0"/>
        <w:spacing w:before="0" w:after="0"/>
        <w:jc w:val="left"/>
        <w:rPr>
          <w:sz w:val="4"/>
          <w:szCs w:val="4"/>
        </w:rPr>
      </w:pPr>
      <w:r>
        <w:rPr>
          <w:sz w:val="4"/>
          <w:szCs w:val="4"/>
        </w:rPr>
      </w:r>
      <w:bookmarkStart w:id="487" w:name="Tc_ESapRSAVLk6jkY19J2fCRQ_23_6"/>
      <w:bookmarkStart w:id="488" w:name="Tc_B-QQgR-TE06e7dCQV5l_CQ_23_4"/>
      <w:bookmarkStart w:id="489" w:name="Tc_OHogWiXygkSzFgZV8j2pXw_23_0"/>
      <w:bookmarkStart w:id="490" w:name="Tc_BfeoOKAzbU-JKihxl_f1sw_22_6"/>
      <w:bookmarkStart w:id="491" w:name="Tc_STYnqEmFU0O_nisLoRmscw_22_4"/>
      <w:bookmarkStart w:id="492" w:name="Tc_zNl1fFxdd0CkSrMKYBiUGg_22_0"/>
      <w:bookmarkStart w:id="493" w:name="Tc_sR3HpRFbP06Prh0z_UR2uQ_21_2"/>
      <w:bookmarkStart w:id="494" w:name="Tc_GfWPzfX820WT67FAdgQdVA_21_0"/>
      <w:bookmarkStart w:id="495" w:name="Tc_gHBL3RpvGkSze3DQArMNMw_19_0"/>
      <w:bookmarkStart w:id="496" w:name="Tc_Z0oiTjr970-20LS52YIZMg_18_0"/>
      <w:bookmarkStart w:id="497" w:name="Tc_DzoNrDvgZ0Guf8mK2sM5eg_17_2"/>
      <w:bookmarkStart w:id="498" w:name="Tc_i4ChADQxDUK5MPV0RA6Tow_17_0"/>
      <w:bookmarkStart w:id="499" w:name="Tc_-fh8nW6qQEmUUFFh59D-IQ_14_6"/>
      <w:bookmarkStart w:id="500" w:name="Tc_180enQ1L3kmBylscJ4xZSg_14_4"/>
      <w:bookmarkStart w:id="501" w:name="Tc_7NKuU6TmB0CkCxBETH7b7A_14_0"/>
      <w:bookmarkStart w:id="502" w:name="Tc_xYWT4CCuhUiYSUh7gPM-7A_13_0"/>
      <w:bookmarkStart w:id="503" w:name="Tc_cE6_KcOhDUS9FwFFkOZJCQ_12_0"/>
      <w:bookmarkStart w:id="504" w:name="Tc_7bDTM3VLd0OPE_SlRVJhTw_10_0"/>
      <w:bookmarkStart w:id="505" w:name="Tc_i-TuspdfzUu7JeskL98gJQ_9_6"/>
      <w:bookmarkStart w:id="506" w:name="Tc_f8-i7bx_BEyDL8JnVVZqcw_9_4"/>
      <w:bookmarkStart w:id="507" w:name="Tc_Z43nykTc2Ua2rdSFb1Wwxg_9_0"/>
      <w:bookmarkStart w:id="508" w:name="Tc_1P1yBhGqi0-7pu2QIHeeiA_8_0"/>
      <w:bookmarkStart w:id="509" w:name="Tc_JRHOhZ_FyE69Ix51zlZx3g_7_6"/>
      <w:bookmarkStart w:id="510" w:name="Tc_VW0sjTghyEOpHoNbosw_6w_7_4"/>
      <w:bookmarkStart w:id="511" w:name="Tc_zOsDaF-b-E6op8p5R_IgcA_7_0"/>
      <w:bookmarkStart w:id="512" w:name="Tc_RBxaHIiMlE-KXmirBvaj4g_6_0"/>
      <w:bookmarkStart w:id="513" w:name="Tc_GZ2cLZZA5kKeGNMuPMVAiw_5_0"/>
      <w:bookmarkStart w:id="514" w:name="Tc_wH7xuHsU5EmQsU4_XJXGRQ_3_0"/>
      <w:bookmarkStart w:id="515" w:name="Tc_3o9pz7WnIU-EB34Z-F4QpQ_2_8"/>
      <w:bookmarkStart w:id="516" w:name="Tc_ZOpwBkb_rUymK1ti9s40Kw_2_6"/>
      <w:bookmarkStart w:id="517" w:name="Tc_2cP8KFDqlUaNRoTnU4Noiw_2_4"/>
      <w:bookmarkStart w:id="518" w:name="Tc_J7Z9_rcAY0OPGoytqYPWJg_2_2"/>
      <w:bookmarkStart w:id="519" w:name="Tc_rzLqGS9eokWZdGGTgRLaHw_1_4"/>
      <w:bookmarkStart w:id="520" w:name="_efc6b131_5cfb_41d6_81f8_3b967a5173a9"/>
      <w:bookmarkStart w:id="521" w:name="Tc_ESapRSAVLk6jkY19J2fCRQ_23_6"/>
      <w:bookmarkStart w:id="522" w:name="Tc_B-QQgR-TE06e7dCQV5l_CQ_23_4"/>
      <w:bookmarkStart w:id="523" w:name="Tc_OHogWiXygkSzFgZV8j2pXw_23_0"/>
      <w:bookmarkStart w:id="524" w:name="Tc_BfeoOKAzbU-JKihxl_f1sw_22_6"/>
      <w:bookmarkStart w:id="525" w:name="Tc_STYnqEmFU0O_nisLoRmscw_22_4"/>
      <w:bookmarkStart w:id="526" w:name="Tc_zNl1fFxdd0CkSrMKYBiUGg_22_0"/>
      <w:bookmarkStart w:id="527" w:name="Tc_sR3HpRFbP06Prh0z_UR2uQ_21_2"/>
      <w:bookmarkStart w:id="528" w:name="Tc_GfWPzfX820WT67FAdgQdVA_21_0"/>
      <w:bookmarkStart w:id="529" w:name="Tc_gHBL3RpvGkSze3DQArMNMw_19_0"/>
      <w:bookmarkStart w:id="530" w:name="Tc_Z0oiTjr970-20LS52YIZMg_18_0"/>
      <w:bookmarkStart w:id="531" w:name="Tc_DzoNrDvgZ0Guf8mK2sM5eg_17_2"/>
      <w:bookmarkStart w:id="532" w:name="Tc_i4ChADQxDUK5MPV0RA6Tow_17_0"/>
      <w:bookmarkStart w:id="533" w:name="Tc_-fh8nW6qQEmUUFFh59D-IQ_14_6"/>
      <w:bookmarkStart w:id="534" w:name="Tc_180enQ1L3kmBylscJ4xZSg_14_4"/>
      <w:bookmarkStart w:id="535" w:name="Tc_7NKuU6TmB0CkCxBETH7b7A_14_0"/>
      <w:bookmarkStart w:id="536" w:name="Tc_xYWT4CCuhUiYSUh7gPM-7A_13_0"/>
      <w:bookmarkStart w:id="537" w:name="Tc_cE6_KcOhDUS9FwFFkOZJCQ_12_0"/>
      <w:bookmarkStart w:id="538" w:name="Tc_7bDTM3VLd0OPE_SlRVJhTw_10_0"/>
      <w:bookmarkStart w:id="539" w:name="Tc_i-TuspdfzUu7JeskL98gJQ_9_6"/>
      <w:bookmarkStart w:id="540" w:name="Tc_f8-i7bx_BEyDL8JnVVZqcw_9_4"/>
      <w:bookmarkStart w:id="541" w:name="Tc_Z43nykTc2Ua2rdSFb1Wwxg_9_0"/>
      <w:bookmarkStart w:id="542" w:name="Tc_1P1yBhGqi0-7pu2QIHeeiA_8_0"/>
      <w:bookmarkStart w:id="543" w:name="Tc_JRHOhZ_FyE69Ix51zlZx3g_7_6"/>
      <w:bookmarkStart w:id="544" w:name="Tc_VW0sjTghyEOpHoNbosw_6w_7_4"/>
      <w:bookmarkStart w:id="545" w:name="Tc_zOsDaF-b-E6op8p5R_IgcA_7_0"/>
      <w:bookmarkStart w:id="546" w:name="Tc_RBxaHIiMlE-KXmirBvaj4g_6_0"/>
      <w:bookmarkStart w:id="547" w:name="Tc_GZ2cLZZA5kKeGNMuPMVAiw_5_0"/>
      <w:bookmarkStart w:id="548" w:name="Tc_wH7xuHsU5EmQsU4_XJXGRQ_3_0"/>
      <w:bookmarkStart w:id="549" w:name="Tc_3o9pz7WnIU-EB34Z-F4QpQ_2_8"/>
      <w:bookmarkStart w:id="550" w:name="Tc_ZOpwBkb_rUymK1ti9s40Kw_2_6"/>
      <w:bookmarkStart w:id="551" w:name="Tc_2cP8KFDqlUaNRoTnU4Noiw_2_4"/>
      <w:bookmarkStart w:id="552" w:name="Tc_J7Z9_rcAY0OPGoytqYPWJg_2_2"/>
      <w:bookmarkStart w:id="553" w:name="Tc_rzLqGS9eokWZdGGTgRLaHw_1_4"/>
      <w:bookmarkStart w:id="554" w:name="_efc6b131_5cfb_41d6_81f8_3b967a5173a9"/>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10205" w:type="dxa"/>
        <w:jc w:val="left"/>
        <w:tblInd w:w="0" w:type="dxa"/>
        <w:tblLayout w:type="fixed"/>
        <w:tblCellMar>
          <w:top w:w="0" w:type="dxa"/>
          <w:left w:w="0" w:type="dxa"/>
          <w:bottom w:w="0" w:type="dxa"/>
          <w:right w:w="0" w:type="dxa"/>
        </w:tblCellMar>
      </w:tblPr>
      <w:tblGrid>
        <w:gridCol w:w="6019"/>
        <w:gridCol w:w="346"/>
        <w:gridCol w:w="451"/>
        <w:gridCol w:w="346"/>
        <w:gridCol w:w="768"/>
        <w:gridCol w:w="346"/>
        <w:gridCol w:w="768"/>
        <w:gridCol w:w="346"/>
        <w:gridCol w:w="815"/>
      </w:tblGrid>
      <w:tr>
        <w:trPr/>
        <w:tc>
          <w:tcPr>
            <w:tcW w:w="6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822065" cy="175260"/>
                      <wp:effectExtent l="0" t="0" r="0" b="0"/>
                      <wp:wrapNone/>
                      <wp:docPr id="155" name="Frame152"/>
                      <a:graphic xmlns:a="http://schemas.openxmlformats.org/drawingml/2006/main">
                        <a:graphicData uri="http://schemas.microsoft.com/office/word/2010/wordprocessingShape">
                          <wps:wsp>
                            <wps:cNvSpPr txBox="1"/>
                            <wps:spPr>
                              <a:xfrm>
                                <a:off x="0" y="0"/>
                                <a:ext cx="3822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56"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86385" cy="175260"/>
                      <wp:effectExtent l="0" t="0" r="0" b="0"/>
                      <wp:wrapNone/>
                      <wp:docPr id="157" name="Frame15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58"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87680" cy="175260"/>
                      <wp:effectExtent l="0" t="0" r="0" b="0"/>
                      <wp:wrapNone/>
                      <wp:docPr id="159" name="Frame156"/>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0"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87680" cy="175260"/>
                      <wp:effectExtent l="0" t="0" r="0" b="0"/>
                      <wp:wrapNone/>
                      <wp:docPr id="161" name="Frame158"/>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2"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17525" cy="175260"/>
                      <wp:effectExtent l="0" t="0" r="0" b="0"/>
                      <wp:wrapNone/>
                      <wp:docPr id="163" name="Frame160"/>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(loss)/profit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left"/>
              <w:rPr/>
            </w:pPr>
            <w:r>
              <w:rPr/>
              <w:t>​</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Item that may be reclassified subsequent to profit or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lef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0"/>
              <w:ind w:left="0" w:right="0" w:hanging="0"/>
              <w:jc w:val="left"/>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0"/>
              <w:ind w:left="0" w:right="0" w:hanging="0"/>
              <w:jc w:val="left"/>
              <w:rPr/>
            </w:pPr>
            <w:r>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Amber International Holding Limited’s ordinary shareholders, net of tax US$nil</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0"/>
              <w:ind w:left="0" w:right="0" w:hanging="0"/>
              <w:jc w:val="right"/>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0"/>
              <w:ind w:left="0" w:right="0" w:hanging="0"/>
              <w:jc w:val="right"/>
              <w:rPr/>
            </w:pPr>
            <w:r>
              <w:rPr/>
              <w:t> </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2,427</w:t>
            </w:r>
          </w:p>
        </w:tc>
      </w:tr>
      <w:tr>
        <w:trPr/>
        <w:tc>
          <w:tcPr>
            <w:tcW w:w="60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(loss)/income attributable to:</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Owners of Amber International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righ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601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shd w:fill="CCEEFF" w:val="clear"/>
            <w:vAlign w:val="center"/>
          </w:tcPr>
          <w:p>
            <w:pPr>
              <w:pStyle w:val="TableContents"/>
              <w:bidi w:val="0"/>
              <w:spacing w:before="0" w:after="0"/>
              <w:ind w:left="0" w:right="0" w:hanging="0"/>
              <w:jc w:val="right"/>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shd w:fill="CCEEFF" w:val="clear"/>
            <w:vAlign w:val="center"/>
          </w:tcPr>
          <w:p>
            <w:pPr>
              <w:pStyle w:val="TableContents"/>
              <w:bidi w:val="0"/>
              <w:spacing w:before="0" w:after="0"/>
              <w:ind w:left="0" w:right="0" w:hanging="0"/>
              <w:jc w:val="righ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1,321</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(loss)/profit from continued operations per ADS attributable to Amber International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15" w:type="dxa"/>
            <w:tcBorders/>
            <w:shd w:fill="CCEEFF" w:val="clear"/>
            <w:vAlign w:val="center"/>
          </w:tcPr>
          <w:p>
            <w:pPr>
              <w:pStyle w:val="TableContents"/>
              <w:bidi w:val="0"/>
              <w:spacing w:before="0" w:after="0"/>
              <w:ind w:left="0" w:right="0" w:hanging="0"/>
              <w:jc w:val="right"/>
              <w:rPr/>
            </w:pPr>
            <w:r>
              <w:rPr/>
              <w:t>​</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(0.2184)</w:t>
            </w:r>
          </w:p>
        </w:tc>
        <w:tc>
          <w:tcPr>
            <w:tcW w:w="346" w:type="dxa"/>
            <w:tcBorders/>
            <w:vAlign w:val="center"/>
          </w:tcPr>
          <w:p>
            <w:pPr>
              <w:pStyle w:val="TableContents"/>
              <w:bidi w:val="0"/>
              <w:spacing w:before="0" w:after="0"/>
              <w:ind w:left="0" w:right="0" w:hanging="0"/>
              <w:jc w:val="right"/>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(0.3756)</w:t>
            </w:r>
          </w:p>
        </w:tc>
        <w:tc>
          <w:tcPr>
            <w:tcW w:w="346" w:type="dxa"/>
            <w:tcBorders/>
            <w:vAlign w:val="center"/>
          </w:tcPr>
          <w:p>
            <w:pPr>
              <w:pStyle w:val="TableContents"/>
              <w:bidi w:val="0"/>
              <w:spacing w:before="0" w:after="0"/>
              <w:ind w:left="0" w:right="0" w:hanging="0"/>
              <w:jc w:val="right"/>
              <w:rPr/>
            </w:pPr>
            <w:r>
              <w:rPr/>
              <w:t>​</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0.0538</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(0.2184)</w:t>
            </w:r>
          </w:p>
        </w:tc>
        <w:tc>
          <w:tcPr>
            <w:tcW w:w="346" w:type="dxa"/>
            <w:tcBorders/>
            <w:shd w:fill="CCEEFF" w:val="clear"/>
            <w:vAlign w:val="center"/>
          </w:tcPr>
          <w:p>
            <w:pPr>
              <w:pStyle w:val="TableContents"/>
              <w:bidi w:val="0"/>
              <w:spacing w:before="0" w:after="0"/>
              <w:ind w:left="0" w:right="0" w:hanging="0"/>
              <w:jc w:val="right"/>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(0.3756)</w:t>
            </w:r>
          </w:p>
        </w:tc>
        <w:tc>
          <w:tcPr>
            <w:tcW w:w="346" w:type="dxa"/>
            <w:tcBorders/>
            <w:shd w:fill="CCEEFF" w:val="clear"/>
            <w:vAlign w:val="center"/>
          </w:tcPr>
          <w:p>
            <w:pPr>
              <w:pStyle w:val="TableContents"/>
              <w:bidi w:val="0"/>
              <w:spacing w:before="0" w:after="0"/>
              <w:ind w:left="0" w:right="0" w:hanging="0"/>
              <w:jc w:val="righ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0.0538</w:t>
            </w:r>
          </w:p>
        </w:tc>
      </w:tr>
      <w:tr>
        <w:trPr/>
        <w:tc>
          <w:tcPr>
            <w:tcW w:w="60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left"/>
              <w:rPr/>
            </w:pPr>
            <w:r>
              <w:rPr/>
              <w:t>​</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from discontinued operations per ADS attributable to Amber International Holding Limited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left"/>
              <w:rPr/>
            </w:pPr>
            <w:r>
              <w:rPr/>
              <w:t>​</w:t>
            </w:r>
          </w:p>
        </w:tc>
      </w:tr>
      <w:tr>
        <w:trPr/>
        <w:tc>
          <w:tcPr>
            <w:tcW w:w="60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Basic</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(0.0105)</w:t>
            </w:r>
          </w:p>
        </w:tc>
      </w:tr>
      <w:tr>
        <w:trPr/>
        <w:tc>
          <w:tcPr>
            <w:tcW w:w="601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Diluted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(0.0105)</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55" w:name="_60d6da1e_9221_4c31_ad1a_2cba9d9fabb7"/>
      <w:bookmarkEnd w:id="555"/>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bookmarkStart w:id="556" w:name="CONSOLIDATEDSTATEMENTSOFCHANGESINEQUITY_"/>
      <w:bookmarkEnd w:id="556"/>
      <w:r>
        <w:rPr>
          <w:rFonts w:ascii="Times New Roman;Times;serif" w:hAnsi="Times New Roman;Times;serif"/>
          <w:b/>
          <w:sz w:val="20"/>
        </w:rPr>
        <w:t>CONSOLIDATED STATEMENTS OF CHANGES IN SHAREHOLDERS’ EQUITY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57" w:name="Tc_9KNaKrPN-ki-t3uMgHFvWg_36_14"/>
      <w:bookmarkStart w:id="558" w:name="Tc_PnzJN8WkdkWQVOgQJSm8Zw_36_0"/>
      <w:bookmarkStart w:id="559" w:name="Tc_JkmtTnaIf0OlqQcuuuAzeg_35_10"/>
      <w:bookmarkStart w:id="560" w:name="Tc_JmdmX7e1lEWU3xm6293EEQ_34_12"/>
      <w:bookmarkStart w:id="561" w:name="Tc_4sZPLelVbkmiBX93j54O0A_34_10"/>
      <w:bookmarkStart w:id="562" w:name="Tc_LZu9dm_edEq3RL5oq8u1Dg_34_8"/>
      <w:bookmarkStart w:id="563" w:name="Tc_CiQt90N3XEWl6rDTCw0SfA_34_6"/>
      <w:bookmarkStart w:id="564" w:name="Tc_11vSai1JkESoWp3ud-JR7w_34_4"/>
      <w:bookmarkStart w:id="565" w:name="Tc_r1dpDz7lT02sKjHUsUfcMg_34_2"/>
      <w:bookmarkStart w:id="566" w:name="Tc_R-m_41x9BE6fY0vjKfX3vg_34_0"/>
      <w:bookmarkStart w:id="567" w:name="Tc_p202JrqlBEqOvPjt_qWaoQ_33_14"/>
      <w:bookmarkStart w:id="568" w:name="Tc_TZ5LlW1eTEe2D7zUPThhyA_33_10"/>
      <w:bookmarkStart w:id="569" w:name="Tc_d8_8eKqcJUinD8gbArZlRg_33_6"/>
      <w:bookmarkStart w:id="570" w:name="Tc_j0KnLJlNKEGSDAJVuzTtFA_33_4"/>
      <w:bookmarkStart w:id="571" w:name="Tc_R3C0kyUeYEaS2szs3AHvKg_33_2"/>
      <w:bookmarkStart w:id="572" w:name="Tc_MYW4Ci3o-kauCpwVh64-Sg_33_0"/>
      <w:bookmarkStart w:id="573" w:name="Tc_OCFlz5acEkunOWbPaLU4Vg_32_16"/>
      <w:bookmarkStart w:id="574" w:name="Tc_v2DMbq-DwE22ZzOp43Q3BA_32_14"/>
      <w:bookmarkStart w:id="575" w:name="Tc_N3z6ehxbiUypuwlxEwZM5A_32_12"/>
      <w:bookmarkStart w:id="576" w:name="Tc_dXC3Qv1RnEuqAqtdAJ8Bfw_32_10"/>
      <w:bookmarkStart w:id="577" w:name="Tc_Ui_C9AT0_UiDwJ6GvDyEcA_32_8"/>
      <w:bookmarkStart w:id="578" w:name="Tc_NjO1_c44DUKcjXkDqbMR_A_32_2"/>
      <w:bookmarkStart w:id="579" w:name="Tc_hDxv5LMOREa5RhreCECs8w_32_0"/>
      <w:bookmarkStart w:id="580" w:name="Tc_cPDU9XfYLUyZQpnYK3lqpQ_31_14"/>
      <w:bookmarkStart w:id="581" w:name="Tc_mngSO6f4y0epgwqFXV2MUA_31_10"/>
      <w:bookmarkStart w:id="582" w:name="Tc_iAH2fw2S60irbLbFEPp-uw_31_8"/>
      <w:bookmarkStart w:id="583" w:name="Tc_GL7C-kDJrEeomvDm9mUMtw_31_4"/>
      <w:bookmarkStart w:id="584" w:name="Tc_ffTZSEpPd0mKShoJOhvPQg_31_2"/>
      <w:bookmarkStart w:id="585" w:name="Tc_saeTBaP6z0KbncKoaPLMtg_31_0"/>
      <w:bookmarkStart w:id="586" w:name="Tc_js_UX3BNC0WM2nrsIpABZA_30_14"/>
      <w:bookmarkStart w:id="587" w:name="Tc_cCYs8E4mgU-tDxyWUvhU3Q_30_10"/>
      <w:bookmarkStart w:id="588" w:name="Tc_XQM5eXCuSUa5sLYQ0PN1Yg_30_8"/>
      <w:bookmarkStart w:id="589" w:name="Tc_q7JOBRiFEk6D1vYRy99Hgw_30_6"/>
      <w:bookmarkStart w:id="590" w:name="Tc_VwD447Eel0KnJnA6vhCxcA_30_0"/>
      <w:bookmarkStart w:id="591" w:name="Tc_Cr5KBvD7VUCAEeYOMRFyGg_29_10"/>
      <w:bookmarkStart w:id="592" w:name="Tc_ytnjb7onHUyEiliXSRXdJg_29_8"/>
      <w:bookmarkStart w:id="593" w:name="Tc_-vRIsvYOykyeeNEHXShzvw_29_0"/>
      <w:bookmarkStart w:id="594" w:name="Tc_44ogX8wC3U2KDh_j8-mvuQ_28_0"/>
      <w:bookmarkStart w:id="595" w:name="Tc_Zeagh8YlPkiZWlrzEfUzQA_26_14"/>
      <w:bookmarkStart w:id="596" w:name="Tc_k_xOSsKqskCHPXVehIT6ZA_26_10"/>
      <w:bookmarkStart w:id="597" w:name="Tc_vP9hGt0Gz06p4X5y7IINGQ_26_6"/>
      <w:bookmarkStart w:id="598" w:name="Tc_O0NdD8azvEyj-h6rEhcAMQ_26_4"/>
      <w:bookmarkStart w:id="599" w:name="Tc_1I6djHKAskeXFRYurql5gg_26_2"/>
      <w:bookmarkStart w:id="600" w:name="Tc_TGwf23xZp02dcVznt0lpFQ_26_0"/>
      <w:bookmarkStart w:id="601" w:name="Tc_pEWrppMj-EePTteR9e0OQQ_24_6"/>
      <w:bookmarkStart w:id="602" w:name="Tc_cGAe2qsOo0axmkLM9rwpAw_24_4"/>
      <w:bookmarkStart w:id="603" w:name="Tc_0YAQGuXgBkWgvi8qxUvYrQ_24_2"/>
      <w:bookmarkStart w:id="604" w:name="Tc_ovs3ibLwTkWEZs0ombnasw_24_0"/>
      <w:bookmarkStart w:id="605" w:name="Tc_RCZkmAXgpEe0s7L_3YsyBA_23_10"/>
      <w:bookmarkStart w:id="606" w:name="Tc_izKavgqnz0KOzEK34La1bA_23_6"/>
      <w:bookmarkStart w:id="607" w:name="Tc_0x7Hdl2l2EmxBy_E4r4dnQ_23_4"/>
      <w:bookmarkStart w:id="608" w:name="Tc_DyloZdbeu0OFZPxSLW8USg_23_2"/>
      <w:bookmarkStart w:id="609" w:name="Tc_4XTlulZOz0yYivUavSKNVA_23_0"/>
      <w:bookmarkStart w:id="610" w:name="Tc_rvEeCQutvEqxJD44HiAenQ_22_8"/>
      <w:bookmarkStart w:id="611" w:name="Tc_4-u7WYXbnUCNIqhhG2EjcA_22_6"/>
      <w:bookmarkStart w:id="612" w:name="Tc_no4XHeRdfkK1fwsrKGAoNg_22_4"/>
      <w:bookmarkStart w:id="613" w:name="Tc_sjRMtNBIBUyRZPr0ukjMoQ_22_2"/>
      <w:bookmarkStart w:id="614" w:name="Tc_Ef-qGIoyhUWInFLPxVY17g_22_0"/>
      <w:bookmarkStart w:id="615" w:name="Tc_lLb7GzBQT0acDQhwVAglRA_20_14"/>
      <w:bookmarkStart w:id="616" w:name="Tc_PHwebmYuAk2rKdWBAofq1Q_20_6"/>
      <w:bookmarkStart w:id="617" w:name="Tc_gRKoJDGc302ZeTAJmGMSSg_20_0"/>
      <w:bookmarkStart w:id="618" w:name="Tc_dBlYjwBXek-Xb8VlOxpYHw_18_14"/>
      <w:bookmarkStart w:id="619" w:name="Tc_UVceUgtiNUiRpLXGECR4gg_18_6"/>
      <w:bookmarkStart w:id="620" w:name="Tc_CdcLOsqym0KD_Pc_ZPWu6w_18_0"/>
      <w:bookmarkStart w:id="621" w:name="Tc_GTbQORMZA0qdPZMU97_AsA_16_14"/>
      <w:bookmarkStart w:id="622" w:name="Tc_UfiP89h7GECC4hc73tW2UA_16_10"/>
      <w:bookmarkStart w:id="623" w:name="Tc_bVWHATkChke0VC7w_ZREeA_16_8"/>
      <w:bookmarkStart w:id="624" w:name="Tc_4HXp5L5GWUWr5M1c35A-WA_16_6"/>
      <w:bookmarkStart w:id="625" w:name="Tc_LKV5kmUYgUqfK41p9EM11g_16_2"/>
      <w:bookmarkStart w:id="626" w:name="Tc_L8O9ig4dc023riDm3lfp0g_16_0"/>
      <w:bookmarkStart w:id="627" w:name="Tc_NFPc_7uCOku9Lh5qF8Ddjw_15_14"/>
      <w:bookmarkStart w:id="628" w:name="Tc_Ls3fINuleEq8_JiLPKCVUQ_15_10"/>
      <w:bookmarkStart w:id="629" w:name="Tc_CdxvJKjW8E-Vp--wKEuudg_15_6"/>
      <w:bookmarkStart w:id="630" w:name="Tc_LJj4LGPeeU2L6A7vEvpr5g_15_4"/>
      <w:bookmarkStart w:id="631" w:name="Tc_3SzPb9PLrki99EWRFZaIuQ_15_2"/>
      <w:bookmarkStart w:id="632" w:name="Tc_0IRk2_q760-04ARsGoGlfA_15_0"/>
      <w:bookmarkStart w:id="633" w:name="Tc_N88vneNfL0eNvJ66wUs_mw_14_14"/>
      <w:bookmarkStart w:id="634" w:name="Tc_Ifyo1tRpnU-drA3alxWfiQ_14_6"/>
      <w:bookmarkStart w:id="635" w:name="Tc_-yKgjIVuTU-pLRB8lmFsUQ_14_4"/>
      <w:bookmarkStart w:id="636" w:name="Tc_j3y021qQAEWmkQHijiHbag_14_2"/>
      <w:bookmarkStart w:id="637" w:name="Tc_Cf2qH687902vSaaVU_n9BQ_14_0"/>
      <w:bookmarkStart w:id="638" w:name="Tc_DKTwm-PVyUa__BiOVElBeA_12_14"/>
      <w:bookmarkStart w:id="639" w:name="Tc_SBFyR23o7EKGH91BgYQe9A_12_6"/>
      <w:bookmarkStart w:id="640" w:name="Tc_DH4UZqvwSUegZlg6vkQKHw_12_0"/>
      <w:bookmarkStart w:id="641" w:name="Tc_xI_ImIBw1k-GQvxd9p80fw_10_14"/>
      <w:bookmarkStart w:id="642" w:name="Tc_LHu0dRkBzU62V4jAQHJRWg_10_6"/>
      <w:bookmarkStart w:id="643" w:name="Tc_XXGV8Z-itEK9jV74AdpkCQ_10_0"/>
      <w:bookmarkStart w:id="644" w:name="Tc_pyRal4Q2FU23kwSHHSuN9A_8_14"/>
      <w:bookmarkStart w:id="645" w:name="Tc_elmY5re8lU2zapKFFygkcg_8_8"/>
      <w:bookmarkStart w:id="646" w:name="Tc_4KzqLj6Z-kGLb0dQnOiHGA_8_6"/>
      <w:bookmarkStart w:id="647" w:name="Tc_rLPe8WXiB0uPSwn6k3I2YA_8_4"/>
      <w:bookmarkStart w:id="648" w:name="Tc_BT_At_xs3kml0rF-cZCbdw_8_2"/>
      <w:bookmarkStart w:id="649" w:name="Tc_mPKB7JIUCU61vR4AC3WuvA_8_0"/>
      <w:bookmarkStart w:id="650" w:name="Tc__lPM32GiJUqDOILUhfVM_Q_6_14"/>
      <w:bookmarkStart w:id="651" w:name="Tc_fBrKhEGyP0q9IEnin6b6wA_6_6"/>
      <w:bookmarkStart w:id="652" w:name="Tc_dK3AY7NrUUqOLUq7zooYnQ_6_0"/>
      <w:bookmarkStart w:id="653" w:name="Tc_yU0_aKEYsEmy08soSsta4A_5_16"/>
      <w:bookmarkStart w:id="654" w:name="Tc_SQdFHrAYwkKW6BABCsJaow_5_14"/>
      <w:bookmarkStart w:id="655" w:name="Tc_lzO-hZESzkCJLMADsvtLbA_5_12"/>
      <w:bookmarkStart w:id="656" w:name="Tc_cVOA2ZonaU-OzEdvkJxUUg_5_10"/>
      <w:bookmarkStart w:id="657" w:name="Tc_kbzG9hU-zUOrF7saPnqv9A_5_8"/>
      <w:bookmarkStart w:id="658" w:name="Tc_oUqXeZ5xkU-cRtXgK_GPug_5_6"/>
      <w:bookmarkStart w:id="659" w:name="Tc_3-fyvWymRUG78R9YQaBCkQ_5_4"/>
      <w:bookmarkStart w:id="660" w:name="Tc_eJrniB4gBEeI3F6O9Np9Zg_5_2"/>
      <w:bookmarkStart w:id="661" w:name="Tc_P_0UEbofBEWcTSmDWSgd1A_4_16"/>
      <w:bookmarkStart w:id="662" w:name="Tc_SRFHpdUoTEqXeI5OL_Oiwg_4_14"/>
      <w:bookmarkStart w:id="663" w:name="Tc_kr28Zxys9Umnx7271iH8uA_4_12"/>
      <w:bookmarkStart w:id="664" w:name="Tc_6nTWOVoP2EqAQrHMycyyaQ_4_10"/>
      <w:bookmarkStart w:id="665" w:name="Tc_AQd-faMbRkiMwZs4lJZ_CQ_4_8"/>
      <w:bookmarkStart w:id="666" w:name="Tc_tLiX6dk-NkW3KMUFLxvUcA_4_6"/>
      <w:bookmarkStart w:id="667" w:name="Tc_foRh0FBtokWuAmlM71OynQ_4_4"/>
      <w:bookmarkStart w:id="668" w:name="Tc_96SaFXG3JkuOIPpwZC92Lg_4_2"/>
      <w:bookmarkStart w:id="669" w:name="Tc_TBimLP3ptU-kYN-S8l3oMQ_3_12"/>
      <w:bookmarkStart w:id="670" w:name="Tc_2n1O4E-DlkmsHDx3jYFHCg_3_8"/>
      <w:bookmarkStart w:id="671" w:name="Tc_U0OqkgsRE0SQNVefAcPxwQ_3_6"/>
      <w:bookmarkStart w:id="672" w:name="Tc_x7ZJyG6Oa0qmres3eKWWUA_3_4"/>
      <w:bookmarkStart w:id="673" w:name="Tc_ZGuhPZeiBU6O7NuolUGYpQ_3_2"/>
      <w:bookmarkStart w:id="674" w:name="Tc_DBDuPkwC4ki-HczMR718wA_2_12"/>
      <w:bookmarkStart w:id="675" w:name="_f76deda8_4511_4c3b_93b0_4b29aa949f5a"/>
      <w:bookmarkStart w:id="676" w:name="Tc_9KNaKrPN-ki-t3uMgHFvWg_36_14"/>
      <w:bookmarkStart w:id="677" w:name="Tc_PnzJN8WkdkWQVOgQJSm8Zw_36_0"/>
      <w:bookmarkStart w:id="678" w:name="Tc_JkmtTnaIf0OlqQcuuuAzeg_35_10"/>
      <w:bookmarkStart w:id="679" w:name="Tc_JmdmX7e1lEWU3xm6293EEQ_34_12"/>
      <w:bookmarkStart w:id="680" w:name="Tc_4sZPLelVbkmiBX93j54O0A_34_10"/>
      <w:bookmarkStart w:id="681" w:name="Tc_LZu9dm_edEq3RL5oq8u1Dg_34_8"/>
      <w:bookmarkStart w:id="682" w:name="Tc_CiQt90N3XEWl6rDTCw0SfA_34_6"/>
      <w:bookmarkStart w:id="683" w:name="Tc_11vSai1JkESoWp3ud-JR7w_34_4"/>
      <w:bookmarkStart w:id="684" w:name="Tc_r1dpDz7lT02sKjHUsUfcMg_34_2"/>
      <w:bookmarkStart w:id="685" w:name="Tc_R-m_41x9BE6fY0vjKfX3vg_34_0"/>
      <w:bookmarkStart w:id="686" w:name="Tc_p202JrqlBEqOvPjt_qWaoQ_33_14"/>
      <w:bookmarkStart w:id="687" w:name="Tc_TZ5LlW1eTEe2D7zUPThhyA_33_10"/>
      <w:bookmarkStart w:id="688" w:name="Tc_d8_8eKqcJUinD8gbArZlRg_33_6"/>
      <w:bookmarkStart w:id="689" w:name="Tc_j0KnLJlNKEGSDAJVuzTtFA_33_4"/>
      <w:bookmarkStart w:id="690" w:name="Tc_R3C0kyUeYEaS2szs3AHvKg_33_2"/>
      <w:bookmarkStart w:id="691" w:name="Tc_MYW4Ci3o-kauCpwVh64-Sg_33_0"/>
      <w:bookmarkStart w:id="692" w:name="Tc_OCFlz5acEkunOWbPaLU4Vg_32_16"/>
      <w:bookmarkStart w:id="693" w:name="Tc_v2DMbq-DwE22ZzOp43Q3BA_32_14"/>
      <w:bookmarkStart w:id="694" w:name="Tc_N3z6ehxbiUypuwlxEwZM5A_32_12"/>
      <w:bookmarkStart w:id="695" w:name="Tc_dXC3Qv1RnEuqAqtdAJ8Bfw_32_10"/>
      <w:bookmarkStart w:id="696" w:name="Tc_Ui_C9AT0_UiDwJ6GvDyEcA_32_8"/>
      <w:bookmarkStart w:id="697" w:name="Tc_NjO1_c44DUKcjXkDqbMR_A_32_2"/>
      <w:bookmarkStart w:id="698" w:name="Tc_hDxv5LMOREa5RhreCECs8w_32_0"/>
      <w:bookmarkStart w:id="699" w:name="Tc_cPDU9XfYLUyZQpnYK3lqpQ_31_14"/>
      <w:bookmarkStart w:id="700" w:name="Tc_mngSO6f4y0epgwqFXV2MUA_31_10"/>
      <w:bookmarkStart w:id="701" w:name="Tc_iAH2fw2S60irbLbFEPp-uw_31_8"/>
      <w:bookmarkStart w:id="702" w:name="Tc_GL7C-kDJrEeomvDm9mUMtw_31_4"/>
      <w:bookmarkStart w:id="703" w:name="Tc_ffTZSEpPd0mKShoJOhvPQg_31_2"/>
      <w:bookmarkStart w:id="704" w:name="Tc_saeTBaP6z0KbncKoaPLMtg_31_0"/>
      <w:bookmarkStart w:id="705" w:name="Tc_js_UX3BNC0WM2nrsIpABZA_30_14"/>
      <w:bookmarkStart w:id="706" w:name="Tc_cCYs8E4mgU-tDxyWUvhU3Q_30_10"/>
      <w:bookmarkStart w:id="707" w:name="Tc_XQM5eXCuSUa5sLYQ0PN1Yg_30_8"/>
      <w:bookmarkStart w:id="708" w:name="Tc_q7JOBRiFEk6D1vYRy99Hgw_30_6"/>
      <w:bookmarkStart w:id="709" w:name="Tc_VwD447Eel0KnJnA6vhCxcA_30_0"/>
      <w:bookmarkStart w:id="710" w:name="Tc_Cr5KBvD7VUCAEeYOMRFyGg_29_10"/>
      <w:bookmarkStart w:id="711" w:name="Tc_ytnjb7onHUyEiliXSRXdJg_29_8"/>
      <w:bookmarkStart w:id="712" w:name="Tc_-vRIsvYOykyeeNEHXShzvw_29_0"/>
      <w:bookmarkStart w:id="713" w:name="Tc_44ogX8wC3U2KDh_j8-mvuQ_28_0"/>
      <w:bookmarkStart w:id="714" w:name="Tc_Zeagh8YlPkiZWlrzEfUzQA_26_14"/>
      <w:bookmarkStart w:id="715" w:name="Tc_k_xOSsKqskCHPXVehIT6ZA_26_10"/>
      <w:bookmarkStart w:id="716" w:name="Tc_vP9hGt0Gz06p4X5y7IINGQ_26_6"/>
      <w:bookmarkStart w:id="717" w:name="Tc_O0NdD8azvEyj-h6rEhcAMQ_26_4"/>
      <w:bookmarkStart w:id="718" w:name="Tc_1I6djHKAskeXFRYurql5gg_26_2"/>
      <w:bookmarkStart w:id="719" w:name="Tc_TGwf23xZp02dcVznt0lpFQ_26_0"/>
      <w:bookmarkStart w:id="720" w:name="Tc_pEWrppMj-EePTteR9e0OQQ_24_6"/>
      <w:bookmarkStart w:id="721" w:name="Tc_cGAe2qsOo0axmkLM9rwpAw_24_4"/>
      <w:bookmarkStart w:id="722" w:name="Tc_0YAQGuXgBkWgvi8qxUvYrQ_24_2"/>
      <w:bookmarkStart w:id="723" w:name="Tc_ovs3ibLwTkWEZs0ombnasw_24_0"/>
      <w:bookmarkStart w:id="724" w:name="Tc_RCZkmAXgpEe0s7L_3YsyBA_23_10"/>
      <w:bookmarkStart w:id="725" w:name="Tc_izKavgqnz0KOzEK34La1bA_23_6"/>
      <w:bookmarkStart w:id="726" w:name="Tc_0x7Hdl2l2EmxBy_E4r4dnQ_23_4"/>
      <w:bookmarkStart w:id="727" w:name="Tc_DyloZdbeu0OFZPxSLW8USg_23_2"/>
      <w:bookmarkStart w:id="728" w:name="Tc_4XTlulZOz0yYivUavSKNVA_23_0"/>
      <w:bookmarkStart w:id="729" w:name="Tc_rvEeCQutvEqxJD44HiAenQ_22_8"/>
      <w:bookmarkStart w:id="730" w:name="Tc_4-u7WYXbnUCNIqhhG2EjcA_22_6"/>
      <w:bookmarkStart w:id="731" w:name="Tc_no4XHeRdfkK1fwsrKGAoNg_22_4"/>
      <w:bookmarkStart w:id="732" w:name="Tc_sjRMtNBIBUyRZPr0ukjMoQ_22_2"/>
      <w:bookmarkStart w:id="733" w:name="Tc_Ef-qGIoyhUWInFLPxVY17g_22_0"/>
      <w:bookmarkStart w:id="734" w:name="Tc_lLb7GzBQT0acDQhwVAglRA_20_14"/>
      <w:bookmarkStart w:id="735" w:name="Tc_PHwebmYuAk2rKdWBAofq1Q_20_6"/>
      <w:bookmarkStart w:id="736" w:name="Tc_gRKoJDGc302ZeTAJmGMSSg_20_0"/>
      <w:bookmarkStart w:id="737" w:name="Tc_dBlYjwBXek-Xb8VlOxpYHw_18_14"/>
      <w:bookmarkStart w:id="738" w:name="Tc_UVceUgtiNUiRpLXGECR4gg_18_6"/>
      <w:bookmarkStart w:id="739" w:name="Tc_CdcLOsqym0KD_Pc_ZPWu6w_18_0"/>
      <w:bookmarkStart w:id="740" w:name="Tc_GTbQORMZA0qdPZMU97_AsA_16_14"/>
      <w:bookmarkStart w:id="741" w:name="Tc_UfiP89h7GECC4hc73tW2UA_16_10"/>
      <w:bookmarkStart w:id="742" w:name="Tc_bVWHATkChke0VC7w_ZREeA_16_8"/>
      <w:bookmarkStart w:id="743" w:name="Tc_4HXp5L5GWUWr5M1c35A-WA_16_6"/>
      <w:bookmarkStart w:id="744" w:name="Tc_LKV5kmUYgUqfK41p9EM11g_16_2"/>
      <w:bookmarkStart w:id="745" w:name="Tc_L8O9ig4dc023riDm3lfp0g_16_0"/>
      <w:bookmarkStart w:id="746" w:name="Tc_NFPc_7uCOku9Lh5qF8Ddjw_15_14"/>
      <w:bookmarkStart w:id="747" w:name="Tc_Ls3fINuleEq8_JiLPKCVUQ_15_10"/>
      <w:bookmarkStart w:id="748" w:name="Tc_CdxvJKjW8E-Vp--wKEuudg_15_6"/>
      <w:bookmarkStart w:id="749" w:name="Tc_LJj4LGPeeU2L6A7vEvpr5g_15_4"/>
      <w:bookmarkStart w:id="750" w:name="Tc_3SzPb9PLrki99EWRFZaIuQ_15_2"/>
      <w:bookmarkStart w:id="751" w:name="Tc_0IRk2_q760-04ARsGoGlfA_15_0"/>
      <w:bookmarkStart w:id="752" w:name="Tc_N88vneNfL0eNvJ66wUs_mw_14_14"/>
      <w:bookmarkStart w:id="753" w:name="Tc_Ifyo1tRpnU-drA3alxWfiQ_14_6"/>
      <w:bookmarkStart w:id="754" w:name="Tc_-yKgjIVuTU-pLRB8lmFsUQ_14_4"/>
      <w:bookmarkStart w:id="755" w:name="Tc_j3y021qQAEWmkQHijiHbag_14_2"/>
      <w:bookmarkStart w:id="756" w:name="Tc_Cf2qH687902vSaaVU_n9BQ_14_0"/>
      <w:bookmarkStart w:id="757" w:name="Tc_DKTwm-PVyUa__BiOVElBeA_12_14"/>
      <w:bookmarkStart w:id="758" w:name="Tc_SBFyR23o7EKGH91BgYQe9A_12_6"/>
      <w:bookmarkStart w:id="759" w:name="Tc_DH4UZqvwSUegZlg6vkQKHw_12_0"/>
      <w:bookmarkStart w:id="760" w:name="Tc_xI_ImIBw1k-GQvxd9p80fw_10_14"/>
      <w:bookmarkStart w:id="761" w:name="Tc_LHu0dRkBzU62V4jAQHJRWg_10_6"/>
      <w:bookmarkStart w:id="762" w:name="Tc_XXGV8Z-itEK9jV74AdpkCQ_10_0"/>
      <w:bookmarkStart w:id="763" w:name="Tc_pyRal4Q2FU23kwSHHSuN9A_8_14"/>
      <w:bookmarkStart w:id="764" w:name="Tc_elmY5re8lU2zapKFFygkcg_8_8"/>
      <w:bookmarkStart w:id="765" w:name="Tc_4KzqLj6Z-kGLb0dQnOiHGA_8_6"/>
      <w:bookmarkStart w:id="766" w:name="Tc_rLPe8WXiB0uPSwn6k3I2YA_8_4"/>
      <w:bookmarkStart w:id="767" w:name="Tc_BT_At_xs3kml0rF-cZCbdw_8_2"/>
      <w:bookmarkStart w:id="768" w:name="Tc_mPKB7JIUCU61vR4AC3WuvA_8_0"/>
      <w:bookmarkStart w:id="769" w:name="Tc__lPM32GiJUqDOILUhfVM_Q_6_14"/>
      <w:bookmarkStart w:id="770" w:name="Tc_fBrKhEGyP0q9IEnin6b6wA_6_6"/>
      <w:bookmarkStart w:id="771" w:name="Tc_dK3AY7NrUUqOLUq7zooYnQ_6_0"/>
      <w:bookmarkStart w:id="772" w:name="Tc_yU0_aKEYsEmy08soSsta4A_5_16"/>
      <w:bookmarkStart w:id="773" w:name="Tc_SQdFHrAYwkKW6BABCsJaow_5_14"/>
      <w:bookmarkStart w:id="774" w:name="Tc_lzO-hZESzkCJLMADsvtLbA_5_12"/>
      <w:bookmarkStart w:id="775" w:name="Tc_cVOA2ZonaU-OzEdvkJxUUg_5_10"/>
      <w:bookmarkStart w:id="776" w:name="Tc_kbzG9hU-zUOrF7saPnqv9A_5_8"/>
      <w:bookmarkStart w:id="777" w:name="Tc_oUqXeZ5xkU-cRtXgK_GPug_5_6"/>
      <w:bookmarkStart w:id="778" w:name="Tc_3-fyvWymRUG78R9YQaBCkQ_5_4"/>
      <w:bookmarkStart w:id="779" w:name="Tc_eJrniB4gBEeI3F6O9Np9Zg_5_2"/>
      <w:bookmarkStart w:id="780" w:name="Tc_P_0UEbofBEWcTSmDWSgd1A_4_16"/>
      <w:bookmarkStart w:id="781" w:name="Tc_SRFHpdUoTEqXeI5OL_Oiwg_4_14"/>
      <w:bookmarkStart w:id="782" w:name="Tc_kr28Zxys9Umnx7271iH8uA_4_12"/>
      <w:bookmarkStart w:id="783" w:name="Tc_6nTWOVoP2EqAQrHMycyyaQ_4_10"/>
      <w:bookmarkStart w:id="784" w:name="Tc_AQd-faMbRkiMwZs4lJZ_CQ_4_8"/>
      <w:bookmarkStart w:id="785" w:name="Tc_tLiX6dk-NkW3KMUFLxvUcA_4_6"/>
      <w:bookmarkStart w:id="786" w:name="Tc_foRh0FBtokWuAmlM71OynQ_4_4"/>
      <w:bookmarkStart w:id="787" w:name="Tc_96SaFXG3JkuOIPpwZC92Lg_4_2"/>
      <w:bookmarkStart w:id="788" w:name="Tc_TBimLP3ptU-kYN-S8l3oMQ_3_12"/>
      <w:bookmarkStart w:id="789" w:name="Tc_2n1O4E-DlkmsHDx3jYFHCg_3_8"/>
      <w:bookmarkStart w:id="790" w:name="Tc_U0OqkgsRE0SQNVefAcPxwQ_3_6"/>
      <w:bookmarkStart w:id="791" w:name="Tc_x7ZJyG6Oa0qmres3eKWWUA_3_4"/>
      <w:bookmarkStart w:id="792" w:name="Tc_ZGuhPZeiBU6O7NuolUGYpQ_3_2"/>
      <w:bookmarkStart w:id="793" w:name="Tc_DBDuPkwC4ki-HczMR718wA_2_12"/>
      <w:bookmarkStart w:id="794" w:name="_f76deda8_4511_4c3b_93b0_4b29aa949f5a"/>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tbl>
      <w:tblPr>
        <w:tblW w:w="10205" w:type="dxa"/>
        <w:jc w:val="left"/>
        <w:tblInd w:w="0" w:type="dxa"/>
        <w:tblLayout w:type="fixed"/>
        <w:tblCellMar>
          <w:top w:w="0" w:type="dxa"/>
          <w:left w:w="0" w:type="dxa"/>
          <w:bottom w:w="0" w:type="dxa"/>
          <w:right w:w="0" w:type="dxa"/>
        </w:tblCellMar>
      </w:tblPr>
      <w:tblGrid>
        <w:gridCol w:w="1466"/>
        <w:gridCol w:w="346"/>
        <w:gridCol w:w="537"/>
        <w:gridCol w:w="346"/>
        <w:gridCol w:w="632"/>
        <w:gridCol w:w="346"/>
        <w:gridCol w:w="661"/>
        <w:gridCol w:w="346"/>
        <w:gridCol w:w="605"/>
        <w:gridCol w:w="346"/>
        <w:gridCol w:w="871"/>
        <w:gridCol w:w="346"/>
        <w:gridCol w:w="918"/>
        <w:gridCol w:w="346"/>
        <w:gridCol w:w="1068"/>
        <w:gridCol w:w="346"/>
        <w:gridCol w:w="679"/>
      </w:tblGrid>
      <w:tr>
        <w:trPr/>
        <w:tc>
          <w:tcPr>
            <w:tcW w:w="1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30910" cy="175260"/>
                      <wp:effectExtent l="0" t="0" r="0" b="0"/>
                      <wp:wrapNone/>
                      <wp:docPr id="164" name="Frame161"/>
                      <a:graphic xmlns:a="http://schemas.openxmlformats.org/drawingml/2006/main">
                        <a:graphicData uri="http://schemas.microsoft.com/office/word/2010/wordprocessingShape">
                          <wps:wsp>
                            <wps:cNvSpPr txBox="1"/>
                            <wps:spPr>
                              <a:xfrm>
                                <a:off x="0" y="0"/>
                                <a:ext cx="93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65"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40995" cy="175260"/>
                      <wp:effectExtent l="0" t="0" r="0" b="0"/>
                      <wp:wrapNone/>
                      <wp:docPr id="166" name="Frame16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67"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01320" cy="175260"/>
                      <wp:effectExtent l="0" t="0" r="0" b="0"/>
                      <wp:wrapNone/>
                      <wp:docPr id="168" name="Frame165"/>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69"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19735" cy="175260"/>
                      <wp:effectExtent l="0" t="0" r="0" b="0"/>
                      <wp:wrapNone/>
                      <wp:docPr id="170" name="Frame16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1"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84175" cy="175260"/>
                      <wp:effectExtent l="0" t="0" r="0" b="0"/>
                      <wp:wrapNone/>
                      <wp:docPr id="172" name="Frame169"/>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3"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53085" cy="175260"/>
                      <wp:effectExtent l="0" t="0" r="0" b="0"/>
                      <wp:wrapNone/>
                      <wp:docPr id="174" name="Frame17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75"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82930" cy="175260"/>
                      <wp:effectExtent l="0" t="0" r="0" b="0"/>
                      <wp:wrapNone/>
                      <wp:docPr id="176" name="Frame173"/>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77"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78180" cy="175260"/>
                      <wp:effectExtent l="0" t="0" r="0" b="0"/>
                      <wp:wrapNone/>
                      <wp:docPr id="178" name="Frame175"/>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79"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1165" cy="175260"/>
                      <wp:effectExtent l="0" t="0" r="0" b="0"/>
                      <wp:wrapNone/>
                      <wp:docPr id="180" name="Frame177"/>
                      <a:graphic xmlns:a="http://schemas.openxmlformats.org/drawingml/2006/main">
                        <a:graphicData uri="http://schemas.microsoft.com/office/word/2010/wordprocessingShape">
                          <wps:wsp>
                            <wps:cNvSpPr txBox="1"/>
                            <wps:spPr>
                              <a:xfrm>
                                <a:off x="0" y="0"/>
                                <a:ext cx="431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Total Amber </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Share </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International </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pPr>
            <w:r>
              <w:rPr/>
              <w:t>​</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premium</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reserves</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Non-controlling </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21)</w:t>
            </w:r>
          </w:p>
        </w:tc>
        <w:tc>
          <w:tcPr>
            <w:tcW w:w="346" w:type="dxa"/>
            <w:tcBorders/>
            <w:vAlign w:val="center"/>
          </w:tcPr>
          <w:p>
            <w:pPr>
              <w:pStyle w:val="TableContents"/>
              <w:bidi w:val="0"/>
              <w:spacing w:before="0" w:after="0"/>
              <w:ind w:left="0" w:right="0" w:hanging="0"/>
              <w:jc w:val="left"/>
              <w:rPr/>
            </w:pPr>
            <w:r>
              <w:rPr/>
              <w:t>  ​ ​ ​</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21)</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21)</w:t>
            </w:r>
          </w:p>
        </w:tc>
        <w:tc>
          <w:tcPr>
            <w:tcW w:w="346" w:type="dxa"/>
            <w:tcBorders/>
            <w:vAlign w:val="center"/>
          </w:tcPr>
          <w:p>
            <w:pPr>
              <w:pStyle w:val="TableContents"/>
              <w:bidi w:val="0"/>
              <w:spacing w:before="0" w:after="0"/>
              <w:ind w:left="0" w:right="0" w:hanging="0"/>
              <w:jc w:val="left"/>
              <w:rPr/>
            </w:pPr>
            <w:r>
              <w:rPr/>
              <w:t>  ​ ​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(Note 22)</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losses</w:t>
            </w:r>
          </w:p>
        </w:tc>
        <w:tc>
          <w:tcPr>
            <w:tcW w:w="346" w:type="dxa"/>
            <w:tcBorders/>
            <w:vAlign w:val="center"/>
          </w:tcPr>
          <w:p>
            <w:pPr>
              <w:pStyle w:val="TableContents"/>
              <w:bidi w:val="0"/>
              <w:spacing w:before="0" w:after="0"/>
              <w:ind w:left="0" w:right="0" w:hanging="0"/>
              <w:jc w:val="left"/>
              <w:rPr/>
            </w:pPr>
            <w:r>
              <w:rPr/>
              <w:t>  ​ ​ ​</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46" w:type="dxa"/>
            <w:tcBorders/>
            <w:vAlign w:val="center"/>
          </w:tcPr>
          <w:p>
            <w:pPr>
              <w:pStyle w:val="TableContents"/>
              <w:bidi w:val="0"/>
              <w:spacing w:before="0" w:after="0"/>
              <w:ind w:left="0" w:right="0" w:hanging="0"/>
              <w:jc w:val="left"/>
              <w:rPr/>
            </w:pPr>
            <w:r>
              <w:rPr/>
              <w:t>  ​ ​ ​</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46" w:type="dxa"/>
            <w:tcBorders/>
            <w:vAlign w:val="center"/>
          </w:tcPr>
          <w:p>
            <w:pPr>
              <w:pStyle w:val="TableContents"/>
              <w:bidi w:val="0"/>
              <w:spacing w:before="0" w:after="0"/>
              <w:ind w:left="0" w:right="0" w:hanging="0"/>
              <w:jc w:val="left"/>
              <w:rPr/>
            </w:pPr>
            <w:r>
              <w:rPr/>
              <w:t>  ​ ​ ​</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2,999</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6,069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8,988</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8,988</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for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(13,536)</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(13,536)</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2,999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6,069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(13,617)</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(4,548)</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(4,548)</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lef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January 1, 2024</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2,999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6,069</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(13,617)</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(4,548)</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(4,548)</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for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(23,273)</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(23,273)</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(23,273)</w:t>
            </w:r>
          </w:p>
        </w:tc>
      </w:tr>
      <w:tr>
        <w:trPr/>
        <w:tc>
          <w:tcPr>
            <w:tcW w:w="14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Waiver of related parties balances</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47,106</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47,106</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47,106</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Series A preference shares</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10,500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10,500</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10,500</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13,499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53,175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(36,890)</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29,785</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29,785</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13,499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53,175</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(36,890)</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29,785</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29,785</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for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3,751</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3,751</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(1,121)</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2,630</w:t>
            </w:r>
          </w:p>
        </w:tc>
      </w:tr>
      <w:tr>
        <w:trPr/>
        <w:tc>
          <w:tcPr>
            <w:tcW w:w="14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46" w:type="dxa"/>
            <w:tcBorders/>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(1,324)</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(1,324)</w:t>
            </w:r>
          </w:p>
        </w:tc>
        <w:tc>
          <w:tcPr>
            <w:tcW w:w="346" w:type="dxa"/>
            <w:tcBorders/>
            <w:vAlign w:val="center"/>
          </w:tcPr>
          <w:p>
            <w:pPr>
              <w:pStyle w:val="TableContents"/>
              <w:bidi w:val="0"/>
              <w:spacing w:before="0" w:after="0"/>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(1,309)</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Total comprehensive income for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3,751</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2,427</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(1,106)</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1,321</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Waiver of related party balance</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948</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948</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948</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Transaction with owners in their capacity as owners:</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pPr>
            <w:r>
              <w:rPr/>
              <w:t>​</w:t>
            </w:r>
          </w:p>
        </w:tc>
      </w:tr>
      <w:tr>
        <w:trPr/>
        <w:tc>
          <w:tcPr>
            <w:tcW w:w="14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ordinary shares upon consummation of merger, net of issuance cost (Note 5.1)</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51,723</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52,102</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1,359</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53,461</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ordinary shares upon private placement, net of cost</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25,327</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25,339</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25,339</w:t>
            </w:r>
          </w:p>
        </w:tc>
      </w:tr>
      <w:tr>
        <w:trPr/>
        <w:tc>
          <w:tcPr>
            <w:tcW w:w="14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ordinary shares</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(880)</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(880)</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(880)</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share options and vesting of restricted shares and RSUs</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shd w:fill="CCEEFF" w:val="clear"/>
            <w:vAlign w:val="center"/>
          </w:tcPr>
          <w:p>
            <w:pPr>
              <w:pStyle w:val="TableContents"/>
              <w:bidi w:val="0"/>
              <w:spacing w:before="0" w:after="0"/>
              <w:ind w:left="0" w:right="0" w:hanging="0"/>
              <w:jc w:val="right"/>
              <w:rPr/>
            </w:pPr>
            <w:r>
              <w:rPr/>
              <w:t>—</w:t>
            </w:r>
          </w:p>
        </w:tc>
      </w:tr>
      <w:tr>
        <w:trPr/>
        <w:tc>
          <w:tcPr>
            <w:tcW w:w="146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 (Note 29)</w:t>
            </w:r>
          </w:p>
        </w:tc>
        <w:tc>
          <w:tcPr>
            <w:tcW w:w="346"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591</w:t>
            </w:r>
          </w:p>
        </w:tc>
        <w:tc>
          <w:tcPr>
            <w:tcW w:w="346" w:type="dxa"/>
            <w:tcBorders/>
            <w:vAlign w:val="center"/>
          </w:tcPr>
          <w:p>
            <w:pPr>
              <w:pStyle w:val="TableContents"/>
              <w:bidi w:val="0"/>
              <w:spacing w:before="0" w:after="0"/>
              <w:ind w:left="0" w:right="0" w:hanging="0"/>
              <w:jc w:val="left"/>
              <w:rPr/>
            </w:pPr>
            <w:r>
              <w:rPr/>
              <w:t>​</w:t>
            </w:r>
          </w:p>
        </w:tc>
        <w:tc>
          <w:tcPr>
            <w:tcW w:w="10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591</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Deconsolidation of discontinued operations (Note 5.3)</w:t>
            </w:r>
          </w:p>
        </w:tc>
        <w:tc>
          <w:tcPr>
            <w:tcW w:w="346" w:type="dxa"/>
            <w:tcBorders/>
            <w:shd w:fill="CCEEFF" w:val="cle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(253)</w:t>
            </w:r>
          </w:p>
        </w:tc>
        <w:tc>
          <w:tcPr>
            <w:tcW w:w="346" w:type="dxa"/>
            <w:tcBorders/>
            <w:shd w:fill="CCEEFF" w:val="clear"/>
            <w:vAlign w:val="center"/>
          </w:tcPr>
          <w:p>
            <w:pPr>
              <w:pStyle w:val="TableContents"/>
              <w:bidi w:val="0"/>
              <w:spacing w:before="0" w:after="0"/>
              <w:ind w:left="0" w:right="0" w:hanging="0"/>
              <w:jc w:val="left"/>
              <w:rPr/>
            </w:pPr>
            <w:r>
              <w:rPr/>
              <w:t>​</w:t>
            </w:r>
          </w:p>
        </w:tc>
        <w:tc>
          <w:tcPr>
            <w:tcW w:w="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(253)</w:t>
            </w:r>
          </w:p>
        </w:tc>
      </w:tr>
      <w:tr>
        <w:trPr/>
        <w:tc>
          <w:tcPr>
            <w:tcW w:w="1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423</w:t>
            </w:r>
          </w:p>
        </w:tc>
        <w:tc>
          <w:tcPr>
            <w:tcW w:w="346" w:type="dxa"/>
            <w:tcBorders/>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77,041</w:t>
            </w:r>
          </w:p>
        </w:tc>
        <w:tc>
          <w:tcPr>
            <w:tcW w:w="346" w:type="dxa"/>
            <w:tcBorders/>
            <w:vAlign w:val="center"/>
          </w:tcPr>
          <w:p>
            <w:pPr>
              <w:pStyle w:val="TableContents"/>
              <w:bidi w:val="0"/>
              <w:spacing w:before="0" w:after="0"/>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(903)</w:t>
            </w:r>
          </w:p>
        </w:tc>
        <w:tc>
          <w:tcPr>
            <w:tcW w:w="346" w:type="dxa"/>
            <w:tcBorders/>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591</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77,152</w:t>
            </w:r>
          </w:p>
        </w:tc>
        <w:tc>
          <w:tcPr>
            <w:tcW w:w="346" w:type="dxa"/>
            <w:tcBorders/>
            <w:vAlign w:val="center"/>
          </w:tcPr>
          <w:p>
            <w:pPr>
              <w:pStyle w:val="TableContents"/>
              <w:bidi w:val="0"/>
              <w:spacing w:before="0" w:after="0"/>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1,106</w:t>
            </w:r>
          </w:p>
        </w:tc>
        <w:tc>
          <w:tcPr>
            <w:tcW w:w="346" w:type="dxa"/>
            <w:tcBorders/>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78,258</w:t>
            </w:r>
          </w:p>
        </w:tc>
      </w:tr>
      <w:tr>
        <w:trPr/>
        <w:tc>
          <w:tcPr>
            <w:tcW w:w="146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90,540</w:t>
            </w:r>
          </w:p>
        </w:tc>
        <w:tc>
          <w:tcPr>
            <w:tcW w:w="346" w:type="dxa"/>
            <w:tcBorders/>
            <w:shd w:fill="CCEEFF" w:val="clear"/>
            <w:vAlign w:val="center"/>
          </w:tcPr>
          <w:p>
            <w:pPr>
              <w:pStyle w:val="TableContents"/>
              <w:bidi w:val="0"/>
              <w:spacing w:before="0" w:after="0"/>
              <w:ind w:left="0" w:right="0" w:hanging="0"/>
              <w:jc w:val="left"/>
              <w:rPr/>
            </w:pPr>
            <w:r>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(903)</w:t>
            </w:r>
          </w:p>
        </w:tc>
        <w:tc>
          <w:tcPr>
            <w:tcW w:w="346" w:type="dxa"/>
            <w:tcBorders/>
            <w:shd w:fill="CCEEFF" w:val="clear"/>
            <w:vAlign w:val="center"/>
          </w:tcPr>
          <w:p>
            <w:pPr>
              <w:pStyle w:val="TableContents"/>
              <w:bidi w:val="0"/>
              <w:spacing w:before="0" w:after="0"/>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53,390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(33,139)</w:t>
            </w:r>
          </w:p>
        </w:tc>
        <w:tc>
          <w:tcPr>
            <w:tcW w:w="346" w:type="dxa"/>
            <w:tcBorders/>
            <w:shd w:fill="CCEEFF" w:val="clear"/>
            <w:vAlign w:val="center"/>
          </w:tcPr>
          <w:p>
            <w:pPr>
              <w:pStyle w:val="TableContents"/>
              <w:bidi w:val="0"/>
              <w:spacing w:before="0" w:after="0"/>
              <w:ind w:left="0" w:right="0" w:hanging="0"/>
              <w:jc w:val="left"/>
              <w:rPr/>
            </w:pPr>
            <w:r>
              <w:rPr/>
              <w:t> </w:t>
            </w:r>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110,312</w:t>
            </w:r>
          </w:p>
        </w:tc>
        <w:tc>
          <w:tcPr>
            <w:tcW w:w="346" w:type="dxa"/>
            <w:tcBorders/>
            <w:shd w:fill="CCEEFF" w:val="clear"/>
            <w:vAlign w:val="center"/>
          </w:tcPr>
          <w:p>
            <w:pPr>
              <w:pStyle w:val="TableContents"/>
              <w:bidi w:val="0"/>
              <w:spacing w:before="0" w:after="0"/>
              <w:ind w:left="0" w:right="0" w:hanging="0"/>
              <w:jc w:val="left"/>
              <w:rPr/>
            </w:pPr>
            <w:r>
              <w:rPr/>
              <w:t> </w:t>
            </w:r>
          </w:p>
        </w:tc>
        <w:tc>
          <w:tcPr>
            <w:tcW w:w="10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9"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110,312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95" w:name="_13277dc9_865f_4027_809c_36f3162c902e"/>
      <w:bookmarkEnd w:id="795"/>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bookmarkStart w:id="796" w:name="CONSOLIDATEDSTATEMENTSOFCASHFLOWS_192531"/>
      <w:bookmarkEnd w:id="796"/>
      <w:r>
        <w:rPr>
          <w:rFonts w:ascii="Times New Roman;Times;serif" w:hAnsi="Times New Roman;Times;serif"/>
          <w:b/>
          <w:sz w:val="20"/>
        </w:rPr>
        <w:t>CONSOLIDATED STATEMENTS OF CASH FLOWS</w:t>
      </w:r>
    </w:p>
    <w:p>
      <w:pPr>
        <w:pStyle w:val="TextBody"/>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(US$’000, except share data and per share data, or otherwise noted)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97" w:name="Tc_Ek6pN7EcZEKHbHkphZvAqA_33_0"/>
      <w:bookmarkStart w:id="798" w:name="Tc_aWPONCsBoUemLlaakTSm8Q_32_6"/>
      <w:bookmarkStart w:id="799" w:name="Tc_N7BfTOUMX0iocU-z5eGW0w_32_4"/>
      <w:bookmarkStart w:id="800" w:name="Tc_i3wWNKE6R06SlYUiCxL7RA_32_0"/>
      <w:bookmarkStart w:id="801" w:name="Tc_RRaZ-KuqtkesSgTcf9REhw_31_0"/>
      <w:bookmarkStart w:id="802" w:name="Tc_CxP_SO9f_02j4xj2fGXxkQ_30_0"/>
      <w:bookmarkStart w:id="803" w:name="Tc_bYhts0BZPUa5EgEIT5_8yA_28_0"/>
      <w:bookmarkStart w:id="804" w:name="Tc_B6MpBCHcfEWBWZHQkuPWZw_27_8"/>
      <w:bookmarkStart w:id="805" w:name="Tc_vXu4IDeEvUqK00oQ5jAWyA_27_4"/>
      <w:bookmarkStart w:id="806" w:name="Tc_xIViA46DSkG75Mws8aRmkw_27_0"/>
      <w:bookmarkStart w:id="807" w:name="Tc_gCcVBSMj-EOGNRf1j6_EVw_26_6"/>
      <w:bookmarkStart w:id="808" w:name="Tc_wyLXa-FtzkSNpfg4RwQKDQ_26_4"/>
      <w:bookmarkStart w:id="809" w:name="Tc_1LRMEqnnLUGV7Dep32xLAQ_26_0"/>
      <w:bookmarkStart w:id="810" w:name="Tc_BHJRU-0x4ECG2lfUKi1sdA_25_6"/>
      <w:bookmarkStart w:id="811" w:name="Tc_Q8Ene-OGkkW0Ik-WSILfAQ_25_4"/>
      <w:bookmarkStart w:id="812" w:name="Tc_3D3-ahQfJUOnskNnthKEaA_25_0"/>
      <w:bookmarkStart w:id="813" w:name="Tc_mF0NUQ6mJEWdSnkh9q9tXg_24_0"/>
      <w:bookmarkStart w:id="814" w:name="Tc_Ro9p9FL9lk-TfQS0klsK4w_23_6"/>
      <w:bookmarkStart w:id="815" w:name="Tc_hNFDoVLsDkmXdvs3v1gRqg_23_4"/>
      <w:bookmarkStart w:id="816" w:name="Tc_3Kc5HwDoKUOjwPkpkDQv8Q_23_0"/>
      <w:bookmarkStart w:id="817" w:name="Tc_SJoyPT9Rl06baQqIiX0lIA_22_0"/>
      <w:bookmarkStart w:id="818" w:name="Tc_7wBOKsCFX0ezLfPyingDBw_21_0"/>
      <w:bookmarkStart w:id="819" w:name="Tc_vyb_htOj_k6XC0BSzghVXA_20_0"/>
      <w:bookmarkStart w:id="820" w:name="Tc_sDBXWGvv3U2mNuR2tqTQmg_18_4"/>
      <w:bookmarkStart w:id="821" w:name="Tc_APd7rsDEVUS_dAqUfi2n4g_18_0"/>
      <w:bookmarkStart w:id="822" w:name="Tc_vbWJ8xdOkEKmsMUJ4QuTVg_17_4"/>
      <w:bookmarkStart w:id="823" w:name="Tc_zshbXBhzSEWA3XdlOP50ng_17_0"/>
      <w:bookmarkStart w:id="824" w:name="Tc_w065cwpOLk6oa3Dl-CDwlA_16_6"/>
      <w:bookmarkStart w:id="825" w:name="Tc_BqJ757oOWESXZ4wmFdecnw_16_4"/>
      <w:bookmarkStart w:id="826" w:name="Tc_N7H5sCMLD0-sbTEKxST97g_16_0"/>
      <w:bookmarkStart w:id="827" w:name="Tc_phoYWyutLEGNZcWgQQrzVQ_15_6"/>
      <w:bookmarkStart w:id="828" w:name="Tc_E58K-addXkyzOBOFJCMIGg_15_4"/>
      <w:bookmarkStart w:id="829" w:name="Tc_KSR38gXOqkiFCYRQYQPk-w_15_0"/>
      <w:bookmarkStart w:id="830" w:name="Tc_vxjeHOBalkCbWJV06hYD_A_14_6"/>
      <w:bookmarkStart w:id="831" w:name="Tc_C0AH5JN3mUaXs6NY6LjCtw_14_4"/>
      <w:bookmarkStart w:id="832" w:name="Tc_8N4z42ZJ8U-KQrrfflpZfQ_14_0"/>
      <w:bookmarkStart w:id="833" w:name="Tc_iSfypQ6WoUWEshiyorgWAw_13_6"/>
      <w:bookmarkStart w:id="834" w:name="Tc__tjQBEj_HEGfQBCzvM_wXg_13_4"/>
      <w:bookmarkStart w:id="835" w:name="Tc_OXWutKU2ZEqZNQKY8cL-LA_13_0"/>
      <w:bookmarkStart w:id="836" w:name="Tc_Dj_jNZ7yiEG2juw9u_X-Jg_12_4"/>
      <w:bookmarkStart w:id="837" w:name="Tc_5v2aRDc5J06iihAiVCg_Sg_12_0"/>
      <w:bookmarkStart w:id="838" w:name="Tc_0D-YAqRISEulj1aUIiStIQ_11_6"/>
      <w:bookmarkStart w:id="839" w:name="Tc_bw3yYCAoOkKNu8KjmIUKJQ_11_4"/>
      <w:bookmarkStart w:id="840" w:name="Tc_67nkfhPUR0-KX3JcbKJs9A_11_0"/>
      <w:bookmarkStart w:id="841" w:name="Tc_KdM8D9azZ0-YB6AS1dUKvA_10_6"/>
      <w:bookmarkStart w:id="842" w:name="Tc_HsPOBp4iekmLZC3UZvh0Yg_10_4"/>
      <w:bookmarkStart w:id="843" w:name="Tc_45qRdnEzYUGq9Fy8MxHRNA_10_2"/>
      <w:bookmarkStart w:id="844" w:name="Tc_kjmMQ_nl_UmeKbYv2Uoc1A_10_0"/>
      <w:bookmarkStart w:id="845" w:name="Tc_XwluwRwQxEuZeRObtazvCA_9_6"/>
      <w:bookmarkStart w:id="846" w:name="Tc_DSVW0wIIaUq7xaX_KjnxBg_9_4"/>
      <w:bookmarkStart w:id="847" w:name="Tc_KRlybIAPJ0m8dzUbU2oHvw_9_2"/>
      <w:bookmarkStart w:id="848" w:name="Tc_cu4jGCr1XkeiPgbOUxrQ2Q_9_0"/>
      <w:bookmarkStart w:id="849" w:name="Tc_p62n77ErQ0ed5limvrKSMg_8_0"/>
      <w:bookmarkStart w:id="850" w:name="Tc_h4BsbEmBA0WqyFC4Ldcg2g_6_0"/>
      <w:bookmarkStart w:id="851" w:name="Tc_kP8ZLIA2vkWbj_NWlqgqCg_5_6"/>
      <w:bookmarkStart w:id="852" w:name="Tc_PbTeyDvKTE-EZmsf2K91CQ_5_4"/>
      <w:bookmarkStart w:id="853" w:name="Tc_klExILrrn06gy33FYHLWyA_5_0"/>
      <w:bookmarkStart w:id="854" w:name="Tc_E5wxDP4HzEKpiT4fuDY4uQ_4_2"/>
      <w:bookmarkStart w:id="855" w:name="Tc_QRMzUXdsikyExYXaxHPs7Q_4_0"/>
      <w:bookmarkStart w:id="856" w:name="Tc_dEiKWMCPAUGlnAiQg9DsMw_3_0"/>
      <w:bookmarkStart w:id="857" w:name="Tc_5KbXP_-Ubk648xLQOS9a6g_2_8"/>
      <w:bookmarkStart w:id="858" w:name="Tc_Y6-Min5ma0-I3RH2LXftdQ_2_6"/>
      <w:bookmarkStart w:id="859" w:name="Tc_oupxOr_flU-t2zqWyBeXow_2_4"/>
      <w:bookmarkStart w:id="860" w:name="Tc_5skvMXZvrEekRY1IYq6AGQ_2_2"/>
      <w:bookmarkStart w:id="861" w:name="Tc__hX2JcuCpUuFpL9_FYUb0g_1_4"/>
      <w:bookmarkStart w:id="862" w:name="_2af4018e_e4c4_4049_b341_0feb865df2db"/>
      <w:bookmarkStart w:id="863" w:name="Tc_Ek6pN7EcZEKHbHkphZvAqA_33_0"/>
      <w:bookmarkStart w:id="864" w:name="Tc_aWPONCsBoUemLlaakTSm8Q_32_6"/>
      <w:bookmarkStart w:id="865" w:name="Tc_N7BfTOUMX0iocU-z5eGW0w_32_4"/>
      <w:bookmarkStart w:id="866" w:name="Tc_i3wWNKE6R06SlYUiCxL7RA_32_0"/>
      <w:bookmarkStart w:id="867" w:name="Tc_RRaZ-KuqtkesSgTcf9REhw_31_0"/>
      <w:bookmarkStart w:id="868" w:name="Tc_CxP_SO9f_02j4xj2fGXxkQ_30_0"/>
      <w:bookmarkStart w:id="869" w:name="Tc_bYhts0BZPUa5EgEIT5_8yA_28_0"/>
      <w:bookmarkStart w:id="870" w:name="Tc_B6MpBCHcfEWBWZHQkuPWZw_27_8"/>
      <w:bookmarkStart w:id="871" w:name="Tc_vXu4IDeEvUqK00oQ5jAWyA_27_4"/>
      <w:bookmarkStart w:id="872" w:name="Tc_xIViA46DSkG75Mws8aRmkw_27_0"/>
      <w:bookmarkStart w:id="873" w:name="Tc_gCcVBSMj-EOGNRf1j6_EVw_26_6"/>
      <w:bookmarkStart w:id="874" w:name="Tc_wyLXa-FtzkSNpfg4RwQKDQ_26_4"/>
      <w:bookmarkStart w:id="875" w:name="Tc_1LRMEqnnLUGV7Dep32xLAQ_26_0"/>
      <w:bookmarkStart w:id="876" w:name="Tc_BHJRU-0x4ECG2lfUKi1sdA_25_6"/>
      <w:bookmarkStart w:id="877" w:name="Tc_Q8Ene-OGkkW0Ik-WSILfAQ_25_4"/>
      <w:bookmarkStart w:id="878" w:name="Tc_3D3-ahQfJUOnskNnthKEaA_25_0"/>
      <w:bookmarkStart w:id="879" w:name="Tc_mF0NUQ6mJEWdSnkh9q9tXg_24_0"/>
      <w:bookmarkStart w:id="880" w:name="Tc_Ro9p9FL9lk-TfQS0klsK4w_23_6"/>
      <w:bookmarkStart w:id="881" w:name="Tc_hNFDoVLsDkmXdvs3v1gRqg_23_4"/>
      <w:bookmarkStart w:id="882" w:name="Tc_3Kc5HwDoKUOjwPkpkDQv8Q_23_0"/>
      <w:bookmarkStart w:id="883" w:name="Tc_SJoyPT9Rl06baQqIiX0lIA_22_0"/>
      <w:bookmarkStart w:id="884" w:name="Tc_7wBOKsCFX0ezLfPyingDBw_21_0"/>
      <w:bookmarkStart w:id="885" w:name="Tc_vyb_htOj_k6XC0BSzghVXA_20_0"/>
      <w:bookmarkStart w:id="886" w:name="Tc_sDBXWGvv3U2mNuR2tqTQmg_18_4"/>
      <w:bookmarkStart w:id="887" w:name="Tc_APd7rsDEVUS_dAqUfi2n4g_18_0"/>
      <w:bookmarkStart w:id="888" w:name="Tc_vbWJ8xdOkEKmsMUJ4QuTVg_17_4"/>
      <w:bookmarkStart w:id="889" w:name="Tc_zshbXBhzSEWA3XdlOP50ng_17_0"/>
      <w:bookmarkStart w:id="890" w:name="Tc_w065cwpOLk6oa3Dl-CDwlA_16_6"/>
      <w:bookmarkStart w:id="891" w:name="Tc_BqJ757oOWESXZ4wmFdecnw_16_4"/>
      <w:bookmarkStart w:id="892" w:name="Tc_N7H5sCMLD0-sbTEKxST97g_16_0"/>
      <w:bookmarkStart w:id="893" w:name="Tc_phoYWyutLEGNZcWgQQrzVQ_15_6"/>
      <w:bookmarkStart w:id="894" w:name="Tc_E58K-addXkyzOBOFJCMIGg_15_4"/>
      <w:bookmarkStart w:id="895" w:name="Tc_KSR38gXOqkiFCYRQYQPk-w_15_0"/>
      <w:bookmarkStart w:id="896" w:name="Tc_vxjeHOBalkCbWJV06hYD_A_14_6"/>
      <w:bookmarkStart w:id="897" w:name="Tc_C0AH5JN3mUaXs6NY6LjCtw_14_4"/>
      <w:bookmarkStart w:id="898" w:name="Tc_8N4z42ZJ8U-KQrrfflpZfQ_14_0"/>
      <w:bookmarkStart w:id="899" w:name="Tc_iSfypQ6WoUWEshiyorgWAw_13_6"/>
      <w:bookmarkStart w:id="900" w:name="Tc__tjQBEj_HEGfQBCzvM_wXg_13_4"/>
      <w:bookmarkStart w:id="901" w:name="Tc_OXWutKU2ZEqZNQKY8cL-LA_13_0"/>
      <w:bookmarkStart w:id="902" w:name="Tc_Dj_jNZ7yiEG2juw9u_X-Jg_12_4"/>
      <w:bookmarkStart w:id="903" w:name="Tc_5v2aRDc5J06iihAiVCg_Sg_12_0"/>
      <w:bookmarkStart w:id="904" w:name="Tc_0D-YAqRISEulj1aUIiStIQ_11_6"/>
      <w:bookmarkStart w:id="905" w:name="Tc_bw3yYCAoOkKNu8KjmIUKJQ_11_4"/>
      <w:bookmarkStart w:id="906" w:name="Tc_67nkfhPUR0-KX3JcbKJs9A_11_0"/>
      <w:bookmarkStart w:id="907" w:name="Tc_KdM8D9azZ0-YB6AS1dUKvA_10_6"/>
      <w:bookmarkStart w:id="908" w:name="Tc_HsPOBp4iekmLZC3UZvh0Yg_10_4"/>
      <w:bookmarkStart w:id="909" w:name="Tc_45qRdnEzYUGq9Fy8MxHRNA_10_2"/>
      <w:bookmarkStart w:id="910" w:name="Tc_kjmMQ_nl_UmeKbYv2Uoc1A_10_0"/>
      <w:bookmarkStart w:id="911" w:name="Tc_XwluwRwQxEuZeRObtazvCA_9_6"/>
      <w:bookmarkStart w:id="912" w:name="Tc_DSVW0wIIaUq7xaX_KjnxBg_9_4"/>
      <w:bookmarkStart w:id="913" w:name="Tc_KRlybIAPJ0m8dzUbU2oHvw_9_2"/>
      <w:bookmarkStart w:id="914" w:name="Tc_cu4jGCr1XkeiPgbOUxrQ2Q_9_0"/>
      <w:bookmarkStart w:id="915" w:name="Tc_p62n77ErQ0ed5limvrKSMg_8_0"/>
      <w:bookmarkStart w:id="916" w:name="Tc_h4BsbEmBA0WqyFC4Ldcg2g_6_0"/>
      <w:bookmarkStart w:id="917" w:name="Tc_kP8ZLIA2vkWbj_NWlqgqCg_5_6"/>
      <w:bookmarkStart w:id="918" w:name="Tc_PbTeyDvKTE-EZmsf2K91CQ_5_4"/>
      <w:bookmarkStart w:id="919" w:name="Tc_klExILrrn06gy33FYHLWyA_5_0"/>
      <w:bookmarkStart w:id="920" w:name="Tc_E5wxDP4HzEKpiT4fuDY4uQ_4_2"/>
      <w:bookmarkStart w:id="921" w:name="Tc_QRMzUXdsikyExYXaxHPs7Q_4_0"/>
      <w:bookmarkStart w:id="922" w:name="Tc_dEiKWMCPAUGlnAiQg9DsMw_3_0"/>
      <w:bookmarkStart w:id="923" w:name="Tc_5KbXP_-Ubk648xLQOS9a6g_2_8"/>
      <w:bookmarkStart w:id="924" w:name="Tc_Y6-Min5ma0-I3RH2LXftdQ_2_6"/>
      <w:bookmarkStart w:id="925" w:name="Tc_oupxOr_flU-t2zqWyBeXow_2_4"/>
      <w:bookmarkStart w:id="926" w:name="Tc_5skvMXZvrEekRY1IYq6AGQ_2_2"/>
      <w:bookmarkStart w:id="927" w:name="Tc__hX2JcuCpUuFpL9_FYUb0g_1_4"/>
      <w:bookmarkStart w:id="928" w:name="_2af4018e_e4c4_4049_b341_0feb865df2db"/>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tbl>
      <w:tblPr>
        <w:tblW w:w="9394" w:type="dxa"/>
        <w:jc w:val="left"/>
        <w:tblInd w:w="0" w:type="dxa"/>
        <w:tblLayout w:type="fixed"/>
        <w:tblCellMar>
          <w:top w:w="0" w:type="dxa"/>
          <w:left w:w="0" w:type="dxa"/>
          <w:bottom w:w="0" w:type="dxa"/>
          <w:right w:w="0" w:type="dxa"/>
        </w:tblCellMar>
      </w:tblPr>
      <w:tblGrid>
        <w:gridCol w:w="5251"/>
        <w:gridCol w:w="146"/>
        <w:gridCol w:w="526"/>
        <w:gridCol w:w="346"/>
        <w:gridCol w:w="796"/>
        <w:gridCol w:w="346"/>
        <w:gridCol w:w="796"/>
        <w:gridCol w:w="346"/>
        <w:gridCol w:w="841"/>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334385" cy="175260"/>
                      <wp:effectExtent l="0" t="0" r="0" b="0"/>
                      <wp:wrapNone/>
                      <wp:docPr id="181" name="Frame178"/>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2710" cy="175260"/>
                      <wp:effectExtent l="0" t="0" r="0" b="0"/>
                      <wp:wrapNone/>
                      <wp:docPr id="182" name="Frame17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34010" cy="175260"/>
                      <wp:effectExtent l="0" t="0" r="0" b="0"/>
                      <wp:wrapNone/>
                      <wp:docPr id="183" name="Frame18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4"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5460" cy="175260"/>
                      <wp:effectExtent l="0" t="0" r="0" b="0"/>
                      <wp:wrapNone/>
                      <wp:docPr id="185" name="Frame18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86"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5460" cy="175260"/>
                      <wp:effectExtent l="0" t="0" r="0" b="0"/>
                      <wp:wrapNone/>
                      <wp:docPr id="187"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88"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34035" cy="175260"/>
                      <wp:effectExtent l="0" t="0" r="0" b="0"/>
                      <wp:wrapNone/>
                      <wp:docPr id="189" name="Frame18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2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generated from/(used in) operating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30(a)</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11,464</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(24,887)</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refunded</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generated from/(used in) operating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11,464</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(555)</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(24,551)</w:t>
            </w:r>
          </w:p>
        </w:tc>
      </w:tr>
      <w:tr>
        <w:trPr/>
        <w:tc>
          <w:tcPr>
            <w:tcW w:w="52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acquired from business combination</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17,841</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of subsidiaries, net of cash disposed</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intangible assets</w:t>
            </w:r>
          </w:p>
        </w:tc>
        <w:tc>
          <w:tcPr>
            <w:tcW w:w="146" w:type="dxa"/>
            <w:tcBorders/>
            <w:vAlign w:val="center"/>
          </w:tcPr>
          <w:p>
            <w:pPr>
              <w:pStyle w:val="TableContents"/>
              <w:bidi w:val="0"/>
              <w:spacing w:before="0" w:after="1"/>
              <w:ind w:left="0" w:right="0" w:hanging="0"/>
              <w:jc w:val="left"/>
              <w:rPr/>
            </w:pPr>
            <w:r>
              <w:rPr/>
              <w:t> </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of financial assets at fair value through profits or loss</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of financial assets at fair value through profits or loss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time deposits</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digital assets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generated from investing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10,739</w:t>
            </w:r>
          </w:p>
        </w:tc>
      </w:tr>
      <w:tr>
        <w:trPr/>
        <w:tc>
          <w:tcPr>
            <w:tcW w:w="52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to related parties</w:t>
            </w:r>
          </w:p>
        </w:tc>
        <w:tc>
          <w:tcPr>
            <w:tcW w:w="146" w:type="dxa"/>
            <w:tcBorders/>
            <w:shd w:fill="CCEEFF" w:val="clear"/>
            <w:vAlign w:val="center"/>
          </w:tcPr>
          <w:p>
            <w:pPr>
              <w:pStyle w:val="TableContents"/>
              <w:bidi w:val="0"/>
              <w:spacing w:before="0" w:after="1"/>
              <w:ind w:left="0" w:right="0" w:hanging="0"/>
              <w:jc w:val="left"/>
              <w:rPr/>
            </w:pPr>
            <w:r>
              <w:rPr/>
              <w:t> </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related parties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3,010</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14,235</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bank borrowings, net</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for principal and interest of lease liabilities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ordinary shares</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private placement, net of cost</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25,339</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ordinary and preference shares</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in)/generated from financing activities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(11,811)</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5,981</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37,297</w:t>
            </w:r>
          </w:p>
        </w:tc>
      </w:tr>
      <w:tr>
        <w:trPr/>
        <w:tc>
          <w:tcPr>
            <w:tcW w:w="52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(decrease)/increase in cash and cash equivalents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(347)</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5,484</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23,485</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6,277</w:t>
            </w:r>
          </w:p>
        </w:tc>
      </w:tr>
      <w:tr>
        <w:trPr/>
        <w:tc>
          <w:tcPr>
            <w:tcW w:w="5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on exchange rate changes on cash and cash equivalents</w:t>
            </w:r>
          </w:p>
        </w:tc>
        <w:tc>
          <w:tcPr>
            <w:tcW w:w="1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52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year</w:t>
            </w:r>
          </w:p>
        </w:tc>
        <w:tc>
          <w:tcPr>
            <w:tcW w:w="1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6,277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29,895</w:t>
            </w:r>
          </w:p>
        </w:tc>
      </w:tr>
    </w:tbl>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60"/>
        <w:ind w:left="0" w:right="0" w:hanging="0"/>
        <w:jc w:val="left"/>
        <w:rPr>
          <w:rFonts w:ascii="Times New Roman;Times;serif" w:hAnsi="Times New Roman;Times;serif"/>
          <w:b/>
          <w:sz w:val="20"/>
        </w:rPr>
      </w:pPr>
      <w:bookmarkStart w:id="929" w:name="Tc_rZcdPA_HtUiAno-_xqjqZw_25_9"/>
      <w:bookmarkStart w:id="930" w:name="Tc_BcAADm1zdEyHf4tQyPpi-w_25_6"/>
      <w:bookmarkStart w:id="931" w:name="Tc_kQPa6krFDk2ouSVRh8cFwQ_25_4"/>
      <w:bookmarkStart w:id="932" w:name="Tc_iY8xA3rKYESRjsDhqWh4yw_25_2"/>
      <w:bookmarkStart w:id="933" w:name="Tc_aQ7RiE5DWUyehvOrcsuGjQ_25_0"/>
      <w:bookmarkStart w:id="934" w:name="Tc_TyO_fDsHxEiwu_JDxhkPFA_24_0"/>
      <w:bookmarkStart w:id="935" w:name="Tc_s4GO9TacDUW8pQ2CyxO6AA_23_9"/>
      <w:bookmarkStart w:id="936" w:name="Tc_-yk09fv0OkeECSurYscEuA_23_6"/>
      <w:bookmarkStart w:id="937" w:name="Tc_UohlvFosr02cxmMz0WVIGQ_23_4"/>
      <w:bookmarkStart w:id="938" w:name="Tc_Hk-P-DHlrU-v7FV9cTUkkQ_23_2"/>
      <w:bookmarkStart w:id="939" w:name="Tc_4jvkrB5Yh0e02FEDwlSZPQ_23_0"/>
      <w:bookmarkStart w:id="940" w:name="Tc_7rt1i-REakmaPXzHLZkLSw_22_9"/>
      <w:bookmarkStart w:id="941" w:name="Tc_oID-2gGTk0-oa2tEhabaoA_22_6"/>
      <w:bookmarkStart w:id="942" w:name="Tc_7DvWXa2ZyEGE6QBWUjxbYA_22_4"/>
      <w:bookmarkStart w:id="943" w:name="Tc_-n4GrHOyxE2v_WIMl6Qp4g_22_2"/>
      <w:bookmarkStart w:id="944" w:name="Tc_nqB7LT0KiEmOJzG-QQd_rQ_22_0"/>
      <w:bookmarkStart w:id="945" w:name="Tc_k6YbUIWVJkGgwaBVHx-tFg_21_9"/>
      <w:bookmarkStart w:id="946" w:name="Tc_lbORKg2_-kqjOxHOf1ay6Q_21_6"/>
      <w:bookmarkStart w:id="947" w:name="Tc_rZvKqyMn9EaE4Fo_urWQWw_21_4"/>
      <w:bookmarkStart w:id="948" w:name="Tc_9nXfBsY0j0aZruEmjpMtKA_21_2"/>
      <w:bookmarkStart w:id="949" w:name="Tc_YeMFTQbEOkenPWyJ_P5fyw_21_0"/>
      <w:bookmarkStart w:id="950" w:name="Tc_xXJORBBmI0WiZUo-4m34ig_20_9"/>
      <w:bookmarkStart w:id="951" w:name="Tc_Zprp4PEYVk-6PEWDHyHVXQ_20_6"/>
      <w:bookmarkStart w:id="952" w:name="Tc__6EIZfgYckeJqcPQYtAjuA_20_4"/>
      <w:bookmarkStart w:id="953" w:name="Tc_zuUEOF3VkEGb49P0i82_nQ_20_2"/>
      <w:bookmarkStart w:id="954" w:name="Tc_IqnNhBqbsEGMV4hKrfN5pw_20_0"/>
      <w:bookmarkStart w:id="955" w:name="Tc_pyTmitflOkifwir4AppxgQ_19_9"/>
      <w:bookmarkStart w:id="956" w:name="Tc_aRpnpPZYdkijTqdJAf1jzw_19_6"/>
      <w:bookmarkStart w:id="957" w:name="Tc__n8C4gPekEKVoUt4Ioc8uQ_19_4"/>
      <w:bookmarkStart w:id="958" w:name="Tc_KYB3hdhnHk-_4CD1Qwf_VA_19_2"/>
      <w:bookmarkStart w:id="959" w:name="Tc_oocZzZB7sU6vTRZOJFICIQ_19_0"/>
      <w:bookmarkStart w:id="960" w:name="Tc_1FRtBt7qwkavVLUdJKEVig_18_9"/>
      <w:bookmarkStart w:id="961" w:name="Tc_22I0hsEz_EmxkQTtDVyH7g_18_6"/>
      <w:bookmarkStart w:id="962" w:name="Tc_wJecoBtN80e0a51_zMyWEg_18_4"/>
      <w:bookmarkStart w:id="963" w:name="Tc_xmzN0iUVN06eQTLCbRX4iQ_18_2"/>
      <w:bookmarkStart w:id="964" w:name="Tc_7GEFxvwXbEKrNco-z0RLfQ_18_0"/>
      <w:bookmarkStart w:id="965" w:name="Tc_2YpQv4G_HEa37SkdfwESig_17_9"/>
      <w:bookmarkStart w:id="966" w:name="Tc_bsu1HB7Oa0mwee7nf0S7Yg_17_6"/>
      <w:bookmarkStart w:id="967" w:name="Tc_Lji8IaZ7OkqpPWOGMBJQ9A_17_4"/>
      <w:bookmarkStart w:id="968" w:name="Tc_JbeDaKCwMEahgSnE3QUslw_17_2"/>
      <w:bookmarkStart w:id="969" w:name="Tc_Oe_34EoRtE2ILS_a7bkn0A_17_0"/>
      <w:bookmarkStart w:id="970" w:name="Tc_yb1Te5ua8kux75mPQqgEHQ_16_9"/>
      <w:bookmarkStart w:id="971" w:name="Tc_JEBNQdZ8yUWBDdrnGvickw_16_6"/>
      <w:bookmarkStart w:id="972" w:name="Tc_EyWH5erajk-3ZIl1HQjebA_16_4"/>
      <w:bookmarkStart w:id="973" w:name="Tc_z8e1Ef0D10ynQf55uGHqcg_16_2"/>
      <w:bookmarkStart w:id="974" w:name="Tc_0s6-XZkeJUGuSQLT2uryeQ_16_0"/>
      <w:bookmarkStart w:id="975" w:name="Tc_xlNzmWS8j0as8Aspcj7KZg_15_8"/>
      <w:bookmarkStart w:id="976" w:name="Tc_MWaYXXsj9UKzCet5Yk6-pw_15_6"/>
      <w:bookmarkStart w:id="977" w:name="Tc_P63A6K7Rv0C6kG8zW3rn5w_15_5"/>
      <w:bookmarkStart w:id="978" w:name="Tc_w3ksq9XiSE-cpxKCNRt-bA_15_2"/>
      <w:bookmarkStart w:id="979" w:name="Tc_gV6teML1ZEOOGxkijvb6HA_15_0"/>
      <w:bookmarkStart w:id="980" w:name="Tc_W3OGRUqDzkW2TkmXRjNa_Q_14_9"/>
      <w:bookmarkStart w:id="981" w:name="Tc_3AF3N83dl06DC_u1OXU71A_14_7"/>
      <w:bookmarkStart w:id="982" w:name="Tc_a3w5nWiNSk2bH5f5jPRYJQ_14_4"/>
      <w:bookmarkStart w:id="983" w:name="Tc_bfGdrZYdA0yU9mvCMfunsQ_14_2"/>
      <w:bookmarkStart w:id="984" w:name="Tc_GbTsSTGBOEGntfSrts2BYg_14_0"/>
      <w:bookmarkStart w:id="985" w:name="Tc_i8c8yw3KX0mbE_AE46SkUA_13_9"/>
      <w:bookmarkStart w:id="986" w:name="Tc_VHtglH-TyUOtak3lsK0-vw_13_7"/>
      <w:bookmarkStart w:id="987" w:name="Tc_XSiNYaXHVkWH036aXy2uRw_13_4"/>
      <w:bookmarkStart w:id="988" w:name="Tc_jnWDBxHePk-sakogibErKw_13_2"/>
      <w:bookmarkStart w:id="989" w:name="Tc_k9zo0OmlIk-M4YBACqGFRg_13_0"/>
      <w:bookmarkStart w:id="990" w:name="Tc_mIGH5BznTk6J9E1HVlEEWg_12_9"/>
      <w:bookmarkStart w:id="991" w:name="Tc_UBGRIF7v50qWWr3Y-QLwLw_12_7"/>
      <w:bookmarkStart w:id="992" w:name="Tc_Atjnr0uWykyXHZYUFOuS1g_12_5"/>
      <w:bookmarkStart w:id="993" w:name="Tc_nbms73kOuEeL0t9PUFZ8Ag_12_2"/>
      <w:bookmarkStart w:id="994" w:name="Tc_yIU_wo8AikqI4X2jmHwYeQ_12_0"/>
      <w:bookmarkStart w:id="995" w:name="Tc_E0Q8STSTgkiLe_S7OqsgYg_11_9"/>
      <w:bookmarkStart w:id="996" w:name="Tc_LuTXtlfqb0iXS7KwA9r1sQ_11_7"/>
      <w:bookmarkStart w:id="997" w:name="Tc_VqVmUSRkOkay1zyHjo6ncQ_11_5"/>
      <w:bookmarkStart w:id="998" w:name="Tc_eGa6NDVWkEqe2r80OwnMqg_11_2"/>
      <w:bookmarkStart w:id="999" w:name="Tc_Qefqi8lZAU6jCtLeU5Y6lQ_11_0"/>
      <w:bookmarkStart w:id="1000" w:name="Tc_fQNlkA564UCSQjnKPItRZg_10_9"/>
      <w:bookmarkStart w:id="1001" w:name="Tc_9aqshMiptUqndG1nVB1Qvg_10_7"/>
      <w:bookmarkStart w:id="1002" w:name="Tc_kmUW9lS5akqVuUy7KIhewQ_10_5"/>
      <w:bookmarkStart w:id="1003" w:name="Tc_B_D-104QbUylxaL-a437AQ_10_2"/>
      <w:bookmarkStart w:id="1004" w:name="Tc_Tt-geQTU0EColcjKeFVT1A_10_0"/>
      <w:bookmarkStart w:id="1005" w:name="Tc_4s8DpOS0t0afyM6pMObSTA_9_9"/>
      <w:bookmarkStart w:id="1006" w:name="Tc_1ZFwKhNUw0uwF6puUKLYog_9_7"/>
      <w:bookmarkStart w:id="1007" w:name="Tc_feFViBHll0ORahhsrOXp2A_9_5"/>
      <w:bookmarkStart w:id="1008" w:name="Tc_7zFAjzBcxEuIfYkR0sRQ_w_9_2"/>
      <w:bookmarkStart w:id="1009" w:name="Tc_2kf-dyBIakqXhqqINpQz1Q_9_0"/>
      <w:bookmarkStart w:id="1010" w:name="Tc_XEuwyVYbvkGkLzz1QPVa_Q_8_9"/>
      <w:bookmarkStart w:id="1011" w:name="Tc_E_VJBINWeU-b3G_rO5sRng_8_7"/>
      <w:bookmarkStart w:id="1012" w:name="Tc_vbi6RXKatUKYZ1ti3lN9Zw_8_5"/>
      <w:bookmarkStart w:id="1013" w:name="Tc_uZCNGJod8kOHkxo8zOcZKg_8_2"/>
      <w:bookmarkStart w:id="1014" w:name="Tc___uN5qj2IkW2d5fdBl1uUA_8_0"/>
      <w:bookmarkStart w:id="1015" w:name="Tc_BfU64V7MX0qwa2YdvJO2bg_7_9"/>
      <w:bookmarkStart w:id="1016" w:name="Tc_ticim2VYikO5wo8dRinKLQ_7_7"/>
      <w:bookmarkStart w:id="1017" w:name="Tc_lvO1zWVv40u-jQI2EgKWJQ_7_5"/>
      <w:bookmarkStart w:id="1018" w:name="Tc_hLlr8FXpYUW_GfPtbztm5w_7_2"/>
      <w:bookmarkStart w:id="1019" w:name="Tc_X9lsZIWzXE-IrjJkgsR6Lw_7_0"/>
      <w:bookmarkStart w:id="1020" w:name="Tc_CKi2y3Z6aUq1sCi2kGnqKg_6_9"/>
      <w:bookmarkStart w:id="1021" w:name="Tc_SFxxzMrp70KOByH5_nsYvw_6_7"/>
      <w:bookmarkStart w:id="1022" w:name="Tc_EePctGZBDE2yyOsjLNcZAA_6_5"/>
      <w:bookmarkStart w:id="1023" w:name="Tc_FjP8Uv37RUWLGwwixjUcYA_6_2"/>
      <w:bookmarkStart w:id="1024" w:name="Tc_PI-ve7gMK0igFaaZBXQ0Vw_6_0"/>
      <w:bookmarkStart w:id="1025" w:name="Tc__FlqDZY4oUy8EghU5eGUtA_5_8"/>
      <w:bookmarkStart w:id="1026" w:name="Tc_lI2-Lp1AY0ClZ4RRR7t7BQ_5_6"/>
      <w:bookmarkStart w:id="1027" w:name="Tc_x1eebzlfpkiuD_ZKENu-vw_5_4"/>
      <w:bookmarkStart w:id="1028" w:name="Tc_zxXXmO5J8UqaO7PkeZ7Dww_5_2"/>
      <w:bookmarkStart w:id="1029" w:name="Tc_dLO2TPX780KS0r-aPYbeJg_5_0"/>
      <w:bookmarkStart w:id="1030" w:name="Tc_qv4IuoGNZUyElJqaiHIoqw_4_8"/>
      <w:bookmarkStart w:id="1031" w:name="Tc_J6BH27_k7kaTekQwQalAtg_4_6"/>
      <w:bookmarkStart w:id="1032" w:name="Tc_4SuGahngg0myrNo_PD9Izg_4_4"/>
      <w:bookmarkStart w:id="1033" w:name="Tc_xq629JqCBEev2UFUaCEI8Q_4_0"/>
      <w:bookmarkStart w:id="1034" w:name="Tc_3Bm0TK8c8kuAvYzZvsa2Ww_3_4"/>
      <w:bookmarkStart w:id="1035" w:name="Tc_GvGp1a6eqE2_JH6Z3WIm4g_3_0"/>
      <w:bookmarkStart w:id="1036" w:name="Tc_pccEsu6I0k2oj5u3JW0iLQ_2_4"/>
      <w:bookmarkStart w:id="1037" w:name="Tc_AXCDdwMm_Uu_MV0ggfHCeQ_1_4"/>
      <w:bookmarkStart w:id="1038" w:name="_a91dc7f2_49aa_48c6_ae9b_19558dbd05e7"/>
      <w:bookmarkStart w:id="1039" w:name="Organizationandprincipalactivities_34003"/>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Organization and nature of operation</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Amber International Holding Limited (the “Company” or “Amber International”) is a Cayman Islands holding company with no operations of its own and conducts its business through its subsidiaries and its controlled structured entity (“Variable interest entity”, or “VIE”). Amber International, its subsidiaries and its VIE are collectively referred to as the Group.</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Amber International was incorporated under the law of Cayman Islands as a limited company on February 3, 2010. The Group is principally engaged in the provision of institutional crypto financial services and solutions, and provision of online advertising, software as a service (“SaaS”) products and services. The Company’s principal operations and geographic market are in Singapore and Hong Kong.</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On March 12, 2025, iClick Interactive Asia Group Limited (“iClick”), the Company’s predecessor, completed the merger with Amber DWM Holding Limited (“Amber DWM”), a Cayman Islands exempted company and the holding entity of the Group’s digital wealth management business. The merger is accounted for as a reverse acquisition for accounting purposes. Accordingly, the merger is treated as the equivalent of Amber DWM issuing shares for the acquisition of iClick, accompanied by a recapitalization. The name of the Company was then changed from “iClick Interactive Asia Group Limited” to “Amber International Holding Limited”, and its ticker symbol from “ICLK” to “AMBR”. See Note 5.1 to the consolidated financial statements for details.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include the financial statements of Amber International and its principal subsidiaries and VIE as follow:</w:t>
      </w:r>
    </w:p>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51"/>
        <w:gridCol w:w="346"/>
        <w:gridCol w:w="2747"/>
        <w:gridCol w:w="346"/>
        <w:gridCol w:w="888"/>
        <w:gridCol w:w="346"/>
        <w:gridCol w:w="888"/>
        <w:gridCol w:w="346"/>
        <w:gridCol w:w="888"/>
        <w:gridCol w:w="259"/>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00885" cy="175260"/>
                      <wp:effectExtent l="0" t="0" r="0" b="0"/>
                      <wp:wrapNone/>
                      <wp:docPr id="190" name="Frame187"/>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1"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44345" cy="175260"/>
                      <wp:effectExtent l="0" t="0" r="0" b="0"/>
                      <wp:wrapNone/>
                      <wp:docPr id="192" name="Frame189"/>
                      <a:graphic xmlns:a="http://schemas.openxmlformats.org/drawingml/2006/main">
                        <a:graphicData uri="http://schemas.microsoft.com/office/word/2010/wordprocessingShape">
                          <wps:wsp>
                            <wps:cNvSpPr txBox="1"/>
                            <wps:spPr>
                              <a:xfrm>
                                <a:off x="0" y="0"/>
                                <a:ext cx="174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3"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63880" cy="175260"/>
                      <wp:effectExtent l="0" t="0" r="0" b="0"/>
                      <wp:wrapNone/>
                      <wp:docPr id="194" name="Frame19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5"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63880" cy="175260"/>
                      <wp:effectExtent l="0" t="0" r="0" b="0"/>
                      <wp:wrapNone/>
                      <wp:docPr id="196" name="Frame193"/>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197"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3880" cy="175260"/>
                      <wp:effectExtent l="0" t="0" r="0" b="0"/>
                      <wp:wrapNone/>
                      <wp:docPr id="198" name="Frame19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4465" cy="175260"/>
                      <wp:effectExtent l="0" t="0" r="0" b="0"/>
                      <wp:wrapNone/>
                      <wp:docPr id="199" name="Frame19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56"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Percentage of effective </w:t>
            </w:r>
          </w:p>
        </w:tc>
        <w:tc>
          <w:tcPr>
            <w:tcW w:w="259"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56"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ownership held by the </w:t>
            </w:r>
          </w:p>
        </w:tc>
        <w:tc>
          <w:tcPr>
            <w:tcW w:w="259"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 of subsidiary</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356"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Company</w:t>
            </w:r>
          </w:p>
        </w:tc>
        <w:tc>
          <w:tcPr>
            <w:tcW w:w="259"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(Country of incorporation and</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0"/>
              <w:ind w:left="0" w:right="0" w:hanging="0"/>
              <w:jc w:val="center"/>
              <w:rPr/>
            </w:pPr>
            <w:r>
              <w:rPr/>
              <w:t>​</w:t>
            </w:r>
          </w:p>
        </w:tc>
        <w:tc>
          <w:tcPr>
            <w:tcW w:w="88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w:t>
            </w:r>
          </w:p>
        </w:tc>
        <w:tc>
          <w:tcPr>
            <w:tcW w:w="259" w:type="dxa"/>
            <w:tcBorders/>
            <w:vAlign w:val="center"/>
          </w:tcPr>
          <w:p>
            <w:pPr>
              <w:pStyle w:val="TableContents"/>
              <w:bidi w:val="0"/>
              <w:spacing w:before="0" w:after="0"/>
              <w:ind w:left="0" w:right="0" w:hanging="0"/>
              <w:jc w:val="left"/>
              <w:rPr/>
            </w:pPr>
            <w:r>
              <w:rPr/>
              <w:t> </w:t>
            </w:r>
          </w:p>
        </w:tc>
      </w:tr>
      <w:tr>
        <w:trPr/>
        <w:tc>
          <w:tcPr>
            <w:tcW w:w="315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principal place of business)</w:t>
            </w:r>
          </w:p>
        </w:tc>
        <w:tc>
          <w:tcPr>
            <w:tcW w:w="346" w:type="dxa"/>
            <w:tcBorders/>
            <w:vAlign w:val="center"/>
          </w:tcPr>
          <w:p>
            <w:pPr>
              <w:pStyle w:val="TableContents"/>
              <w:bidi w:val="0"/>
              <w:spacing w:before="0" w:after="0"/>
              <w:ind w:left="0" w:right="0" w:hanging="0"/>
              <w:jc w:val="left"/>
              <w:rPr/>
            </w:pPr>
            <w:r>
              <w:rPr/>
              <w:t>  ​ ​ ​</w:t>
            </w:r>
          </w:p>
        </w:tc>
        <w:tc>
          <w:tcPr>
            <w:tcW w:w="27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Principal activities</w:t>
            </w:r>
          </w:p>
        </w:tc>
        <w:tc>
          <w:tcPr>
            <w:tcW w:w="346" w:type="dxa"/>
            <w:tcBorders/>
            <w:vAlign w:val="center"/>
          </w:tcPr>
          <w:p>
            <w:pPr>
              <w:pStyle w:val="TableContents"/>
              <w:bidi w:val="0"/>
              <w:spacing w:before="0" w:after="0"/>
              <w:ind w:left="0" w:right="0" w:hanging="0"/>
              <w:jc w:val="left"/>
              <w:rPr/>
            </w:pPr>
            <w:r>
              <w:rPr/>
              <w:t>  ​ ​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46" w:type="dxa"/>
            <w:tcBorders/>
            <w:vAlign w:val="center"/>
          </w:tcPr>
          <w:p>
            <w:pPr>
              <w:pStyle w:val="TableContents"/>
              <w:bidi w:val="0"/>
              <w:spacing w:before="0" w:after="0"/>
              <w:ind w:left="0" w:right="0" w:hanging="0"/>
              <w:jc w:val="left"/>
              <w:rPr/>
            </w:pPr>
            <w:r>
              <w:rPr/>
              <w:t>  ​ ​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left"/>
              <w:rPr/>
            </w:pPr>
            <w:r>
              <w:rPr/>
              <w:t>  ​ ​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59" w:type="dxa"/>
            <w:tcBorders/>
            <w:vAlign w:val="center"/>
          </w:tcPr>
          <w:p>
            <w:pPr>
              <w:pStyle w:val="TableContents"/>
              <w:bidi w:val="0"/>
              <w:spacing w:before="0" w:after="0"/>
              <w:ind w:left="0" w:right="0" w:hanging="0"/>
              <w:jc w:val="left"/>
              <w:rPr/>
            </w:pPr>
            <w:r>
              <w:rPr/>
              <w:t> </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Amber DWM Holding Ltd.</w:t>
            </w:r>
            <w:r>
              <w:rPr>
                <w:rFonts w:ascii="Times New Roman;Times;serif" w:hAnsi="Times New Roman;Times;serif"/>
                <w:sz w:val="11"/>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Holding entity</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Sparrow Holdings Pte. Ltd. (Singapore) </w:t>
            </w:r>
            <w:r>
              <w:rPr>
                <w:rFonts w:ascii="Times New Roman;Times;serif" w:hAnsi="Times New Roman;Times;serif"/>
                <w:sz w:val="11"/>
              </w:rPr>
              <w:t>(2)</w:t>
            </w:r>
          </w:p>
        </w:tc>
        <w:tc>
          <w:tcPr>
            <w:tcW w:w="34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holding</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Sparrow Tech Private Limited (Singapore) </w:t>
            </w:r>
            <w:r>
              <w:rPr>
                <w:rFonts w:ascii="Times New Roman;Times;serif" w:hAnsi="Times New Roman;Times;serif"/>
                <w:sz w:val="11"/>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Develop digital asset platform to provide digital asset products/solutions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Sparrow Digital Pte. Ltd. (Singapore)</w:t>
            </w:r>
          </w:p>
        </w:tc>
        <w:tc>
          <w:tcPr>
            <w:tcW w:w="34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Develop digital asset platform to provide digital asset products/solutions</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Sparrow Operations Private Limited (Singapore) </w:t>
            </w:r>
            <w:r>
              <w:rPr>
                <w:rFonts w:ascii="Times New Roman;Times;serif" w:hAnsi="Times New Roman;Times;serif"/>
                <w:sz w:val="11"/>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business support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Sparrow Fund Management Pte.Ltd. (Singapore) </w:t>
            </w:r>
            <w:r>
              <w:rPr>
                <w:rFonts w:ascii="Times New Roman;Times;serif" w:hAnsi="Times New Roman;Times;serif"/>
                <w:sz w:val="11"/>
              </w:rPr>
              <w:t>(5)</w:t>
            </w:r>
          </w:p>
        </w:tc>
        <w:tc>
          <w:tcPr>
            <w:tcW w:w="34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Fund management activities</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Amber DWM Limited (Hong Kong) </w:t>
            </w:r>
            <w:r>
              <w:rPr>
                <w:rFonts w:ascii="Times New Roman;Times;serif" w:hAnsi="Times New Roman;Times;serif"/>
                <w:sz w:val="11"/>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centre</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Amber Premium FZE (Dubai) </w:t>
            </w:r>
            <w:r>
              <w:rPr>
                <w:rFonts w:ascii="Times New Roman;Times;serif" w:hAnsi="Times New Roman;Times;serif"/>
                <w:sz w:val="11"/>
              </w:rPr>
              <w:t>(7)</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VATP license application</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Amber Match Limited (BVI) </w:t>
            </w:r>
            <w:r>
              <w:rPr>
                <w:rFonts w:ascii="Times New Roman;Times;serif" w:hAnsi="Times New Roman;Times;serif"/>
                <w:sz w:val="11"/>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Business support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Amber Trading Alfa Limited (BVI) </w:t>
            </w:r>
            <w:r>
              <w:rPr>
                <w:rFonts w:ascii="Times New Roman;Times;serif" w:hAnsi="Times New Roman;Times;serif"/>
                <w:sz w:val="11"/>
              </w:rPr>
              <w:t>(9)</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Inactive</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MegaVoyage Holding Limited (BVI) </w:t>
            </w:r>
            <w:r>
              <w:rPr>
                <w:rFonts w:ascii="Times New Roman;Times;serif" w:hAnsi="Times New Roman;Times;serif"/>
                <w:sz w:val="11"/>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entity</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BetaForce Holding Limited (BVI) </w:t>
            </w:r>
            <w:r>
              <w:rPr>
                <w:rFonts w:ascii="Times New Roman;Times;serif" w:hAnsi="Times New Roman;Times;serif"/>
                <w:sz w:val="11"/>
              </w:rPr>
              <w:t>(11)</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Holding entity</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Macro Investment Holding Limited (BVI) </w:t>
            </w:r>
            <w:r>
              <w:rPr>
                <w:rFonts w:ascii="Times New Roman;Times;serif" w:hAnsi="Times New Roman;Times;serif"/>
                <w:sz w:val="11"/>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entity</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Macro Ventures Holding Limited (BVI) </w:t>
            </w:r>
            <w:r>
              <w:rPr>
                <w:rFonts w:ascii="Times New Roman;Times;serif" w:hAnsi="Times New Roman;Times;serif"/>
                <w:sz w:val="11"/>
              </w:rPr>
              <w:t>(13)</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entity</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 xml:space="preserve">Beta Major Investment Holding Limited (BVI) </w:t>
            </w:r>
            <w:r>
              <w:rPr>
                <w:rFonts w:ascii="Times New Roman;Times;serif" w:hAnsi="Times New Roman;Times;serif"/>
                <w:sz w:val="11"/>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entity</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iClick Interactive Asia Limited (Hong Kong) (Note 5.1)</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China Search (Asia) Limited (Hong Kong) (Note 5.1)</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CMRS Digital Solutions Limited (Hong Kong) (Note 5.1)</w:t>
            </w:r>
          </w:p>
        </w:tc>
        <w:tc>
          <w:tcPr>
            <w:tcW w:w="346" w:type="dxa"/>
            <w:tcBorders/>
            <w:vAlign w:val="center"/>
          </w:tcPr>
          <w:p>
            <w:pPr>
              <w:pStyle w:val="TableContents"/>
              <w:bidi w:val="0"/>
              <w:spacing w:before="0" w:after="0"/>
              <w:ind w:left="0" w:right="0" w:hanging="0"/>
              <w:jc w:val="left"/>
              <w:rPr/>
            </w:pPr>
            <w:r>
              <w:rPr/>
              <w:t>​</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Online advertising, SaaS products and services</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r>
        <w:trPr/>
        <w:tc>
          <w:tcPr>
            <w:tcW w:w="3151"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14"/>
              </w:rPr>
            </w:pPr>
            <w:r>
              <w:rPr>
                <w:rFonts w:ascii="Times New Roman;Times;serif" w:hAnsi="Times New Roman;Times;serif"/>
                <w:b/>
                <w:i/>
                <w:sz w:val="14"/>
              </w:rPr>
              <w:t>VIE</w:t>
            </w:r>
          </w:p>
        </w:tc>
        <w:tc>
          <w:tcPr>
            <w:tcW w:w="346" w:type="dxa"/>
            <w:tcBorders/>
            <w:shd w:fill="CCEEFF" w:val="clear"/>
            <w:vAlign w:val="center"/>
          </w:tcPr>
          <w:p>
            <w:pPr>
              <w:pStyle w:val="TableContents"/>
              <w:bidi w:val="0"/>
              <w:spacing w:before="0" w:after="0"/>
              <w:ind w:left="0" w:right="0" w:hanging="0"/>
              <w:jc w:val="left"/>
              <w:rPr/>
            </w:pPr>
            <w:r>
              <w:rPr/>
              <w:t>​</w:t>
            </w:r>
          </w:p>
        </w:tc>
        <w:tc>
          <w:tcPr>
            <w:tcW w:w="27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Beijing OptAim Network Technology Co., Ltd. (“Beijing OptAim”) (Note 5.1 and 5.3)</w:t>
            </w:r>
          </w:p>
        </w:tc>
        <w:tc>
          <w:tcPr>
            <w:tcW w:w="346" w:type="dxa"/>
            <w:tcBorders/>
            <w:vAlign w:val="center"/>
          </w:tcPr>
          <w:p>
            <w:pPr>
              <w:pStyle w:val="TableContents"/>
              <w:bidi w:val="0"/>
              <w:spacing w:before="0" w:after="0"/>
              <w:ind w:left="0" w:right="0" w:hanging="0"/>
              <w:jc w:val="left"/>
              <w:rPr/>
            </w:pPr>
            <w:r>
              <w:rPr/>
              <w:t> </w:t>
            </w:r>
          </w:p>
        </w:tc>
        <w:tc>
          <w:tcPr>
            <w:tcW w:w="27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Dormant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r>
    </w:tbl>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1. Amber DWM Holding Ltd was incorporated in Cayman on November 28, 2023 and become a wholly-owned subsidiary of Amber International Holding Ltd after listing.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tbl>
      <w:tblPr>
        <w:tblW w:w="4742" w:type="dxa"/>
        <w:jc w:val="left"/>
        <w:tblInd w:w="0" w:type="dxa"/>
        <w:tblLayout w:type="fixed"/>
        <w:tblCellMar>
          <w:top w:w="0" w:type="dxa"/>
          <w:left w:w="0" w:type="dxa"/>
          <w:bottom w:w="0" w:type="dxa"/>
          <w:right w:w="0" w:type="dxa"/>
        </w:tblCellMar>
      </w:tblPr>
      <w:tblGrid>
        <w:gridCol w:w="376"/>
        <w:gridCol w:w="4366"/>
      </w:tblGrid>
      <w:tr>
        <w:trPr/>
        <w:tc>
          <w:tcPr>
            <w:tcW w:w="3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36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and nature of operation (Continued)</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2—5. Sparrow Holdings Pte. Ltd., Sparrow Tech Private Limited, Sparrow Digital Pte. Ltd., Sparrow Operations Private Limited, and Sparrow Fund Management Pte. Ltd. (collectively known as “Sparrow Group), these entities were incorporated in Singapore and acquired by Amber Global Limited on November 29, 2022. As part of the preparation for the business combination, Amber Global Limited transfers the entire issued and paid—up capital of Sparrow Group to Amber DWM Holding Limited, a wholly—owned subsidiary of Amber Global Limited on July 18, 2024. As a result of the transfer, Sparrow Group became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6. Amber DWM Limited was incorporated in Hong Kong on January 29, 2024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7. Amber Premium FZE was incorporated in Dubai on September 24, 2024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8. Amber Match Limited was incorporated in the British Virgin Islands on May 6, 2022 as a wholly—owned subsidiary of Amber Global Limited. As part of the preparation for the business combination, Amber Global Limited transfers the entire issued capital of Amber Match Limited to Amber DWM Holding Limited on Jan 23, 2025. As a result of the transfer, Amber Match Limited became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9. Amber Trading Alfa Limited was incorporated in the British Virgin Islands on April 8, 2022 as a wholly—owned subsidiary of Amber Technologies Limited, a subsidiary of Amber Global Limited. As part of the preparation for the business combination, Amber Technologies Limited transfers the entire issued and paid—up capital of Amber Trading Alfa Limited to Amber DWM Holding Limited on June 27, 2024. As a result of the transfer, Amber Trading Alfa Limited became a wholly—owned subsidiary of Amber DWM Holding Limited. However, this entity was disposed of by Amber DWM Holding Limited with no consideration on November 29, 2024. There is a gain of USD 5,003.92 from the disposal.</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10. MegaVoyage Holding Limited was incorporated in the British Virgin Islands on May 14, 2025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11. BetaForce Holding Limited was incorporated in the British Virgin Islands on May 14, 2025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12. Macro Investment Holding Limited was incorporated in the British Virgin Islands on June 30, 2025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13. Macro Ventures Holding Limited was incorporated in the British Virgin Islands on and is a wholly—owned subsidiary of Amber DWM Holding Limited.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14. Beta Major Investment Holding Limited was incorporated in the British Virgin Islands on and is a wholly—owned subsidiary of Amber DWM Holding Limited.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Variable interest entity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PRC laws and regulations prohibit or restrict foreign ownership of companies that provide internet—based business, which include activities and services provided by the Group. The Group operates its business operations in the PRC through a series of contractual arrangements (“Structured Contracts”) entered into among the Company, its wholly—owned subsidiary (“WOFE”), VIE that is legally owned by individual (“Nominee Shareholder”) authorized by the Group (collectively, “Contractual Arrangements”).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Under the Contractual Arrangements, the Company has the power to control the management, and financial and operating policies of the VIE, has exposure or rights to variable returns from its involvement with the VIE, and has the ability to use its power over the VIE to affect the amount of the returns. As a result, VIE is accounted for as consolidated structured entities of the Company and its financial statements have been consolidated by the Company.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Amber International’s relationships with Beijing OptAim and its shareholders are governed by the following contractual arrangements:</w:t>
      </w:r>
    </w:p>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 Agreement</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Under the cooperative agreement between WOFE and Beijing OptAim, WOFE has the exclusive right to provide to Beijing OptAim, among others, technical consulting, technical support, business consulting, and appointment and dismissal of employees. WOFE will collect a fee from Beijing OptAim to be determined at the sole discretion of WOFE. The term of this agreement will not expire unless WOFE provides prior written notice to Beijing OptAim.</w:t>
      </w:r>
    </w:p>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Option Agreement</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parties to the purchase option agreement are WOFE, Beijing OptAim and each of the shareholders of Beijing OptAim. Under the purchase option agreement, each of the shareholders of Beijing OptAim irrevocably granted WOFE or its designated representative(s) an exclusive option to purchase, to the extent permitted under PRC law, all or part of its equity interests in Beijing OptAim. WOFE or its designated representative(s) have sole discretion as to when to exercise such options, either in part or in full. Without prior written consent from WOFE, Beijing OptAim’s shareholders shall not sell, transfer, mortgage or otherwise dispose their equity interests in Beijing OptAim. The agreement will not expire until all shares of Beijing OptAim are transferred to WOFE or its designated representative(s).</w:t>
      </w:r>
    </w:p>
    <w:tbl>
      <w:tblPr>
        <w:tblW w:w="2001" w:type="dxa"/>
        <w:jc w:val="left"/>
        <w:tblInd w:w="0" w:type="dxa"/>
        <w:tblLayout w:type="fixed"/>
        <w:tblCellMar>
          <w:top w:w="28" w:type="dxa"/>
          <w:left w:w="28" w:type="dxa"/>
          <w:bottom w:w="28" w:type="dxa"/>
          <w:right w:w="28" w:type="dxa"/>
        </w:tblCellMar>
      </w:tblPr>
      <w:tblGrid>
        <w:gridCol w:w="124"/>
        <w:gridCol w:w="256"/>
        <w:gridCol w:w="1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 xml:space="preserve">Pursuant to the irrevocable power of attorney executed by the shareholders of Beijing OptAim, Beijing OptAim appointed WOFE as its attorney—in—fact to exercise all shareholders’ rights in Beijing OptAim, including, without limitation, the power to vote on all matters of Beijing OptAim. </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Beijing OptAim requires shareholder approval under PRC laws and regulations and the articles of association of Beijing OptAim. The power of attorney will remain in force until WOFE provides prior written notice to Beijing OptAim.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Variable interest entity (Continued)</w:t>
      </w:r>
    </w:p>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 (Continued)</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Pursuant to the pledge agreement between WOFE and the shareholders of Beijing OptAim, the shareholders of Beijing OptAim have pledged all of their equity interests in Beijing OptAim to WOFE to guarantee the performance byBeijing OptAim under the cooperative agreement, purchase option agreement, and powers of attorney. If Beijing OptAim and/or its shareholders breach their contractual obligations under those agreements, WOFE,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 The shareholders of Beijing OptAim have completed the registration of the equity pledge with the relevant office of the Administration for Industry and Commerce in accordance with the PRC Property Rights Law on June 21, 2017.</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 of December 31, 2025, the total assets of Beijing OptAim (excluding amounts due from subsidiaries of the Company) were US$17, mainly comprising other current assets. As of December 31, 2025, the total liabilities of Beijing OptAim (excluding amounts due to subsidiaries of the Company) were US$1,277, mainly comprising lease liabilities, income tax payable and other current liabilities.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accordance with the aforementioned agreements, Amber International has the power to direct activities of Beijing OptAim, and can have assets transferred out of Beijing OptAim. Therefore Amber International considers that there is no asset in Beijing OptAim that can be used only to settle obligations of Beijing OptAim, except for registered capital and PRC statutory reserves of Beijing OptAim amounting to US$1,809, as of December 31, 2025. As Beijing OptAim was incorporated as limited liability companies under the PRC Company Law, the creditors do not have recourse to the general credit of Amber International for all the liabilities of Beijing OptAim. Currently there is no contractual arrangement that could require Amber International to provide additional financial support to Beijing OptAim.</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There is no VIE where Amber International has variable interest but is not the primary beneficiary. In the opinion of Amber International’s management, the contractual arrangements among WOFE, VIE and the Nominee Shareholder are in compliance with current PRC laws and are legally binding and enforceable.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Amber International’s ability to control Beijing OptAim also depends on the power of attorney and the effect of the share pledge under the Pledge Agreement and the WOFE has to vote on all matters requiring shareholder approval in Beijing OptAim. As noted above, Amber International believes this power of attorney is legally enforceable but may not be as effective as direct equity ownership.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Basis of preparation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International Financial Reporting Standards (“IFRS”) as issued by the International Accounting Standards Board (“IASB”) under the historical cost convention, as modified by financial assets at FVTPL, digital assets, crypto assets loan receivable, collateral receivable, collateral payable, liabilities due to customers and derivatives which are measured at fair value.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IFRS Accounting Standards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consolidated financial statements are disclosed in Note 4 to the consolidated financial statements.</w:t>
      </w:r>
    </w:p>
    <w:p>
      <w:pPr>
        <w:pStyle w:val="TextBody"/>
        <w:bidi w:val="0"/>
        <w:spacing w:before="0" w:after="24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Amendments to the accounting standards adopted</w:t>
      </w:r>
    </w:p>
    <w:p>
      <w:pPr>
        <w:pStyle w:val="TextBody"/>
        <w:bidi w:val="0"/>
        <w:spacing w:before="0" w:after="240"/>
        <w:ind w:left="720" w:right="0" w:hanging="0"/>
        <w:jc w:val="both"/>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IAS 21 and IFRS 1                Lack of Exchangeability (amendments)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adoption of the amendments to standards does not have material impact on the consolidated financial statements of the Group</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New standards, amendments to standards and annual improvements issued that are not yet effective</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321"/>
        <w:gridCol w:w="346"/>
        <w:gridCol w:w="1346"/>
        <w:gridCol w:w="192"/>
      </w:tblGrid>
      <w:tr>
        <w:trPr/>
        <w:tc>
          <w:tcPr>
            <w:tcW w:w="83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46" w:type="dxa"/>
            <w:tcBorders/>
            <w:vAlign w:val="center"/>
          </w:tcPr>
          <w:p>
            <w:pPr>
              <w:pStyle w:val="TableContents"/>
              <w:bidi w:val="0"/>
              <w:spacing w:before="0" w:after="283"/>
              <w:ind w:left="0" w:right="0" w:hanging="0"/>
              <w:jc w:val="left"/>
              <w:rPr>
                <w:sz w:val="4"/>
                <w:szCs w:val="4"/>
              </w:rPr>
            </w:pPr>
            <w:r>
              <w:rPr>
                <w:sz w:val="4"/>
                <w:szCs w:val="4"/>
              </w:rPr>
            </w:r>
          </w:p>
        </w:tc>
        <w:tc>
          <w:tcPr>
            <w:tcW w:w="192" w:type="dxa"/>
            <w:tcBorders/>
            <w:vAlign w:val="center"/>
          </w:tcPr>
          <w:p>
            <w:pPr>
              <w:pStyle w:val="TableContents"/>
              <w:bidi w:val="0"/>
              <w:spacing w:before="0" w:after="283"/>
              <w:ind w:left="0" w:right="0" w:hanging="0"/>
              <w:jc w:val="left"/>
              <w:rPr>
                <w:sz w:val="4"/>
                <w:szCs w:val="4"/>
              </w:rPr>
            </w:pPr>
            <w:r>
              <w:rPr>
                <w:sz w:val="4"/>
                <w:szCs w:val="4"/>
              </w:rPr>
            </w:r>
          </w:p>
        </w:tc>
      </w:tr>
      <w:tr>
        <w:trPr/>
        <w:tc>
          <w:tcPr>
            <w:tcW w:w="832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1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for</w:t>
              <w:br/>
              <w:t>annual periods</w:t>
              <w:br/>
              <w:t>beginning on or</w:t>
              <w:br/>
              <w:t>after</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8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9 and IFRS 7: Classification and Measurement of Financial Instruments and Contracts Referencing Nature-dependent Electricity (amendments)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January 2026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83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1, IFRS 7, IFRS 9, IFRS 10 and IAS 7: Annual Improvements to IFRS Accounting Standards — Volume 11 (amendments)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January 2026</w:t>
            </w:r>
          </w:p>
        </w:tc>
        <w:tc>
          <w:tcPr>
            <w:tcW w:w="192" w:type="dxa"/>
            <w:tcBorders/>
            <w:vAlign w:val="center"/>
          </w:tcPr>
          <w:p>
            <w:pPr>
              <w:pStyle w:val="TableContents"/>
              <w:bidi w:val="0"/>
              <w:spacing w:before="0" w:after="0"/>
              <w:ind w:left="0" w:right="0" w:hanging="0"/>
              <w:jc w:val="left"/>
              <w:rPr/>
            </w:pPr>
            <w:r>
              <w:rPr/>
              <w:t>​</w:t>
            </w:r>
          </w:p>
        </w:tc>
      </w:tr>
      <w:tr>
        <w:trPr/>
        <w:tc>
          <w:tcPr>
            <w:tcW w:w="8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18: Presentation and Disclosure in Financial Statements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January 2027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83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19: Subsidiaries without Public Accountability: Disclosures</w:t>
            </w:r>
          </w:p>
        </w:tc>
        <w:tc>
          <w:tcPr>
            <w:tcW w:w="346"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January 2027</w:t>
            </w:r>
          </w:p>
        </w:tc>
        <w:tc>
          <w:tcPr>
            <w:tcW w:w="192" w:type="dxa"/>
            <w:tcBorders/>
            <w:vAlign w:val="center"/>
          </w:tcPr>
          <w:p>
            <w:pPr>
              <w:pStyle w:val="TableContents"/>
              <w:bidi w:val="0"/>
              <w:spacing w:before="0" w:after="0"/>
              <w:ind w:left="0" w:right="0" w:hanging="0"/>
              <w:jc w:val="left"/>
              <w:rPr/>
            </w:pPr>
            <w:r>
              <w:rPr/>
              <w:t>​</w:t>
            </w:r>
          </w:p>
        </w:tc>
      </w:tr>
      <w:tr>
        <w:trPr/>
        <w:tc>
          <w:tcPr>
            <w:tcW w:w="8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IFRS 10 and IAS 28: Sale or contribution of assets between an investor and its associate or joint venture (amendments)</w:t>
            </w:r>
          </w:p>
        </w:tc>
        <w:tc>
          <w:tcPr>
            <w:tcW w:w="346" w:type="dxa"/>
            <w:tcBorders/>
            <w:shd w:fill="CCEEFF" w:val="clear"/>
            <w:vAlign w:val="center"/>
          </w:tcPr>
          <w:p>
            <w:pPr>
              <w:pStyle w:val="TableContents"/>
              <w:bidi w:val="0"/>
              <w:spacing w:before="0" w:after="0"/>
              <w:ind w:left="0" w:right="0" w:hanging="0"/>
              <w:jc w:val="left"/>
              <w:rPr/>
            </w:pPr>
            <w:r>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To be determined</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is in the process of making an assessment of the impact of these new standards, amendments to standards and annual improvement upon initial application. The adoption of IFRS 18 will not affect the recognition or measurement of items in the consolidated financial statements. It mainly has impacts on presentation and disclosure of income and expenses and adds new disclosure requirements on management—defined performance measures within the consolidated financial statements. Except for IFRS 18, none of these is expected to have significant impact on the consolidated financial statements of the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Basis of consolidation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Consolidation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Basis of consolidation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Consolidation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Subsidiaries are all entities (including VIE) over which the Group has control.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Non-controlling interests in the results and equity of subsidiaries are shown separately in the consolidated statement of financial position, statement of comprehensive income and statement of changes in shareholders’ equity, respectively.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the Group ceases to consolidate a subsidiary because of a loss of control, any retained interests in the entity are remeasured to its fair value with the change in carrying amount recognized in profit or loss. This fair value becomes the initial carrying amount for the purpose of subsequently accounting for the retained interests as an associate, a joint venture or a financial asset. In addition, any amounts previously recognized in other comprehensive income in respect of that entity are accounted for as if the Group had directly disposed of the related assets or liabilities. This may mean that amounts previously recognized in other comprehensive income are reclassified to profit or loss or transferred to another category of equity as specified/permitted by applicable IFRS Accounting Standards.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Business combination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applies the acquisition method to account for business combinations, regardless of whether equity instruments or other assets are acquired. The consideration transferred for the acquisition of a subsidiary comprises the:</w:t>
      </w:r>
    </w:p>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the assets transferred;</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incurred to the former owners of the acquired business;</w:t>
            </w:r>
          </w:p>
        </w:tc>
      </w:tr>
    </w:tbl>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interests issued by the Group;</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any asset or liability resulting from a contingent consideration arrangement; and</w:t>
            </w:r>
          </w:p>
        </w:tc>
      </w:tr>
    </w:tbl>
    <w:tbl>
      <w:tblPr>
        <w:tblW w:w="5661" w:type="dxa"/>
        <w:jc w:val="left"/>
        <w:tblInd w:w="0" w:type="dxa"/>
        <w:tblLayout w:type="fixed"/>
        <w:tblCellMar>
          <w:top w:w="28" w:type="dxa"/>
          <w:left w:w="28" w:type="dxa"/>
          <w:bottom w:w="28" w:type="dxa"/>
          <w:right w:w="28" w:type="dxa"/>
        </w:tblCellMar>
      </w:tblPr>
      <w:tblGrid>
        <w:gridCol w:w="124"/>
        <w:gridCol w:w="256"/>
        <w:gridCol w:w="5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any pre—existing equity interest in the subsidiary.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Identifiable assets acquired and liabilities and contingent liabilities assumed in a business combination are, with limited exceptions, measured initially at their fair value at the acquisition date. The Group recognizes any non-controlling interest in the acquired entity on an acquisition—by—acquisition basis either at fair value or at the non-controlling interest’s proportionate share of the acquired entity’s net identifiable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Acquisition—related costs are expensed as incurred.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excess of the consideration transferred, amount of any non-controlling interests in the acquiree, and the acquisition—date fair value of any previous equity interests in the acquire over the fair value of the identifiable net assets acquired is recorded as goodwill. If those amounts are less than the fair value of the net assets of the business acquired in the case of a bargain purchase, the difference is recognized directly in the profit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Business combination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Business combination under common control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accounts for the business combination between entities under common control using the predecessor accounting. For predecessor accounting: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of the acquired entity are stated at predecessor carrying value. Fair value measurement is not required.</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goodwill arises in predecessor accounting.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difference between the consideration given and the aggregate carrying value of the assets and liabilities of the acquired entity at the date of the transaction is included in equity in retained earnings or in a separate reserve.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does not restate any assets and liabilities of the acquired entity. The assets and liabilities of the acquired entity are consolidated using the predecessor’s amounts from the controlling party’s perspective. No new goodwill is recorded. Any difference between the cost of investment and the carrying value of the net assets is recorded in equity as merger reserve.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Investment accounted for using equity method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Associate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Associates are all entities over which the Group has significant influence but not control or joint control, generally but not necessarily accompanying a shareholding of between 20% and 50% of the voting rights. Investments in associates are accounted for using the equity method of accounting, after initially being recognized at cost.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Equity method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equity method of accounting, the investments are initially recognized at cost and adjusted thereafter to recognize the Group’s share of the post—acquisition profits or losses of the investee in profit or loss, and the Group’s share of movements in other comprehensive income of the investee in other comprehensive income. Dividends received or receivable from associates and joint ventures are recognized as a reduction in the carrying amount of the investment.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the Group’s share of losses in an equity—accounted investment equals or exceeds its interest in the entity, including any other unsecured long—term receivables, the Group does not recognize further losses, unless it has incurred obligations or made payments on behalf of the other entity.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Unrealized gains on transactions between the Group and its associates and joint ventures are eliminated to the extent of the Group’s interest in these entities. Unrealized losses are also eliminated unless the transaction provides evidence of an impairment of the asset transferred. Accounting policies of equity accounted investees have been changed where necessary to ensure consistency with the policies adopted by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determines at each reporting date whether there is any objective evidence that investments accounted for using the equity method, including investments in associates and joint ventures, are impaired. If this is the case, the Group calculates the amount of impairment as the difference between the recoverable amount of the investment and its carrying amount and recognizes the amount in “other gains,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Foreign currency translation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Functional and presentation currency</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presentation currency of Amber International is the United States dollars (“US$”). Amber International is a holding company engaged in capital raising and financing activities denominated in US$. As such, Amber International’s functional currency has been determined to be the US$. The functional currency of Amber International’s subsidiaries is the local currency of the country in which they are domiciled.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Transactions and balances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Foreign exchange gains and losses are presented in the consolidated statements of profit or loss within “other gains, net”.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Non-monetary items that are measured at fair value in a foreign currency are translated using the exchange rates at the date when the fair value was determined. Translation differences on assets and liabilities carried at fair value are reported as part of the fair value gain or loss. For example, translation differences on nonmonetary assets and liabilities such as equities held at fair value through profit or loss are recognised in profit or loss as part of the fair value gain or loss and translation differences on non-monetary assets such as equities classified as fair value through other comprehensive income are recognised in other comprehensive income.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Group companies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The results and financial positions of foreign operations (none of which has the currency of a hyperinflationary economy) that have a functional currency different from the presentation currency are translated into the presentation currency as follows: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assets and liabilities for each statement of financial position presented are translated at the closing rate at the end of the reporting period;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and expenses for each income statement and statement of comprehensive income are translated at average exchange rates (unless this average is not a reasonable approximation of the cumulative effect of the rates prevailing on the transaction dates, in which case income and expenses are translated at the dates of the transactions); and </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resulting exchange differences are recognised in other comprehensive income.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Disposal of foreign operation</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On the disposal of a foreign operation (this is, a disposal of the Group’s entire interest in a foreign operation, or a disposal involving loss of control over a subsidiary that includes a foreign operation, or a disposal involving loss of joint control over a joint venture that includes a foreign operation), all of the currency translation differences accumulated in equity in respect of that operation attributable to the owners of the Company are reclassified to profit or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1040" w:name="Tc_aNej8GWavUiynsg4piPX0A_5_2"/>
      <w:bookmarkStart w:id="1041" w:name="Tc_R7-Y3P4toUWq0Aw4YD8tDg_5_0"/>
      <w:bookmarkStart w:id="1042" w:name="Tc_eq-X1IxUJkq5GlaV5U_FnA_4_2"/>
      <w:bookmarkStart w:id="1043" w:name="Tc_gAdPCa5oRE-F-LbUfaeXVA_4_0"/>
      <w:bookmarkStart w:id="1044" w:name="Tc_N_6X-6hVZEKBq9kC3ln3HA_3_0"/>
      <w:bookmarkStart w:id="1045" w:name="Tc_gBCU0WDCtEi_4lIBGsp5PA_2_0"/>
      <w:bookmarkStart w:id="1046" w:name="Tc_Btk7y0nyDUKnkjhC5xP2sQ_1_0"/>
      <w:bookmarkEnd w:id="1040"/>
      <w:bookmarkEnd w:id="1041"/>
      <w:bookmarkEnd w:id="1042"/>
      <w:bookmarkEnd w:id="1043"/>
      <w:bookmarkEnd w:id="1044"/>
      <w:bookmarkEnd w:id="1045"/>
      <w:bookmarkEnd w:id="1046"/>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Segment reporting</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Operating segment is reported in a manner consistent with the internal reporting provided to the chief operating decision—maker (“CODM”), who is responsible for allocating resources and assessing performance of the operating segments. The CODM is comprised of certain members of Amber International’s management team, including the board of directors and chief executive officer.</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Group’s organizational structure is based on a number of factors that the CODM uses to evaluate, view and run its business operations which include, but are not limited to, customer base, homogeneity of products and technology. The CODM who allocates resources to and assesses the performance of each operating segment using information about the operating segment’s revenue and income/(loss) from operations. The CODM does not evaluate operating segments using asset or liability information.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Property, plant and equipment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All items of property, plant and equipment are initially recorded at cost. Subsequent to recognition, property, plant and equipment are measured at cost less accumulated depreciation and any accumulated impairment losses. The cost of property, plant and equipment includes its purchase price and any costs directly attributable to bringing the asset to the location and condition necessary for it to be capable of operating in the manner intended by management. Dismantlement, removal or restoration costs are included as part of the cost of property, plant and equipment if the obligation for dismantlement, removal or restoration is incurred as a consequence of acquiring or using the property, plant and equipment.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projected cost of dismantlement, removal or restoration is also recognized as part of the cost of property, plant and equipment if the obligation for the dismantlement, removal or restoration is incurred as a consequence of either acquiring the asset or using the asset for purpose other than to produce inventories.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Depreciation is calculated using the straight—line method to allocate depreciable amounts over their estimated useful lives. The estimated useful lives are as follows:</w:t>
      </w:r>
    </w:p>
    <w:p>
      <w:pPr>
        <w:pStyle w:val="TextBody"/>
        <w:bidi w:val="0"/>
        <w:spacing w:before="0" w:after="0"/>
        <w:ind w:left="0" w:right="0" w:hanging="0"/>
        <w:jc w:val="left"/>
        <w:rPr/>
      </w:pPr>
      <w:r>
        <w:rPr/>
        <w:t>​</w:t>
      </w:r>
    </w:p>
    <w:tbl>
      <w:tblPr>
        <w:tblW w:w="3828" w:type="dxa"/>
        <w:jc w:val="left"/>
        <w:tblInd w:w="0" w:type="dxa"/>
        <w:tblLayout w:type="fixed"/>
        <w:tblCellMar>
          <w:top w:w="0" w:type="dxa"/>
          <w:left w:w="0" w:type="dxa"/>
          <w:bottom w:w="0" w:type="dxa"/>
          <w:right w:w="0" w:type="dxa"/>
        </w:tblCellMar>
      </w:tblPr>
      <w:tblGrid>
        <w:gridCol w:w="2086"/>
        <w:gridCol w:w="346"/>
        <w:gridCol w:w="139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24610" cy="29210"/>
                      <wp:effectExtent l="0" t="0" r="0" b="0"/>
                      <wp:wrapNone/>
                      <wp:docPr id="200" name="Frame197"/>
                      <a:graphic xmlns:a="http://schemas.openxmlformats.org/drawingml/2006/main">
                        <a:graphicData uri="http://schemas.microsoft.com/office/word/2010/wordprocessingShape">
                          <wps:wsp>
                            <wps:cNvSpPr txBox="1"/>
                            <wps:spPr>
                              <a:xfrm>
                                <a:off x="0" y="0"/>
                                <a:ext cx="132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29210"/>
                      <wp:effectExtent l="0" t="0" r="0" b="0"/>
                      <wp:wrapNone/>
                      <wp:docPr id="201" name="Frame19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86460" cy="29210"/>
                      <wp:effectExtent l="0" t="0" r="0" b="0"/>
                      <wp:wrapNone/>
                      <wp:docPr id="202" name="Frame199"/>
                      <a:graphic xmlns:a="http://schemas.openxmlformats.org/drawingml/2006/main">
                        <a:graphicData uri="http://schemas.microsoft.com/office/word/2010/wordprocessingShape">
                          <wps:wsp>
                            <wps:cNvSpPr txBox="1"/>
                            <wps:spPr>
                              <a:xfrm>
                                <a:off x="0" y="0"/>
                                <a:ext cx="886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shd w:fill="CCEEFF" w:val="clear"/>
            <w:vAlign w:val="center"/>
          </w:tcPr>
          <w:p>
            <w:pPr>
              <w:pStyle w:val="TableContents"/>
              <w:bidi w:val="0"/>
              <w:spacing w:before="0" w:after="0"/>
              <w:ind w:left="0" w:right="0" w:hanging="0"/>
              <w:jc w:val="left"/>
              <w:rPr/>
            </w:pPr>
            <w:r>
              <w:rPr/>
              <w:t>  ​ ​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0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fittings</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0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r>
        <w:trPr/>
        <w:tc>
          <w:tcPr>
            <w:tcW w:w="208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lease term</w:t>
            </w:r>
          </w:p>
        </w:tc>
      </w:tr>
      <w:tr>
        <w:trPr/>
        <w:tc>
          <w:tcPr>
            <w:tcW w:w="208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premise</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lease term</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Fully depreciated property, plant and equipment are retained in the financial statements until they are no longer in use.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residual values, useful lives and depreciation method are reviewed at the end of each reporting period, and adjusted prospectively, if appropriate.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 item of property, plant and equipment is derecognized upon disposal or when no future economic benefits are expected from its use or disposal. Any gain or loss on derecognition of the asset is included in unaudited condensed consolidated statements of profit or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047" w:name="Tc_IG8hV88VYEmSinhfecr4uw_5_0"/>
      <w:bookmarkStart w:id="1048" w:name="Tc_Yg9-c2aMN0S-3VChYLaREQ_4_0"/>
      <w:bookmarkStart w:id="1049" w:name="Tc_kSd7-FZ5NkW9RQV-UBKsBg_3_0"/>
      <w:bookmarkStart w:id="1050" w:name="Tc_FVjvnQ9E90G4g7HsWLrsOA_2_2"/>
      <w:bookmarkStart w:id="1051" w:name="Tc_Dusds0qIgUmdKuBYbntCsA_2_0"/>
      <w:bookmarkStart w:id="1052" w:name="Tc_BbOofFJ_X0CL6wx4ea4gEQ_1_2"/>
      <w:bookmarkStart w:id="1053" w:name="Tc_ZFvRh3t2hkyZ2PNNeyGSiw_1_0"/>
      <w:bookmarkStart w:id="1054" w:name="_d818a1ac_297e_4991_b5a2_f8cca8f30601"/>
      <w:bookmarkEnd w:id="1047"/>
      <w:bookmarkEnd w:id="1048"/>
      <w:bookmarkEnd w:id="1049"/>
      <w:bookmarkEnd w:id="1050"/>
      <w:bookmarkEnd w:id="1051"/>
      <w:bookmarkEnd w:id="1052"/>
      <w:bookmarkEnd w:id="1053"/>
      <w:bookmarkEnd w:id="1054"/>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2.8</w:t>
      </w:r>
      <w:r>
        <w:rPr>
          <w:rFonts w:ascii="Times New Roman;Times;serif" w:hAnsi="Times New Roman;Times;serif"/>
          <w:b/>
          <w:sz w:val="20"/>
        </w:rPr>
        <w:t>Intangible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mainly consist of computer software and systems, customer relationship, brand name, trademark acquired through the acquisitions of subsidiaries and contract backlog.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pStyle w:val="TextBody"/>
        <w:bidi w:val="0"/>
        <w:spacing w:before="0" w:after="0"/>
        <w:ind w:left="0" w:right="0" w:hanging="0"/>
        <w:jc w:val="left"/>
        <w:rPr/>
      </w:pPr>
      <w:r>
        <w:rPr/>
        <w:t>​</w:t>
      </w:r>
    </w:p>
    <w:tbl>
      <w:tblPr>
        <w:tblW w:w="4038" w:type="dxa"/>
        <w:jc w:val="left"/>
        <w:tblInd w:w="0" w:type="dxa"/>
        <w:tblLayout w:type="fixed"/>
        <w:tblCellMar>
          <w:top w:w="0" w:type="dxa"/>
          <w:left w:w="0" w:type="dxa"/>
          <w:bottom w:w="0" w:type="dxa"/>
          <w:right w:w="0" w:type="dxa"/>
        </w:tblCellMar>
      </w:tblPr>
      <w:tblGrid>
        <w:gridCol w:w="2671"/>
        <w:gridCol w:w="346"/>
        <w:gridCol w:w="10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96085" cy="175260"/>
                      <wp:effectExtent l="0" t="0" r="0" b="0"/>
                      <wp:wrapNone/>
                      <wp:docPr id="203" name="Frame200"/>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335" cy="175260"/>
                      <wp:effectExtent l="0" t="0" r="0" b="0"/>
                      <wp:wrapNone/>
                      <wp:docPr id="204" name="Frame201"/>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 and systems</w:t>
            </w:r>
          </w:p>
        </w:tc>
        <w:tc>
          <w:tcPr>
            <w:tcW w:w="346" w:type="dxa"/>
            <w:tcBorders/>
            <w:shd w:fill="CCEEFF" w:val="clear"/>
            <w:vAlign w:val="center"/>
          </w:tcPr>
          <w:p>
            <w:pPr>
              <w:pStyle w:val="TableContents"/>
              <w:bidi w:val="0"/>
              <w:spacing w:before="0" w:after="0"/>
              <w:ind w:left="0" w:right="0" w:hanging="0"/>
              <w:jc w:val="left"/>
              <w:rPr/>
            </w:pPr>
            <w:r>
              <w:rPr/>
              <w:t>  ​ ​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 years</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 years</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 years</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years</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backlog</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2.9</w:t>
      </w:r>
      <w:r>
        <w:rPr>
          <w:rFonts w:ascii="Times New Roman;Times;serif" w:hAnsi="Times New Roman;Times;serif"/>
          <w:b/>
          <w:sz w:val="20"/>
        </w:rPr>
        <w:t>Goodwill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Goodwill is not amortized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Goodwill is allocated to each of the cash—generating units (“CGU”s) for the purpose of impairment testing. The allocation is made to those CGUs or groups of CGUs that are expected to benefit from the business combination in which the goodwill arose. The units or groups of units are identified at the lowest level at which goodwill is monitored for internal management purposes, below the operating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2.10</w:t>
      </w:r>
      <w:r>
        <w:rPr>
          <w:rFonts w:ascii="Times New Roman;Times;serif" w:hAnsi="Times New Roman;Times;serif"/>
          <w:b/>
          <w:sz w:val="20"/>
        </w:rPr>
        <w:t>Impairment of non-financial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and goodwill that have an indefinite useful life are not subject to amortization and are tested annually for impairment, or more frequently if events or changes in circumstances indicate that they might be impaired. Other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separately identifiable cash inflows which are largely independent of the cash inflows from other assets or groups of assets (CGUs). Non—financial assets other than goodwill that suffered an impairment are reviewed for possible reversal of the impairment at the end of each reporting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2.11</w:t>
      </w:r>
      <w:r>
        <w:rPr>
          <w:rFonts w:ascii="Times New Roman;Times;serif" w:hAnsi="Times New Roman;Times;serif"/>
          <w:b/>
          <w:sz w:val="20"/>
        </w:rPr>
        <w:t>Financial instruments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Financial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(a)Classification</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The Group classifies its financial assets in the following measurement categories: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those to be measured subsequently at fair value (either through other comprehensive income or through profit or loss), and </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those to be measured at amortised cost. </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classification depends on the entity’s business model for managing the financial assets and the contractual terms of the cash flows. For assets measured at fair value, gains and losses will either be recorded in profit or loss or other comprehensive income. For investments in equity instruments that are not held for trading, this will depend on whether the Group has made an irrevocable election at the time of initial recognition to account for the equity investment at fair value through other comprehensive income (“FVOCI”). The Group reclassifies debt investments when and only when its business model for managing those assets changes.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(b)Initial recognition and measurement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Financial assets are recognized when, and only when the entity becomes party to the contractual provisions of the instruments.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Trade receivables are measured at the amount of consideration to which the Group expects to be entitled in exchange for transferring promised goods or services to a customer, excluding amounts collected on behalf of a third party, if the trade receivables do not contain a significant financing component at initial recognition.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Subsequent measurement</w:t>
      </w:r>
    </w:p>
    <w:p>
      <w:pPr>
        <w:pStyle w:val="TextBody"/>
        <w:bidi w:val="0"/>
        <w:spacing w:before="0" w:after="240"/>
        <w:ind w:left="1440" w:right="0" w:hanging="0"/>
        <w:jc w:val="both"/>
        <w:rPr>
          <w:rFonts w:ascii="Times New Roman;Times;serif" w:hAnsi="Times New Roman;Times;serif"/>
          <w:i/>
          <w:sz w:val="20"/>
        </w:rPr>
      </w:pPr>
      <w:r>
        <w:rPr>
          <w:rFonts w:ascii="Times New Roman;Times;serif" w:hAnsi="Times New Roman;Times;serif"/>
          <w:i/>
          <w:sz w:val="20"/>
        </w:rPr>
        <w:t>Equity instruments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Any subsequent changes in fair value of equity instruments are recognized in profit or loss. However, for investments in equity instruments which are not held for trading, the Group may make an irrevocable election at initial recognition to present subsequent changes in fair value of the investments in other comprehensive income. Additionally, the investment in ordinary shares with significant influence can only be accounted for using the equity method with limited exceptions.</w:t>
      </w:r>
    </w:p>
    <w:p>
      <w:pPr>
        <w:pStyle w:val="TextBody"/>
        <w:bidi w:val="0"/>
        <w:spacing w:before="0" w:after="240"/>
        <w:ind w:left="1440" w:right="0" w:hanging="0"/>
        <w:jc w:val="both"/>
        <w:rPr>
          <w:rFonts w:ascii="Times New Roman;Times;serif" w:hAnsi="Times New Roman;Times;serif"/>
          <w:i/>
          <w:sz w:val="20"/>
        </w:rPr>
      </w:pPr>
      <w:r>
        <w:rPr>
          <w:rFonts w:ascii="Times New Roman;Times;serif" w:hAnsi="Times New Roman;Times;serif"/>
          <w:i/>
          <w:sz w:val="20"/>
        </w:rPr>
        <w:t>Debt instruments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Subsequent measurement of debt instruments depends on the Group’s business model for managing the asset and the contractual cash flow characteristics of the asset. The three measurement categories for classification of debt instruments are amortized cost, FVOCI and FVPL.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2.11</w:t>
      </w:r>
      <w:r>
        <w:rPr>
          <w:rFonts w:ascii="Times New Roman;Times;serif" w:hAnsi="Times New Roman;Times;serif"/>
          <w:b/>
          <w:sz w:val="20"/>
        </w:rPr>
        <w:t>Financial instruments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Financial assets (Continued)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Subsequent measurement (Continued)</w:t>
      </w:r>
    </w:p>
    <w:p>
      <w:pPr>
        <w:pStyle w:val="TextBody"/>
        <w:bidi w:val="0"/>
        <w:spacing w:before="0" w:after="240"/>
        <w:ind w:left="1440" w:right="0" w:hanging="0"/>
        <w:jc w:val="both"/>
        <w:rPr>
          <w:rFonts w:ascii="Times New Roman;Times;serif" w:hAnsi="Times New Roman;Times;serif"/>
          <w:i/>
          <w:sz w:val="20"/>
        </w:rPr>
      </w:pPr>
      <w:r>
        <w:rPr>
          <w:rFonts w:ascii="Times New Roman;Times;serif" w:hAnsi="Times New Roman;Times;serif"/>
          <w:i/>
          <w:sz w:val="20"/>
        </w:rPr>
        <w:t>At amortized cost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the amortization process.</w:t>
      </w:r>
    </w:p>
    <w:p>
      <w:pPr>
        <w:pStyle w:val="TextBody"/>
        <w:bidi w:val="0"/>
        <w:spacing w:before="0" w:after="200"/>
        <w:ind w:left="1440" w:right="0" w:hanging="0"/>
        <w:jc w:val="both"/>
        <w:rPr>
          <w:rFonts w:ascii="Times New Roman;Times;serif" w:hAnsi="Times New Roman;Times;serif"/>
          <w:i/>
          <w:sz w:val="20"/>
        </w:rPr>
      </w:pPr>
      <w:r>
        <w:rPr>
          <w:rFonts w:ascii="Times New Roman;Times;serif" w:hAnsi="Times New Roman;Times;serif"/>
          <w:i/>
          <w:sz w:val="20"/>
        </w:rPr>
        <w:t>At fair value through other comprehensive income</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pStyle w:val="TextBody"/>
        <w:bidi w:val="0"/>
        <w:spacing w:before="0" w:after="200"/>
        <w:ind w:left="1440" w:right="0" w:hanging="0"/>
        <w:jc w:val="both"/>
        <w:rPr>
          <w:rFonts w:ascii="Times New Roman;Times;serif" w:hAnsi="Times New Roman;Times;serif"/>
          <w:i/>
          <w:sz w:val="20"/>
        </w:rPr>
      </w:pPr>
      <w:r>
        <w:rPr>
          <w:rFonts w:ascii="Times New Roman;Times;serif" w:hAnsi="Times New Roman;Times;serif"/>
          <w:i/>
          <w:sz w:val="20"/>
        </w:rPr>
        <w:t>At fair value through profit or loss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Assets that do not meet the criteria for amortized cost or FVOCI are measured at FVPL. A gain or loss on a debt instrument that is subsequently measured at FVPL and is not part of a hedging relationship is recognized in profit or loss in the period in which it arises.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Impairment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Group recognizes an allowance for expected credit losses (“ECLs”) for all debt instruments not held at FVPL.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ECLs are recognized in two stages. For credit exposures for which there has not been a significant increase in credit risk since initial recognition, ECLs are provided for credit losses that result from default events that are possible within the next twelve</w:t>
        <w:noBreakHyphen/>
        <w:t>months (a twelve</w:t>
        <w:noBreakHyphen/>
        <w:t>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For trade receivables,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 which could affect debtors’ ability to pay.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2.11</w:t>
      </w:r>
      <w:r>
        <w:rPr>
          <w:rFonts w:ascii="Times New Roman;Times;serif" w:hAnsi="Times New Roman;Times;serif"/>
          <w:b/>
          <w:sz w:val="20"/>
        </w:rPr>
        <w:t>Financial instruments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Financial assets (Continued)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Impairment (Continued)</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Group considers a financial asset in default when contractual payments are 60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Derecognition</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Derivatives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 derivative financial instrument is initially recognized at its fair value on the date the contract is entered into and is subsequently carried at its fair value. Fair value changes on derivatives that are not designated or do not qualify for hedge accounting are recognized in profit or loss when the changes arise.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Financial liabilities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(a)Initial recognition and measurement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Financial liabilities are recognized when, and only when, the Group becomes a party to the contractual provisions of the financial instrument. The Group determines the classification of its financial liabilities at initial recognition.</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All financial liabilities are recognised initially at fair value plus in the case of financial liabilities not at FVPL, net of directly attributable transaction costs.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(b)Subsequent measurement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After initial recognition, financial liabilities that are not carried at FVPL are subsequently measured at amortised cost using the effective interest method. Gains and losses are recognised in profit or loss when the liabilities are derecognised, and through the amortisation process.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(c)Derecognition</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 financial liability is derecognised when the obligation under the liability is discharged or cancelled or expires. On derecognition, the difference between the carrying amounts and the consideration paid is recognised in profit or loss.</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(d)Offsetting of financial instruments</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Financial assets and liabilities are offset and the net amount reported in the statements of financial position when there is a legally enforceable right to offset and there is an intention to settle on a net basis or realise the asset and settle the liability simultaneously.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2.12</w:t>
      </w:r>
      <w:r>
        <w:rPr>
          <w:rFonts w:ascii="Times New Roman;Times;serif" w:hAnsi="Times New Roman;Times;serif"/>
          <w:b/>
          <w:sz w:val="20"/>
        </w:rPr>
        <w:t>Collateral receivables and collateral payables</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The Group enters into structured product arrangements with customers that require the customers to pledge crypto assets as collateral. Collateral received from customers are held either in the third—party trust accounts or third—party custodian platforms, which are recorded under “collateral receivables” in the consolidated statements of financial position. Crypto assets pledged as collateral are initially measured at fair value on the date of receipt and subsequently re—measured at each reporting date, with changes in fair value recognized in the financial statements. The Group maintains operational control over these assets, including private key access for third—party trust account collateral and monitoring rights for third—party custodian platforms collateral. Under the contract terms, customers retain legal ownership of the collateral, and the Group is obligated to return the same type and quantity of crypto assets upon contract settlement, assuming no default.</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Crypto assets received from customers is the Group’s obligation to return, such obligations are recorded under “collateral payables” at fair value. Changes in the fair value of this liability are recognized in net income. The Group offsets these fair value adjustments against corresponding changes in “collateral receivables” where applicable, given the back—to—back nature of customer contracts and hedging arrangements.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2.13</w:t>
      </w:r>
      <w:r>
        <w:rPr>
          <w:rFonts w:ascii="Times New Roman;Times;serif" w:hAnsi="Times New Roman;Times;serif"/>
          <w:b/>
          <w:sz w:val="20"/>
        </w:rPr>
        <w:t>Digital assets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Group’s digital asset portfolio mainly comprises cryptocurrencies and since the Group actively trades cryptocurrencies, acquiring them with a view to their resale in the near future for the ordinary course of business. The Group applies the guidance in IAS 2 Inventories for commodity broker—traders and measures the digital assets at fair value less costs to sell. The Group considers there are no significant “costs to sell” digital assets and hence measurement of digital assets is based on their fair values with changes in fair values recognized in profit or loss in the period of the changes.</w:t>
      </w:r>
    </w:p>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held for customers or placed with counterparties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Digital assets are recognized as the Group’s assets when the Group has present rights to the digital assets and the right to an economic benefit and control others’ access to the benefit. If it is determined that the Group has the control over the digital asset, the Group recognizes digital assets held for customers as its asset and recognizes a corresponding liability due to its customer for the digital assets in its financial statements.</w:t>
      </w:r>
    </w:p>
    <w:p>
      <w:pPr>
        <w:pStyle w:val="TextBody"/>
        <w:bidi w:val="0"/>
        <w:spacing w:before="0" w:after="20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Coin (“USDC”)</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USDC is a type of cryptocurrency that is backed by reserve assets in the traditional financial system, such as cash and cash equivalents, or securities. USDC is a stable coin redeemable on a one—to—one basis for United States dollars. Thus, it is accounted as a financial instrument amortized at cost recorded in consolidated statements of financial position of the Group.</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2.14</w:t>
      </w:r>
      <w:r>
        <w:rPr>
          <w:rFonts w:ascii="Times New Roman;Times;serif" w:hAnsi="Times New Roman;Times;serif"/>
          <w:b/>
          <w:sz w:val="20"/>
        </w:rPr>
        <w:t>Crypto assets loan receivables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subscribes to Earn products for a fixed-term (ranging from 1 to 365 days) or flexible arrangement to earn interest on a digital asset platform operated by a related party by providing digital assets to such platform. Pursuant to the subscription agreements, upon the Group’s subscription to an Earn product, all right, title and interest in and to the principal are transferred to the platform free and clear of any liens, claims, charges or encumbrances or any other interest of the Group or of any third party. The platform does not act as a custodian, depositary or trustee with respect to the principal or earnings for the Group. The substance of these wealth management products is a loan extended by the Group, as lender, to the platform, as borrower.</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At the inception of the loan, the Group derecognizes the digital assets lent and recognizes a “Crypto Assets Loan Receivable”, reflecting its transfer of control over the crypto assets and its contractual right to receive the principal crypto assets and interest from the borrower.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2.14</w:t>
      </w:r>
      <w:r>
        <w:rPr>
          <w:rFonts w:ascii="Times New Roman;Times;serif" w:hAnsi="Times New Roman;Times;serif"/>
          <w:b/>
          <w:sz w:val="20"/>
        </w:rPr>
        <w:t>Crypto assets loan receivables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crypto assets loan receivable exposes the Group to the credit risk of the borrower and price risk of the underlying crypto asset. Accordingly, it comprises (i) a receivable representing principal and interest, which is initially measured at the fair value of the underlying crypto assets less allowance for expected credit losses, and (ii) an embedded forward feature arising from changes in the fair value of the underlying crypto assets, which is measured at fair value through profit or loss at each reporting period. Interest income earned on the loan is recognized separately and measured at the fair value of the interest received or receivable. Any difference between the carrying amount of the lent digital assets and their fair value is recognized in profit or loss.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2.15</w:t>
      </w:r>
      <w:r>
        <w:rPr>
          <w:rFonts w:ascii="Times New Roman;Times;serif" w:hAnsi="Times New Roman;Times;serif"/>
          <w:b/>
          <w:sz w:val="20"/>
        </w:rPr>
        <w:t>Lease</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When the Group is the lessee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At the inception of the contract, the Group assesses if the contract contains a lease. A contract contains a lease if the contract conveys the right to control the use of an identified asset for a period of time in exchange for consideration. Reassessment is only required when the terms and conditions of the contract are changed.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Right-of-use assets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recognizes a right-of-use asset and lease liability at the date which the underlying asset is available for use. right-of-use assets are measured at cost which comprises the initial measurement of lease liabilities adjusted for any lease payments made at or before the commencement date and lease incentives received. Any initial direct costs that would not have been incurred if the lease had not been obtained are added to the carrying amount of the right-of-use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These right-of-use assets are subsequently depreciated using the straight-line method from the commencement date to the earlier of the end of the useful life of the right-of-use asset or the end of the lease term.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liabilities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initial measurement of a lease liability is measured at the present value of the lease payments discounted using the interest rate implicit in the lease, if the rate can be readily determined. If that rate cannot be readily determined, the Group shall use its incremental borrowing rate.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payments include the following:</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payments (including in-substance fixed payments), less any lease incentives receivable;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that are based on an index or rate, initially measured using the index or rate as at the commencement date;</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expected to be payable under residual value guarantees;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 purchase option if the Group is reasonably certain to exercise the option; and</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penalties for terminating the lease, if the lease term reflects the Group exercising that option.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a contract that contains both lease and non-lease components, the Group allocates the consideration to each lease component on the basis of the relative stand-alone prices of the lease and non-lease components. The Group has elected to not separate lease and non-lease components for property leases and account these as one single lease component.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2.15</w:t>
      </w:r>
      <w:r>
        <w:rPr>
          <w:rFonts w:ascii="Times New Roman;Times;serif" w:hAnsi="Times New Roman;Times;serif"/>
          <w:b/>
          <w:sz w:val="20"/>
        </w:rPr>
        <w:t>Lease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liabilities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liabilities are measured at amortized cost using the effective interest method. Lease liabilities shall be remeasured when:</w:t>
      </w:r>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future lease payments arising from changes in an index or rate;</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change in the Group’s assessment of whether it will exercise an extension option; or</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modification in the scope or the consideration of the lease that was not part of the original term.</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Lease liabilities are remeasured with a corresponding adjustment to the right-of-use asset, or is recorded in profit or loss if the carrying amount of the right-of-use asset has been reduced to zero.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Short-term and low-value leases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has elected to not recognize right-of-use assets and lease liabilities for short-term leases that have lease terms of 12 months or less and leases of low-value leases, except for sublease arrangements. Lease payments relating to these leases are expensed to profit or loss on a straight-line basis over the lease term.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2.16</w:t>
      </w:r>
      <w:r>
        <w:rPr>
          <w:rFonts w:ascii="Times New Roman;Times;serif" w:hAnsi="Times New Roman;Times;serif"/>
          <w:b/>
          <w:sz w:val="20"/>
        </w:rPr>
        <w:t>Liabilities due to customers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Liabilities due to customers arise from arrangements under which the Group receives assets (either crypto assets or cash) from customers and contractually agrees to return assets to customers at a specified maturity date or upon redemption. The Group’s obligation to customers is denominated in crypto assets or reflects the performance of underlying fund investments.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These liabilities expose the Group to price risk or fair value fluctuations of the underlying assets. Accordingly, the Group classifies these liabilities as financial liabilities at fair value through profit or loss. They are initially recognized at the fair value of the assets received on the inception date. Subsequently, they are measured at fair value at each reporting date, with changes in fair value recognized in profit or loss in the period in which they arise.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has designated these liabilities as at fair value through profit or loss because this designation eliminates or significantly reduces a measurement inconsistency that would otherwise arise from measuring the related assets (including crypto assets and fund investments) at fair value through profit or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2.17</w:t>
      </w:r>
      <w:r>
        <w:rPr>
          <w:rFonts w:ascii="Times New Roman;Times;serif" w:hAnsi="Times New Roman;Times;serif"/>
          <w:b/>
          <w:sz w:val="20"/>
        </w:rPr>
        <w:t>Cash and cash equivalents, restricted cash and time deposits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Cash and cash equivalents in the consolidated statements of financial position comprise cash on hand and cash in bank, which have original maturities of three months or less and are readily convertible to known amounts of cash.</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Restricted cash represented bank deposits in accounts that are restricted as to withdrawal for use or pledged as. For restriction which is expected to be released within one year of the balance sheet date, the respective restricted cash balance is classified as current.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Time deposits with financial institutions that have maturities of more than three months but less than twelve months are classified as current assets. These deposits are not considered cash and cash equivalents as they are subject to more than insignificant risk of changes in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2.18</w:t>
      </w:r>
      <w:r>
        <w:rPr>
          <w:rFonts w:ascii="Times New Roman;Times;serif" w:hAnsi="Times New Roman;Times;serif"/>
          <w:b/>
          <w:sz w:val="20"/>
        </w:rPr>
        <w:t>Share capital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Ordinary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Ordinary shares are classified as equity. Incremental costs directly attributable to the issuance of new ordinary shares are deducted against the share capital account.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2.19</w:t>
      </w:r>
      <w:r>
        <w:rPr>
          <w:rFonts w:ascii="Times New Roman;Times;serif" w:hAnsi="Times New Roman;Times;serif"/>
          <w:b/>
          <w:sz w:val="20"/>
        </w:rPr>
        <w:t>Current and deferred income tax</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Current income tax</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Current income tax for current and prior periods is recognised at the amount expected to be paid to or recovered from the tax authorities, using the tax rates and tax laws that have been enacted or substantively enacted by the end of the reporting period. Management periodically evaluates positions taken in tax returns with respect to situations in which applicable tax regulation is subject to interpretation and considers whether it is probable that a tax authority will accept an uncertain tax treatment. The Group measures its tax balances either based on the most likely amount or the expected value, depending on which method provides a better prediction of the resolution of the uncertainty.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income tax</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income tax is recognised for all temporary differences arising between the tax bases of assets and liabilities and their carrying amounts in the financial statements except when the deferred income tax arises from the initial recognition of goodwill or an asset or liability in a transaction that is not a business combination and affects neither accounting nor taxable profit or loss at the time of the transaction.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deferred income tax liability is recognised on temporary differences arising on investments in subsidiaries, except where the Group is able to control the timing of the reversal of the temporary difference and it is probable that the temporary difference will not reverse in the foreseeable future.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deferred income tax asset is recognised to the extent that it is probable that future taxable profit will be available against which the deductible temporary differences and tax losses can be utilised.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income tax is measured:</w:t>
      </w:r>
    </w:p>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tax rates that are expected to apply when the related deferred income tax asset is realized or the deferred income tax liability is settled, based on tax rates and tax laws that have been enacted or substantively enacted by the balance sheet date; and</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tax consequence that will follow from the manner in which the Group expects, at the end of the reporting period, to recover or settle the carrying amounts of its assets and liabilities.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Current and deferred income taxes are recognised as income or expense in profit or loss, except to the extent that the tax arises from a business combination or a transaction which is recognised directly in equity. Deferred tax arising from a business combination is adjusted against goodwill on acquisition.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accounts for investment tax credits (for example, productivity and innovation credit) similar to accounting for other tax credits where a deferred tax asset is recognised for unused tax credits to the extent that it is probable that future taxable profit will be available against which the unused tax credits can be utilised.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2.19</w:t>
      </w:r>
      <w:r>
        <w:rPr>
          <w:rFonts w:ascii="Times New Roman;Times;serif" w:hAnsi="Times New Roman;Times;serif"/>
          <w:b/>
          <w:sz w:val="20"/>
        </w:rPr>
        <w:t>Current and deferred income tax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Offsetting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Deferred tax assets and liabilities are offset where there is a legally enforceable right to offset current income tax assets against current income tax liabilities and where the deferred tax assets and liabilities relate to income taxes levied by the same taxation authority on either the taxable entity or different taxable entities where there is an intention to settle the balances on a net basis.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2.20</w:t>
      </w:r>
      <w:r>
        <w:rPr>
          <w:rFonts w:ascii="Times New Roman;Times;serif" w:hAnsi="Times New Roman;Times;serif"/>
          <w:b/>
          <w:sz w:val="20"/>
        </w:rPr>
        <w:t>Provisions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Provisions are recognized when the Group has a present obligation (legal or constructive) as a result of a past event, it is probable that an outflow of resources embodying economic benefits will be required to settle the obligation and the amount of the obligation can be estimated reliably.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recognizes the estimated costs of dismantlement, removal or restoration of items of property, plant and equipment arising from the acquisition or use of assets. This provision is estimated based on the best estimate of the expenditure required to settle the obligation, taking into consideration time value of money.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2.21</w:t>
      </w:r>
      <w:r>
        <w:rPr>
          <w:rFonts w:ascii="Times New Roman;Times;serif" w:hAnsi="Times New Roman;Times;serif"/>
          <w:b/>
          <w:sz w:val="20"/>
        </w:rPr>
        <w:t>Contract liabilities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Company receives prepayments for services in advance of service performance from certain customers. The amounts received in advance are recorded as contract liabilities and recognized as revenue in the period which the corresponding services are performed.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2.22</w:t>
      </w:r>
      <w:r>
        <w:rPr>
          <w:rFonts w:ascii="Times New Roman;Times;serif" w:hAnsi="Times New Roman;Times;serif"/>
          <w:b/>
          <w:sz w:val="20"/>
        </w:rPr>
        <w:t>Share-based compensation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grants stock—based awards, including share options and restricted share units (“RSU”s) of Amber International, to eligible employees, officers, directors, and non—employee consultants. The fair value of the services received in exchange for the grant of the equity instruments is recognized as Share-based compensation with a corresponding increase in equity.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Under the fair value recognition provisions,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Forfeitures are estimated at the time of grant, with such estimate updated periodically and with actual forfeitures recognized currently to the extent they differ from the estimate. In determining the fair value of Amber International’s share options, the binomial option pricing model has been applied. The fair value of RSUs is determined with reference to the fair value of the underlying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change in any of the terms or conditions of equity based awards shall be accounted for as a modification of the award. The effect of modification is recognized for any modification that increases the total fair value of the Share-based payment arrangement, or is otherwise beneficial to the employees and non—employees, as measured at the date of modification. Modifications of an equity—settled Share-based award in a manner that is not beneficial to employees or non—employees are not taken into account when determining the expenses to be recognized.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is recognized when performance obligation is satisfied by transferring a promised service to a customer.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The Group recognizes revenue when a performance obligation is satisfied, i.e., when “control” of the goods underlying the particular performance obligations is transferred to customers.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Depending on the terms of the contract and the laws that are applied to the contract, control of the services and goods may be transferred over time or at a point in time. Service is provided over time if the Company’s performance: (1) provides all of the benefits received and consumed simultaneously by the customer; or (2) creates and enhances an asset that the customer controls as the Company performs.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service transfers over time, revenue is recognised over the period of the contract by reference to the progress towards complete satisfaction of that performance obligation. Otherwise, revenue is recognised at a point in time when the customer obtains control of the service.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Specifically, the Group uses a five-step approach to recognise revenue:</w:t>
      </w:r>
    </w:p>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contract(s) with a client</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tc>
      </w:tr>
    </w:tbl>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(or as) the Company satisfies a performance obligation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is a description of the accounting policy for the principal revenue streams of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Digital Assets Services and Solutions segment revenue comprise:</w:t>
      </w:r>
    </w:p>
    <w:tbl>
      <w:tblPr>
        <w:tblW w:w="10205" w:type="dxa"/>
        <w:jc w:val="left"/>
        <w:tblInd w:w="0" w:type="dxa"/>
        <w:tblLayout w:type="fixed"/>
        <w:tblCellMar>
          <w:top w:w="0" w:type="dxa"/>
          <w:left w:w="0" w:type="dxa"/>
          <w:bottom w:w="0" w:type="dxa"/>
          <w:right w:w="0"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981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revenue generated from the Group’s own platform and service activities for which the Group contracts directly with customers or counterparties through its consolidated entities and </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revenue derived from Assigned Contract arrangements with non-consolidated related parties, as described below.</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March 12, 2025, the Company completed its business combination, aligning its operations under the Amber Premium brand to drive continuous business expansion. On the same day, the Group entered into an Assigned Contract with WhaleFin Technologies Limited (“WFTL”), a related party not consolidated within the Group’s financial statements. Pursuant to the Assigned Contract, effective from January 1, 2025, the Group is entitled to the economic interests generated by WFTL. Under this arrangement, the Group provides operational support services to WFTL, through its wholly-owned subsidiary Amber Match Limited. As consideration for these services, Amber Match Limited receives service income, representing all net income generated by WFTL from each of the products and services offered in its platform during the contract period (“service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revenue derived from Assigned Contract arrangements with non-consolidated related parties, as described below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October 28, 2025, the WFTL Assigned Contract business was transferred to AG Global Technology Limited Inc. (“AG Global”), another related party not consolidated within the Group’s financial statements. The intercompany service arrangement remains in effect with AG Global under substantially similar terms, and the Group continues to be entitled to the economic interests generated by the same underlying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Identification of Performance Obligations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provides a comprehensive suite of operational support services under the Assigned Contract, which includes:</w:t>
      </w:r>
    </w:p>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mid-office, and administrative support;</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Booking and settlement of trades;</w:t>
            </w:r>
          </w:p>
        </w:tc>
      </w:tr>
    </w:tbl>
    <w:tbl>
      <w:tblPr>
        <w:tblW w:w="3201" w:type="dxa"/>
        <w:jc w:val="left"/>
        <w:tblInd w:w="0" w:type="dxa"/>
        <w:tblLayout w:type="fixed"/>
        <w:tblCellMar>
          <w:top w:w="28" w:type="dxa"/>
          <w:left w:w="28" w:type="dxa"/>
          <w:bottom w:w="28" w:type="dxa"/>
          <w:right w:w="28" w:type="dxa"/>
        </w:tblCellMar>
      </w:tblPr>
      <w:tblGrid>
        <w:gridCol w:w="124"/>
        <w:gridCol w:w="25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and risk monitoring;</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Onboarding of counterparties and “know-your-client” (KYC) procedures;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regulatory support, including reporting and filings;</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cyber, and information security;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activities required to support the customer’s transaction activities.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has assessed that these services are highly interrelated and interdependent. They function as a continuous, integrated solution necessary to maintain the customer’s platform operations, as the customer cannot benefit from any single activity on a standalone basis. Accordingly, these services are accounted for as a single performance obligation.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Determination of Transaction Price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consideration is variable and is determined based on 100% of the net income generated by the Assigned Contracts. This is calculated as the balance of the gross income generated less all associated costs incurred in connection with the performance of said contracts. The Group has concluded that it is entitled to consideration in an amount that corresponds directly with the value of its performance, as the Group provides the entire operational infrastructure and support required to generate the economic interests.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Recognition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from the Assigned Contract is recognized over time using the output method as the customer simultaneously receives and consumes the benefits of the Group’s performance as the services are rendered. As a practical expedient under IFRS 15, the Group recognizes revenue in the amount to which it has a right to invoice, which reflects the value of the services transferred to the customer to date. Pursuant to the agreement, fees are calculated and invoiced on a monthly basis. There is no significant financing component as the settlement is typically required within 30 days upon issuance of the invoice.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Disaggregation of Revenue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Although the Assigned Contract with AG Global (as successor to WFTL) constitutes a single performance obligation, IFRS 15 requires entities to disaggregate revenue into categories that depict how the nature, amount, timing, and uncertainty of revenue and cash flows are affected by economic factors.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monitors and evaluates the financial performance of both (i) revenue generated from the Group’s own platform and service activities and (ii) revenue generated from Assigned Contract arrangements with non-consolidated related parties, based on the following categories:</w:t>
      </w:r>
    </w:p>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solutions</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service solutions</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service solutions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These categories are regularly reviewed by the Group’s chief operating decision maker (“CODM”) for evaluating financial performance and are used for internal management and transfer pricing purposes. This reflects how different economic inputs (i.e., different operational departments and resources) contribute to the single service output, even though the obligation to the customer remains unified.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Following the business combination completed on March 12, 2025, the Group reports revenue under the following streams, which reflect the nature and economic characteristics of its business activities: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Wealth Management Solutions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Revenue from the Group’s own platform and service activities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Market making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provides market making support services to Lead Accelerating Limited (“LAL”), a non-consolidated related party, in connection with market making services provided by LAL to customers. Customers seeking such services are required to transfer digital tokens to LAL upon successful onboarding. The market making support services provided by the Group include (a) introducing customers to utilize LAL’s market making services; (b) performing onboarding and due diligence procedures, including know-your-customer (“KYC”) procedures and the collection and review of customer information in accordance with applicable laws and regulations; and (c) providing other related services mutually agreed between the parties (collectively, the “Market Making Support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determined that the Market Making Support Services are highly interrelated and are not separately identifiable, as the services are collectively performed to achieve a single overall objective of successfully introducing customers to LAL’s market making services. The individual services do not provide standalone value to LAL when performed separately and are significantly integrated with one another. Accordingly, the services represent a single performance obligation to provide integrated Market Making Support Services to LAL.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earns commission revenue from the provision of the Market Making Support Services. The commission is calculated based on an agreed-upon commission rate applied to the value of the initial tokens transferred by the customer to LAL.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performance obligation is satisfied at a point in time when the customer transfers the initial tokens to LAL, as this represents the point at which the Group has successfully introduced the customer to LAL and completed the Market Making Support Services, and LAL has obtained the benefit of the services provided by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Finance income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The Group enters into lending arrangements with related parties under which it provides digital assets to related parties in exchange for fixed interest returns. These arrangements are unsecured and not covered by any insurance protection, accordingly, the Group may lose some or all of the amount lent to related parties in extreme market conditions. Lending terms are either flexible or fixed. For flexible-term arrangements, the Group may recall the loan on demand, with repayment typically made within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working days. For fixed-term arrangements, the loan matures at the end of the agreed term, ranging from 30 to 365 days, at which point the Group receives the principal amount of the same type and quantity of digital assets together with additional interest payable in digital assets. The Group earns finance income from these lending arrangements which is denominated in the specific digital asset lent. Finance income is recognized over time over the term of the lending arrangement using the straight-line method, based on the gross amount of the loan receivable and the applicable interest 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Wealth Management Solutions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i/>
          <w:sz w:val="20"/>
        </w:rPr>
        <w:t>Revenue from the Group’s own platform and service activities</w:t>
      </w:r>
      <w:r>
        <w:rPr>
          <w:rFonts w:ascii="Times New Roman;Times;serif" w:hAnsi="Times New Roman;Times;serif"/>
          <w:sz w:val="20"/>
        </w:rPr>
        <w:t xml:space="preserve"> </w:t>
      </w:r>
      <w:r>
        <w:rPr>
          <w:rFonts w:ascii="Times New Roman;Times;serif" w:hAnsi="Times New Roman;Times;serif"/>
          <w:i/>
          <w:sz w:val="20"/>
        </w:rPr>
        <w:t>(Continued)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Premium – structured digital asset products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generates premium through structured digital asset products offered to clients, including options, dual currency and “accumulator” / “decumulator” contracts. These contracts have contractual terms ranging from 0 to 365 days. Revenue arises from premiums received from counterparties and realized gains/losses upon contract exercise or settlement. For options and “accumulator” / “decumulator” contracts, the Group recognizes premium income at the inception of the contract when the performance obligation to make the structured instrument available to the client is satisfied. The premium represents non-refundable consideration for providing the derivative arrangement. Conversely, for dual currency contracts, the Group recognizes revenue at the point of settlement. The performance obligation is considered satisfied only when the contract is exercised or settled, at which point the final outcome and the Group’s entitlement to the revenue are determined. Gains or losses arising from contract exercise or settlement are recognized at the point of settlement, measured as the difference between the contractual strike price and the prevailing market price of the underlying digital asset. Revenue is presented on a gross basis as the Group acts as principal in these transactions. The Group has discretion in determining the terms of the structured digital asset products, including the strike price, annual percentage rate (“APR”) and maturity date. In addition, the Group bears the risks associated with the products, including the risk of non-performance by customers.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Fund channel fee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operates as an agent to facilitate customer participation in investment funds. Revenue represents fund channel fees earned from these arrangements, consist of management fees which is recognized at a point in time when the customer subscribes to the investment funds and carried interest (performance-based fees) represents variable consideration because the amount receivable depends on the future performance and net asset value (“NAV”) appreciation of the underlying fund. Accordingly, carried interest revenue is recognised only when it is highly probable that a significant reversal of cumulative revenue recognised will not occur, which is at a point in time when the fund performance has been finalised and the Group’s entitlement to the carried interest has been confirmed.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IT service fee</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provides technology services to third-party customers under service arrangements. The contracts specify the standard services to be provided, a fixed contract price, and an open term that continues until the Group has completed all statements of work or either party issues a termination notice. The Group satisfies its performance obligation over time as the services are rendered, as the customer simultaneously receives and consumes the benefits provided. Revenue is recognized based on the progress towards complete satisfaction of the performance obligation, measured using an output method in accordance with the service completion status agreed with the customers. Payment terms align with the service progress, with fees collected as services are rendered.</w:t>
      </w:r>
    </w:p>
    <w:p>
      <w:pPr>
        <w:pStyle w:val="TextBody"/>
        <w:bidi w:val="0"/>
        <w:spacing w:before="0" w:after="200"/>
        <w:ind w:left="720" w:right="0" w:hanging="0"/>
        <w:jc w:val="both"/>
        <w:rPr>
          <w:rFonts w:ascii="Times New Roman;Times;serif" w:hAnsi="Times New Roman;Times;serif"/>
          <w:i/>
          <w:sz w:val="20"/>
        </w:rPr>
      </w:pPr>
      <w:r>
        <w:rPr>
          <w:rFonts w:ascii="Times New Roman;Times;serif" w:hAnsi="Times New Roman;Times;serif"/>
          <w:i/>
          <w:sz w:val="20"/>
        </w:rPr>
        <w:t>Revenue from Assigned Contract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Earn product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derived from the earn product made up of: flexible earn with no fixed term, fixed earn with product cycles typically ranging from 7 to 365 days and yield enhancement earn, which provide potential for higher returns based on specific market conditions or underlying price movements. Service income is derived from the spread between the interest or yield received from product providers and the interest or yield paid to customers throughout the product cycle for fixed earn products or holding period for flexible earn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Wealth Management Solutions (Continued)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Revenue from Assigned Contract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Staking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derived from staking services provided to customers, under which customer’s digital assets are pooled and staked on-chain through various blockchain protocols. The staking services comprise two components: (i) staking rewards generated directly from blockchain validation activities based on a fixed percentage of the gross on-chain rewards generated, and (ii) staking incentive points granted by blockchain protocols or platforms.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Margin loan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from margin loan arrangements under which customers borrow digital assets through the platform to purchase another digital asset. Service income is derived from the spread between the interest charged to customers and the interest charged by counterparties over the duration of margin loan arrangement.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Finance income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derived from digital asset lending and borrowing activities conducted through a platform under arrangements that specify the digital asset type, amount, interest rate, contractual term (open term or up to one year), effective date and interest payment frequency. Under these arrangements, customers may lend or borrow digital assets through the platform. Finance income or expense arising from the arrangements is denominated in the same digital asset as the underlying loan. Service income is derived from the spread between the interest charged to borrowers and the interest paid to lenders over the contract term.</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Referral income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derived from capital referral activities. Under these arrangements, investors are introduced to projects for potential investment opportunities and provided with capital introduction and related operational support services, including identifying and referring potential investors to the relevant projects. Referral income is calculated as a fixed percentage of the total amount invested by the referred investor.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Execution Solutions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Revenue from the Group’s own platform and service activities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earns a transaction fee when customers convert between different classes of digital assets, according to the customers’ requirements. The Group charges the customer a predetermined transaction fee, which is based on a fixed percentage of the contract price for each transaction. The transaction fee is a fixed price contract and is indicated in the contract with customers. Management determined there is only one performance obligation related to the transaction fee, and revenue is recognised at a point in time upon the conversion service being rendered and objective evidence of transfer of cryptocurrency into the designated wallet specified by the customer or counterparty. Customers typically make payments together with the transaction price, i.e., the transaction fee is charged together with or deducted from the transaction price. The Group acts as an agent as it does not control the underlying digital assets before and after they are exchanged and the Group does not bear inventory risk associated with the digital assets exchanged.</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Revenue from Assigned Contract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from execution operations relating to spot and swap trading activities (including OTC flow trading) and Execution-as-a-Service (“EaaS”) arrangements. Spot and swap products facilitate digital asset exchanges through matched orders, liquidity provision or bilateral arrangements, while EaaS arrangements involve managing and fulfilling specific orders delegated by customers. Service income is derived from the fees charged from the execution of trades and related services provided to the customers.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Payment Solutions</w:t>
      </w:r>
    </w:p>
    <w:p>
      <w:pPr>
        <w:pStyle w:val="TextBody"/>
        <w:bidi w:val="0"/>
        <w:spacing w:before="0" w:after="240"/>
        <w:ind w:left="720" w:right="0" w:hanging="0"/>
        <w:jc w:val="both"/>
        <w:rPr>
          <w:rFonts w:ascii="Times New Roman;Times;serif" w:hAnsi="Times New Roman;Times;serif"/>
          <w:i/>
          <w:sz w:val="20"/>
        </w:rPr>
      </w:pPr>
      <w:r>
        <w:rPr>
          <w:rFonts w:ascii="Times New Roman;Times;serif" w:hAnsi="Times New Roman;Times;serif"/>
          <w:i/>
          <w:sz w:val="20"/>
        </w:rPr>
        <w:t>Revenue from the Group’s own platform and service activities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earns a fee when customers transfer or withdraw funds from its proprietary platform, and conversion between fiat currencies and digital assets, according to the customers’ requirements.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charges the customer a predetermined fee, which is based on the applicable fee structure for each transaction. Management determined there is only one performance obligation related to the fee, and revenue is recognised at a point in time upon the service being rendered and there is objective evidence of transfer of cryptocurrency into designated wallet specified by the customer or counterparty. Customers typically make payments together with the transaction price, i.e., the fee will be charged together or deducted from the transaction price. The Group acts as an agent as the Group does not control the underlying fiat currency or digital assets before they are transferred or withdrawn and does not assume inventory risk associated with the assets involved in the transactions.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fee structure varies by service type:</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withdrawal fee: A fixed amount per transaction, determined on a per-cryptocurrency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Fiat currency deposit and withdrawal fee: A fixed percentage of the transaction amount, which may vary by customer based on individually configured rates.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master framework agreement has no fixed term, and fees are collected per transaction at the time of execution.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18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Payment Solutions (Continued)</w:t>
      </w:r>
    </w:p>
    <w:p>
      <w:pPr>
        <w:pStyle w:val="TextBody"/>
        <w:bidi w:val="0"/>
        <w:spacing w:before="0" w:after="180"/>
        <w:ind w:left="720" w:right="0" w:hanging="0"/>
        <w:jc w:val="both"/>
        <w:rPr>
          <w:rFonts w:ascii="Times New Roman;Times;serif" w:hAnsi="Times New Roman;Times;serif"/>
          <w:i/>
          <w:sz w:val="20"/>
        </w:rPr>
      </w:pPr>
      <w:r>
        <w:rPr>
          <w:rFonts w:ascii="Times New Roman;Times;serif" w:hAnsi="Times New Roman;Times;serif"/>
          <w:i/>
          <w:sz w:val="20"/>
        </w:rPr>
        <w:t>Revenue from Assigned Contract</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In accordance with the Assigned Contract, the Group earns service income from payment operations relating to fiat currency deposit and withdrawal services and cryptocurrency withdrawal services. Service income is derived from transaction fees charged by the platform for processing the fiat currency deposit and withdrawal services and cryptocurrency withdrawal services.</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The Group’s Online Advertising and SaaS Solutions segment provides online advertising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(iii) specified actions (e.g. cost per impression (“CPM”) and cost per click (“CPC”)) and related campaign budgets, depending on the customers’ preferences and their campaigns launched and (iv) SaaS products and services.</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Sales agent</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 xml:space="preserve">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 </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Revenue under this arrangement is recognized over time over the campaign period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Cost-plus</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Revenue under this arrangement is recognized over time over the campaign period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Cost-plus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based on the spending amount the marketing clients would actually incur to earn the corresponding level of rebates.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Specified actions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also generates revenue from performing specified actions (e.g a CPM and CPC basis). Revenue is recognized on a CPM or CPC basis as impressions or clicks are delivered while revenue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and CPC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actually incur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Cost of revenues consists of the costs to purchase space for the online advertising operations, amortization expenses related to the Group’s computer software and systems, salaries and benefits of relevant operations and support personnel and depreciation of relevant property and equipment and impairment on relevant intangible assets. The Group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Group is acting as a principal in a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2.23</w:t>
      </w:r>
      <w:r>
        <w:rPr>
          <w:rFonts w:ascii="Times New Roman;Times;serif" w:hAnsi="Times New Roman;Times;serif"/>
          <w:b/>
          <w:sz w:val="20"/>
        </w:rPr>
        <w:t>Revenue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SaaS products and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this arrangement, the Group offers SaaS products and services through provision of software and data analytical tool licenses, customer relationship management (“CRM”) solutions and digitalized operational solutions services. Revenues under this arrangement primarily consist of fees for (i) promotion of products or services by key opinion leaders (“KOL”) on online media platform; (ii) provision of digital marketing, social media and smart content generation; (iii) licensing to provide customers with access to one or more of the existing cloud applications for e—commerce, marketing and customer management, (iv) the development of new cloud applications customized for individual customer. Each of these performance obligations are considered as distinct and are charged with standalone pricing. Contracts with customers under this arrangement are generally with a term of 1 to 24 months.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from promotion of products or services of marketing clients by KOL on online media platform is generally recognized over time over the service period beginning on the date that the promotion content is made available on the online media platform. The Group does not have other right to consideration in exchange for goods or service that the Group has transferred to a customer when that right is conditional on something other than the passage of time.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Revenue from provision of digital marketing, social media and smart content generation are recognized over time over the contract period as the Group considers its customers simultaneously receive and consume the benefits provided by the Group’s performance.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Cost of revenues for SaaS products and services primarily comprises amortization expenses related to the Group’s computer software and systems, salaries and benefits of relevant operations and support personnel, depreciation of relevant property and equipment and other direct service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2.24</w:t>
      </w:r>
      <w:r>
        <w:rPr>
          <w:rFonts w:ascii="Times New Roman;Times;serif" w:hAnsi="Times New Roman;Times;serif"/>
          <w:b/>
          <w:sz w:val="20"/>
        </w:rPr>
        <w:t>Contract liabilities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receives prepayments for services in advance of service performance from certain customers. The amounts received in advance are recorded as deferred revenue and recognized as revenue in the period which the corresponding services are performed.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2.25</w:t>
      </w:r>
      <w:r>
        <w:rPr>
          <w:rFonts w:ascii="Times New Roman;Times;serif" w:hAnsi="Times New Roman;Times;serif"/>
          <w:b/>
          <w:sz w:val="20"/>
        </w:rPr>
        <w:t>Government grants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Grants from the government are recognized as a receivable at their fair value when there is reasonable assurance that the grant will be received and the Group will comply with all the attached conditions.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Government grants receivable are recognized as income over the periods necessary to match them with the related costs which they are intended to compensate for, on a systematic basis. Government grants relating to expenses are shown separately as “other gains, net”.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2.26</w:t>
      </w:r>
      <w:r>
        <w:rPr>
          <w:rFonts w:ascii="Times New Roman;Times;serif" w:hAnsi="Times New Roman;Times;serif"/>
          <w:b/>
          <w:sz w:val="20"/>
        </w:rPr>
        <w:t>Employee benefits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Defined contribution plans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Defined contribution plans are post-employment benefit plans under which the Group pays fixed contributions into separate entities such as the Central Provident Fund in Singapore on a mandatory, contractual or voluntary basis. The Group has no further payment obligations once the contributions have been paid.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Employees of the Company in the PRC are entitled to staff welfare benefits including pension, work—related injury benefits, maternity insurance, medical insurance, unemployment benefit and housing fund plans through a PRC government—mandated multi—employer defined contribution plan. The Company is required to contribute to the plan based on certain percentages of the employees’ salaries, up to a maximum amount specified by the local government.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PRC government is responsible for the medical benefits and the pension liability to be paid to these employees and the Company’s obligations are limited to the amounts contributed and no legal obligation beyond the contributions made.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Subsidiaries incorporated in Hong Kong are required to make contributions to Mandatory Provident Funds under the Hong Kong Mandatory Provident Fund Schemes Ordinance. Such contributions are recognized as an expense in profit or loss as incurred.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Pursuant to the policies of subsidiaries in Hong Kong in accordance with applicable labor protection laws in Hong Kong, all employees of such subsidiaries with more than 5 years of service are entitled to severance payment upon forced termination or retrenchment or in the event that the employee reaches the retirement age of 65. The entitlement to severance payment is determined according to several factors including but not limited to age, length of service and remuneration, and is subject to a maximum amount of Hong Kong dollars (“HK$”) 390,000. The Company accounts for such severance liabilities based on an actuarial valuation using the projected unit credit method. There are no separate plan assets held in respect to these liabilities.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Short-term employee benefits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Short—term employee benefit obligations are measured on an undiscounted basis and are expensed as the related service is provided. A liability is recognized for the amount expected to be paid if the Group has a present legal or constructive obligation to pay this amount as a result of past service provided by the employee, and the obligation can be estimated reliably.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2.27</w:t>
      </w:r>
      <w:r>
        <w:rPr>
          <w:rFonts w:ascii="Times New Roman;Times;serif" w:hAnsi="Times New Roman;Times;serif"/>
          <w:b/>
          <w:sz w:val="20"/>
        </w:rPr>
        <w:t>(Loss)/earnings per share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presents basic and diluted (loss)/earnings per share data for its ordinary shares.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Basic (loss)/earnings per share is computed by dividing net (loss)/profit attributable to holders of ordinary shares by the weighted average number of ordinary shares outstanding during the year using the two class method. The Company uses the two—class method to calculate net (loss)/earnings per share though both classes share the same rights in dividends. Therefore, basic and diluted (loss)/earnings per share are the same for both classes of ordinary shares. Using the two class method, net (loss)/profit is allocated between ordinary shares based on their participating rights.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the calculation of diluted (loss)/earnings per share, weighted average number of ordinary shares outstanding is adjusted by the effect of dilutive securities, including Share-based awards in respect of share options and RSUs, under the treasury stock method (collectively forming the denominator for computing the diluted (loss)/earnings per share). Potentially dilutive securities, including share options and RSUs, have been excluded from the computation of weighted average number of ordinary shares for the purpose of diluted (loss)/earnings per share if their inclusion is anti—dilutive.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2.28</w:t>
      </w:r>
      <w:r>
        <w:rPr>
          <w:rFonts w:ascii="Times New Roman;Times;serif" w:hAnsi="Times New Roman;Times;serif"/>
          <w:b/>
          <w:sz w:val="20"/>
        </w:rPr>
        <w:t>Related party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policy information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2.29</w:t>
      </w:r>
      <w:r>
        <w:rPr>
          <w:rFonts w:ascii="Times New Roman;Times;serif" w:hAnsi="Times New Roman;Times;serif"/>
          <w:b/>
          <w:sz w:val="20"/>
        </w:rPr>
        <w:t>Non-current assets held for sale and disposal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Non-current assets (or disposal groups)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except for assets such as deferred tax assets, assets arising from employee benefits, financial assets and investment property that are carried at fair value and groups of contracts within the scope of IFRS 17 Insurance Contracts, which are specifically exempt from this requirement.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 impairment loss is recognised for any initial or subsequent write-down of the asset (or disposal group) to fair value less costs to sell. A gain is recognised for any subsequent increases in fair value less costs to sell of an asset (or disposal group), but not in excess of any cumulative impairment loss previously recognised. A gain or loss not previously recognised by the date of the sale of the non-current asset (or disposal group) is recognised at the date of derecognition.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Non-current assets (including those that are part of a disposal group) are not depreciated or amortised while they are classified as held for sale. Interest and other expenses attributable to the liabilities of a disposal group classified as held for sale continue to be recognised.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Non-current assets classified as held for sale and the assets of a disposal group classified as held for sale are presented separately from the other assets in the statement of financial position. The liabilities of a disposal group classified as held for sale are presented separately from other liabilities in the statement of financial position.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discontinued operation is a component of the entity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results of discontinued operations are presented separately in the statement of profit or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2.30</w:t>
      </w:r>
      <w:r>
        <w:rPr>
          <w:rFonts w:ascii="Times New Roman;Times;serif" w:hAnsi="Times New Roman;Times;serif"/>
          <w:b/>
          <w:sz w:val="20"/>
        </w:rPr>
        <w:t>Structured entity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structured entity is an entity that has been designed so that voting or similar rights are not the dominant factor in deciding who controls the entity, such as when any voting rights relate to administrative tasks only and the relevant activities are directed by means of contractual arrangements. A structured entity often has some or all of the following features or attributes; (a) restricted activities, (b) a narrow and well-defined objective, such as to provide investment opportunities for investors by passing on risks and rewards associated with the assets of the structured entity to investors, (c) insufficient equity to permit the structured entity to finance its activities without subordinated financial support and (d) financing in the form of multiple contractually linked instruments to investors that create concentrations of credit or other risks (tranches).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considers all of its investments in other funds (“Fund investments”) to be investments in unconsolidated structured entities. The Fund investments are managed by unrelated asset managers and apply various investment strategies to accomplish their respective investment objectives. The Fund investments finance their operations by issuing redeemable shares which are puttable at the holder’s option and entitles the holder to a proportional stake in the respective fund’s net assets. The Group holds redeemable shares in each of its Fund investments.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change in fair value of each Fund investments is included in the statement of profit or loss in “other gains, net”.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activities expose it to a variety of financial risks: market risk (including foreign exchange risk, digital asset price risk, risks associated with the storage and protection of digital assets and investment risk related to trading of digital assets), credit risk and liquidity risk. The Group’s overall risk management strategy seeks to minimize the potential adverse effects on the financial performance of the Group. Risk management is carried out by the management of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There has been no change to the Company’s exposure to these financial risks or the manner in which it manages and measure the risks.</w:t>
      </w:r>
    </w:p>
    <w:tbl>
      <w:tblPr>
        <w:tblW w:w="1521" w:type="dxa"/>
        <w:jc w:val="left"/>
        <w:tblInd w:w="0" w:type="dxa"/>
        <w:tblLayout w:type="fixed"/>
        <w:tblCellMar>
          <w:top w:w="28" w:type="dxa"/>
          <w:left w:w="28" w:type="dxa"/>
          <w:bottom w:w="28" w:type="dxa"/>
          <w:right w:w="28" w:type="dxa"/>
        </w:tblCellMar>
      </w:tblPr>
      <w:tblGrid>
        <w:gridCol w:w="124"/>
        <w:gridCol w:w="316"/>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Foreign exchange risk</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Foreign exchange risk arises when future commercial transactions or recognized assets and liabilities are denominated in a currency that is not the Group entities’ functional currency. At present, the Group does not have any formal policy for hedging against currency risk. The Group ensures that the net exposure is kept to an acceptable level by buying or selling foreign currencies at spot rates, where necessary, to address short—term imbalances.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operates mainly in Singapore with most of the transactions settled in Singapore dollar (“SGD”), whereas functional currency of the Company is US$. The Group’s subsidiaries located outside Singapore, mainly including Hong Kong and the PRC are exposed to foreign exchange risk arising from various currency exposures.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For the Group’s subsidiaries whose functional currency is SGD, if US$ had </w:t>
      </w:r>
      <w:r>
        <w:rPr>
          <w:rFonts w:ascii="Times New Roman;Times;serif" w:hAnsi="Times New Roman;Times;serif"/>
          <w:b w:val="false"/>
          <w:i w:val="false"/>
          <w:caps w:val="false"/>
          <w:smallCaps w:val="false"/>
          <w:sz w:val="20"/>
        </w:rPr>
        <w:t>strengthened</w:t>
      </w:r>
      <w:r>
        <w:rPr>
          <w:rFonts w:ascii="Times New Roman;Times;serif" w:hAnsi="Times New Roman;Times;serif"/>
          <w:sz w:val="20"/>
        </w:rPr>
        <w:t xml:space="preserve">/weakened by 5% against SGD with all other variables held constant, the consolidated statements of profit or loss would have been approximately US$18 (2024: US$23) higher/lower (2024: lower/higher) for the </w:t>
      </w:r>
      <w:r>
        <w:rPr>
          <w:rFonts w:ascii="Times New Roman;Times;serif" w:hAnsi="Times New Roman;Times;serif"/>
          <w:b w:val="false"/>
          <w:i w:val="false"/>
          <w:caps w:val="false"/>
          <w:smallCaps w:val="false"/>
          <w:sz w:val="20"/>
        </w:rPr>
        <w:t>years</w:t>
      </w:r>
      <w:r>
        <w:rPr>
          <w:rFonts w:ascii="Times New Roman;Times;serif" w:hAnsi="Times New Roman;Times;serif"/>
          <w:sz w:val="20"/>
        </w:rPr>
        <w:t xml:space="preserve"> ended December 31, 2025.</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For the Group’s subsidiaries whose functional currency is Renminbi (“RMB”), if US$ had strengthened/</w:t>
      </w:r>
      <w:r>
        <w:rPr>
          <w:rFonts w:ascii="Times New Roman;Times;serif" w:hAnsi="Times New Roman;Times;serif"/>
          <w:b w:val="false"/>
          <w:i w:val="false"/>
          <w:caps w:val="false"/>
          <w:smallCaps w:val="false"/>
          <w:sz w:val="20"/>
        </w:rPr>
        <w:t>weakened</w:t>
      </w:r>
      <w:r>
        <w:rPr>
          <w:rFonts w:ascii="Times New Roman;Times;serif" w:hAnsi="Times New Roman;Times;serif"/>
          <w:sz w:val="20"/>
        </w:rPr>
        <w:t xml:space="preserve"> by 5% against RMB with all other variables held constant, the consolidated statements of profit or loss would have been approximately US$146 (2024: US$nil) higher/lower for the </w:t>
      </w:r>
      <w:r>
        <w:rPr>
          <w:rFonts w:ascii="Times New Roman;Times;serif" w:hAnsi="Times New Roman;Times;serif"/>
          <w:b w:val="false"/>
          <w:i w:val="false"/>
          <w:caps w:val="false"/>
          <w:smallCaps w:val="false"/>
          <w:sz w:val="20"/>
        </w:rPr>
        <w:t>years</w:t>
      </w:r>
      <w:r>
        <w:rPr>
          <w:rFonts w:ascii="Times New Roman;Times;serif" w:hAnsi="Times New Roman;Times;serif"/>
          <w:sz w:val="20"/>
        </w:rPr>
        <w:t xml:space="preserve"> ended December 31, 2025.</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As HK$ is pegged to US$, the Company considers the risk of movements in exchange rates between HK$ and US$ to be insignificant.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Digital assets price risk</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Digital assets that the Company deals with in its trading activities are digital assets such as Bitcoin (“BTC”) and Ethereum (“ETH”) which can be traded in a number of public exchanges.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Group’s exposure to price risk arises from digital assets and digital assets payables which are both measured on a fair value basis. In particular, the Group’s operating result may depend upon the market price of BTC and ETH, as well as other digital assets. Digital asset prices have fluctuated significantly from time to time. There is no assurance that digital asset prices will reflect historical trends.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price risk of digital assets arising from trading of digital assets business is partially offset by remeasurement of digital assets payables representing the obligations to deliver digital assets held by the Group in the customers’ accounts to the customers under the respective trading arrangements with the Group.</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b/>
          <w:sz w:val="20"/>
        </w:rPr>
      </w:pPr>
      <w:bookmarkStart w:id="1055" w:name="_fa5e8798_cfcb_4e37_86ea_561a5409a29a_3"/>
      <w:bookmarkStart w:id="1056" w:name="_fa5e8798_cfcb_4e37_86ea_561a5409a29a_2"/>
      <w:bookmarkStart w:id="1057" w:name="_fa5e8798_cfcb_4e37_86ea_561a5409a29a"/>
      <w:bookmarkStart w:id="1058" w:name="_c9c8bb08_bc99_40f4_bf73_f17f3ff1e040_3"/>
      <w:bookmarkStart w:id="1059" w:name="_c9c8bb08_bc99_40f4_bf73_f17f3ff1e040_2"/>
      <w:bookmarkStart w:id="1060" w:name="_c9c8bb08_bc99_40f4_bf73_f17f3ff1e040"/>
      <w:bookmarkStart w:id="1061" w:name="Tc_1wsXqDjFiESS94Ky5j-ZAQ_4_0"/>
      <w:bookmarkStart w:id="1062" w:name="Tc_RxmIC0Ut40OHlWuGHPw6rg_3_0"/>
      <w:bookmarkStart w:id="1063" w:name="Tc_mBvShx3eA0ivQbSYzbPSWQ_2_4"/>
      <w:bookmarkStart w:id="1064" w:name="Tc_49nMfiWiKEOVi3XRF_NkIA_2_2"/>
      <w:bookmarkStart w:id="1065" w:name="Tc_uI5YCrA6skG1dVv5EFlxmg_1_2"/>
      <w:bookmarkStart w:id="1066" w:name="_0e14d23d_e7aa_43ac_ba9b_2d2876dd2d64"/>
      <w:bookmarkStart w:id="1067" w:name="Tc_BaCE4cxpME6sdlw0EJp1-w_14_0"/>
      <w:bookmarkStart w:id="1068" w:name="Tc_9swId0mLzk6ROnXzyjWVpQ_12_0"/>
      <w:bookmarkStart w:id="1069" w:name="Tc_xEQACF62NUiXW51-8dpwVQ_11_0"/>
      <w:bookmarkStart w:id="1070" w:name="Tc_VE2uGs0TZEeF3j-sXx-cDA_10_6"/>
      <w:bookmarkStart w:id="1071" w:name="Tc_eB300ibbfEmGU21fZTFBCw_10_4"/>
      <w:bookmarkStart w:id="1072" w:name="Tc_yYixiiQ7CEGgFZ-5g-OgIw_10_0"/>
      <w:bookmarkStart w:id="1073" w:name="Tc_I-ygJO1X40ax7Sje3PKwkA_9_0"/>
      <w:bookmarkStart w:id="1074" w:name="Tc_hHM_j5wjCUOpWaAIhBziIg_7_0"/>
      <w:bookmarkStart w:id="1075" w:name="Tc_puebc3XOsEK6XUKu1xL9qw_6_0"/>
      <w:bookmarkStart w:id="1076" w:name="Tc_B7-pjON010-Ej65JZEuyVQ_5_0"/>
      <w:bookmarkStart w:id="1077" w:name="Tc_cr3I12SjfU68zr7vYAXe_Q_4_6"/>
      <w:bookmarkStart w:id="1078" w:name="Tc_ZC5q20vjtUmOJdHzKX2brw_4_4"/>
      <w:bookmarkStart w:id="1079" w:name="Tc_jCBCF6mdmk2UND2DnN04vA_4_0"/>
      <w:bookmarkStart w:id="1080" w:name="Tc_hYlGicRWckaS9NAoeNyUzA_3_0"/>
      <w:bookmarkStart w:id="1081" w:name="Tc_3YqfbNOJ30OVx4wpT2Jseg_2_8"/>
      <w:bookmarkStart w:id="1082" w:name="Tc_mZ2BNObHUkmqnhhdr7LQDw_2_6"/>
      <w:bookmarkStart w:id="1083" w:name="Tc_4kpOWdvGi0CGQ72ft881Lg_2_4"/>
      <w:bookmarkStart w:id="1084" w:name="Tc_WdR0BdG02ki2iGGY-RtBJA_2_2"/>
      <w:bookmarkStart w:id="1085" w:name="Tc_zr6ehERC2kmI7jM4VOoboQ_1_6"/>
      <w:bookmarkStart w:id="1086" w:name="Tc_pvljZe2wzU6ZwNKV8QAlLg_1_2"/>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 (Continued)</w:t>
      </w:r>
    </w:p>
    <w:tbl>
      <w:tblPr>
        <w:tblW w:w="2556" w:type="dxa"/>
        <w:jc w:val="left"/>
        <w:tblInd w:w="0" w:type="dxa"/>
        <w:tblLayout w:type="fixed"/>
        <w:tblCellMar>
          <w:top w:w="0" w:type="dxa"/>
          <w:left w:w="0" w:type="dxa"/>
          <w:bottom w:w="0" w:type="dxa"/>
          <w:right w:w="0" w:type="dxa"/>
        </w:tblCellMar>
      </w:tblPr>
      <w:tblGrid>
        <w:gridCol w:w="124"/>
        <w:gridCol w:w="31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rFonts w:ascii="Times New Roman;Times;serif" w:hAnsi="Times New Roman;Times;serif"/>
                <w:b w:val="false"/>
                <w:sz w:val="20"/>
              </w:rPr>
            </w:pPr>
            <w:r>
              <w:rPr>
                <w:rFonts w:ascii="Times New Roman;Times;serif" w:hAnsi="Times New Roman;Times;serif"/>
                <w:b w:val="false"/>
                <w:sz w:val="20"/>
              </w:rPr>
              <w:t>(a)</w:t>
            </w:r>
          </w:p>
        </w:tc>
        <w:tc>
          <w:tcPr>
            <w:tcW w:w="2116" w:type="dxa"/>
            <w:tcBorders/>
            <w:vAlign w:val="center"/>
          </w:tcPr>
          <w:p>
            <w:pPr>
              <w:pStyle w:val="TableContents"/>
              <w:bidi w:val="0"/>
              <w:spacing w:before="0" w:after="200"/>
              <w:jc w:val="left"/>
              <w:rPr>
                <w:rFonts w:ascii="Times New Roman;Times;serif" w:hAnsi="Times New Roman;Times;serif"/>
                <w:b w:val="false"/>
                <w:sz w:val="20"/>
              </w:rPr>
            </w:pPr>
            <w:r>
              <w:rPr>
                <w:rFonts w:ascii="Times New Roman;Times;serif" w:hAnsi="Times New Roman;Times;serif"/>
                <w:b w:val="false"/>
                <w:sz w:val="20"/>
              </w:rPr>
              <w:t>Market risk (Continued)</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At the end of each reporting period, the Group’s exposure risk to digital asset is as follows:</w:t>
      </w:r>
    </w:p>
    <w:p>
      <w:pPr>
        <w:pStyle w:val="TextBody"/>
        <w:bidi w:val="0"/>
        <w:spacing w:before="0" w:after="240"/>
        <w:ind w:left="1440" w:right="0" w:hanging="0"/>
        <w:jc w:val="both"/>
        <w:rPr/>
      </w:pPr>
      <w:r>
        <w:rPr/>
        <w:t>​</w:t>
      </w:r>
    </w:p>
    <w:tbl>
      <w:tblPr>
        <w:tblW w:w="8270" w:type="dxa"/>
        <w:jc w:val="left"/>
        <w:tblInd w:w="0" w:type="dxa"/>
        <w:tblLayout w:type="fixed"/>
        <w:tblCellMar>
          <w:top w:w="0" w:type="dxa"/>
          <w:left w:w="0" w:type="dxa"/>
          <w:bottom w:w="0" w:type="dxa"/>
          <w:right w:w="0" w:type="dxa"/>
        </w:tblCellMar>
      </w:tblPr>
      <w:tblGrid>
        <w:gridCol w:w="3691"/>
        <w:gridCol w:w="346"/>
        <w:gridCol w:w="825"/>
        <w:gridCol w:w="388"/>
        <w:gridCol w:w="708"/>
        <w:gridCol w:w="346"/>
        <w:gridCol w:w="802"/>
        <w:gridCol w:w="377"/>
        <w:gridCol w:w="787"/>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43785" cy="175260"/>
                      <wp:effectExtent l="0" t="0" r="0" b="0"/>
                      <wp:wrapNone/>
                      <wp:docPr id="205" name="Frame20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06"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23875" cy="175260"/>
                      <wp:effectExtent l="0" t="0" r="0" b="0"/>
                      <wp:wrapNone/>
                      <wp:docPr id="207" name="Frame204"/>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6380" cy="175260"/>
                      <wp:effectExtent l="0" t="0" r="0" b="0"/>
                      <wp:wrapNone/>
                      <wp:docPr id="208" name="Frame20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49580" cy="175260"/>
                      <wp:effectExtent l="0" t="0" r="0" b="0"/>
                      <wp:wrapNone/>
                      <wp:docPr id="209" name="Frame206"/>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0"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09270" cy="175260"/>
                      <wp:effectExtent l="0" t="0" r="0" b="0"/>
                      <wp:wrapNone/>
                      <wp:docPr id="211" name="Frame208"/>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9395" cy="175260"/>
                      <wp:effectExtent l="0" t="0" r="0" b="0"/>
                      <wp:wrapNone/>
                      <wp:docPr id="212" name="Frame20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9745" cy="175260"/>
                      <wp:effectExtent l="0" t="0" r="0" b="0"/>
                      <wp:wrapNone/>
                      <wp:docPr id="213" name="Frame21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92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c>
          <w:tcPr>
            <w:tcW w:w="346" w:type="dxa"/>
            <w:tcBorders/>
            <w:vAlign w:val="center"/>
          </w:tcPr>
          <w:p>
            <w:pPr>
              <w:pStyle w:val="TableContents"/>
              <w:bidi w:val="0"/>
              <w:spacing w:before="0" w:after="1"/>
              <w:ind w:left="0" w:right="0" w:hanging="0"/>
              <w:jc w:val="center"/>
              <w:rPr/>
            </w:pPr>
            <w:r>
              <w:rPr/>
              <w:t>​</w:t>
            </w:r>
          </w:p>
        </w:tc>
        <w:tc>
          <w:tcPr>
            <w:tcW w:w="196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BTC</w:t>
            </w:r>
          </w:p>
        </w:tc>
        <w:tc>
          <w:tcPr>
            <w:tcW w:w="388" w:type="dxa"/>
            <w:tcBorders/>
            <w:vAlign w:val="center"/>
          </w:tcPr>
          <w:p>
            <w:pPr>
              <w:pStyle w:val="TableContents"/>
              <w:bidi w:val="0"/>
              <w:spacing w:before="0" w:after="1"/>
              <w:ind w:left="0" w:right="0" w:hanging="0"/>
              <w:jc w:val="center"/>
              <w:rPr/>
            </w:pPr>
            <w:r>
              <w:rPr/>
              <w:t>  ​ ​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ETH</w:t>
            </w:r>
          </w:p>
        </w:tc>
        <w:tc>
          <w:tcPr>
            <w:tcW w:w="346" w:type="dxa"/>
            <w:tcBorders/>
            <w:vAlign w:val="center"/>
          </w:tcPr>
          <w:p>
            <w:pPr>
              <w:pStyle w:val="TableContents"/>
              <w:bidi w:val="0"/>
              <w:spacing w:before="0" w:after="1"/>
              <w:ind w:left="0" w:right="0" w:hanging="0"/>
              <w:jc w:val="center"/>
              <w:rPr/>
            </w:pPr>
            <w:r>
              <w:rPr/>
              <w:t>  ​ ​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BTC</w:t>
            </w:r>
          </w:p>
        </w:tc>
        <w:tc>
          <w:tcPr>
            <w:tcW w:w="377" w:type="dxa"/>
            <w:tcBorders/>
            <w:vAlign w:val="center"/>
          </w:tcPr>
          <w:p>
            <w:pPr>
              <w:pStyle w:val="TableContents"/>
              <w:bidi w:val="0"/>
              <w:spacing w:before="0" w:after="1"/>
              <w:ind w:left="0" w:right="0" w:hanging="0"/>
              <w:jc w:val="center"/>
              <w:rPr/>
            </w:pPr>
            <w:r>
              <w:rPr/>
              <w:t>  ​ ​ ​</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ETH</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pPr>
            <w:r>
              <w:rPr/>
              <w:t>​</w:t>
            </w:r>
          </w:p>
        </w:tc>
        <w:tc>
          <w:tcPr>
            <w:tcW w:w="70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02"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receivables</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w:t>
            </w:r>
          </w:p>
        </w:tc>
        <w:tc>
          <w:tcPr>
            <w:tcW w:w="388"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 </w:t>
            </w:r>
          </w:p>
        </w:tc>
        <w:tc>
          <w:tcPr>
            <w:tcW w:w="7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w:t>
            </w:r>
          </w:p>
        </w:tc>
        <w:tc>
          <w:tcPr>
            <w:tcW w:w="388"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7,883</w:t>
            </w:r>
          </w:p>
        </w:tc>
        <w:tc>
          <w:tcPr>
            <w:tcW w:w="377" w:type="dxa"/>
            <w:tcBorders/>
            <w:shd w:fill="CCEEFF" w:val="clear"/>
            <w:vAlign w:val="center"/>
          </w:tcPr>
          <w:p>
            <w:pPr>
              <w:pStyle w:val="TableContents"/>
              <w:bidi w:val="0"/>
              <w:spacing w:before="0" w:after="1"/>
              <w:ind w:left="0" w:right="0" w:hanging="0"/>
              <w:jc w:val="left"/>
              <w:rPr/>
            </w:pPr>
            <w:r>
              <w:rPr/>
              <w:t> </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receivable from related parties</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4,130</w:t>
            </w:r>
          </w:p>
        </w:tc>
        <w:tc>
          <w:tcPr>
            <w:tcW w:w="388"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(48,008)</w:t>
            </w:r>
          </w:p>
        </w:tc>
        <w:tc>
          <w:tcPr>
            <w:tcW w:w="377" w:type="dxa"/>
            <w:tcBorders/>
            <w:vAlign w:val="center"/>
          </w:tcPr>
          <w:p>
            <w:pPr>
              <w:pStyle w:val="TableContents"/>
              <w:bidi w:val="0"/>
              <w:spacing w:before="0" w:after="1"/>
              <w:ind w:left="0" w:right="0" w:hanging="0"/>
              <w:jc w:val="left"/>
              <w:rPr/>
            </w:pPr>
            <w:r>
              <w:rPr/>
              <w:t> </w:t>
            </w:r>
          </w:p>
        </w:tc>
        <w:tc>
          <w:tcPr>
            <w:tcW w:w="7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(4,368)</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Crypto assets loan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43,618</w:t>
            </w:r>
          </w:p>
        </w:tc>
        <w:tc>
          <w:tcPr>
            <w:tcW w:w="388" w:type="dxa"/>
            <w:tcBorders/>
            <w:shd w:fill="CCEEFF" w:val="clear"/>
            <w:vAlign w:val="center"/>
          </w:tcPr>
          <w:p>
            <w:pPr>
              <w:pStyle w:val="TableContents"/>
              <w:bidi w:val="0"/>
              <w:spacing w:before="0" w:after="1"/>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w:t>
            </w:r>
          </w:p>
        </w:tc>
        <w:tc>
          <w:tcPr>
            <w:tcW w:w="346" w:type="dxa"/>
            <w:tcBorders/>
            <w:shd w:fill="CCEEFF" w:val="clear"/>
            <w:vAlign w:val="center"/>
          </w:tcPr>
          <w:p>
            <w:pPr>
              <w:pStyle w:val="TableContents"/>
              <w:bidi w:val="0"/>
              <w:spacing w:before="0" w:after="1"/>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10,940</w:t>
            </w:r>
          </w:p>
        </w:tc>
        <w:tc>
          <w:tcPr>
            <w:tcW w:w="377" w:type="dxa"/>
            <w:tcBorders/>
            <w:shd w:fill="CCEEFF" w:val="clear"/>
            <w:vAlign w:val="center"/>
          </w:tcPr>
          <w:p>
            <w:pPr>
              <w:pStyle w:val="TableContents"/>
              <w:bidi w:val="0"/>
              <w:spacing w:before="0"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8,562</w:t>
            </w:r>
          </w:p>
        </w:tc>
      </w:tr>
      <w:tr>
        <w:trPr/>
        <w:tc>
          <w:tcPr>
            <w:tcW w:w="3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52,101</w:t>
            </w:r>
          </w:p>
        </w:tc>
        <w:tc>
          <w:tcPr>
            <w:tcW w:w="388" w:type="dxa"/>
            <w:tcBorders/>
            <w:vAlign w:val="center"/>
          </w:tcPr>
          <w:p>
            <w:pPr>
              <w:pStyle w:val="TableContents"/>
              <w:bidi w:val="0"/>
              <w:spacing w:before="0" w:after="1"/>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3,997</w:t>
            </w:r>
          </w:p>
        </w:tc>
        <w:tc>
          <w:tcPr>
            <w:tcW w:w="346" w:type="dxa"/>
            <w:tcBorders/>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(29,185)</w:t>
            </w:r>
          </w:p>
        </w:tc>
        <w:tc>
          <w:tcPr>
            <w:tcW w:w="377" w:type="dxa"/>
            <w:tcBorders/>
            <w:vAlign w:val="center"/>
          </w:tcPr>
          <w:p>
            <w:pPr>
              <w:pStyle w:val="TableContents"/>
              <w:bidi w:val="0"/>
              <w:spacing w:before="0"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10,255</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pPr>
            <w:r>
              <w:rPr/>
              <w:t>​</w:t>
            </w:r>
          </w:p>
        </w:tc>
        <w:tc>
          <w:tcPr>
            <w:tcW w:w="388"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 </w:t>
            </w:r>
          </w:p>
        </w:tc>
        <w:tc>
          <w:tcPr>
            <w:tcW w:w="787" w:type="dxa"/>
            <w:tcBorders/>
            <w:shd w:fill="CCEEFF" w:val="clear"/>
            <w:vAlign w:val="center"/>
          </w:tcPr>
          <w:p>
            <w:pPr>
              <w:pStyle w:val="TableContents"/>
              <w:bidi w:val="0"/>
              <w:spacing w:before="0" w:after="1"/>
              <w:ind w:left="0" w:right="0" w:hanging="0"/>
              <w:jc w:val="right"/>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w:t>
            </w:r>
          </w:p>
        </w:tc>
        <w:tc>
          <w:tcPr>
            <w:tcW w:w="388" w:type="dxa"/>
            <w:tcBorders/>
            <w:vAlign w:val="center"/>
          </w:tcPr>
          <w:p>
            <w:pPr>
              <w:pStyle w:val="TableContents"/>
              <w:bidi w:val="0"/>
              <w:spacing w:before="0" w:after="1"/>
              <w:ind w:left="0" w:right="0" w:hanging="0"/>
              <w:jc w:val="left"/>
              <w:rPr/>
            </w:pPr>
            <w:r>
              <w:rPr/>
              <w:t> </w:t>
            </w:r>
          </w:p>
        </w:tc>
        <w:tc>
          <w:tcPr>
            <w:tcW w:w="7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left"/>
              <w:rPr/>
            </w:pPr>
            <w:r>
              <w:rPr/>
              <w:t> </w:t>
            </w:r>
          </w:p>
        </w:tc>
        <w:tc>
          <w:tcPr>
            <w:tcW w:w="7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payables to customers</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(44,446)</w:t>
            </w:r>
          </w:p>
        </w:tc>
        <w:tc>
          <w:tcPr>
            <w:tcW w:w="388" w:type="dxa"/>
            <w:tcBorders/>
            <w:shd w:fill="CCEEFF" w:val="clear"/>
            <w:vAlign w:val="center"/>
          </w:tcPr>
          <w:p>
            <w:pPr>
              <w:pStyle w:val="TableContents"/>
              <w:bidi w:val="0"/>
              <w:spacing w:before="0" w:after="1"/>
              <w:ind w:left="0" w:right="0" w:hanging="0"/>
              <w:jc w:val="left"/>
              <w:rPr/>
            </w:pPr>
            <w:r>
              <w:rPr/>
              <w:t> </w:t>
            </w:r>
          </w:p>
        </w:tc>
        <w:tc>
          <w:tcPr>
            <w:tcW w:w="7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(3,444)</w:t>
            </w:r>
          </w:p>
        </w:tc>
        <w:tc>
          <w:tcPr>
            <w:tcW w:w="346"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(16,212)</w:t>
            </w:r>
          </w:p>
        </w:tc>
        <w:tc>
          <w:tcPr>
            <w:tcW w:w="377" w:type="dxa"/>
            <w:tcBorders/>
            <w:shd w:fill="CCEEFF" w:val="clear"/>
            <w:vAlign w:val="center"/>
          </w:tcPr>
          <w:p>
            <w:pPr>
              <w:pStyle w:val="TableContents"/>
              <w:bidi w:val="0"/>
              <w:spacing w:before="0" w:after="1"/>
              <w:ind w:left="0" w:right="0" w:hanging="0"/>
              <w:jc w:val="left"/>
              <w:rPr/>
            </w:pPr>
            <w:r>
              <w:rPr/>
              <w:t> </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(7,881)</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payables to related parties</w:t>
            </w:r>
          </w:p>
        </w:tc>
        <w:tc>
          <w:tcPr>
            <w:tcW w:w="346" w:type="dxa"/>
            <w:tcBorders/>
            <w:vAlign w:val="center"/>
          </w:tcPr>
          <w:p>
            <w:pPr>
              <w:pStyle w:val="TableContents"/>
              <w:bidi w:val="0"/>
              <w:spacing w:before="0" w:after="1"/>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(5,262)</w:t>
            </w:r>
          </w:p>
        </w:tc>
        <w:tc>
          <w:tcPr>
            <w:tcW w:w="388" w:type="dxa"/>
            <w:tcBorders/>
            <w:vAlign w:val="center"/>
          </w:tcPr>
          <w:p>
            <w:pPr>
              <w:pStyle w:val="TableContents"/>
              <w:bidi w:val="0"/>
              <w:spacing w:before="0" w:after="1"/>
              <w:ind w:left="0" w:right="0" w:hanging="0"/>
              <w:jc w:val="left"/>
              <w:rPr/>
            </w:pPr>
            <w:r>
              <w:rPr/>
              <w:t> </w:t>
            </w:r>
          </w:p>
        </w:tc>
        <w:tc>
          <w:tcPr>
            <w:tcW w:w="7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1"/>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47,475</w:t>
            </w:r>
          </w:p>
        </w:tc>
        <w:tc>
          <w:tcPr>
            <w:tcW w:w="377" w:type="dxa"/>
            <w:tcBorders/>
            <w:vAlign w:val="center"/>
          </w:tcPr>
          <w:p>
            <w:pPr>
              <w:pStyle w:val="TableContents"/>
              <w:bidi w:val="0"/>
              <w:spacing w:before="0" w:after="1"/>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3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(51,997)</w:t>
            </w:r>
          </w:p>
        </w:tc>
        <w:tc>
          <w:tcPr>
            <w:tcW w:w="388" w:type="dxa"/>
            <w:tcBorders/>
            <w:shd w:fill="CCEEFF" w:val="clear"/>
            <w:vAlign w:val="center"/>
          </w:tcPr>
          <w:p>
            <w:pPr>
              <w:pStyle w:val="TableContents"/>
              <w:bidi w:val="0"/>
              <w:spacing w:before="0" w:after="1"/>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(3,975)</w:t>
            </w:r>
          </w:p>
        </w:tc>
        <w:tc>
          <w:tcPr>
            <w:tcW w:w="346" w:type="dxa"/>
            <w:tcBorders/>
            <w:shd w:fill="CCEEFF" w:val="clear"/>
            <w:vAlign w:val="center"/>
          </w:tcPr>
          <w:p>
            <w:pPr>
              <w:pStyle w:val="TableContents"/>
              <w:bidi w:val="0"/>
              <w:spacing w:before="0" w:after="1"/>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31,263</w:t>
            </w:r>
          </w:p>
        </w:tc>
        <w:tc>
          <w:tcPr>
            <w:tcW w:w="377" w:type="dxa"/>
            <w:tcBorders/>
            <w:shd w:fill="CCEEFF" w:val="clear"/>
            <w:vAlign w:val="center"/>
          </w:tcPr>
          <w:p>
            <w:pPr>
              <w:pStyle w:val="TableContents"/>
              <w:bidi w:val="0"/>
              <w:spacing w:before="0" w:after="1"/>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(9,079)</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exposure</w:t>
            </w:r>
          </w:p>
        </w:tc>
        <w:tc>
          <w:tcPr>
            <w:tcW w:w="346" w:type="dxa"/>
            <w:tcBorders/>
            <w:vAlign w:val="center"/>
          </w:tcPr>
          <w:p>
            <w:pPr>
              <w:pStyle w:val="TableContents"/>
              <w:bidi w:val="0"/>
              <w:spacing w:before="0" w:after="1"/>
              <w:ind w:left="0" w:right="0" w:hanging="0"/>
              <w:jc w:val="left"/>
              <w:rPr/>
            </w:pPr>
            <w:r>
              <w:rPr/>
              <w:t> </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w:t>
            </w:r>
          </w:p>
        </w:tc>
        <w:tc>
          <w:tcPr>
            <w:tcW w:w="388" w:type="dxa"/>
            <w:tcBorders/>
            <w:vAlign w:val="center"/>
          </w:tcPr>
          <w:p>
            <w:pPr>
              <w:pStyle w:val="TableContents"/>
              <w:bidi w:val="0"/>
              <w:spacing w:before="0" w:after="1"/>
              <w:ind w:left="0" w:right="0" w:hanging="0"/>
              <w:jc w:val="left"/>
              <w:rPr/>
            </w:pPr>
            <w:r>
              <w:rPr/>
              <w:t> </w:t>
            </w:r>
          </w:p>
        </w:tc>
        <w:tc>
          <w:tcPr>
            <w:tcW w:w="7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vAlign w:val="center"/>
          </w:tcPr>
          <w:p>
            <w:pPr>
              <w:pStyle w:val="TableContents"/>
              <w:bidi w:val="0"/>
              <w:spacing w:before="0" w:after="1"/>
              <w:ind w:left="0" w:right="0" w:hanging="0"/>
              <w:jc w:val="left"/>
              <w:rPr/>
            </w:pPr>
            <w:r>
              <w:rPr/>
              <w:t> </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2,078</w:t>
            </w:r>
          </w:p>
        </w:tc>
        <w:tc>
          <w:tcPr>
            <w:tcW w:w="377" w:type="dxa"/>
            <w:tcBorders/>
            <w:vAlign w:val="center"/>
          </w:tcPr>
          <w:p>
            <w:pPr>
              <w:pStyle w:val="TableContents"/>
              <w:bidi w:val="0"/>
              <w:spacing w:before="0" w:after="1"/>
              <w:ind w:left="0" w:right="0" w:hanging="0"/>
              <w:jc w:val="left"/>
              <w:rPr/>
            </w:pPr>
            <w:r>
              <w:rPr/>
              <w:t> </w:t>
            </w:r>
          </w:p>
        </w:tc>
        <w:tc>
          <w:tcPr>
            <w:tcW w:w="7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1,176</w:t>
            </w:r>
          </w:p>
        </w:tc>
      </w:tr>
    </w:tbl>
    <w:p>
      <w:pPr>
        <w:pStyle w:val="TextBody"/>
        <w:bidi w:val="0"/>
        <w:spacing w:before="0" w:after="24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Strengthening of BTC and ETH against the US$ as at the reporting date would increase/(decrease) profit or loss by the amounts shown below. The analysis assumes that all other variables remain constant.</w:t>
      </w:r>
    </w:p>
    <w:p>
      <w:pPr>
        <w:pStyle w:val="TextBody"/>
        <w:bidi w:val="0"/>
        <w:spacing w:before="0" w:after="240"/>
        <w:ind w:left="1440" w:right="0" w:hanging="0"/>
        <w:jc w:val="both"/>
        <w:rPr/>
      </w:pPr>
      <w:r>
        <w:rPr/>
        <w:t>​</w:t>
      </w:r>
    </w:p>
    <w:tbl>
      <w:tblPr>
        <w:tblW w:w="5071" w:type="dxa"/>
        <w:jc w:val="left"/>
        <w:tblInd w:w="0" w:type="dxa"/>
        <w:tblLayout w:type="fixed"/>
        <w:tblCellMar>
          <w:top w:w="0" w:type="dxa"/>
          <w:left w:w="0" w:type="dxa"/>
          <w:bottom w:w="0" w:type="dxa"/>
          <w:right w:w="0" w:type="dxa"/>
        </w:tblCellMar>
      </w:tblPr>
      <w:tblGrid>
        <w:gridCol w:w="3166"/>
        <w:gridCol w:w="346"/>
        <w:gridCol w:w="638"/>
        <w:gridCol w:w="199"/>
        <w:gridCol w:w="722"/>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10410" cy="175260"/>
                      <wp:effectExtent l="0" t="0" r="0" b="0"/>
                      <wp:wrapNone/>
                      <wp:docPr id="214" name="Frame21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5"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05130" cy="175260"/>
                      <wp:effectExtent l="0" t="0" r="0" b="0"/>
                      <wp:wrapNone/>
                      <wp:docPr id="216" name="Frame213"/>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26365" cy="175260"/>
                      <wp:effectExtent l="0" t="0" r="0" b="0"/>
                      <wp:wrapNone/>
                      <wp:docPr id="217" name="Frame214"/>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8470" cy="175260"/>
                      <wp:effectExtent l="0" t="0" r="0" b="0"/>
                      <wp:wrapNone/>
                      <wp:docPr id="218" name="Frame21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1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c>
          <w:tcPr>
            <w:tcW w:w="6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9" w:type="dxa"/>
            <w:tcBorders/>
            <w:vAlign w:val="center"/>
          </w:tcPr>
          <w:p>
            <w:pPr>
              <w:pStyle w:val="TableContents"/>
              <w:bidi w:val="0"/>
              <w:spacing w:before="0" w:after="1"/>
              <w:ind w:left="0" w:right="0" w:hanging="0"/>
              <w:jc w:val="center"/>
              <w:rPr/>
            </w:pPr>
            <w:r>
              <w:rPr/>
              <w:t>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BTC strengthening 30% (2024: 30%)</w:t>
            </w:r>
          </w:p>
        </w:tc>
        <w:tc>
          <w:tcPr>
            <w:tcW w:w="346" w:type="dxa"/>
            <w:tcBorders/>
            <w:shd w:fill="CCEEFF" w:val="clear"/>
            <w:vAlign w:val="center"/>
          </w:tcPr>
          <w:p>
            <w:pPr>
              <w:pStyle w:val="TableContents"/>
              <w:bidi w:val="0"/>
              <w:spacing w:before="0" w:after="1"/>
              <w:ind w:left="0" w:right="0" w:hanging="0"/>
              <w:jc w:val="left"/>
              <w:rPr/>
            </w:pPr>
            <w:r>
              <w:rPr/>
              <w:t> </w:t>
            </w:r>
          </w:p>
        </w:tc>
        <w:tc>
          <w:tcPr>
            <w:tcW w:w="6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99" w:type="dxa"/>
            <w:tcBorders/>
            <w:shd w:fill="CCEEFF" w:val="clear"/>
            <w:vAlign w:val="center"/>
          </w:tcPr>
          <w:p>
            <w:pPr>
              <w:pStyle w:val="TableContents"/>
              <w:bidi w:val="0"/>
              <w:spacing w:before="0" w:after="1"/>
              <w:ind w:left="0" w:right="0" w:hanging="0"/>
              <w:jc w:val="left"/>
              <w:rPr/>
            </w:pPr>
            <w:r>
              <w:rPr/>
              <w:t> </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 strengthening 30% (2024: 30%)</w:t>
            </w:r>
          </w:p>
        </w:tc>
        <w:tc>
          <w:tcPr>
            <w:tcW w:w="346" w:type="dxa"/>
            <w:tcBorders/>
            <w:vAlign w:val="center"/>
          </w:tcPr>
          <w:p>
            <w:pPr>
              <w:pStyle w:val="TableContents"/>
              <w:bidi w:val="0"/>
              <w:spacing w:before="0" w:after="1"/>
              <w:ind w:left="0" w:right="0" w:hanging="0"/>
              <w:jc w:val="left"/>
              <w:rPr/>
            </w:pPr>
            <w:r>
              <w:rPr/>
              <w:t> </w:t>
            </w:r>
          </w:p>
        </w:tc>
        <w:tc>
          <w:tcPr>
            <w:tcW w:w="6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9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353</w:t>
            </w:r>
          </w:p>
        </w:tc>
      </w:tr>
    </w:tbl>
    <w:p>
      <w:pPr>
        <w:pStyle w:val="TextBody"/>
        <w:bidi w:val="0"/>
        <w:spacing w:before="0" w:after="24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Weakening of BTC and ETH against the US$ would have had an equal but opposite effect on the above currencies to the amounts shown above, on the basis that all other variables remain constant.</w:t>
      </w:r>
    </w:p>
    <w:p>
      <w:pPr>
        <w:pStyle w:val="TextBody"/>
        <w:bidi w:val="0"/>
        <w:spacing w:before="0" w:after="240"/>
        <w:ind w:left="1440" w:right="0" w:hanging="0"/>
        <w:jc w:val="both"/>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Risks associated with the storage and protection of digital assets</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Group primarily stored its digital assets with cryptocurrency custodians to facilitate customers deposits and withdrawals. Due to the lack of an insurance policy for its digital assets, any disruptions or closures of cryptocurrency custodians, as well as potential cyber—attacks or thefts, could result in substantial losses for the Group.</w:t>
      </w:r>
    </w:p>
    <w:p>
      <w:pPr>
        <w:pStyle w:val="TextBody"/>
        <w:bidi w:val="0"/>
        <w:spacing w:before="0" w:after="200"/>
        <w:ind w:left="1440" w:right="0" w:hanging="0"/>
        <w:jc w:val="left"/>
        <w:rPr>
          <w:rFonts w:ascii="Times New Roman;Times;serif" w:hAnsi="Times New Roman;Times;serif"/>
          <w:sz w:val="20"/>
        </w:rPr>
      </w:pPr>
      <w:r>
        <w:rPr>
          <w:rFonts w:ascii="Times New Roman;Times;serif" w:hAnsi="Times New Roman;Times;serif"/>
          <w:sz w:val="20"/>
        </w:rPr>
        <w:t>Investment risk related to trading of digital assets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Group follows a fully hedged strategy for structured products. Each user—facing structured product is quoted by a related party and a spread is added before it is quoted to clients. Therefore, there is no exposure to structured products.</w:t>
      </w:r>
    </w:p>
    <w:tbl>
      <w:tblPr>
        <w:tblW w:w="1461" w:type="dxa"/>
        <w:jc w:val="left"/>
        <w:tblInd w:w="0" w:type="dxa"/>
        <w:tblLayout w:type="fixed"/>
        <w:tblCellMar>
          <w:top w:w="28" w:type="dxa"/>
          <w:left w:w="28" w:type="dxa"/>
          <w:bottom w:w="28" w:type="dxa"/>
          <w:right w:w="28" w:type="dxa"/>
        </w:tblCellMar>
      </w:tblPr>
      <w:tblGrid>
        <w:gridCol w:w="124"/>
        <w:gridCol w:w="331"/>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Group is exposed to credit risk in relation to its cash and cash equivalents, restricted cash, trade and other receivables, amounts due from related parties, digital assets and crypto assets loan receivables. The carrying amounts of these financial assets represent the Group’s maximum exposure to credit risk.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 (Continued)</w:t>
      </w:r>
    </w:p>
    <w:tbl>
      <w:tblPr>
        <w:tblW w:w="2496" w:type="dxa"/>
        <w:jc w:val="left"/>
        <w:tblInd w:w="0" w:type="dxa"/>
        <w:tblLayout w:type="fixed"/>
        <w:tblCellMar>
          <w:top w:w="0" w:type="dxa"/>
          <w:left w:w="0" w:type="dxa"/>
          <w:bottom w:w="0" w:type="dxa"/>
          <w:right w:w="0" w:type="dxa"/>
        </w:tblCellMar>
      </w:tblPr>
      <w:tblGrid>
        <w:gridCol w:w="124"/>
        <w:gridCol w:w="331"/>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(b)</w:t>
            </w:r>
          </w:p>
        </w:tc>
        <w:tc>
          <w:tcPr>
            <w:tcW w:w="2041"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Credit risk (Continued)</w:t>
            </w:r>
          </w:p>
        </w:tc>
      </w:tr>
    </w:tbl>
    <w:tbl>
      <w:tblPr>
        <w:tblW w:w="2016" w:type="dxa"/>
        <w:jc w:val="left"/>
        <w:tblInd w:w="0" w:type="dxa"/>
        <w:tblLayout w:type="fixed"/>
        <w:tblCellMar>
          <w:top w:w="28" w:type="dxa"/>
          <w:left w:w="28" w:type="dxa"/>
          <w:bottom w:w="28" w:type="dxa"/>
          <w:right w:w="28" w:type="dxa"/>
        </w:tblCellMar>
      </w:tblPr>
      <w:tblGrid>
        <w:gridCol w:w="124"/>
        <w:gridCol w:w="286"/>
        <w:gridCol w:w="160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management</w:t>
            </w:r>
          </w:p>
        </w:tc>
      </w:tr>
    </w:tbl>
    <w:p>
      <w:pPr>
        <w:pStyle w:val="TextBody"/>
        <w:bidi w:val="0"/>
        <w:spacing w:before="0" w:after="160"/>
        <w:ind w:left="2160" w:right="0" w:hanging="0"/>
        <w:jc w:val="left"/>
        <w:rPr>
          <w:rFonts w:ascii="Times New Roman;Times;serif" w:hAnsi="Times New Roman;Times;serif"/>
          <w:sz w:val="20"/>
        </w:rPr>
      </w:pPr>
      <w:r>
        <w:rPr>
          <w:rFonts w:ascii="Times New Roman;Times;serif" w:hAnsi="Times New Roman;Times;serif"/>
          <w:sz w:val="20"/>
        </w:rPr>
        <w:t>The Group has adopted a policy of only dealing with creditworthy counterparties. The Group performs ongoing credit evaluation of its counterparties’ financial condition and generally does not require collateral.</w:t>
      </w:r>
    </w:p>
    <w:p>
      <w:pPr>
        <w:pStyle w:val="TextBody"/>
        <w:bidi w:val="0"/>
        <w:spacing w:before="0" w:after="160"/>
        <w:ind w:left="2160" w:right="0" w:hanging="0"/>
        <w:jc w:val="left"/>
        <w:rPr>
          <w:rFonts w:ascii="Times New Roman;Times;serif" w:hAnsi="Times New Roman;Times;serif"/>
          <w:sz w:val="20"/>
        </w:rPr>
      </w:pPr>
      <w:r>
        <w:rPr>
          <w:rFonts w:ascii="Times New Roman;Times;serif" w:hAnsi="Times New Roman;Times;serif"/>
          <w:sz w:val="20"/>
        </w:rPr>
        <w:t>The Group considers the probability of default upon initial recognition of asset and whether there has been a significant increase in credit risk on an ongoing basis throughout each reporting period.</w:t>
      </w:r>
    </w:p>
    <w:p>
      <w:pPr>
        <w:pStyle w:val="TextBody"/>
        <w:bidi w:val="0"/>
        <w:spacing w:before="0" w:after="160"/>
        <w:ind w:left="2160" w:right="0" w:hanging="0"/>
        <w:jc w:val="left"/>
        <w:rPr>
          <w:rFonts w:ascii="Times New Roman;Times;serif" w:hAnsi="Times New Roman;Times;serif"/>
          <w:sz w:val="20"/>
        </w:rPr>
      </w:pPr>
      <w:r>
        <w:rPr>
          <w:rFonts w:ascii="Times New Roman;Times;serif" w:hAnsi="Times New Roman;Times;serif"/>
          <w:sz w:val="20"/>
        </w:rPr>
        <w:t>The Group has determined the default event on a financial asset to be when internal and/or external information indicates that the financial asset is unlikely to be received, which could include default of contractual payments due for more than 60 days or there is significant difficulty of the counterparty.</w:t>
      </w:r>
    </w:p>
    <w:p>
      <w:pPr>
        <w:pStyle w:val="TextBody"/>
        <w:bidi w:val="0"/>
        <w:spacing w:before="0" w:after="160"/>
        <w:ind w:left="2160" w:right="0" w:hanging="0"/>
        <w:jc w:val="left"/>
        <w:rPr>
          <w:rFonts w:ascii="Times New Roman;Times;serif" w:hAnsi="Times New Roman;Times;serif"/>
          <w:sz w:val="20"/>
        </w:rPr>
      </w:pPr>
      <w:r>
        <w:rPr>
          <w:rFonts w:ascii="Times New Roman;Times;serif" w:hAnsi="Times New Roman;Times;serif"/>
          <w:sz w:val="20"/>
        </w:rPr>
        <w:t>To minimize credit risk, the Group has developed and maintained the Group’s credit risk gradings to categorize exposures according to their degree of risk of default. The credit rating information is supplied by publicly available financial information and the Group’s own trading records to rate its major customers and other debtors. The Group considers available reasonable and supportive forward—looking information which includes the following indicators:</w:t>
      </w:r>
    </w:p>
    <w:tbl>
      <w:tblPr>
        <w:tblW w:w="2196" w:type="dxa"/>
        <w:jc w:val="left"/>
        <w:tblInd w:w="0" w:type="dxa"/>
        <w:tblLayout w:type="fixed"/>
        <w:tblCellMar>
          <w:top w:w="28" w:type="dxa"/>
          <w:left w:w="28" w:type="dxa"/>
          <w:bottom w:w="28" w:type="dxa"/>
          <w:right w:w="28" w:type="dxa"/>
        </w:tblCellMar>
      </w:tblPr>
      <w:tblGrid>
        <w:gridCol w:w="124"/>
        <w:gridCol w:w="256"/>
        <w:gridCol w:w="1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credit rating</w:t>
            </w:r>
          </w:p>
        </w:tc>
      </w:tr>
    </w:tbl>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credit rating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significant adverse changes in business, financial or economic conditions that are expected to cause a significant change to the debtor’s ability to meet its obligations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expected significant changes in the operating results of the debtor</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increases in credit risk on other financial instruments of the same debtor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in the expected performance and behaviour of the debtor, including changes in the payment status of debtors in the company and changes in the operating results of the debtor</w:t>
            </w:r>
          </w:p>
        </w:tc>
      </w:tr>
    </w:tbl>
    <w:tbl>
      <w:tblPr>
        <w:tblW w:w="3036" w:type="dxa"/>
        <w:jc w:val="left"/>
        <w:tblInd w:w="0" w:type="dxa"/>
        <w:tblLayout w:type="fixed"/>
        <w:tblCellMar>
          <w:top w:w="28" w:type="dxa"/>
          <w:left w:w="28" w:type="dxa"/>
          <w:bottom w:w="28" w:type="dxa"/>
          <w:right w:w="28" w:type="dxa"/>
        </w:tblCellMar>
      </w:tblPr>
      <w:tblGrid>
        <w:gridCol w:w="124"/>
        <w:gridCol w:w="34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financial assets</w:t>
            </w:r>
          </w:p>
        </w:tc>
      </w:tr>
    </w:tbl>
    <w:p>
      <w:pPr>
        <w:pStyle w:val="TextBody"/>
        <w:bidi w:val="0"/>
        <w:spacing w:before="0" w:after="160"/>
        <w:ind w:left="2160" w:right="0" w:hanging="0"/>
        <w:jc w:val="both"/>
        <w:rPr>
          <w:rFonts w:ascii="Times New Roman;Times;serif" w:hAnsi="Times New Roman;Times;serif"/>
          <w:sz w:val="20"/>
        </w:rPr>
      </w:pPr>
      <w:r>
        <w:rPr>
          <w:rFonts w:ascii="Times New Roman;Times;serif" w:hAnsi="Times New Roman;Times;serif"/>
          <w:sz w:val="20"/>
        </w:rPr>
        <w:t>Cash and cash equivalents and restricted cash</w:t>
      </w:r>
    </w:p>
    <w:p>
      <w:pPr>
        <w:pStyle w:val="TextBody"/>
        <w:bidi w:val="0"/>
        <w:spacing w:before="0" w:after="160"/>
        <w:ind w:left="2160" w:right="0" w:hanging="0"/>
        <w:jc w:val="both"/>
        <w:rPr>
          <w:rFonts w:ascii="Times New Roman;Times;serif" w:hAnsi="Times New Roman;Times;serif"/>
          <w:sz w:val="20"/>
        </w:rPr>
      </w:pPr>
      <w:r>
        <w:rPr>
          <w:rFonts w:ascii="Times New Roman;Times;serif" w:hAnsi="Times New Roman;Times;serif"/>
          <w:sz w:val="20"/>
        </w:rPr>
        <w:t>Cash and cash equivalents and restricted cash are deposited in reputable banks with high international credit rating. Management does not expect any material losses from non—performance by these banks as they have no default history in the past.</w:t>
      </w:r>
    </w:p>
    <w:p>
      <w:pPr>
        <w:pStyle w:val="TextBody"/>
        <w:bidi w:val="0"/>
        <w:spacing w:before="0" w:after="160"/>
        <w:ind w:left="2160" w:right="0" w:hanging="0"/>
        <w:jc w:val="both"/>
        <w:rPr>
          <w:rFonts w:ascii="Times New Roman;Times;serif" w:hAnsi="Times New Roman;Times;serif"/>
          <w:sz w:val="20"/>
        </w:rPr>
      </w:pPr>
      <w:r>
        <w:rPr>
          <w:rFonts w:ascii="Times New Roman;Times;serif" w:hAnsi="Times New Roman;Times;serif"/>
          <w:sz w:val="20"/>
        </w:rPr>
        <w:t>Trade receivables</w:t>
      </w:r>
    </w:p>
    <w:p>
      <w:pPr>
        <w:pStyle w:val="TextBody"/>
        <w:bidi w:val="0"/>
        <w:spacing w:before="0" w:after="160"/>
        <w:ind w:left="2160" w:right="0" w:hanging="0"/>
        <w:jc w:val="both"/>
        <w:rPr>
          <w:rFonts w:ascii="Times New Roman;Times;serif" w:hAnsi="Times New Roman;Times;serif"/>
          <w:sz w:val="20"/>
        </w:rPr>
      </w:pPr>
      <w:r>
        <w:rPr>
          <w:rFonts w:ascii="Times New Roman;Times;serif" w:hAnsi="Times New Roman;Times;serif"/>
          <w:sz w:val="20"/>
        </w:rPr>
        <w:t>The Group applies IFRS 9 simplified approach to measure expected credit losses which uses a lifetime expected loss allowance for trade receivables. Allowance for credit losses on trade receivables are estimated using a provision matrix by grouping trade receivables into pools based on relevant credit risk characteristics of the debtors. Trade receivable relating to debtors with known financial difficulties or significant doubt on collection of receivables are assessed individually for specific provision for impairment allowance. Trade receivable relating to other debtors are assessed collectively for the risk of default, taking into account the nature of the debtor, its geographical location and its ageing category, and applying the expected credit loss rates to the respective gross carrying amounts of accounts receivable. The expected credit loss rates of each pool are determined based on historical loss experience as adjusted with current and forward-looking information such as macroeconomic factors affecting the ability of the debtors to settle the receivables. At each reporting period, the Group reassesses whether any receivable no longer shares similar risk characteristics and should instead be evaluated as part of another pool or on an individual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1087" w:name="Tc_0ao9M2Iki0Gv7CLR0gUlfw_7_2"/>
      <w:bookmarkStart w:id="1088" w:name="Tc_U-2KDJMOK0CnLPDxG6_btg_7_0"/>
      <w:bookmarkStart w:id="1089" w:name="Tc_2rkbejH8A0KEKUy6_9ccJA_6_2"/>
      <w:bookmarkStart w:id="1090" w:name="Tc_VMnA77JCoUWmgGYf20-G0g_6_0"/>
      <w:bookmarkStart w:id="1091" w:name="Tc_kpcXK7hm_UaCpHRWcuwNVw_5_2"/>
      <w:bookmarkStart w:id="1092" w:name="Tc_SSql4TQbxUeWEw3LD5tbDA_5_0"/>
      <w:bookmarkStart w:id="1093" w:name="Tc_IYTqDW2o70CV8e6EPw8ZzQ_4_2"/>
      <w:bookmarkStart w:id="1094" w:name="Tc_d_0ToXvrNkKlwZWR_r3pyw_4_0"/>
      <w:bookmarkStart w:id="1095" w:name="Tc_jtA_jqWTbkGunqzjInOBww_3_4"/>
      <w:bookmarkStart w:id="1096" w:name="Tc_B854fJqE4k6iAJNnklHIvg_3_2"/>
      <w:bookmarkStart w:id="1097" w:name="Tc_H4FfxZ3-5Ei3QcvS43UW3w_3_0"/>
      <w:bookmarkStart w:id="1098" w:name="Tc_3bHr0Z-dMEG89MWZYgzOjA_2_4"/>
      <w:bookmarkStart w:id="1099" w:name="Tc_H5CnkS1xHE66e1G7gQG2SA_2_2"/>
      <w:bookmarkStart w:id="1100" w:name="Tc_3zKF3SZhPk252mXjdt8yWw_1_2"/>
      <w:bookmarkStart w:id="1101" w:name="Tc_5C8rmp2wHkWZNxTPRtVPvQ_6_11"/>
      <w:bookmarkStart w:id="1102" w:name="Tc_ApvYPA74WUKpNheToc1cQA_6_9"/>
      <w:bookmarkStart w:id="1103" w:name="Tc_2V8PYTdaI0Wvp48UHqz20w_6_7"/>
      <w:bookmarkStart w:id="1104" w:name="Tc_-7BQY6Byh0eP5G71lmv7YQ_6_5"/>
      <w:bookmarkStart w:id="1105" w:name="Tc_zMC-hZ1-QUOIJvbcelth2w_6_3"/>
      <w:bookmarkStart w:id="1106" w:name="Tc_PlIagxXuP0i-VAj5AAPPbw_6_0"/>
      <w:bookmarkStart w:id="1107" w:name="Tc_Pxjprm2wUU2jLlWuYPq0oA_5_0"/>
      <w:bookmarkStart w:id="1108" w:name="Tc_HWCJnf4t9E6C7nEPuh20Qw_4_0"/>
      <w:bookmarkStart w:id="1109" w:name="Tc_JcNIXYXfKEKx0TL7b4SuAQ_3_0"/>
      <w:bookmarkStart w:id="1110" w:name="Tc_EzdbD2LFtEyMcC3U4WO2qA_2_10"/>
      <w:bookmarkStart w:id="1111" w:name="Tc_xigVc4nQqUSV7lbV1Ug5-w_2_8"/>
      <w:bookmarkStart w:id="1112" w:name="Tc_MPYvN6pLtUmcbmxZKVaBwQ_2_6"/>
      <w:bookmarkStart w:id="1113" w:name="Tc_Qv_K7JAeLkibO4Boh_SkXw_2_4"/>
      <w:bookmarkStart w:id="1114" w:name="Tc_hjA6t1M4vU2Dq8orK4OxOg_2_2"/>
      <w:bookmarkStart w:id="1115" w:name="Tc_iGqp8e60W0eaoWZIEQ4ZwQ_1_4"/>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 (Continued)</w:t>
      </w:r>
    </w:p>
    <w:tbl>
      <w:tblPr>
        <w:tblW w:w="2496" w:type="dxa"/>
        <w:jc w:val="left"/>
        <w:tblInd w:w="0" w:type="dxa"/>
        <w:tblLayout w:type="fixed"/>
        <w:tblCellMar>
          <w:top w:w="0" w:type="dxa"/>
          <w:left w:w="0" w:type="dxa"/>
          <w:bottom w:w="0" w:type="dxa"/>
          <w:right w:w="0" w:type="dxa"/>
        </w:tblCellMar>
      </w:tblPr>
      <w:tblGrid>
        <w:gridCol w:w="124"/>
        <w:gridCol w:w="331"/>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20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Credit risk (Continued)</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As at December 31, 2025, the loss allowance for trade receivables was determined as follows, the expected credit losses below also incorporated forward looking information.</w:t>
      </w:r>
    </w:p>
    <w:p>
      <w:pPr>
        <w:pStyle w:val="TextBody"/>
        <w:bidi w:val="0"/>
        <w:spacing w:before="0" w:after="0"/>
        <w:ind w:left="0" w:right="0" w:hanging="0"/>
        <w:jc w:val="left"/>
        <w:rPr/>
      </w:pPr>
      <w:r>
        <w:rPr/>
        <w:t>​</w:t>
      </w:r>
    </w:p>
    <w:tbl>
      <w:tblPr>
        <w:tblW w:w="9627" w:type="dxa"/>
        <w:jc w:val="left"/>
        <w:tblInd w:w="0" w:type="dxa"/>
        <w:tblLayout w:type="fixed"/>
        <w:tblCellMar>
          <w:top w:w="0" w:type="dxa"/>
          <w:left w:w="0" w:type="dxa"/>
          <w:bottom w:w="0" w:type="dxa"/>
          <w:right w:w="0" w:type="dxa"/>
        </w:tblCellMar>
      </w:tblPr>
      <w:tblGrid>
        <w:gridCol w:w="3076"/>
        <w:gridCol w:w="346"/>
        <w:gridCol w:w="691"/>
        <w:gridCol w:w="361"/>
        <w:gridCol w:w="916"/>
        <w:gridCol w:w="361"/>
        <w:gridCol w:w="1096"/>
        <w:gridCol w:w="361"/>
        <w:gridCol w:w="1171"/>
        <w:gridCol w:w="361"/>
        <w:gridCol w:w="571"/>
        <w:gridCol w:w="31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53260" cy="175260"/>
                      <wp:effectExtent l="0" t="0" r="0" b="0"/>
                      <wp:wrapNone/>
                      <wp:docPr id="219" name="Frame216"/>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0"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8785" cy="175260"/>
                      <wp:effectExtent l="0" t="0" r="0" b="0"/>
                      <wp:wrapNone/>
                      <wp:docPr id="221" name="Frame2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9235" cy="175260"/>
                      <wp:effectExtent l="0" t="0" r="0" b="0"/>
                      <wp:wrapNone/>
                      <wp:docPr id="222" name="Frame2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81660" cy="175260"/>
                      <wp:effectExtent l="0" t="0" r="0" b="0"/>
                      <wp:wrapNone/>
                      <wp:docPr id="223" name="Frame22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9235" cy="175260"/>
                      <wp:effectExtent l="0" t="0" r="0" b="0"/>
                      <wp:wrapNone/>
                      <wp:docPr id="224" name="Frame2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5960" cy="175260"/>
                      <wp:effectExtent l="0" t="0" r="0" b="0"/>
                      <wp:wrapNone/>
                      <wp:docPr id="225" name="Frame22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9235" cy="175260"/>
                      <wp:effectExtent l="0" t="0" r="0" b="0"/>
                      <wp:wrapNone/>
                      <wp:docPr id="226" name="Frame2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43585" cy="175260"/>
                      <wp:effectExtent l="0" t="0" r="0" b="0"/>
                      <wp:wrapNone/>
                      <wp:docPr id="227" name="Frame22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29235" cy="175260"/>
                      <wp:effectExtent l="0" t="0" r="0" b="0"/>
                      <wp:wrapNone/>
                      <wp:docPr id="228" name="Frame2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362585" cy="175260"/>
                      <wp:effectExtent l="0" t="0" r="0" b="0"/>
                      <wp:wrapNone/>
                      <wp:docPr id="229"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0660" cy="175260"/>
                      <wp:effectExtent l="0" t="0" r="0" b="0"/>
                      <wp:wrapNone/>
                      <wp:docPr id="230" name="Frame22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 ​ ​</w:t>
            </w:r>
          </w:p>
        </w:tc>
        <w:tc>
          <w:tcPr>
            <w:tcW w:w="39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Past due</w:t>
            </w:r>
          </w:p>
        </w:tc>
        <w:tc>
          <w:tcPr>
            <w:tcW w:w="361" w:type="dxa"/>
            <w:tcBorders/>
            <w:vAlign w:val="center"/>
          </w:tcPr>
          <w:p>
            <w:pPr>
              <w:pStyle w:val="TableContents"/>
              <w:bidi w:val="0"/>
              <w:spacing w:before="0" w:after="1"/>
              <w:ind w:left="0" w:right="0" w:hanging="0"/>
              <w:jc w:val="left"/>
              <w:rPr/>
            </w:pPr>
            <w:r>
              <w:rPr/>
              <w:t>  ​ ​ ​</w:t>
            </w:r>
          </w:p>
        </w:tc>
        <w:tc>
          <w:tcPr>
            <w:tcW w:w="571" w:type="dxa"/>
            <w:tcBorders/>
            <w:vAlign w:val="center"/>
          </w:tcPr>
          <w:p>
            <w:pPr>
              <w:pStyle w:val="TableContents"/>
              <w:bidi w:val="0"/>
              <w:spacing w:before="0" w:after="1"/>
              <w:ind w:left="0" w:right="0" w:hanging="0"/>
              <w:jc w:val="left"/>
              <w:rPr/>
            </w:pPr>
            <w:r>
              <w:rPr/>
              <w:t>  ​ ​ ​</w:t>
            </w:r>
          </w:p>
        </w:tc>
        <w:tc>
          <w:tcPr>
            <w:tcW w:w="316" w:type="dxa"/>
            <w:tcBorders/>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61" w:type="dxa"/>
            <w:tcBorders/>
            <w:vAlign w:val="center"/>
          </w:tcPr>
          <w:p>
            <w:pPr>
              <w:pStyle w:val="TableContents"/>
              <w:bidi w:val="0"/>
              <w:spacing w:before="0" w:after="1"/>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1—90 days</w:t>
            </w:r>
          </w:p>
        </w:tc>
        <w:tc>
          <w:tcPr>
            <w:tcW w:w="361"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90—180 days</w:t>
            </w:r>
          </w:p>
        </w:tc>
        <w:tc>
          <w:tcPr>
            <w:tcW w:w="361" w:type="dxa"/>
            <w:tcBorders/>
            <w:vAlign w:val="center"/>
          </w:tcPr>
          <w:p>
            <w:pPr>
              <w:pStyle w:val="TableContents"/>
              <w:bidi w:val="0"/>
              <w:spacing w:before="0" w:after="1"/>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 180 days</w:t>
            </w:r>
          </w:p>
        </w:tc>
        <w:tc>
          <w:tcPr>
            <w:tcW w:w="361"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16" w:type="dxa"/>
            <w:tcBorders/>
            <w:vAlign w:val="center"/>
          </w:tcPr>
          <w:p>
            <w:pPr>
              <w:pStyle w:val="TableContents"/>
              <w:bidi w:val="0"/>
              <w:spacing w:before="0" w:after="1"/>
              <w:ind w:left="0" w:right="0" w:hanging="0"/>
              <w:jc w:val="center"/>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4,843</w:t>
            </w:r>
          </w:p>
        </w:tc>
        <w:tc>
          <w:tcPr>
            <w:tcW w:w="361"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w:t>
            </w:r>
          </w:p>
        </w:tc>
        <w:tc>
          <w:tcPr>
            <w:tcW w:w="36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6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w:t>
            </w:r>
          </w:p>
        </w:tc>
        <w:tc>
          <w:tcPr>
            <w:tcW w:w="316" w:type="dxa"/>
            <w:tcBorders/>
            <w:vAlign w:val="center"/>
          </w:tcPr>
          <w:p>
            <w:pPr>
              <w:pStyle w:val="TableContents"/>
              <w:bidi w:val="0"/>
              <w:spacing w:before="0" w:after="1"/>
              <w:ind w:left="0" w:right="0" w:hanging="0"/>
              <w:jc w:val="lef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6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61"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6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expected loss rate</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00" w:after="200"/>
        <w:ind w:left="1440" w:right="0" w:hanging="0"/>
        <w:jc w:val="both"/>
        <w:rPr>
          <w:rFonts w:ascii="Times New Roman;Times;serif" w:hAnsi="Times New Roman;Times;serif"/>
          <w:sz w:val="20"/>
        </w:rPr>
      </w:pPr>
      <w:r>
        <w:rPr>
          <w:rFonts w:ascii="Times New Roman;Times;serif" w:hAnsi="Times New Roman;Times;serif"/>
          <w:sz w:val="20"/>
        </w:rPr>
        <w:t>The following table presents the movement in the allowance for credit losses for the years ended December 31, 2024 and 2025.</w:t>
      </w:r>
    </w:p>
    <w:p>
      <w:pPr>
        <w:pStyle w:val="TextBody"/>
        <w:bidi w:val="0"/>
        <w:spacing w:before="0" w:after="0"/>
        <w:ind w:left="0" w:right="0" w:hanging="0"/>
        <w:jc w:val="left"/>
        <w:rPr/>
      </w:pPr>
      <w:r>
        <w:rPr/>
        <w:t>​</w:t>
      </w:r>
    </w:p>
    <w:tbl>
      <w:tblPr>
        <w:tblW w:w="6376" w:type="dxa"/>
        <w:jc w:val="left"/>
        <w:tblInd w:w="0" w:type="dxa"/>
        <w:tblLayout w:type="fixed"/>
        <w:tblCellMar>
          <w:top w:w="0" w:type="dxa"/>
          <w:left w:w="0" w:type="dxa"/>
          <w:bottom w:w="0" w:type="dxa"/>
          <w:right w:w="0" w:type="dxa"/>
        </w:tblCellMar>
      </w:tblPr>
      <w:tblGrid>
        <w:gridCol w:w="4471"/>
        <w:gridCol w:w="346"/>
        <w:gridCol w:w="469"/>
        <w:gridCol w:w="348"/>
        <w:gridCol w:w="742"/>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839085" cy="175260"/>
                      <wp:effectExtent l="0" t="0" r="0" b="0"/>
                      <wp:wrapNone/>
                      <wp:docPr id="231" name="Frame228"/>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2"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97815" cy="175260"/>
                      <wp:effectExtent l="0" t="0" r="0" b="0"/>
                      <wp:wrapNone/>
                      <wp:docPr id="233" name="Frame230"/>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20980" cy="175260"/>
                      <wp:effectExtent l="0" t="0" r="0" b="0"/>
                      <wp:wrapNone/>
                      <wp:docPr id="234" name="Frame23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71170" cy="175260"/>
                      <wp:effectExtent l="0" t="0" r="0" b="0"/>
                      <wp:wrapNone/>
                      <wp:docPr id="235" name="Frame232"/>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5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4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8" w:type="dxa"/>
            <w:tcBorders/>
            <w:vAlign w:val="center"/>
          </w:tcPr>
          <w:p>
            <w:pPr>
              <w:pStyle w:val="TableContents"/>
              <w:bidi w:val="0"/>
              <w:spacing w:before="0" w:after="1"/>
              <w:ind w:left="0" w:right="0" w:hanging="0"/>
              <w:jc w:val="left"/>
              <w:rPr/>
            </w:pPr>
            <w:r>
              <w:rPr/>
              <w:t>  ​ ​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the beginning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346" w:type="dxa"/>
            <w:tcBorders/>
            <w:vAlign w:val="center"/>
          </w:tcPr>
          <w:p>
            <w:pPr>
              <w:pStyle w:val="TableContents"/>
              <w:bidi w:val="0"/>
              <w:spacing w:before="0" w:after="1"/>
              <w:ind w:left="0" w:right="0" w:hanging="0"/>
              <w:jc w:val="left"/>
              <w:rPr/>
            </w:pPr>
            <w:r>
              <w:rPr/>
              <w:t> </w:t>
            </w:r>
          </w:p>
        </w:tc>
        <w:tc>
          <w:tcPr>
            <w:tcW w:w="469" w:type="dxa"/>
            <w:tcBorders/>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 </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3,300</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for the year</w:t>
            </w:r>
          </w:p>
        </w:tc>
        <w:tc>
          <w:tcPr>
            <w:tcW w:w="346" w:type="dxa"/>
            <w:tcBorders/>
            <w:shd w:fill="CCEEFF" w:val="clear"/>
            <w:vAlign w:val="center"/>
          </w:tcPr>
          <w:p>
            <w:pPr>
              <w:pStyle w:val="TableContents"/>
              <w:bidi w:val="0"/>
              <w:spacing w:before="0" w:after="1"/>
              <w:ind w:left="0" w:right="0" w:hanging="0"/>
              <w:jc w:val="left"/>
              <w:rPr/>
            </w:pPr>
            <w:r>
              <w:rPr/>
              <w:t> </w:t>
            </w:r>
          </w:p>
        </w:tc>
        <w:tc>
          <w:tcPr>
            <w:tcW w:w="469" w:type="dxa"/>
            <w:tcBorders/>
            <w:shd w:fill="CCEEFF" w:val="cle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 </w:t>
            </w:r>
          </w:p>
        </w:tc>
        <w:tc>
          <w:tcPr>
            <w:tcW w:w="7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before="0" w:after="1"/>
              <w:ind w:left="0" w:right="0" w:hanging="0"/>
              <w:jc w:val="left"/>
              <w:rPr/>
            </w:pPr>
            <w:r>
              <w:rPr/>
              <w:t>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8" w:type="dxa"/>
            <w:tcBorders/>
            <w:vAlign w:val="center"/>
          </w:tcPr>
          <w:p>
            <w:pPr>
              <w:pStyle w:val="TableContents"/>
              <w:bidi w:val="0"/>
              <w:spacing w:before="0" w:after="1"/>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the end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4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pPr>
            <w:r>
              <w:rPr/>
              <w:t> </w:t>
            </w:r>
          </w:p>
        </w:tc>
        <w:tc>
          <w:tcPr>
            <w:tcW w:w="7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1,855</w:t>
            </w:r>
          </w:p>
        </w:tc>
      </w:tr>
    </w:tbl>
    <w:p>
      <w:pPr>
        <w:pStyle w:val="TextBody"/>
        <w:bidi w:val="0"/>
        <w:spacing w:before="0" w:after="240"/>
        <w:ind w:left="2160" w:right="0" w:hanging="0"/>
        <w:jc w:val="both"/>
        <w:rPr/>
      </w:pPr>
      <w:r>
        <w:rPr/>
        <w: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Other financial assets at amortized cost</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Other financial assets at amortized cost include other receivables and amounts due from related parties. Credit risk of other financial assets is considered to be low due to the sound collection history and financial stability of the counterparties. Management performs regular assessment on credit risk associated with these amounts based on the repayment history and financial position of the counterparties and other forward—looking factors. Management does not expect any losses from non—performance by the counterparties as they have no default history in the past and these counterparties had strong capacity to meet its contractual cash flow obligations in the near term. Management applies the IFRS 9 general approach to measure expected credit losses which uses a twelve—month expected loss allowance for all other receivables.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1116" w:name="Tc_1WtMQgxzZUqc8M1HZgRAxQ_5_7"/>
      <w:bookmarkStart w:id="1117" w:name="Tc_uIXDN_U880KGQmIDAQae7g_5_6"/>
      <w:bookmarkStart w:id="1118" w:name="Tc_0V0iEvH_T0ySeE9B1_LehQ_5_5"/>
      <w:bookmarkStart w:id="1119" w:name="Tc_MtlbarpnhkSD2W6arnBgJA_5_4"/>
      <w:bookmarkStart w:id="1120" w:name="Tc_6xlX9wAy9UmvX1Y2znhOyw_5_0"/>
      <w:bookmarkStart w:id="1121" w:name="Tc_i62rlyjgwkSsFIV5sMSWyg_4_3"/>
      <w:bookmarkStart w:id="1122" w:name="Tc_10goDN6o3U2f3nq3xwyKhA_4_2"/>
      <w:bookmarkStart w:id="1123" w:name="Tc_ebJcAB9lkE23rC6pR6Kpaw_4_0"/>
      <w:bookmarkStart w:id="1124" w:name="Tc_GJHwB6hldEW_H8NCMtfLAg_3_0"/>
      <w:bookmarkStart w:id="1125" w:name="Tc_tZ1M9OL-Vk2etLPSDfCKYQ_2_6"/>
      <w:bookmarkStart w:id="1126" w:name="Tc_-VWENP6hd0u0qw3ZvzgK_A_2_4"/>
      <w:bookmarkStart w:id="1127" w:name="Tc_xAxFFyGC7EijuQ0agd-cjg_2_2"/>
      <w:bookmarkStart w:id="1128" w:name="Tc_0PcSD-tphECa0dz2IL8SOw_1_2"/>
      <w:bookmarkStart w:id="1129" w:name="_db9109e6_209c_4d66_a95e_8aa1dfa9bc99"/>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 (Continued)</w:t>
      </w:r>
    </w:p>
    <w:tbl>
      <w:tblPr>
        <w:tblW w:w="2496" w:type="dxa"/>
        <w:jc w:val="left"/>
        <w:tblInd w:w="0" w:type="dxa"/>
        <w:tblLayout w:type="fixed"/>
        <w:tblCellMar>
          <w:top w:w="0" w:type="dxa"/>
          <w:left w:w="0" w:type="dxa"/>
          <w:bottom w:w="0" w:type="dxa"/>
          <w:right w:w="0" w:type="dxa"/>
        </w:tblCellMar>
      </w:tblPr>
      <w:tblGrid>
        <w:gridCol w:w="124"/>
        <w:gridCol w:w="331"/>
        <w:gridCol w:w="20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(b)</w:t>
            </w:r>
          </w:p>
        </w:tc>
        <w:tc>
          <w:tcPr>
            <w:tcW w:w="204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Credit risk (Continued)</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Digital assets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USDC is considered to be low credit risk and subject to immaterial credit loss as underlying reserve of USDC are held in cash, short—duration U.S. Treasuries, and overnight U.S. Treasury repurchase agreements within segregated accounts for the benefits of USDC holder. Credit loss for these assets have not increased significantly since their initial recognition. Consequently, they are measured at the twelve-month ECL.</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Digital assets are maintained in accounts with a third—party custodian platform, the Company may be exposed to significant losses if the platform experiences outages or becomes unavailable. To mitigate such risks, the Company only establishes accounts with the platform that have a good reputation.</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Crypto assets loan receivables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Crypto assets loan receivables arise from the Group’s subscription to Earn products on a related party digital asset platform. These receivables are unsecured, bear interest at 0.05% to 9.00% per annum, and include both fixed-term (credit periods of 2 to 365 days) and open-term loans.</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Group’s credit risk assessment framework for the borrower integrates an analysis of both quantitative financial health and qualitative operational factors. This evaluation encompasses a review of the borrower’s current operating landscape and their historical track record, specifically scrutinizing for any indicators of default, settlement discrepancies, or payment delays. Based on this review, management has determined that there has been no significant deterioration in credit quality since the initial recognition of the receivable.</w:t>
      </w:r>
    </w:p>
    <w:tbl>
      <w:tblPr>
        <w:tblW w:w="3006" w:type="dxa"/>
        <w:jc w:val="left"/>
        <w:tblInd w:w="0" w:type="dxa"/>
        <w:tblLayout w:type="fixed"/>
        <w:tblCellMar>
          <w:top w:w="0" w:type="dxa"/>
          <w:left w:w="0" w:type="dxa"/>
          <w:bottom w:w="0" w:type="dxa"/>
          <w:right w:w="0" w:type="dxa"/>
        </w:tblCellMar>
      </w:tblPr>
      <w:tblGrid>
        <w:gridCol w:w="124"/>
        <w:gridCol w:w="40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(iii)</w:t>
            </w:r>
          </w:p>
        </w:tc>
        <w:tc>
          <w:tcPr>
            <w:tcW w:w="247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Excessive risk concentration</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Concentrations arise when a number of counterparties are engaged in similar business activities, or activities in the same geographical region, or have economic features that would cause their ability to meet contractual obligations to be similarly affected by changes in economic, political or other conditions. Concentrations indicate the relative sensitivity of the Group’s performance to developments affecting a particular industry.</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following table presents the customers whose revenue individually accounted for over 10% of the Company’s total revenue for the years ended December 31, 2023, 2024 and 2025:</w:t>
      </w:r>
    </w:p>
    <w:p>
      <w:pPr>
        <w:pStyle w:val="TextBody"/>
        <w:bidi w:val="0"/>
        <w:spacing w:before="0" w:after="0"/>
        <w:ind w:left="0" w:right="0" w:hanging="0"/>
        <w:jc w:val="left"/>
        <w:rPr/>
      </w:pPr>
      <w:r>
        <w:rPr/>
        <w:t>​</w:t>
      </w:r>
    </w:p>
    <w:tbl>
      <w:tblPr>
        <w:tblW w:w="4262" w:type="dxa"/>
        <w:jc w:val="left"/>
        <w:tblInd w:w="0" w:type="dxa"/>
        <w:tblLayout w:type="fixed"/>
        <w:tblCellMar>
          <w:top w:w="0" w:type="dxa"/>
          <w:left w:w="0" w:type="dxa"/>
          <w:bottom w:w="0" w:type="dxa"/>
          <w:right w:w="0" w:type="dxa"/>
        </w:tblCellMar>
      </w:tblPr>
      <w:tblGrid>
        <w:gridCol w:w="1081"/>
        <w:gridCol w:w="346"/>
        <w:gridCol w:w="587"/>
        <w:gridCol w:w="355"/>
        <w:gridCol w:w="587"/>
        <w:gridCol w:w="355"/>
        <w:gridCol w:w="695"/>
        <w:gridCol w:w="25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86435" cy="175260"/>
                      <wp:effectExtent l="0" t="0" r="0" b="0"/>
                      <wp:wrapNone/>
                      <wp:docPr id="236" name="Frame23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37"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72745" cy="175260"/>
                      <wp:effectExtent l="0" t="0" r="0" b="0"/>
                      <wp:wrapNone/>
                      <wp:docPr id="238" name="Frame235"/>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5425" cy="175260"/>
                      <wp:effectExtent l="0" t="0" r="0" b="0"/>
                      <wp:wrapNone/>
                      <wp:docPr id="239" name="Frame23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72745" cy="175260"/>
                      <wp:effectExtent l="0" t="0" r="0" b="0"/>
                      <wp:wrapNone/>
                      <wp:docPr id="240" name="Frame237"/>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5425" cy="175260"/>
                      <wp:effectExtent l="0" t="0" r="0" b="0"/>
                      <wp:wrapNone/>
                      <wp:docPr id="241" name="Frame23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41325" cy="175260"/>
                      <wp:effectExtent l="0" t="0" r="0" b="0"/>
                      <wp:wrapNone/>
                      <wp:docPr id="242" name="Frame239"/>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62560" cy="175260"/>
                      <wp:effectExtent l="0" t="0" r="0" b="0"/>
                      <wp:wrapNone/>
                      <wp:docPr id="243" name="Frame24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5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c>
          <w:tcPr>
            <w:tcW w:w="256"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0"/>
              <w:ind w:left="0" w:right="0" w:hanging="0"/>
              <w:jc w:val="center"/>
              <w:rPr/>
            </w:pPr>
            <w:r>
              <w:rPr/>
              <w:t>  ​ ​ ​</w:t>
            </w:r>
          </w:p>
        </w:tc>
        <w:tc>
          <w:tcPr>
            <w:tcW w:w="5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5" w:type="dxa"/>
            <w:tcBorders/>
            <w:vAlign w:val="center"/>
          </w:tcPr>
          <w:p>
            <w:pPr>
              <w:pStyle w:val="TableContents"/>
              <w:bidi w:val="0"/>
              <w:spacing w:before="0" w:after="0"/>
              <w:ind w:left="0" w:right="0" w:hanging="0"/>
              <w:jc w:val="center"/>
              <w:rPr/>
            </w:pPr>
            <w:r>
              <w:rPr/>
              <w:t>  ​ ​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55" w:type="dxa"/>
            <w:tcBorders/>
            <w:shd w:fill="CCEEFF" w:val="clear"/>
            <w:vAlign w:val="center"/>
          </w:tcPr>
          <w:p>
            <w:pPr>
              <w:pStyle w:val="TableContents"/>
              <w:bidi w:val="0"/>
              <w:spacing w:before="0" w:after="0"/>
              <w:ind w:left="0" w:right="0" w:hanging="0"/>
              <w:jc w:val="left"/>
              <w:rPr/>
            </w:pPr>
            <w:r>
              <w:rPr/>
              <w:t> </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w:t>
            </w:r>
          </w:p>
        </w:tc>
        <w:tc>
          <w:tcPr>
            <w:tcW w:w="35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24,142</w:t>
            </w:r>
          </w:p>
        </w:tc>
        <w:tc>
          <w:tcPr>
            <w:tcW w:w="256"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0"/>
              <w:ind w:left="0" w:right="0" w:hanging="0"/>
              <w:jc w:val="left"/>
              <w:rPr/>
            </w:pPr>
            <w:r>
              <w:rPr/>
              <w:t>​</w:t>
            </w:r>
          </w:p>
        </w:tc>
        <w:tc>
          <w:tcPr>
            <w:tcW w:w="587"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3,709</w:t>
            </w:r>
          </w:p>
        </w:tc>
        <w:tc>
          <w:tcPr>
            <w:tcW w:w="355"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8,860</w:t>
            </w:r>
          </w:p>
        </w:tc>
        <w:tc>
          <w:tcPr>
            <w:tcW w:w="25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55" w:type="dxa"/>
            <w:tcBorders/>
            <w:shd w:fill="CCEEFF" w:val="clear"/>
            <w:vAlign w:val="center"/>
          </w:tcPr>
          <w:p>
            <w:pPr>
              <w:pStyle w:val="TableContents"/>
              <w:bidi w:val="0"/>
              <w:spacing w:before="0" w:after="0"/>
              <w:ind w:left="0" w:right="0" w:hanging="0"/>
              <w:jc w:val="left"/>
              <w:rPr/>
            </w:pPr>
            <w:r>
              <w:rPr/>
              <w:t>​</w:t>
            </w:r>
          </w:p>
        </w:tc>
        <w:tc>
          <w:tcPr>
            <w:tcW w:w="587"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*Less than 10%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1130" w:name="Tc_JNw-dDxs2Ei0j_Xbo4iKjA_24_4"/>
      <w:bookmarkStart w:id="1131" w:name="Tc_KOc0M95XgEeQ9JgvkyTOGg_24_0"/>
      <w:bookmarkStart w:id="1132" w:name="Tc_4wrrBB9uhECjuPaEqX9V5A_23_4"/>
      <w:bookmarkStart w:id="1133" w:name="Tc_qjb8axz5mEac9JXfDEatIw_23_0"/>
      <w:bookmarkStart w:id="1134" w:name="Tc_Nbt5F5lqb0CQFeREheZm2Q_22_4"/>
      <w:bookmarkStart w:id="1135" w:name="Tc_zPiCniVcTUKuYsqHXrbNoQ_22_0"/>
      <w:bookmarkStart w:id="1136" w:name="Tc_jetATOJu1k-4tuA_7gkQRw_21_0"/>
      <w:bookmarkStart w:id="1137" w:name="Tc_pbyckuhjXUG9ICB9WUoABA_20_4"/>
      <w:bookmarkStart w:id="1138" w:name="Tc_r2pFIvwpgEive3auNZRG9w_20_0"/>
      <w:bookmarkStart w:id="1139" w:name="Tc_UMaqXcgIsUKaH2aAJCIxPw_19_0"/>
      <w:bookmarkStart w:id="1140" w:name="Tc_EgIY1B7gtUCa3O4nYdD5zw_18_0"/>
      <w:bookmarkStart w:id="1141" w:name="Tc_5mvdgH_yV0aaouTnNFIiEw_16_4"/>
      <w:bookmarkStart w:id="1142" w:name="Tc_qbl_BnrpB0Kt29eLiihSZQ_16_0"/>
      <w:bookmarkStart w:id="1143" w:name="Tc_xD47RXpkSEqHOQrMi-IQ3g_15_4"/>
      <w:bookmarkStart w:id="1144" w:name="Tc_3lxDCoQZxEGdllBlXEl70w_15_0"/>
      <w:bookmarkStart w:id="1145" w:name="Tc_4qH98U0XZkuiDd5olWODSQ_14_4"/>
      <w:bookmarkStart w:id="1146" w:name="Tc_IZPa7I57b0q8-zCsOYyf9g_14_0"/>
      <w:bookmarkStart w:id="1147" w:name="Tc_eaztZ7IJtka1daQs35TqXQ_13_0"/>
      <w:bookmarkStart w:id="1148" w:name="Tc_p20BsYl3BUix3iakz9cZ3Q_12_4"/>
      <w:bookmarkStart w:id="1149" w:name="Tc_9Bpd0g755EaagHLsT7kEBA_12_0"/>
      <w:bookmarkStart w:id="1150" w:name="Tc_ysSoWuAEe0OE2rBTjt82fw_11_4"/>
      <w:bookmarkStart w:id="1151" w:name="Tc_bFNg3K3TME6z4wp7p4pb3g_11_0"/>
      <w:bookmarkStart w:id="1152" w:name="Tc_RBGB4fLS6Uqk8OOH1y3qsg_10_0"/>
      <w:bookmarkStart w:id="1153" w:name="Tc_JhMtwznkx0-2I8sAKQMk4w_9_4"/>
      <w:bookmarkStart w:id="1154" w:name="Tc_DJnsK91XEESm2xxOol0eVQ_8_4"/>
      <w:bookmarkStart w:id="1155" w:name="Tc_dJfohnZWLUG8AfLwGWDWIA_8_0"/>
      <w:bookmarkStart w:id="1156" w:name="Tc_Hc5UIjEOC0GFiEcVALcgaw_7_4"/>
      <w:bookmarkStart w:id="1157" w:name="Tc_PyMxvNa8ZEqV3-17x05hVA_7_0"/>
      <w:bookmarkStart w:id="1158" w:name="Tc_iw1L7F8j50Wk2zoJNDH8MQ_6_4"/>
      <w:bookmarkStart w:id="1159" w:name="Tc_A6rmxquanE2UQgc9tx83ZA_6_0"/>
      <w:bookmarkStart w:id="1160" w:name="Tc_NhfZCGSHKEye1Kfy_kkSGw_5_4"/>
      <w:bookmarkStart w:id="1161" w:name="Tc_Qz0zRLdljkuNLtRknDwJoA_5_0"/>
      <w:bookmarkStart w:id="1162" w:name="Tc_1YA3GIIc0kK-KA7qJnxY8Q_4_0"/>
      <w:bookmarkStart w:id="1163" w:name="Tc_dIS1yhPDv0OwigWm6gtU1w_2_8"/>
      <w:bookmarkStart w:id="1164" w:name="Tc_mOcrRyKhykivDTiqVPW0bw_2_6"/>
      <w:bookmarkStart w:id="1165" w:name="Tc_g037i45RaUGxqSEQpSia7g_2_4"/>
      <w:bookmarkStart w:id="1166" w:name="Tc_jB-GLOmWl06Iwyy_U_no_g_2_2"/>
      <w:bookmarkStart w:id="1167" w:name="Tc_UrZoXJsaXEebeIOXk8hEhQ_1_8"/>
      <w:bookmarkStart w:id="1168" w:name="Tc_CKiaz61E_U27cVoRLuZ5Tw_1_6"/>
      <w:bookmarkStart w:id="1169" w:name="Tc_MhLB3Qe080-TdSrySWRGcA_1_4"/>
      <w:bookmarkStart w:id="1170" w:name="Tc_Arsq603DCEGz6rCzOEeKXw_1_2"/>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Financial risk factors (Continued)</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Liquidity risk</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Prudent liquidity risk management implies maintaining sufficient cash and the availability of funding through an adequate amount of committed credit facilities to meet obligations when due and to close out market positions. As of December 31, 2025, our cash and bank balances amounted to approximately US$33,902 (2024: US$9,326), and our current assets exceeded our current liabilities by US$51,634 (2024: US$12,670).</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Management is of the opinion that the Group has sufficient funds to meet its working capital requirements and debt obligations, for at least the next 12 months. There are several factors that could potentially arise that could undermine the Group’s plans, such as changes in the demand for its products, economic conditions, its operating results continuing to deteriorate and its shareholders and related parties being unable to provide continued financial support. The Group maintains sufficient cash and bank balances, and internally generated cash flows to finance their activities and management is satisfied that funds are available to finance the operations of the Company.</w:t>
      </w:r>
    </w:p>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The following table details the remaining contractual maturity for non-derivative financial liabilities. The tables have been drawn up based on the undiscounted cash flows of financial liabilities based on the earliest date on which the Group can be required to pay. The table includes both interest and principal cash flows.</w:t>
      </w:r>
    </w:p>
    <w:p>
      <w:pPr>
        <w:pStyle w:val="TextBody"/>
        <w:bidi w:val="0"/>
        <w:spacing w:before="0" w:after="0"/>
        <w:ind w:left="0" w:right="0" w:hanging="0"/>
        <w:jc w:val="left"/>
        <w:rPr/>
      </w:pPr>
      <w:r>
        <w:rPr/>
        <w:t>​</w:t>
      </w:r>
    </w:p>
    <w:tbl>
      <w:tblPr>
        <w:tblW w:w="8304" w:type="dxa"/>
        <w:jc w:val="left"/>
        <w:tblInd w:w="0" w:type="dxa"/>
        <w:tblLayout w:type="fixed"/>
        <w:tblCellMar>
          <w:top w:w="0" w:type="dxa"/>
          <w:left w:w="0" w:type="dxa"/>
          <w:bottom w:w="0" w:type="dxa"/>
          <w:right w:w="0" w:type="dxa"/>
        </w:tblCellMar>
      </w:tblPr>
      <w:tblGrid>
        <w:gridCol w:w="2566"/>
        <w:gridCol w:w="346"/>
        <w:gridCol w:w="1066"/>
        <w:gridCol w:w="346"/>
        <w:gridCol w:w="976"/>
        <w:gridCol w:w="346"/>
        <w:gridCol w:w="1426"/>
        <w:gridCol w:w="346"/>
        <w:gridCol w:w="88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29410" cy="175260"/>
                      <wp:effectExtent l="0" t="0" r="0" b="0"/>
                      <wp:wrapNone/>
                      <wp:docPr id="244" name="Frame24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45"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76910" cy="175260"/>
                      <wp:effectExtent l="0" t="0" r="0" b="0"/>
                      <wp:wrapNone/>
                      <wp:docPr id="246" name="Frame24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47"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19760" cy="175260"/>
                      <wp:effectExtent l="0" t="0" r="0" b="0"/>
                      <wp:wrapNone/>
                      <wp:docPr id="248" name="Frame2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49"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05510" cy="175260"/>
                      <wp:effectExtent l="0" t="0" r="0" b="0"/>
                      <wp:wrapNone/>
                      <wp:docPr id="250" name="Frame24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1"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62610" cy="175260"/>
                      <wp:effectExtent l="0" t="0" r="0" b="0"/>
                      <wp:wrapNone/>
                      <wp:docPr id="252" name="Frame2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On demand/</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Between </w:t>
            </w:r>
          </w:p>
        </w:tc>
        <w:tc>
          <w:tcPr>
            <w:tcW w:w="346" w:type="dxa"/>
            <w:tcBorders/>
            <w:vAlign w:val="center"/>
          </w:tcPr>
          <w:p>
            <w:pPr>
              <w:pStyle w:val="TableContents"/>
              <w:bidi w:val="0"/>
              <w:spacing w:before="0" w:after="1"/>
              <w:ind w:left="0" w:right="0" w:hanging="0"/>
              <w:jc w:val="center"/>
              <w:rPr/>
            </w:pPr>
            <w:r>
              <w:rPr/>
              <w:t>  ​ ​ ​</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contractual </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 </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within 1 year</w:t>
            </w:r>
          </w:p>
        </w:tc>
        <w:tc>
          <w:tcPr>
            <w:tcW w:w="34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 — 5 years</w:t>
            </w:r>
          </w:p>
        </w:tc>
        <w:tc>
          <w:tcPr>
            <w:tcW w:w="346" w:type="dxa"/>
            <w:tcBorders/>
            <w:vAlign w:val="center"/>
          </w:tcPr>
          <w:p>
            <w:pPr>
              <w:pStyle w:val="TableContents"/>
              <w:bidi w:val="0"/>
              <w:spacing w:before="0" w:after="1"/>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flows</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January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to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41,399</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41,399</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41,399</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14,414</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14,414</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14,414</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to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9,980</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9,980</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9,980</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71,523</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71,523</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71,523</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99,584</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500</w:t>
            </w:r>
          </w:p>
        </w:tc>
        <w:tc>
          <w:tcPr>
            <w:tcW w:w="346" w:type="dxa"/>
            <w:tcBorders/>
            <w:vAlign w:val="center"/>
          </w:tcPr>
          <w:p>
            <w:pPr>
              <w:pStyle w:val="TableContents"/>
              <w:bidi w:val="0"/>
              <w:spacing w:before="0" w:after="1"/>
              <w:ind w:left="0" w:right="0" w:hanging="0"/>
              <w:jc w:val="left"/>
              <w:rPr/>
            </w:pPr>
            <w:r>
              <w:rPr/>
              <w:t> </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100,084</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100,049</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13,408</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13,455</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13,455</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Collateral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10,941</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10,941</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10,941</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 due to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48,031</w:t>
            </w:r>
          </w:p>
        </w:tc>
      </w:tr>
      <w:tr>
        <w:trPr/>
        <w:tc>
          <w:tcPr>
            <w:tcW w:w="25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due to customers</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61,351</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61,351</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61,351</w:t>
            </w:r>
          </w:p>
        </w:tc>
      </w:tr>
      <w:tr>
        <w:trPr/>
        <w:tc>
          <w:tcPr>
            <w:tcW w:w="25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25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134,951</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779</w:t>
            </w:r>
          </w:p>
        </w:tc>
        <w:tc>
          <w:tcPr>
            <w:tcW w:w="346" w:type="dxa"/>
            <w:tcBorders/>
            <w:vAlign w:val="center"/>
          </w:tcPr>
          <w:p>
            <w:pPr>
              <w:pStyle w:val="TableContents"/>
              <w:bidi w:val="0"/>
              <w:spacing w:before="0" w:after="1"/>
              <w:ind w:left="0" w:right="0" w:hanging="0"/>
              <w:jc w:val="left"/>
              <w:rPr/>
            </w:pPr>
            <w:r>
              <w:rPr/>
              <w:t> </w:t>
            </w:r>
          </w:p>
        </w:tc>
        <w:tc>
          <w:tcPr>
            <w:tcW w:w="14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135,730</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135,683</w:t>
            </w:r>
          </w:p>
        </w:tc>
      </w:tr>
    </w:tbl>
    <w:p>
      <w:pPr>
        <w:pStyle w:val="TextBody"/>
        <w:bidi w:val="0"/>
        <w:spacing w:before="0" w:after="240"/>
        <w:ind w:left="21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Capital management</w:t>
      </w:r>
    </w:p>
    <w:p>
      <w:pPr>
        <w:pStyle w:val="TextBody"/>
        <w:bidi w:val="0"/>
        <w:spacing w:before="0" w:after="240"/>
        <w:ind w:left="144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objectives when managing capital are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 its ability to continue as a going concern, so that it can continue to provide returns for shareholders and benefits for other stakeholders; and</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 optimal capital structure to reduce the cost of capital.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order to maintain or adjust the capital structure, the Group may adjust the amount of dividends paid to shareholders, return capital to shareholders, issue new shares, repurchase the Company’s shares or sell assets to reduce debt.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monitors capital (including share capital, treasury shares, reserves and shares held for shares award scheme) by regularly reviewing the capital structure. As a part of this review, the Group considers the cost of capital and the risks associated with the issued share capital. In the opinion of the Directors of the Company, the Group’s capital risk is low.</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is not subject to any externally imposed capital requirements. No changes were made in the objectives, policies or processes during the financial year ended December 31, 2024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Fair value measurement</w:t>
      </w:r>
    </w:p>
    <w:p>
      <w:pPr>
        <w:pStyle w:val="TextBody"/>
        <w:bidi w:val="0"/>
        <w:spacing w:before="0" w:after="240"/>
        <w:ind w:left="144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section explains the judgments and estimates made in determining the fair values of assets and liabilities that are recognized and measured at fair value in the consolidated financial statements. To provide an indication about the reliability of the inputs used in determining the fair values, the Group has classified its assets and liabilities into three levels prescribed under the accounting standards.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analyzes its assets and liabilities carried at fair values by level of the inputs to valuation techniques used to measure the fair values. Such inputs are categorized into three levels within a fair value hierarchy as follows:</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unadjusted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quoted prices included within Level 1 that are observable for the assets or liabilities, either directly (that is, as prices) or indirectly (that is, derived from prices); and</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for the assets or liabilities that are not based on observable market data (that is, unobservable inputs).</w:t>
            </w:r>
          </w:p>
        </w:tc>
      </w:tr>
    </w:tbl>
    <w:p>
      <w:pPr>
        <w:pStyle w:val="TextBody"/>
        <w:bidi w:val="0"/>
        <w:spacing w:before="0" w:after="240"/>
        <w:ind w:left="144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60"/>
        <w:ind w:left="0" w:right="0" w:hanging="0"/>
        <w:jc w:val="left"/>
        <w:rPr>
          <w:rFonts w:ascii="Times New Roman;Times;serif" w:hAnsi="Times New Roman;Times;serif"/>
          <w:b/>
          <w:sz w:val="20"/>
        </w:rPr>
      </w:pPr>
      <w:bookmarkStart w:id="1171" w:name="Tc_4iWnYHur_kOQTDnCrLxohg_45_6"/>
      <w:bookmarkStart w:id="1172" w:name="Tc_EwbZOknJo0q386afQh5p8Q_44_6"/>
      <w:bookmarkStart w:id="1173" w:name="Tc_3NxFcEKf6k6669tl5Y56eA_44_4"/>
      <w:bookmarkStart w:id="1174" w:name="Tc_WN6gME6nVk-RbTe_S_g7vA_44_0"/>
      <w:bookmarkStart w:id="1175" w:name="Tc_rhyoN9fKXE-doOnGcMiObA_43_6"/>
      <w:bookmarkStart w:id="1176" w:name="Tc_MusQ13A2EUWuJD3XFr8PmQ_43_4"/>
      <w:bookmarkStart w:id="1177" w:name="Tc_rR6oeD2vnkmBcBcrg82SdQ_43_0"/>
      <w:bookmarkStart w:id="1178" w:name="Tc_FiVfjVQccEyMspOsRCgc2g_42_6"/>
      <w:bookmarkStart w:id="1179" w:name="Tc_gcZmMZWm4kCaFnQk-HkxTA_42_2"/>
      <w:bookmarkStart w:id="1180" w:name="Tc_Ou8qZ0bwpkiq341DqJiG6Q_42_0"/>
      <w:bookmarkStart w:id="1181" w:name="Tc_lemXi0UB40e34wCUw2CgqA_41_0"/>
      <w:bookmarkStart w:id="1182" w:name="Tc_EVBuLL8aWUaOse0f98ALaw_39_6"/>
      <w:bookmarkStart w:id="1183" w:name="Tc_6QdGftKiekWahhSnk8PAgA_39_4"/>
      <w:bookmarkStart w:id="1184" w:name="Tc_NwgG18nPSEK-g0A3MsJTJA_39_0"/>
      <w:bookmarkStart w:id="1185" w:name="Tc_hqbiskxQbUycZgCv-mrH4A_38_6"/>
      <w:bookmarkStart w:id="1186" w:name="Tc_OWKvs5dt10eVUrx9HxgyiA_38_0"/>
      <w:bookmarkStart w:id="1187" w:name="Tc_D-3dAVyDSku3fruJhcbLAw_37_6"/>
      <w:bookmarkStart w:id="1188" w:name="Tc_HDNhPT-DdEuOKHrM2Y7yUA_37_4"/>
      <w:bookmarkStart w:id="1189" w:name="Tc_7uPj6DMvW0KPj9OjdLJQGg_37_0"/>
      <w:bookmarkStart w:id="1190" w:name="Tc_DvziP3u84EeFMKF8F2Ekiw_36_6"/>
      <w:bookmarkStart w:id="1191" w:name="Tc_HdyQDM3ACUu0SUxYHET0ww_36_2"/>
      <w:bookmarkStart w:id="1192" w:name="Tc_4ovDaDGNk0uSsHoihjoqWA_36_0"/>
      <w:bookmarkStart w:id="1193" w:name="Tc_TBku__gpvUOeF_j9PxuTBQ_35_6"/>
      <w:bookmarkStart w:id="1194" w:name="Tc_i_7uxYXnEkKoOHF9fprHmw_35_4"/>
      <w:bookmarkStart w:id="1195" w:name="Tc_Veujp_Vlt06va9thSehVVw_35_0"/>
      <w:bookmarkStart w:id="1196" w:name="Tc_8mZjA94N90W-S0nzK3dvGQ_34_4"/>
      <w:bookmarkStart w:id="1197" w:name="Tc_onyZJSeopkC4Nye9nTj_cw_34_0"/>
      <w:bookmarkStart w:id="1198" w:name="Tc_ULckWv65VEaZKMyBudLDyg_33_0"/>
      <w:bookmarkStart w:id="1199" w:name="Tc_Mafqs8Ze3Ui_cVBCH_giZQ_32_0"/>
      <w:bookmarkStart w:id="1200" w:name="Tc_jfbnf0pOp0yp_VwmihEaaA_30_6"/>
      <w:bookmarkStart w:id="1201" w:name="Tc_zZ2EQIPfiUynuPtZ8AJ2bg_29_6"/>
      <w:bookmarkStart w:id="1202" w:name="Tc_LAIQGvoBWEG8ZMwXh97Dmg_29_4"/>
      <w:bookmarkStart w:id="1203" w:name="Tc_2xbTfXlD30Sss2ocbRZvsg_29_0"/>
      <w:bookmarkStart w:id="1204" w:name="Tc_FDfAd9tM6kWk1y5Mgi9Hhw_28_6"/>
      <w:bookmarkStart w:id="1205" w:name="Tc_edZXPChJJ0yKkCvGKLwmcQ_28_4"/>
      <w:bookmarkStart w:id="1206" w:name="Tc_OQoDzOQQtk6Uyz4FLbhj7w_28_0"/>
      <w:bookmarkStart w:id="1207" w:name="Tc_zxCVYTtbYk2qaKuCjxlX4w_27_6"/>
      <w:bookmarkStart w:id="1208" w:name="Tc_gJJhK65XqEC449rcIAB7dA_27_2"/>
      <w:bookmarkStart w:id="1209" w:name="Tc_1snGybxmlUGfB9TCMgd90Q_27_0"/>
      <w:bookmarkStart w:id="1210" w:name="Tc_3-KTVZuVlUqkab9y48FIkw_26_0"/>
      <w:bookmarkStart w:id="1211" w:name="Tc_BHcVdqA-dky6TIdmU2x1pQ_24_6"/>
      <w:bookmarkStart w:id="1212" w:name="Tc_UR4mNBZ01UmCZcz0EarpvA_24_4"/>
      <w:bookmarkStart w:id="1213" w:name="Tc_HU03aJtupEeyEKBk1A7Kpg_24_0"/>
      <w:bookmarkStart w:id="1214" w:name="Tc_5MCxaN-fzUi2RxCXjkx8qQ_23_6"/>
      <w:bookmarkStart w:id="1215" w:name="Tc_GlV-swe08kmQu2fL1lVGVQ_23_0"/>
      <w:bookmarkStart w:id="1216" w:name="Tc_5QS5gvwQeEy-mbCdTBXR_g_22_6"/>
      <w:bookmarkStart w:id="1217" w:name="Tc_5w18B-3B50-Bmprbt_5AFA_22_4"/>
      <w:bookmarkStart w:id="1218" w:name="Tc_SELPkmY9802OUGYisiBlvw_22_0"/>
      <w:bookmarkStart w:id="1219" w:name="Tc_3-83Kfg2uEKPCVRhXjLLEw_21_6"/>
      <w:bookmarkStart w:id="1220" w:name="Tc_Blv1wXa4L0-YCIY42vsUHg_21_2"/>
      <w:bookmarkStart w:id="1221" w:name="Tc_81GzSyNynUuPBSIn8jzing_21_0"/>
      <w:bookmarkStart w:id="1222" w:name="Tc_eg9ECie5F0qVdSDjCd0RsQ_20_6"/>
      <w:bookmarkStart w:id="1223" w:name="Tc_mtGI_oivC0eQsIQQcA-YJg_20_4"/>
      <w:bookmarkStart w:id="1224" w:name="Tc_qCafIjgnjkWd9tvFve2aWA_20_0"/>
      <w:bookmarkStart w:id="1225" w:name="Tc_Qm1ENnVsoEScLFGbuq_big_19_4"/>
      <w:bookmarkStart w:id="1226" w:name="Tc_K6KLXZkCJUqldAopdVhsGQ_19_2"/>
      <w:bookmarkStart w:id="1227" w:name="Tc_c3OUQSnmzk2IpxgL2_jx3w_19_0"/>
      <w:bookmarkStart w:id="1228" w:name="Tc_XMT73hCrp0izmpQSPpU12g_18_0"/>
      <w:bookmarkStart w:id="1229" w:name="Tc_0XzmSRZWuU2-_eu7aEwU4w_17_0"/>
      <w:bookmarkStart w:id="1230" w:name="Tc_DB6y4KsmOUCYoBR0_3w8rA_16_6"/>
      <w:bookmarkStart w:id="1231" w:name="Tc_fgY5WO1EBkOEfOsIpnfBXA_15_6"/>
      <w:bookmarkStart w:id="1232" w:name="Tc_ZoTZWRd840yqpcMvJQ5x9Q_15_4"/>
      <w:bookmarkStart w:id="1233" w:name="Tc_mAhVFsa7kkqFR4XPxF1_DA_15_0"/>
      <w:bookmarkStart w:id="1234" w:name="Tc_N_PvO9caaUy4LMomyLW8UQ_14_6"/>
      <w:bookmarkStart w:id="1235" w:name="Tc_ZuYPs2APfE6TpwuhfsGYRg_14_2"/>
      <w:bookmarkStart w:id="1236" w:name="Tc_RMiFdYfuFkWLUQ3k1bCsKw_14_0"/>
      <w:bookmarkStart w:id="1237" w:name="Tc_J8TcRtMZsEiY8vqlXAXzFA_13_0"/>
      <w:bookmarkStart w:id="1238" w:name="Tc_yF2HF_b4Jkm4aAFoRv2gFQ_11_6"/>
      <w:bookmarkStart w:id="1239" w:name="Tc_v0T7L6L-n0ygN5PqxaCIKw_11_2"/>
      <w:bookmarkStart w:id="1240" w:name="Tc_9hh0ZwTABU2Q_x9wG5jfug_11_0"/>
      <w:bookmarkStart w:id="1241" w:name="Tc_4iki-gYtnE-Wk_CBYQri4g_10_6"/>
      <w:bookmarkStart w:id="1242" w:name="Tc_jURptDCx-0m500LmXfjvBw_10_4"/>
      <w:bookmarkStart w:id="1243" w:name="Tc_yOIWk6ju00q4o9FZdExBwg_10_0"/>
      <w:bookmarkStart w:id="1244" w:name="Tc_kFFpCB5kAky5PxQj3PIisw_9_4"/>
      <w:bookmarkStart w:id="1245" w:name="Tc_gAPEzvoHV02NdcM4ZPBguA_9_2"/>
      <w:bookmarkStart w:id="1246" w:name="Tc_U07pMjdOfU6sR_mZEIncqA_9_0"/>
      <w:bookmarkStart w:id="1247" w:name="Tc_hZCc-N0T60eM0nnJwgdxxQ_8_0"/>
      <w:bookmarkStart w:id="1248" w:name="Tc_rkbYa684jUawjfsaOgxmmw_7_0"/>
      <w:bookmarkStart w:id="1249" w:name="Tc_fKatSBhcg0O8X4auwWmBog_6_8"/>
      <w:bookmarkStart w:id="1250" w:name="Tc_kKcLqCqlo0aWy4Ua_dXPOw_6_6"/>
      <w:bookmarkStart w:id="1251" w:name="Tc_wXP9oDTHXE2QDO9x-nNNLA_6_4"/>
      <w:bookmarkStart w:id="1252" w:name="Tc_1sgvUQWF3UOvC8gtlwrNRg_6_2"/>
      <w:bookmarkStart w:id="1253" w:name="Tc_JJSJCj1F_0uiSNn-QRAwew_5_8"/>
      <w:bookmarkStart w:id="1254" w:name="Tc_qf_mJtz9w0KveVquJm4hOg_5_6"/>
      <w:bookmarkStart w:id="1255" w:name="Tc_Uf_5whVRAUSvuyb_3Siq7Q_5_4"/>
      <w:bookmarkStart w:id="1256" w:name="Tc_RmsW2hOL5kWRjq91XwiEdQ_5_2"/>
      <w:bookmarkStart w:id="1257" w:name="Tc_fNUPcX-1PEu_7OO-TJ_y4w_4_8"/>
      <w:bookmarkStart w:id="1258" w:name="Tc_2z1jbmxlBkiFxPp9rx1uRQ_4_6"/>
      <w:bookmarkStart w:id="1259" w:name="Tc_GP8JQKZKY0uQRL-NNU9V5A_4_4"/>
      <w:bookmarkStart w:id="1260" w:name="Tc_7Cfr4f2xEUCJav3ZYTy_iw_4_2"/>
      <w:bookmarkStart w:id="1261" w:name="Tc_R1Td6-LGQkO3AzgSZEXfsw_3_6"/>
      <w:bookmarkStart w:id="1262" w:name="Tc_e8i4zp91e0eQ3BmTj1dkhg_3_4"/>
      <w:bookmarkStart w:id="1263" w:name="Tc_7jKw9r4T6Emgp3_JRqMIIA_3_2"/>
      <w:bookmarkStart w:id="1264" w:name="Tc_hLws6WNHF0G-O8VC_9avnA_2_4"/>
      <w:bookmarkStart w:id="1265" w:name="Tc_f6N6h8OPO0eTL9PWROupJg_2_2"/>
      <w:bookmarkStart w:id="1266" w:name="Tc_SMMfAbNfwEOYAeQyI90Dbg_1_2"/>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Fair value measurement (Continued)</w:t>
      </w:r>
    </w:p>
    <w:p>
      <w:pPr>
        <w:pStyle w:val="TextBody"/>
        <w:bidi w:val="0"/>
        <w:spacing w:before="0" w:after="160"/>
        <w:ind w:left="720" w:right="0" w:hanging="0"/>
        <w:jc w:val="both"/>
        <w:rPr>
          <w:rFonts w:ascii="Times New Roman;Times;serif" w:hAnsi="Times New Roman;Times;serif"/>
          <w:sz w:val="20"/>
        </w:rPr>
      </w:pPr>
      <w:r>
        <w:rPr>
          <w:rFonts w:ascii="Times New Roman;Times;serif" w:hAnsi="Times New Roman;Times;serif"/>
          <w:sz w:val="20"/>
        </w:rPr>
        <w:t>The following table sets forth the assets and liabilities, measured at fair value, by level within the fair value hierarchy as of January 1, 2024, December 31, 2024 and 2025.</w:t>
      </w:r>
    </w:p>
    <w:p>
      <w:pPr>
        <w:pStyle w:val="TextBody"/>
        <w:bidi w:val="0"/>
        <w:spacing w:before="0" w:after="0"/>
        <w:ind w:left="0" w:right="0" w:hanging="0"/>
        <w:jc w:val="left"/>
        <w:rPr/>
      </w:pPr>
      <w:r>
        <w:rPr/>
        <w:t>​</w:t>
      </w:r>
    </w:p>
    <w:tbl>
      <w:tblPr>
        <w:tblW w:w="9519" w:type="dxa"/>
        <w:jc w:val="left"/>
        <w:tblInd w:w="0" w:type="dxa"/>
        <w:tblLayout w:type="fixed"/>
        <w:tblCellMar>
          <w:top w:w="0" w:type="dxa"/>
          <w:left w:w="0" w:type="dxa"/>
          <w:bottom w:w="0" w:type="dxa"/>
          <w:right w:w="0" w:type="dxa"/>
        </w:tblCellMar>
      </w:tblPr>
      <w:tblGrid>
        <w:gridCol w:w="3631"/>
        <w:gridCol w:w="346"/>
        <w:gridCol w:w="1291"/>
        <w:gridCol w:w="346"/>
        <w:gridCol w:w="1411"/>
        <w:gridCol w:w="346"/>
        <w:gridCol w:w="1066"/>
        <w:gridCol w:w="346"/>
        <w:gridCol w:w="73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305685" cy="175260"/>
                      <wp:effectExtent l="0" t="0" r="0" b="0"/>
                      <wp:wrapNone/>
                      <wp:docPr id="253" name="Frame250"/>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4"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819785" cy="175260"/>
                      <wp:effectExtent l="0" t="0" r="0" b="0"/>
                      <wp:wrapNone/>
                      <wp:docPr id="255" name="Frame252"/>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56"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95985" cy="175260"/>
                      <wp:effectExtent l="0" t="0" r="0" b="0"/>
                      <wp:wrapNone/>
                      <wp:docPr id="257" name="Frame25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8"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76910" cy="175260"/>
                      <wp:effectExtent l="0" t="0" r="0" b="0"/>
                      <wp:wrapNone/>
                      <wp:docPr id="259" name="Frame25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0"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67360" cy="175260"/>
                      <wp:effectExtent l="0" t="0" r="0" b="0"/>
                      <wp:wrapNone/>
                      <wp:docPr id="261" name="Frame25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54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of assets and liabilities using</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1"/>
              <w:ind w:left="0" w:right="0" w:hanging="0"/>
              <w:jc w:val="center"/>
              <w:rPr/>
            </w:pPr>
            <w:r>
              <w:rPr/>
              <w:t>  ​ ​ ​</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36" w:type="dxa"/>
            <w:tcBorders/>
            <w:vAlign w:val="center"/>
          </w:tcPr>
          <w:p>
            <w:pPr>
              <w:pStyle w:val="TableContents"/>
              <w:bidi w:val="0"/>
              <w:spacing w:before="0" w:after="1"/>
              <w:ind w:left="0" w:right="0" w:hanging="0"/>
              <w:jc w:val="center"/>
              <w:rPr/>
            </w:pPr>
            <w:r>
              <w:rPr/>
              <w:t>​</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than quoted</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46" w:type="dxa"/>
            <w:tcBorders/>
            <w:vAlign w:val="center"/>
          </w:tcPr>
          <w:p>
            <w:pPr>
              <w:pStyle w:val="TableContents"/>
              <w:bidi w:val="0"/>
              <w:spacing w:before="0" w:after="1"/>
              <w:ind w:left="0" w:right="0" w:hanging="0"/>
              <w:jc w:val="center"/>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At January 1, 2024</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assets: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assets at fair value through profits or loss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Crypto assets loan receivables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7,868</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7,868</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7,868</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257</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8,145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Liabilities due to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13,867</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13,867</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13,867</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13,887</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assets: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assets at fair value through profits or loss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Crypto assets loan receivables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69,934</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69,934</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Collateral receivables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14,414</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14,414</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Digital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2,817</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3,005</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USDC</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1,827</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1,827</w:t>
            </w:r>
          </w:p>
        </w:tc>
      </w:tr>
      <w:tr>
        <w:trPr/>
        <w:tc>
          <w:tcPr>
            <w:tcW w:w="3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88,992</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1,764</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264</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91,020</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liabilities: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  ​</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Collateral payables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14,414</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14,414</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Liabilities due to customers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71,523</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71,523</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85,937</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1,576</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87,513</w:t>
            </w:r>
          </w:p>
        </w:tc>
      </w:tr>
      <w:tr>
        <w:trPr/>
        <w:tc>
          <w:tcPr>
            <w:tcW w:w="3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At December 31, 2025</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assets at fair value through profits or loss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23,005</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23,273</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Crypto assets loan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42,141</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42,141</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Collateral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3,407</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3,407</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Digital assets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32,901</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608</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33,509</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USDC</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12,449</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12,449</w:t>
            </w:r>
          </w:p>
        </w:tc>
      </w:tr>
      <w:tr>
        <w:trPr/>
        <w:tc>
          <w:tcPr>
            <w:tcW w:w="3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91,166</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924</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23,005</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115,095</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financial instruments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Collateral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10,941</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10,941</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Liabilities due to customers</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61,351</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61,351</w:t>
            </w:r>
          </w:p>
        </w:tc>
      </w:tr>
      <w:tr>
        <w:trPr/>
        <w:tc>
          <w:tcPr>
            <w:tcW w:w="3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72,292</w:t>
            </w:r>
          </w:p>
        </w:tc>
        <w:tc>
          <w:tcPr>
            <w:tcW w:w="346" w:type="dxa"/>
            <w:tcBorders/>
            <w:shd w:fill="CCEEFF" w:val="clear"/>
            <w:vAlign w:val="center"/>
          </w:tcPr>
          <w:p>
            <w:pPr>
              <w:pStyle w:val="TableContents"/>
              <w:bidi w:val="0"/>
              <w:spacing w:before="0" w:after="1"/>
              <w:ind w:left="0" w:right="0" w:hanging="0"/>
              <w:jc w:val="righ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316</w:t>
            </w:r>
          </w:p>
        </w:tc>
        <w:tc>
          <w:tcPr>
            <w:tcW w:w="346" w:type="dxa"/>
            <w:tcBorders/>
            <w:shd w:fill="CCEEFF" w:val="clear"/>
            <w:vAlign w:val="center"/>
          </w:tcPr>
          <w:p>
            <w:pPr>
              <w:pStyle w:val="TableContents"/>
              <w:bidi w:val="0"/>
              <w:spacing w:before="0" w:after="1"/>
              <w:ind w:left="0" w:right="0" w:hanging="0"/>
              <w:jc w:val="righ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72,608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1267" w:name="_dd2052ac_9f9b_4019_8d82_45c5d7abfcf5_3"/>
      <w:bookmarkStart w:id="1268" w:name="_dd2052ac_9f9b_4019_8d82_45c5d7abfcf5_2"/>
      <w:bookmarkStart w:id="1269" w:name="_dd2052ac_9f9b_4019_8d82_45c5d7abfcf5"/>
      <w:bookmarkStart w:id="1270" w:name="Tc_RgA47Z22DEeyE_ij0DOVgw_9_0"/>
      <w:bookmarkStart w:id="1271" w:name="Tc_3H0DYdM_mESnBROt6pPMUg_8_4"/>
      <w:bookmarkStart w:id="1272" w:name="Tc_9m6Z-zqTgE6InbphvTLwcA_8_0"/>
      <w:bookmarkStart w:id="1273" w:name="Tc_PKiy6rHLnkGIqlKkUXMTQQ_7_0"/>
      <w:bookmarkStart w:id="1274" w:name="Tc_b5MsZ6KSF0SWVWBMaqX04A_6_4"/>
      <w:bookmarkStart w:id="1275" w:name="Tc_c-zUVWX_pUOUsk-v4l3y7g_6_0"/>
      <w:bookmarkStart w:id="1276" w:name="Tc_5RaccFPeSkuVsUIQUTmtxA_5_4"/>
      <w:bookmarkStart w:id="1277" w:name="Tc_wBkHrxL6SUydQu-Y0la_uQ_5_0"/>
      <w:bookmarkStart w:id="1278" w:name="Tc_lcyQC7bBr02MC_5ui6mg9Q_4_4"/>
      <w:bookmarkStart w:id="1279" w:name="Tc_Yl3qVXRA3keMHyfdgnWdKA_4_0"/>
      <w:bookmarkStart w:id="1280" w:name="Tc_S_ckBUtYi0uqFSTFxlZtjQ_3_4"/>
      <w:bookmarkStart w:id="1281" w:name="Tc_lKljm_8-YUaMDsiAmz4m5w_3_0"/>
      <w:bookmarkStart w:id="1282" w:name="Tc_FhF7ls_j5U6YobttePZDZg_2_6"/>
      <w:bookmarkStart w:id="1283" w:name="Tc_PZ66QlGi50ipkVXt2NrZWQ_2_4"/>
      <w:bookmarkStart w:id="1284" w:name="Tc_DOX97YUuu06pleINNAjmoA_2_2"/>
      <w:bookmarkStart w:id="1285" w:name="Tc_zh2VT8RH-UO2_888tyYOTw_1_4"/>
      <w:bookmarkStart w:id="1286" w:name="Tc_1Tn-OKoTF0yHSnULgQUoTQ_1_2"/>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Fair value measurement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Financial assets at fair value through profits or loss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 values its listed equity securities using quoted prices for the underlying securities in active markets. Accordingly, the Company classifies the valuation techniques that use these inputs as Level 1.</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If all significant inputs required for evaluating the fair value of a financial instrument are observable, the instrument is included in Level 2. If one or more of the significant inputs are not based on observable market data, the instrument is included in Level 3.</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Fund investments and unlisted equity investments are Level 3 fair value measurement.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fair value measurement of fund investments is based on the net assets value as reported by the external fund administrators without adjustment. There have been no changes in the valuation techniques of the financial instrument during the financial and prior financial year.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fair value of unlisted equity investments is determined using the market approach. The significant unobservable inputs include discount for lack of marketability (“DLOM”) of 25% to 27% and an enterprise value-to-sales multiple ranging from 5.1 times to 5.2 times. An increase in the DLOM would result in a decrease in fair value, while an increase in the enterprise value-to-sales multiple would result in an increase in fair value. These valuation techniques maximize the use of observable market data where it is available and rely as little as possible on entity specific estimates.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presents the changes in Level 3 items for the years ended December 31, 2024 and 2025:</w:t>
      </w:r>
    </w:p>
    <w:p>
      <w:pPr>
        <w:pStyle w:val="TextBody"/>
        <w:bidi w:val="0"/>
        <w:spacing w:before="0" w:after="0"/>
        <w:ind w:left="0" w:right="0" w:hanging="0"/>
        <w:jc w:val="left"/>
        <w:rPr/>
      </w:pPr>
      <w:r>
        <w:rPr/>
        <w:t>​</w:t>
      </w:r>
    </w:p>
    <w:tbl>
      <w:tblPr>
        <w:tblW w:w="8422" w:type="dxa"/>
        <w:jc w:val="left"/>
        <w:tblInd w:w="0" w:type="dxa"/>
        <w:tblLayout w:type="fixed"/>
        <w:tblCellMar>
          <w:top w:w="0" w:type="dxa"/>
          <w:left w:w="0" w:type="dxa"/>
          <w:bottom w:w="0" w:type="dxa"/>
          <w:right w:w="0" w:type="dxa"/>
        </w:tblCellMar>
      </w:tblPr>
      <w:tblGrid>
        <w:gridCol w:w="4471"/>
        <w:gridCol w:w="346"/>
        <w:gridCol w:w="946"/>
        <w:gridCol w:w="346"/>
        <w:gridCol w:w="1186"/>
        <w:gridCol w:w="346"/>
        <w:gridCol w:w="78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839085" cy="175260"/>
                      <wp:effectExtent l="0" t="0" r="0" b="0"/>
                      <wp:wrapNone/>
                      <wp:docPr id="262" name="Frame259"/>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63"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00710" cy="175260"/>
                      <wp:effectExtent l="0" t="0" r="0" b="0"/>
                      <wp:wrapNone/>
                      <wp:docPr id="264" name="Frame2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65"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53110" cy="175260"/>
                      <wp:effectExtent l="0" t="0" r="0" b="0"/>
                      <wp:wrapNone/>
                      <wp:docPr id="266" name="Frame26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67"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68" name="Frame2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Fund</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Unlisted equity</w:t>
            </w:r>
          </w:p>
        </w:tc>
        <w:tc>
          <w:tcPr>
            <w:tcW w:w="346" w:type="dxa"/>
            <w:tcBorders/>
            <w:vAlign w:val="center"/>
          </w:tcPr>
          <w:p>
            <w:pPr>
              <w:pStyle w:val="TableContents"/>
              <w:bidi w:val="0"/>
              <w:spacing w:before="0" w:after="0"/>
              <w:ind w:left="0" w:right="0" w:hanging="0"/>
              <w:jc w:val="center"/>
              <w:rPr/>
            </w:pPr>
            <w:r>
              <w:rPr/>
              <w:t>  ​ ​ ​</w:t>
            </w:r>
          </w:p>
        </w:tc>
        <w:tc>
          <w:tcPr>
            <w:tcW w:w="781" w:type="dxa"/>
            <w:tcBorders/>
            <w:vAlign w:val="center"/>
          </w:tcPr>
          <w:p>
            <w:pPr>
              <w:pStyle w:val="TableContents"/>
              <w:bidi w:val="0"/>
              <w:spacing w:before="0" w:after="0"/>
              <w:ind w:left="0" w:right="0" w:hanging="0"/>
              <w:jc w:val="center"/>
              <w:rPr/>
            </w:pPr>
            <w:r>
              <w:rPr/>
              <w:t>​</w:t>
            </w:r>
          </w:p>
        </w:tc>
      </w:tr>
      <w:tr>
        <w:trPr/>
        <w:tc>
          <w:tcPr>
            <w:tcW w:w="4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investments</w:t>
            </w:r>
          </w:p>
        </w:tc>
        <w:tc>
          <w:tcPr>
            <w:tcW w:w="34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(Note 26)</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during the year</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17,333</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 (Note 26)</w:t>
            </w:r>
          </w:p>
        </w:tc>
        <w:tc>
          <w:tcPr>
            <w:tcW w:w="34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22,005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23,005</w:t>
            </w:r>
          </w:p>
        </w:tc>
      </w:tr>
    </w:tbl>
    <w:p>
      <w:pPr>
        <w:pStyle w:val="TextBody"/>
        <w:bidi w:val="0"/>
        <w:spacing w:before="0" w:after="0"/>
        <w:ind w:left="0" w:right="0" w:hanging="0"/>
        <w:jc w:val="left"/>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There were no transfers between Level 1, 2 and 3 for the years ended December 31, 2024 and 2025.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Crypto assets loan receivables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Crypto assets loan receivables measured at fair value. Fair value is measured using the quoted price of the digital asset at the time its fair value is being measured, which is measured on a monthly basis. This valuation represents a Level 1 classification within the fair value hierarchy.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Derivative financial instruments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fair value of the put and call option is measured on a recurring basis using inputs such as the spot price, expected volatility of underlying digital assets and risk-free interest rate. The fair value of the dual currency product is measured on a recurring basis using inputs such as the spot price, expected volatility of underlying digital assets, risk-free interest rate, valuation results concluded based on the average value under several simulations, which the Group considers to be a Level 2 fair value input.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Financial risk management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Fair value measurement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Digital assets and USDC</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Digital assets measured at fair value less costs to sell. The digital assets are adjusted to fair value only when an impairment is recognized, or the underlying asset is held for sale. Fair value is measured using the quoted price of the digital asset at the time its fair value is being measured, which is measured on a daily basis. This valuation represents a Level 1 and 2 classification within the fair value hierarchy.</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principal market will be the market with the greatest volume and level of activity for the digital assets which the Company holding the digital assets can access. In other words, the principal market is the market predominantly used by the Company to transact its digital assets.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Assets and liabilities not measured at fair value</w:t>
      </w:r>
    </w:p>
    <w:p>
      <w:pPr>
        <w:pStyle w:val="TextBody"/>
        <w:bidi w:val="0"/>
        <w:spacing w:before="0" w:after="200"/>
        <w:ind w:left="720" w:right="0" w:hanging="0"/>
        <w:jc w:val="both"/>
        <w:rPr>
          <w:rFonts w:ascii="Times New Roman;Times;serif" w:hAnsi="Times New Roman;Times;serif"/>
          <w:i/>
          <w:sz w:val="20"/>
        </w:rPr>
      </w:pPr>
      <w:r>
        <w:rPr>
          <w:rFonts w:ascii="Times New Roman;Times;serif" w:hAnsi="Times New Roman;Times;serif"/>
          <w:i/>
          <w:sz w:val="20"/>
        </w:rPr>
        <w:t>Cash and cash equivalents, other receivables and other payables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carrying amount of these balances approximate their fair value due to the short-term nature of these balances.</w:t>
      </w:r>
    </w:p>
    <w:p>
      <w:pPr>
        <w:pStyle w:val="TextBody"/>
        <w:bidi w:val="0"/>
        <w:spacing w:before="0" w:after="200"/>
        <w:ind w:left="720" w:right="0" w:hanging="0"/>
        <w:jc w:val="both"/>
        <w:rPr>
          <w:rFonts w:ascii="Times New Roman;Times;serif" w:hAnsi="Times New Roman;Times;serif"/>
          <w:i/>
          <w:sz w:val="20"/>
        </w:rPr>
      </w:pPr>
      <w:r>
        <w:rPr>
          <w:rFonts w:ascii="Times New Roman;Times;serif" w:hAnsi="Times New Roman;Times;serif"/>
          <w:i/>
          <w:sz w:val="20"/>
        </w:rPr>
        <w:t>Trade receivables and trade payables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carrying amount of these receivables and payables approximate their fair value as they are subject to normal trade credit terms.</w:t>
      </w:r>
    </w:p>
    <w:p>
      <w:pPr>
        <w:pStyle w:val="TextBody"/>
        <w:bidi w:val="0"/>
        <w:spacing w:before="0" w:after="200"/>
        <w:ind w:left="720" w:right="0" w:hanging="0"/>
        <w:jc w:val="both"/>
        <w:rPr>
          <w:rFonts w:ascii="Times New Roman;Times;serif" w:hAnsi="Times New Roman;Times;serif"/>
          <w:i/>
          <w:sz w:val="20"/>
        </w:rPr>
      </w:pPr>
      <w:r>
        <w:rPr>
          <w:rFonts w:ascii="Times New Roman;Times;serif" w:hAnsi="Times New Roman;Times;serif"/>
          <w:i/>
          <w:sz w:val="20"/>
        </w:rPr>
        <w:t>Lease liabilities and loans from related parties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carrying amount of these balances approximate their fair value as they are subject to interest rates close to market rate of interest for similar arrangements with financial institutions.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Critical accounting estimates and judgements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preparation of financial statements requires the use of accounting estimates which, by definition, will likely differ from actual results. Management also needs to exercise judgment in applying the Group’s accounting policies.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Estimates and judgments are continually evaluated. They are based on historical experience and other factors, including expectations of future events that may have a financial impact on the entity and that are believed to be reasonable under the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Accounting of digital assets transactions and balances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notes that the topic of digital assets and the accounting for digital assets continues to be considered by IASB and continues to monitor new comments and interpretations released by the Board and other standard setters from around the world. In line with this, the Group has considered its position for the year ended December 31, 2024 and 2025 and had to make judgement that the most applicable standard would be IAS 2 Inventories, based on the Group’s understanding of the characteristics of the assets as these digital assets are mainly held for the purpose of providing a service to customer in converting different type of digital asset and lending arrangement with a related party, which can be denominated in different type of digital asset.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treatment continues to be to measure crypto assets at fair value (unless otherwise disclosed and provided certain conditions are met) under the respective accounting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Critical accounting estimates and judgements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4.2 </w:t>
      </w:r>
      <w:r>
        <w:rPr>
          <w:rFonts w:ascii="Times New Roman;Times;serif" w:hAnsi="Times New Roman;Times;serif"/>
          <w:b/>
          <w:sz w:val="20"/>
        </w:rPr>
        <w:t>Key sources of estimation uncertainty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key assumptions concerning the future and other key sources of estimation uncertainty at the end of the reporting period are discussed below. The Group based its assumptions and estimates on parameters available when the financial statements were prepared. Existing circumstances and assumptions about future developments, however, may change due to market changes or circumstances arising beyond the control of the Group. Such changes are reflected in the assumptions when they occur.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of derivative financial instruments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Derivative financial instruments are measured at fair value at initial recognition and designated to be measured subsequently at fair value through profit or loss. As of December 31, 2024 and 2025, our derivative financial instruments were US$1,576 and US$316, respectively. The Group had applied Black-Scholes model and Monte Carlo valuation model to estimate the fair value of the derivative financial instrument. The key inputs contributing to the estimation uncertainty include annualized volatility and risk-free rate.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Impairment of goodwill</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Group tests goodwill for impairment at least on an annual basis. Determining whether goodwill is impaired requires an estimation of the value-in-use of the CGUs to which goodwill has been allocated. The value-in-use calculation requires the entity to estimate the future cash flows expected to arise from the CGU and a suitable discount rate in order to calculate present value. No impairment loss was recognized during the years ended December 31, 2024 and 2025. The carrying amounts of goodwill as at December 31, 2024 and 2025 were US$16,735 and US$53,136, respectively. See Note 16 to the consolidated financial statements for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Major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Reverse acquisition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 November 29, 2024, Amber DWM entered into the Agreement and Plan of Merger (the “Merger Agreement”) with Overlord Merger Sub Ltd. (“Merger Sub”), a wholly—owned subsidiary of iClick. Pursuant to the Merger Agreement, Merger Sub will merge with and into Amber DWM, with Amber DWM continuing as the surviving entity and becoming a wholly—owned subsidiary of iClick, and the shareholders of Amber DWM will exchange all of the issued and outstanding share capital of Amber DWM for a mixture of newly issued Class A and Class B ordinary shares of iClick on the terms and conditions set forth therein in a transaction exempt from the registration requirements under the Securities Act of 1933.</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On March 12, 2025, the merger was completed and the existing shareholders of Amber DWM and iClick owned approximately 90% and 10% of the fully diluted ordinary shares of the combined entity, respectively, immediately following the closing of the merger. iClick is identified as the legal acquirer but accounting acquiree from accounting purpose (“accounting acquiree”) and Amber DWM is identified as legal acquiree but accounting acquirer for accounting purposes (“accounting acquirer”).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applying the reverse acquisition accounting, the consideration deemed to be given by the accounting acquirer was US$52 million, which is the fair value of the Company immediately prior to the merger using income approach, the discounted cash flow model. US$17,841 of cash and bank balances held by iClick prior to the merger was acquired in the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287" w:name="Tc_Y0wsFHcspEqbv3MessGzPw_18_0"/>
      <w:bookmarkStart w:id="1288" w:name="Tc_HHciGMoEEUmMglPejIhAFA_16_0"/>
      <w:bookmarkStart w:id="1289" w:name="Tc_mcbeJCeBhUC_eP4-gbIlaw_15_0"/>
      <w:bookmarkStart w:id="1290" w:name="Tc_BgzSlM6C9Eux4EqTFBrikA_14_0"/>
      <w:bookmarkStart w:id="1291" w:name="Tc_Ye_Nr7jNVkCm3yD1x6Yg3g_13_0"/>
      <w:bookmarkStart w:id="1292" w:name="Tc_TUV9gDIiHkaAwjvs-xAFMA_12_0"/>
      <w:bookmarkStart w:id="1293" w:name="Tc_69XbSs9giEGg67rQvpAYSg_11_0"/>
      <w:bookmarkStart w:id="1294" w:name="Tc_CQ2xeyPBKUes9WzVn2iugg_10_0"/>
      <w:bookmarkStart w:id="1295" w:name="Tc_7X9INAO2v0mEdPU3wit46g_9_0"/>
      <w:bookmarkStart w:id="1296" w:name="Tc_QjikdOWGI0OH1fM4wPiIKw_8_0"/>
      <w:bookmarkStart w:id="1297" w:name="Tc_TFt7u-Bw-E-fMlGIEZjapw_7_0"/>
      <w:bookmarkStart w:id="1298" w:name="Tc_30og4kQxHEi9rnVKgU0Wgw_6_0"/>
      <w:bookmarkStart w:id="1299" w:name="Tc_oKXkyRZF10OGnuIH54XuZw_5_0"/>
      <w:bookmarkStart w:id="1300" w:name="Tc_K4Drsbti702k9LxUfFnZQw_4_0"/>
      <w:bookmarkStart w:id="1301" w:name="Tc_SxJr9SPtVkurWGOGHKjh_Q_3_0"/>
      <w:bookmarkStart w:id="1302" w:name="Tc_J7GwYvruMU2sPzlYceYUAA_1_0"/>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r>
        <w:rPr>
          <w:rFonts w:ascii="Times New Roman;Times;serif" w:hAnsi="Times New Roman;Times;serif"/>
          <w:b/>
          <w:i w:val="false"/>
          <w:caps w:val="false"/>
          <w:smallCaps w:val="false"/>
          <w:sz w:val="20"/>
        </w:rPr>
        <w:t>5.</w:t>
      </w:r>
      <w:r>
        <w:rPr>
          <w:rFonts w:ascii="Times New Roman;Times;serif" w:hAnsi="Times New Roman;Times;serif"/>
          <w:b/>
          <w:sz w:val="20"/>
        </w:rPr>
        <w:t>Major transactions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Reverse acquisition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summarizes the consideration transferred and the amount of identified assets acquired and liabilities assumed at the acquisition date.</w:t>
      </w:r>
    </w:p>
    <w:p>
      <w:pPr>
        <w:pStyle w:val="TextBody"/>
        <w:bidi w:val="0"/>
        <w:spacing w:before="0" w:after="0"/>
        <w:ind w:left="0" w:right="0" w:hanging="0"/>
        <w:jc w:val="left"/>
        <w:rPr/>
      </w:pPr>
      <w:r>
        <w:rPr/>
        <w:t>​</w:t>
      </w:r>
    </w:p>
    <w:tbl>
      <w:tblPr>
        <w:tblW w:w="7443" w:type="dxa"/>
        <w:jc w:val="left"/>
        <w:tblInd w:w="0" w:type="dxa"/>
        <w:tblLayout w:type="fixed"/>
        <w:tblCellMar>
          <w:top w:w="0" w:type="dxa"/>
          <w:left w:w="0" w:type="dxa"/>
          <w:bottom w:w="0" w:type="dxa"/>
          <w:right w:w="0" w:type="dxa"/>
        </w:tblCellMar>
      </w:tblPr>
      <w:tblGrid>
        <w:gridCol w:w="6256"/>
        <w:gridCol w:w="346"/>
        <w:gridCol w:w="841"/>
      </w:tblGrid>
      <w:tr>
        <w:trPr/>
        <w:tc>
          <w:tcPr>
            <w:tcW w:w="6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972560" cy="175260"/>
                      <wp:effectExtent l="0" t="0" r="0" b="0"/>
                      <wp:wrapNone/>
                      <wp:docPr id="269" name="Frame266"/>
                      <a:graphic xmlns:a="http://schemas.openxmlformats.org/drawingml/2006/main">
                        <a:graphicData uri="http://schemas.microsoft.com/office/word/2010/wordprocessingShape">
                          <wps:wsp>
                            <wps:cNvSpPr txBox="1"/>
                            <wps:spPr>
                              <a:xfrm>
                                <a:off x="0" y="0"/>
                                <a:ext cx="397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0"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34035" cy="175260"/>
                      <wp:effectExtent l="0" t="0" r="0" b="0"/>
                      <wp:wrapNone/>
                      <wp:docPr id="271" name="Frame2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consideration</w:t>
            </w:r>
          </w:p>
        </w:tc>
        <w:tc>
          <w:tcPr>
            <w:tcW w:w="346" w:type="dxa"/>
            <w:tcBorders/>
            <w:shd w:fill="CCEEFF" w:val="clear"/>
            <w:vAlign w:val="center"/>
          </w:tcPr>
          <w:p>
            <w:pPr>
              <w:pStyle w:val="TableContents"/>
              <w:bidi w:val="0"/>
              <w:spacing w:before="0" w:after="1"/>
              <w:ind w:left="0" w:right="0" w:hanging="0"/>
              <w:jc w:val="left"/>
              <w:rPr/>
            </w:pPr>
            <w:r>
              <w:rPr/>
              <w:t>  ​ ​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52,102</w:t>
            </w:r>
          </w:p>
        </w:tc>
      </w:tr>
      <w:tr>
        <w:trPr/>
        <w:tc>
          <w:tcPr>
            <w:tcW w:w="6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color w:val="212529"/>
                <w:sz w:val="20"/>
              </w:rPr>
            </w:pPr>
            <w:r>
              <w:rPr>
                <w:rFonts w:ascii="Times New Roman;Times;serif" w:hAnsi="Times New Roman;Times;serif"/>
                <w:color w:val="212529"/>
                <w:sz w:val="20"/>
              </w:rPr>
              <w:t>Recognized amounts of identifiable assets acquired and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bank balances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17,841</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23,713</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6,653</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(23,086)</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(8,103)</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borrowings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6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identifiable net assets acquired</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15,701</w:t>
            </w:r>
          </w:p>
        </w:tc>
      </w:tr>
      <w:tr>
        <w:trPr/>
        <w:tc>
          <w:tcPr>
            <w:tcW w:w="62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6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(Note 16)</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36,401</w:t>
            </w:r>
          </w:p>
        </w:tc>
      </w:tr>
    </w:tbl>
    <w:p>
      <w:pPr>
        <w:pStyle w:val="TextBody"/>
        <w:bidi w:val="0"/>
        <w:spacing w:before="0" w:after="240"/>
        <w:ind w:left="720" w:right="0" w:hanging="0"/>
        <w:jc w:val="both"/>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revenue and profit before income tax of accounting acquiree that have been included in the consolidated financial statements for the year ended December 31, 2025 since March 12, 2025 amounted to US$15.9 million and US$0.3 million, respectively.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a result of the merger, the Group extended its business focus to Web3 financial solution. Goodwill arising from the merger was attributable to increased presence in the institutional crypto financial service sector and operating synergies from the combined operations of iClick and Amber DWM. The goodwill recognized was not expected to be deductible for income tax purpose.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1303" w:name="Tc_pFPtdG8CYUmFKIuq-ZI2uA_26_0"/>
      <w:bookmarkStart w:id="1304" w:name="Tc_fBGua9SRNEiPxvEEIQ4kBQ_25_0"/>
      <w:bookmarkStart w:id="1305" w:name="Tc_RG19rzoojEmtsJArksh0fA_24_0"/>
      <w:bookmarkStart w:id="1306" w:name="Tc_tOx9ifM150eCWenoyOf4qw_22_0"/>
      <w:bookmarkStart w:id="1307" w:name="Tc_Hnw1BVUQ306IE9NgInPVyA_21_0"/>
      <w:bookmarkStart w:id="1308" w:name="Tc_kRvfgnmnKk6O3nWIwdZfdg_19_0"/>
      <w:bookmarkStart w:id="1309" w:name="Tc_ZXfm6XizbEilMWWYg71glg_18_0"/>
      <w:bookmarkStart w:id="1310" w:name="Tc_30cBCdaKwkOWWjFj3cajTg_17_0"/>
      <w:bookmarkStart w:id="1311" w:name="Tc_49LbEloYHUCakepSGmc1Ug_16_0"/>
      <w:bookmarkStart w:id="1312" w:name="Tc_K-OODdxxgkS7f-J8jx5Cig_15_0"/>
      <w:bookmarkStart w:id="1313" w:name="Tc_n0PYzftzsEeAwZdqEK87og_14_0"/>
      <w:bookmarkStart w:id="1314" w:name="Tc_z1H7rxw-wEOPDVpWMRyh8Q_12_0"/>
      <w:bookmarkStart w:id="1315" w:name="Tc_H3VPxJbM2EGik9bEL_KiKg_11_0"/>
      <w:bookmarkStart w:id="1316" w:name="Tc_VnyWD8j8P0maDGKzXdJzSw_10_0"/>
      <w:bookmarkStart w:id="1317" w:name="Tc_OKVA-IKEnkGK8CFdZ9bABw_9_0"/>
      <w:bookmarkStart w:id="1318" w:name="Tc_2G3mpOrQxk-tJVekcaftew_8_0"/>
      <w:bookmarkStart w:id="1319" w:name="Tc_fKxPXihw1EyaD8zuUZ7eSA_6_0"/>
      <w:bookmarkStart w:id="1320" w:name="Tc_XhTsRSe5cECXzF-EbaOoXA_5_0"/>
      <w:bookmarkStart w:id="1321" w:name="Tc_I_6rWAozjkaEdNqwVhbPig_4_0"/>
      <w:bookmarkStart w:id="1322" w:name="Tc_UrmfkyDa0EWobnWs44vCQw_3_2"/>
      <w:bookmarkStart w:id="1323" w:name="Tc_-r2V_GIb1E6k_HpXnm__Tg_2_2"/>
      <w:bookmarkStart w:id="1324" w:name="Tc_cLM_gPs2UUO1HUaOmP7U8w_1_2"/>
      <w:bookmarkStart w:id="1325" w:name="Tc_pICrzk4oH0acr20qKsorXw_5_0"/>
      <w:bookmarkStart w:id="1326" w:name="Tc_O4kWyLILy0W0z0RxBwjp8Q_4_0"/>
      <w:bookmarkStart w:id="1327" w:name="Tc_gwq7vv1tk0i3fem8j2Zgeg_3_4"/>
      <w:bookmarkStart w:id="1328" w:name="Tc_fJS7CzWWIkCc79jA7100cA_3_2"/>
      <w:bookmarkStart w:id="1329" w:name="Tc_2bMJiZ86M0aDOJkZJ8jGEw_2_4"/>
      <w:bookmarkStart w:id="1330" w:name="Tc_0IE9iCNeHUaAQV6TozrUEQ_2_2"/>
      <w:bookmarkStart w:id="1331" w:name="Tc_0kXkvFjMT0mDej24MNnKXQ_1_4"/>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r>
        <w:rPr>
          <w:rFonts w:ascii="Times New Roman;Times;serif" w:hAnsi="Times New Roman;Times;serif"/>
          <w:b/>
          <w:i w:val="false"/>
          <w:caps w:val="false"/>
          <w:smallCaps w:val="false"/>
          <w:sz w:val="20"/>
        </w:rPr>
        <w:t>5.</w:t>
      </w:r>
      <w:r>
        <w:rPr>
          <w:rFonts w:ascii="Times New Roman;Times;serif" w:hAnsi="Times New Roman;Times;serif"/>
          <w:b/>
          <w:sz w:val="20"/>
        </w:rPr>
        <w:t>Major transactions (Continued)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Reverse acquisition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determining the fair value of the intangible assets, an income approach was used. In this approach, significant estimates consist of discount rate of 15% and an average growth rate on revenue of 8.26% over a period of 5 years. The estimated amounts recognized on the acquired identifiable intangible asset and its estimated useful life are shown in the following table:</w:t>
      </w:r>
    </w:p>
    <w:p>
      <w:pPr>
        <w:pStyle w:val="TextBody"/>
        <w:bidi w:val="0"/>
        <w:spacing w:before="0" w:after="0"/>
        <w:ind w:left="0" w:right="0" w:hanging="0"/>
        <w:jc w:val="left"/>
        <w:rPr/>
      </w:pPr>
      <w:r>
        <w:rPr/>
        <w:t>​</w:t>
      </w:r>
    </w:p>
    <w:tbl>
      <w:tblPr>
        <w:tblW w:w="4220" w:type="dxa"/>
        <w:jc w:val="left"/>
        <w:tblInd w:w="0" w:type="dxa"/>
        <w:tblLayout w:type="fixed"/>
        <w:tblCellMar>
          <w:top w:w="0" w:type="dxa"/>
          <w:left w:w="0" w:type="dxa"/>
          <w:bottom w:w="0" w:type="dxa"/>
          <w:right w:w="0" w:type="dxa"/>
        </w:tblCellMar>
      </w:tblPr>
      <w:tblGrid>
        <w:gridCol w:w="1921"/>
        <w:gridCol w:w="346"/>
        <w:gridCol w:w="826"/>
        <w:gridCol w:w="346"/>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19835" cy="175260"/>
                      <wp:effectExtent l="0" t="0" r="0" b="0"/>
                      <wp:wrapNone/>
                      <wp:docPr id="272" name="Frame26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73"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24510" cy="175260"/>
                      <wp:effectExtent l="0" t="0" r="0" b="0"/>
                      <wp:wrapNone/>
                      <wp:docPr id="274" name="Frame2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75"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95935" cy="175260"/>
                      <wp:effectExtent l="0" t="0" r="0" b="0"/>
                      <wp:wrapNone/>
                      <wp:docPr id="276"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 life</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Brand name</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 years</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 years</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19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3,160</w:t>
            </w:r>
          </w:p>
        </w:tc>
      </w:tr>
    </w:tbl>
    <w:p>
      <w:pPr>
        <w:pStyle w:val="TextBody"/>
        <w:bidi w:val="0"/>
        <w:spacing w:before="0" w:after="240"/>
        <w:ind w:left="720" w:right="0" w:hanging="0"/>
        <w:jc w:val="both"/>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Discontinued operations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Anhui Myhayo Technology Company Limited and its subsidiary (“Myhayo Group”), subsidiaries under the Online Advertising and SaaS Solutions segment, are principally engaged in the provision of mobile content and online advertising services in the PRC. In October 2025, the Company entered into a share transfer agreement with an independent party to transfer the 36.8% shareholdings in Myhayo Group with a cash consideration of RMB2,000 (equivalent to approximately US$257). Upon completion of the transaction on October 15, 2025, Myhayo Group was deconsolidated from the Group. </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following tables set forth the statement of operations and cash flows of Myhayo Group which were included in the Group’s consolidated financial statements:</w:t>
      </w:r>
    </w:p>
    <w:p>
      <w:pPr>
        <w:pStyle w:val="TextBody"/>
        <w:bidi w:val="0"/>
        <w:spacing w:before="0" w:after="0"/>
        <w:ind w:left="0" w:right="0" w:hanging="0"/>
        <w:jc w:val="left"/>
        <w:rPr/>
      </w:pPr>
      <w:r>
        <w:rPr/>
        <w:t>​</w:t>
      </w:r>
    </w:p>
    <w:tbl>
      <w:tblPr>
        <w:tblW w:w="8448" w:type="dxa"/>
        <w:jc w:val="left"/>
        <w:tblInd w:w="0" w:type="dxa"/>
        <w:tblLayout w:type="fixed"/>
        <w:tblCellMar>
          <w:top w:w="0" w:type="dxa"/>
          <w:left w:w="0" w:type="dxa"/>
          <w:bottom w:w="0" w:type="dxa"/>
          <w:right w:w="0" w:type="dxa"/>
        </w:tblCellMar>
      </w:tblPr>
      <w:tblGrid>
        <w:gridCol w:w="6571"/>
        <w:gridCol w:w="346"/>
        <w:gridCol w:w="1531"/>
      </w:tblGrid>
      <w:tr>
        <w:trPr/>
        <w:tc>
          <w:tcPr>
            <w:tcW w:w="6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172585" cy="175260"/>
                      <wp:effectExtent l="0" t="0" r="0" b="0"/>
                      <wp:wrapNone/>
                      <wp:docPr id="277" name="Frame274"/>
                      <a:graphic xmlns:a="http://schemas.openxmlformats.org/drawingml/2006/main">
                        <a:graphicData uri="http://schemas.microsoft.com/office/word/2010/wordprocessingShape">
                          <wps:wsp>
                            <wps:cNvSpPr txBox="1"/>
                            <wps:spPr>
                              <a:xfrm>
                                <a:off x="0" y="0"/>
                                <a:ext cx="417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78"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72185" cy="175260"/>
                      <wp:effectExtent l="0" t="0" r="0" b="0"/>
                      <wp:wrapNone/>
                      <wp:docPr id="279" name="Frame276"/>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4,795</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gains, net</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before income taxes</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credit</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 net of income taxes</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w:t>
            </w:r>
          </w:p>
        </w:tc>
      </w:tr>
      <w:tr>
        <w:trPr/>
        <w:tc>
          <w:tcPr>
            <w:tcW w:w="6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from discontinued operations attributable to owners of the Company</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(652)</w:t>
            </w:r>
          </w:p>
        </w:tc>
      </w:tr>
      <w:tr>
        <w:trPr/>
        <w:tc>
          <w:tcPr>
            <w:tcW w:w="6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discontinued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discontinued investing activities</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r>
      <w:tr>
        <w:trPr/>
        <w:tc>
          <w:tcPr>
            <w:tcW w:w="6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discontinued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332" w:name="Tc_pPFjyqCLLESuOXxdycug0A_11_0"/>
      <w:bookmarkStart w:id="1333" w:name="Tc_KzxGSR9XrUemaNeyKX1Nxg_10_0"/>
      <w:bookmarkStart w:id="1334" w:name="Tc_jfkUyRp_F0ip6qX5vaaCiw_8_0"/>
      <w:bookmarkStart w:id="1335" w:name="Tc_GNY1u_w-d025CauPiGoqxw_7_0"/>
      <w:bookmarkStart w:id="1336" w:name="Tc_fHkJoxlX8kKp3ln-YcK0JA_6_0"/>
      <w:bookmarkStart w:id="1337" w:name="Tc_DEqt092llkqAN9YRvkoL9g_5_0"/>
      <w:bookmarkStart w:id="1338" w:name="Tc_bPBaqD2CREaMie8ACTQ-qA_4_0"/>
      <w:bookmarkStart w:id="1339" w:name="Tc_RyeU78Te1UqxEx7ejcoZyA_3_2"/>
      <w:bookmarkStart w:id="1340" w:name="Tc_AucOzdbOBkyx0khFeNjCgw_2_2"/>
      <w:bookmarkStart w:id="1341" w:name="Tc_H4t3vOlfuUGh3spSk0YfWw_1_2"/>
      <w:bookmarkStart w:id="1342" w:name="_1e4da4a3_cb86_4a33_a040_e5afca1e7594"/>
      <w:bookmarkStart w:id="1343" w:name="Tc_zG9G7XWl50-IL-i0EvoQMA_17_0"/>
      <w:bookmarkStart w:id="1344" w:name="Tc_qC0YCAB8C0K4QSqZ2-QLmg_15_0"/>
      <w:bookmarkStart w:id="1345" w:name="Tc_PmV_innt-UK6szRU4bq9xg_14_0"/>
      <w:bookmarkStart w:id="1346" w:name="Tc_8T-kxXuarUqanr3CjAUaSw_12_0"/>
      <w:bookmarkStart w:id="1347" w:name="Tc_UTWAJo6YJ0SiFv66SdDXaQ_11_0"/>
      <w:bookmarkStart w:id="1348" w:name="Tc_pW8sCdKGLUGFPGKccPVLdg_10_0"/>
      <w:bookmarkStart w:id="1349" w:name="Tc_5AWEPhCK7U2vRsILv17t7w_9_0"/>
      <w:bookmarkStart w:id="1350" w:name="Tc_VEt6oXL1ykSjG__NwGcfuA_8_0"/>
      <w:bookmarkStart w:id="1351" w:name="Tc_lwwlLAlsy0uQbJnCYSG5jg_7_0"/>
      <w:bookmarkStart w:id="1352" w:name="Tc_zKHDt6Pe2U6R2OiSGmlHYw_5_0"/>
      <w:bookmarkStart w:id="1353" w:name="Tc_AkprjHR-vU-Ng5-18cAgSw_4_0"/>
      <w:bookmarkStart w:id="1354" w:name="Tc_H5YpqM0_60meTaf3u6jglA_3_0"/>
      <w:bookmarkStart w:id="1355" w:name="Tc_K3vE4ysxwEuT8BQPB19sKg_2_2"/>
      <w:bookmarkStart w:id="1356" w:name="Tc_3siRlb5j0kKcHSmeh3wUhw_1_2"/>
      <w:bookmarkStart w:id="1357" w:name="_820e2fea_e13a_4e2c_98ac_5a964c57046b"/>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b/>
          <w:i w:val="false"/>
          <w:caps w:val="false"/>
          <w:smallCaps w:val="false"/>
          <w:sz w:val="20"/>
        </w:rPr>
        <w:t>5.</w:t>
      </w:r>
      <w:r>
        <w:rPr>
          <w:rFonts w:ascii="Times New Roman;Times;serif" w:hAnsi="Times New Roman;Times;serif"/>
          <w:b/>
          <w:sz w:val="20"/>
        </w:rPr>
        <w:t>Major transactions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Disposal group classified as held for sale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Management aims to optimize business to drive returns to the shareholders through proactive monitoring our operations and market trends. As part of the business plan, operation of Beijing OptAim, a wholly-owned subsidiary under the Online Advertising and SaaS Solutions segment, has been discontinued during the year ended December 31, 2025, and classified as held—for—sale as of the year then ended.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tables set forth the assets, liabilities, statement of operations and cash flows of Beijing OptAim which were included in the Group’s consolidated financial statements:</w:t>
      </w:r>
    </w:p>
    <w:p>
      <w:pPr>
        <w:pStyle w:val="TextBody"/>
        <w:bidi w:val="0"/>
        <w:spacing w:before="0" w:after="0"/>
        <w:ind w:left="0" w:right="0" w:hanging="0"/>
        <w:jc w:val="left"/>
        <w:rPr/>
      </w:pPr>
      <w:r>
        <w:rPr/>
        <w:t>​</w:t>
      </w:r>
    </w:p>
    <w:tbl>
      <w:tblPr>
        <w:tblW w:w="5763" w:type="dxa"/>
        <w:jc w:val="left"/>
        <w:tblInd w:w="0" w:type="dxa"/>
        <w:tblLayout w:type="fixed"/>
        <w:tblCellMar>
          <w:top w:w="0" w:type="dxa"/>
          <w:left w:w="0" w:type="dxa"/>
          <w:bottom w:w="0" w:type="dxa"/>
          <w:right w:w="0" w:type="dxa"/>
        </w:tblCellMar>
      </w:tblPr>
      <w:tblGrid>
        <w:gridCol w:w="3871"/>
        <w:gridCol w:w="346"/>
        <w:gridCol w:w="154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458085" cy="175260"/>
                      <wp:effectExtent l="0" t="0" r="0" b="0"/>
                      <wp:wrapNone/>
                      <wp:docPr id="280" name="Frame27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1"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81710" cy="175260"/>
                      <wp:effectExtent l="0" t="0" r="0" b="0"/>
                      <wp:wrapNone/>
                      <wp:docPr id="282" name="Frame27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1"/>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1,269</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1,277</w:t>
            </w:r>
          </w:p>
        </w:tc>
      </w:tr>
    </w:tbl>
    <w:p>
      <w:pPr>
        <w:pStyle w:val="TextBody"/>
        <w:bidi w:val="0"/>
        <w:spacing w:before="0" w:after="240"/>
        <w:ind w:left="720" w:right="0" w:hanging="0"/>
        <w:jc w:val="both"/>
        <w:rPr/>
      </w:pPr>
      <w:r>
        <w:rPr/>
        <w:t>​</w:t>
      </w:r>
    </w:p>
    <w:tbl>
      <w:tblPr>
        <w:tblW w:w="6678" w:type="dxa"/>
        <w:jc w:val="left"/>
        <w:tblInd w:w="0" w:type="dxa"/>
        <w:tblLayout w:type="fixed"/>
        <w:tblCellMar>
          <w:top w:w="0" w:type="dxa"/>
          <w:left w:w="0" w:type="dxa"/>
          <w:bottom w:w="0" w:type="dxa"/>
          <w:right w:w="0" w:type="dxa"/>
        </w:tblCellMar>
      </w:tblPr>
      <w:tblGrid>
        <w:gridCol w:w="4801"/>
        <w:gridCol w:w="346"/>
        <w:gridCol w:w="153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048635" cy="175260"/>
                      <wp:effectExtent l="0" t="0" r="0" b="0"/>
                      <wp:wrapNone/>
                      <wp:docPr id="283" name="Frame280"/>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84"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72185" cy="175260"/>
                      <wp:effectExtent l="0" t="0" r="0" b="0"/>
                      <wp:wrapNone/>
                      <wp:docPr id="285" name="Frame28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discontinued operations</w:t>
            </w:r>
          </w:p>
        </w:tc>
        <w:tc>
          <w:tcPr>
            <w:tcW w:w="34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discontinued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4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generated from discontinued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discontinued financing activities</w:t>
            </w:r>
          </w:p>
        </w:tc>
        <w:tc>
          <w:tcPr>
            <w:tcW w:w="346" w:type="dxa"/>
            <w:tcBorders/>
            <w:vAlign w:val="center"/>
          </w:tcPr>
          <w:p>
            <w:pPr>
              <w:pStyle w:val="TableContents"/>
              <w:bidi w:val="0"/>
              <w:spacing w:before="0" w:after="0"/>
              <w:ind w:left="0" w:right="0" w:hanging="0"/>
              <w:jc w:val="left"/>
              <w:rPr/>
            </w:pPr>
            <w:r>
              <w:rPr/>
              <w:t> </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b/>
          <w:sz w:val="20"/>
        </w:rPr>
      </w:pPr>
      <w:bookmarkStart w:id="1358" w:name="Tc_sxiVCVo8wEaHl1mn_BrPgQ_10_0"/>
      <w:bookmarkStart w:id="1359" w:name="Tc_XehSJaXQtES5Z3zLPECnJQ_9_4"/>
      <w:bookmarkStart w:id="1360" w:name="Tc_QBScsyt_ekm0Tn8afsB0jw_9_2"/>
      <w:bookmarkStart w:id="1361" w:name="Tc_DuBOCR_e6kypOh4ktYiOVw_9_0"/>
      <w:bookmarkStart w:id="1362" w:name="Tc_mLNAXLRIakiZ2MeR-Wr13Q_8_4"/>
      <w:bookmarkStart w:id="1363" w:name="Tc_iEYVCzSPdUaUSRBpAwKFYA_8_2"/>
      <w:bookmarkStart w:id="1364" w:name="Tc_VHo9Hqp1ikGbrS8xe9f4iQ_8_0"/>
      <w:bookmarkStart w:id="1365" w:name="Tc_b8FGCG2ztUSdzo7I23JORQ_7_0"/>
      <w:bookmarkStart w:id="1366" w:name="Tc_YyOlrAeBnEW-PJSFWOXvZA_6_0"/>
      <w:bookmarkStart w:id="1367" w:name="Tc_3yU6z3xwHUimyZqd0d8W5g_5_4"/>
      <w:bookmarkStart w:id="1368" w:name="Tc_NLoGLihSHk2ct8DHTKugTg_5_2"/>
      <w:bookmarkStart w:id="1369" w:name="Tc_F_uIi_jesEaLhED8ee-dZQ_5_0"/>
      <w:bookmarkStart w:id="1370" w:name="Tc_j1WglE5RIkWbzopBZosBjQ_4_0"/>
      <w:bookmarkStart w:id="1371" w:name="Tc_maQKxTUuQ0GVb-0OmjHMUw_3_6"/>
      <w:bookmarkStart w:id="1372" w:name="Tc_RWHwNSwMGUSyuEcLXlKmYA_3_4"/>
      <w:bookmarkStart w:id="1373" w:name="Tc_fk6W5g6AJUS0u7JvecYHag_3_2"/>
      <w:bookmarkStart w:id="1374" w:name="Tc_W4vJNZ22Zkye_GHfhBeOCg_2_4"/>
      <w:bookmarkStart w:id="1375" w:name="Tc_gfuTZwniQkWeyr3NKNCwUA_2_2"/>
      <w:bookmarkStart w:id="1376" w:name="Tc_SugRdGPM8ECBsRzka3ZG6A_1_2"/>
      <w:bookmarkStart w:id="1377" w:name="Tc_Lqkcm7T_z0-twHTn08ULPA_7_2"/>
      <w:bookmarkStart w:id="1378" w:name="Tc_Kpjmtya0NEGH96zVFCQ5jw_7_0"/>
      <w:bookmarkStart w:id="1379" w:name="Tc_WiwGRzb9JEOQfbxZPFsaZw_6_4"/>
      <w:bookmarkStart w:id="1380" w:name="Tc_fNyo2K_nL0Cs8AfaE-x2Pg_6_2"/>
      <w:bookmarkStart w:id="1381" w:name="Tc_qm501xani0iHjAOId9yF3g_6_0"/>
      <w:bookmarkStart w:id="1382" w:name="Tc_JQtmdN--VUqdAwf9RKylxA_5_4"/>
      <w:bookmarkStart w:id="1383" w:name="Tc_4zraquIEDkG9DMB2exvA9w_5_2"/>
      <w:bookmarkStart w:id="1384" w:name="Tc_JfhKgVA4LkOGTBmUJFoKWg_5_0"/>
      <w:bookmarkStart w:id="1385" w:name="Tc_ZCktnyTkDUmU33xAPDwumA_4_0"/>
      <w:bookmarkStart w:id="1386" w:name="Tc_-a3vL8i-1UeiQg3CX-LaUA_3_6"/>
      <w:bookmarkStart w:id="1387" w:name="Tc_1UcfDAgAqkezPQX2sbavbw_3_4"/>
      <w:bookmarkStart w:id="1388" w:name="Tc_Io55gY6wj0iiG5uqocAWHA_3_2"/>
      <w:bookmarkStart w:id="1389" w:name="Tc_7fCEWQ7Ah0iGdWNVS6Lb4g_2_4"/>
      <w:bookmarkStart w:id="1390" w:name="Tc_02ldOiFVzEmJ9DZKdVeeZg_2_2"/>
      <w:bookmarkStart w:id="1391" w:name="Tc_jqFk6xpvokGNFv6mARQMdw_1_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Fonts w:ascii="Times New Roman;Times;serif" w:hAnsi="Times New Roman;Times;serif"/>
          <w:b/>
          <w:i w:val="false"/>
          <w:caps w:val="false"/>
          <w:smallCaps w:val="false"/>
          <w:sz w:val="20"/>
        </w:rPr>
        <w:t>6.</w:t>
      </w:r>
      <w:r>
        <w:rPr>
          <w:rFonts w:ascii="Times New Roman;Times;serif" w:hAnsi="Times New Roman;Times;serif"/>
          <w:b/>
          <w:sz w:val="20"/>
        </w:rPr>
        <w:t>Cash and cash equivalents and restricted cash</w:t>
      </w:r>
    </w:p>
    <w:p>
      <w:pPr>
        <w:pStyle w:val="TextBody"/>
        <w:bidi w:val="0"/>
        <w:spacing w:before="0" w:after="240"/>
        <w:ind w:left="0" w:right="0" w:hanging="0"/>
        <w:jc w:val="both"/>
        <w:rPr/>
      </w:pPr>
      <w:r>
        <w:rPr/>
        <w:t>​</w:t>
      </w:r>
    </w:p>
    <w:tbl>
      <w:tblPr>
        <w:tblW w:w="7312" w:type="dxa"/>
        <w:jc w:val="left"/>
        <w:tblInd w:w="0" w:type="dxa"/>
        <w:tblLayout w:type="fixed"/>
        <w:tblCellMar>
          <w:top w:w="0" w:type="dxa"/>
          <w:left w:w="0" w:type="dxa"/>
          <w:bottom w:w="0" w:type="dxa"/>
          <w:right w:w="0" w:type="dxa"/>
        </w:tblCellMar>
      </w:tblPr>
      <w:tblGrid>
        <w:gridCol w:w="4021"/>
        <w:gridCol w:w="346"/>
        <w:gridCol w:w="901"/>
        <w:gridCol w:w="346"/>
        <w:gridCol w:w="571"/>
        <w:gridCol w:w="346"/>
        <w:gridCol w:w="78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53335" cy="175260"/>
                      <wp:effectExtent l="0" t="0" r="0" b="0"/>
                      <wp:wrapNone/>
                      <wp:docPr id="286" name="Frame28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87"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72135" cy="175260"/>
                      <wp:effectExtent l="0" t="0" r="0" b="0"/>
                      <wp:wrapNone/>
                      <wp:docPr id="288" name="Frame2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89"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62585" cy="175260"/>
                      <wp:effectExtent l="0" t="0" r="0" b="0"/>
                      <wp:wrapNone/>
                      <wp:docPr id="290" name="Frame2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1"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95935" cy="175260"/>
                      <wp:effectExtent l="0" t="0" r="0" b="0"/>
                      <wp:wrapNone/>
                      <wp:docPr id="292"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at bank</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24,641</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deposits</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4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Time deposits with maturities over three months</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4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3,049</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3,171</w:t>
            </w:r>
          </w:p>
        </w:tc>
      </w:tr>
      <w:tr>
        <w:trPr/>
        <w:tc>
          <w:tcPr>
            <w:tcW w:w="40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9,326</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33,902</w:t>
            </w:r>
          </w:p>
        </w:tc>
      </w:tr>
    </w:tbl>
    <w:p>
      <w:pPr>
        <w:pStyle w:val="TextBody"/>
        <w:bidi w:val="0"/>
        <w:spacing w:before="0" w:after="240"/>
        <w:ind w:left="720" w:right="0" w:hanging="0"/>
        <w:jc w:val="both"/>
        <w:rPr/>
      </w:pPr>
      <w:r>
        <w:rPr/>
        <w: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effective interest rate on short-term bank deposits ranging from 0.10% to 3.90% (2024: 4.35% to 5.00%) per annum, which have maturities of 3 months or less at inception.</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As at December 31, 2025, the effective interest rate on the time deposits over three months was 1.5% per annum. These deposits have an average maturity of more than 3 months. There were no such time deposits as of January 1, 2024 and December 31, 2024.</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maximum exposure to credit risk at the reporting date approximates the carrying values of cash and bank balances.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During the year ended December 31, 2025, the Group placed a restricted cash of US$3,171 (2024: US$3,049) with a bank in Hong Kong in accordance with Hong Kong VATP guidelines for a related company, WhaleFin Markets Limited.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Cash and cash equivalents and restricted cash as of January 1, 2024 and December 31, 2024 and 2025 primarily consist of the following currencies:</w:t>
      </w:r>
    </w:p>
    <w:p>
      <w:pPr>
        <w:pStyle w:val="TextBody"/>
        <w:bidi w:val="0"/>
        <w:spacing w:before="0" w:after="0"/>
        <w:ind w:left="720" w:right="0" w:hanging="0"/>
        <w:jc w:val="left"/>
        <w:rPr/>
      </w:pPr>
      <w:r>
        <w:rPr/>
        <w:t>​</w:t>
      </w:r>
    </w:p>
    <w:tbl>
      <w:tblPr>
        <w:tblW w:w="6577" w:type="dxa"/>
        <w:jc w:val="left"/>
        <w:tblInd w:w="0" w:type="dxa"/>
        <w:tblLayout w:type="fixed"/>
        <w:tblCellMar>
          <w:top w:w="0" w:type="dxa"/>
          <w:left w:w="0" w:type="dxa"/>
          <w:bottom w:w="0" w:type="dxa"/>
          <w:right w:w="0" w:type="dxa"/>
        </w:tblCellMar>
      </w:tblPr>
      <w:tblGrid>
        <w:gridCol w:w="3286"/>
        <w:gridCol w:w="346"/>
        <w:gridCol w:w="901"/>
        <w:gridCol w:w="346"/>
        <w:gridCol w:w="571"/>
        <w:gridCol w:w="34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86610" cy="175260"/>
                      <wp:effectExtent l="0" t="0" r="0" b="0"/>
                      <wp:wrapNone/>
                      <wp:docPr id="293" name="Frame290"/>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4"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2135" cy="175260"/>
                      <wp:effectExtent l="0" t="0" r="0" b="0"/>
                      <wp:wrapNone/>
                      <wp:docPr id="295" name="Frame2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296"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62585" cy="175260"/>
                      <wp:effectExtent l="0" t="0" r="0" b="0"/>
                      <wp:wrapNone/>
                      <wp:docPr id="297" name="Frame2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298"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299" name="Frame2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26,584</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RMB</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HK$</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Arab Emirates dirhams (“AED”)</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Japanese Yen (“JPY”)</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33,902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60"/>
        <w:ind w:left="0" w:right="0" w:hanging="0"/>
        <w:jc w:val="left"/>
        <w:rPr>
          <w:rFonts w:ascii="Times New Roman;Times;serif" w:hAnsi="Times New Roman;Times;serif"/>
          <w:b/>
          <w:sz w:val="20"/>
        </w:rPr>
      </w:pPr>
      <w:bookmarkStart w:id="1392" w:name="Tc_3ayj8eLcV0mEXRAhZ4hBTw_10_2"/>
      <w:bookmarkStart w:id="1393" w:name="Tc_rI4lHrQTgE2QpijgbGQHqA_9_2"/>
      <w:bookmarkStart w:id="1394" w:name="Tc_27Kz0hJ37k2PoC3-TC0gIQ_9_0"/>
      <w:bookmarkStart w:id="1395" w:name="Tc_Ya57Pi5ldEKE9i4BbxwJlQ_8_2"/>
      <w:bookmarkStart w:id="1396" w:name="Tc_F6O6QvO4JUqDIOS85HjHvg_8_0"/>
      <w:bookmarkStart w:id="1397" w:name="Tc_ohUEKYMdCEOAWgVOwtaFjw_7_2"/>
      <w:bookmarkStart w:id="1398" w:name="Tc_w6RcVzmfiUS0ytuhwDlW6w_7_0"/>
      <w:bookmarkStart w:id="1399" w:name="Tc_vLXFEiCZIkSaSBsxKFiGMA_6_2"/>
      <w:bookmarkStart w:id="1400" w:name="Tc_2kax7gx9A0qTUfNaaEw94w_6_0"/>
      <w:bookmarkStart w:id="1401" w:name="Tc_V5NoB9T3cE2xSa3GbLRjVA_5_2"/>
      <w:bookmarkStart w:id="1402" w:name="Tc_057IAUyMDEyHZXRIfxWr4g_5_0"/>
      <w:bookmarkStart w:id="1403" w:name="Tc_CIXAQz9pNkCfDZ-DfdnBFw_3_6"/>
      <w:bookmarkStart w:id="1404" w:name="Tc_fIxWuj5GxEOyNd05N4MzeQ_3_4"/>
      <w:bookmarkStart w:id="1405" w:name="Tc_h4XJuf25mkGjyI9_Amf0TQ_3_2"/>
      <w:bookmarkStart w:id="1406" w:name="Tc_f1TMo0x3EES_P1UFjJaY8A_2_4"/>
      <w:bookmarkStart w:id="1407" w:name="Tc_vnl8bVzPU0-Q1_ZWTVzh7Q_2_2"/>
      <w:bookmarkStart w:id="1408" w:name="Tc_1V6rLo0uqkyMl16gzrlHNg_1_2"/>
      <w:bookmarkStart w:id="1409" w:name="_50834e66_2865_4056_a001_e7e7710d6fe3"/>
      <w:bookmarkStart w:id="1410" w:name="Tc_qQYuj-fbd0qrfhOWlA0PXQ_4_2"/>
      <w:bookmarkStart w:id="1411" w:name="Tc_fxzsKrd020WqJAA0GI38KA_4_0"/>
      <w:bookmarkStart w:id="1412" w:name="Tc_QzAOJiW7JkKbcECbmjQinA_3_6"/>
      <w:bookmarkStart w:id="1413" w:name="Tc_ZXgDoAzQWkOkX7C_PjtPKg_3_4"/>
      <w:bookmarkStart w:id="1414" w:name="Tc_qPQNyWhe3kq_X4mhVVGzQQ_3_2"/>
      <w:bookmarkStart w:id="1415" w:name="Tc_ReYAkdj2YkKVeD1mlPN46g_2_4"/>
      <w:bookmarkStart w:id="1416" w:name="Tc_VvedOBTinkKzrgUnRxypxg_2_2"/>
      <w:bookmarkStart w:id="1417" w:name="Tc_Ns0_hbj2YkKyid2w7IH6sQ_1_2"/>
      <w:bookmarkStart w:id="1418" w:name="_30726cc3_beb6_4128_beac_a2d02f71e612"/>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Fonts w:ascii="Times New Roman;Times;serif" w:hAnsi="Times New Roman;Times;serif"/>
          <w:b/>
          <w:i w:val="false"/>
          <w:caps w:val="false"/>
          <w:smallCaps w:val="false"/>
          <w:sz w:val="20"/>
        </w:rPr>
        <w:t>7.</w:t>
      </w:r>
      <w:r>
        <w:rPr>
          <w:rFonts w:ascii="Times New Roman;Times;serif" w:hAnsi="Times New Roman;Times;serif"/>
          <w:b/>
          <w:sz w:val="20"/>
        </w:rPr>
        <w:t>Digital assets</w:t>
      </w:r>
    </w:p>
    <w:p>
      <w:pPr>
        <w:pStyle w:val="TextBody"/>
        <w:bidi w:val="0"/>
        <w:spacing w:before="0" w:after="0"/>
        <w:ind w:left="0" w:right="0" w:hanging="0"/>
        <w:jc w:val="left"/>
        <w:rPr/>
      </w:pPr>
      <w:r>
        <w:rPr/>
        <w:t>​</w:t>
      </w:r>
    </w:p>
    <w:tbl>
      <w:tblPr>
        <w:tblW w:w="6877" w:type="dxa"/>
        <w:jc w:val="left"/>
        <w:tblInd w:w="0" w:type="dxa"/>
        <w:tblLayout w:type="fixed"/>
        <w:tblCellMar>
          <w:top w:w="0" w:type="dxa"/>
          <w:left w:w="0" w:type="dxa"/>
          <w:bottom w:w="0" w:type="dxa"/>
          <w:right w:w="0" w:type="dxa"/>
        </w:tblCellMar>
      </w:tblPr>
      <w:tblGrid>
        <w:gridCol w:w="3586"/>
        <w:gridCol w:w="346"/>
        <w:gridCol w:w="901"/>
        <w:gridCol w:w="346"/>
        <w:gridCol w:w="571"/>
        <w:gridCol w:w="346"/>
        <w:gridCol w:w="78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277110" cy="175260"/>
                      <wp:effectExtent l="0" t="0" r="0" b="0"/>
                      <wp:wrapNone/>
                      <wp:docPr id="300" name="Frame297"/>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1"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72135" cy="175260"/>
                      <wp:effectExtent l="0" t="0" r="0" b="0"/>
                      <wp:wrapNone/>
                      <wp:docPr id="302" name="Frame29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3"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62585" cy="175260"/>
                      <wp:effectExtent l="0" t="0" r="0" b="0"/>
                      <wp:wrapNone/>
                      <wp:docPr id="304" name="Frame3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05"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95935" cy="175260"/>
                      <wp:effectExtent l="0" t="0" r="0" b="0"/>
                      <wp:wrapNone/>
                      <wp:docPr id="306" name="Frame3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held on exchange institution</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45,958</w:t>
            </w:r>
          </w:p>
        </w:tc>
      </w:tr>
    </w:tbl>
    <w:p>
      <w:pPr>
        <w:pStyle w:val="TextBody"/>
        <w:bidi w:val="0"/>
        <w:spacing w:before="0" w:after="240"/>
        <w:ind w:left="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following table sets forth the fair values of digital assets held by the Group as of January 1, 2024 and December 31, 2024 and 2025:</w:t>
      </w:r>
    </w:p>
    <w:p>
      <w:pPr>
        <w:pStyle w:val="TextBody"/>
        <w:bidi w:val="0"/>
        <w:spacing w:before="0" w:after="240"/>
        <w:ind w:left="720" w:right="0" w:hanging="0"/>
        <w:jc w:val="both"/>
        <w:rPr/>
      </w:pPr>
      <w:r>
        <w:rPr/>
        <w:t>​</w:t>
      </w:r>
    </w:p>
    <w:tbl>
      <w:tblPr>
        <w:tblW w:w="5197" w:type="dxa"/>
        <w:jc w:val="left"/>
        <w:tblInd w:w="0" w:type="dxa"/>
        <w:tblLayout w:type="fixed"/>
        <w:tblCellMar>
          <w:top w:w="0" w:type="dxa"/>
          <w:left w:w="0" w:type="dxa"/>
          <w:bottom w:w="0" w:type="dxa"/>
          <w:right w:w="0" w:type="dxa"/>
        </w:tblCellMar>
      </w:tblPr>
      <w:tblGrid>
        <w:gridCol w:w="1906"/>
        <w:gridCol w:w="346"/>
        <w:gridCol w:w="901"/>
        <w:gridCol w:w="346"/>
        <w:gridCol w:w="571"/>
        <w:gridCol w:w="346"/>
        <w:gridCol w:w="78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10310" cy="175260"/>
                      <wp:effectExtent l="0" t="0" r="0" b="0"/>
                      <wp:wrapNone/>
                      <wp:docPr id="307" name="Frame30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08"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72135" cy="175260"/>
                      <wp:effectExtent l="0" t="0" r="0" b="0"/>
                      <wp:wrapNone/>
                      <wp:docPr id="309" name="Frame3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0"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1" name="Frame3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2"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95935" cy="175260"/>
                      <wp:effectExtent l="0" t="0" r="0" b="0"/>
                      <wp:wrapNone/>
                      <wp:docPr id="313"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Bitcoin (“BTC”)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7,883</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Ethereum (“ETH”)</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5,937</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 Tether (“USDT”)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19,081</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12,449</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Others (Note) </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45,958</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Others mainly consist of “XRP”, “ADA”, “BCH”, “ADA”, “DOT”, “BNB”, “TRX” and “SOL”, no other crypto asset individually representing more than 5% of the total.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19" w:name="Tc_j7MD2Hyc4EismGX_XgQuwQ_20_4"/>
      <w:bookmarkStart w:id="1420" w:name="Tc_8_QouAzKE0embHPRK6S0iQ_20_2"/>
      <w:bookmarkStart w:id="1421" w:name="Tc_Oon_Ga7yc029rGijOJdgMg_20_0"/>
      <w:bookmarkStart w:id="1422" w:name="Tc_8li9TlB25kCvPwglJdWPag_18_0"/>
      <w:bookmarkStart w:id="1423" w:name="Tc_bJe1dFridEuRQxXcwsPwbg_17_4"/>
      <w:bookmarkStart w:id="1424" w:name="Tc_UJRUVSxy6E20FbxmxLA6dQ_17_2"/>
      <w:bookmarkStart w:id="1425" w:name="Tc_YL0edSYwk0-ITHJvcWRXAg_17_0"/>
      <w:bookmarkStart w:id="1426" w:name="Tc_9LDGyDCAg0aJrA3Gm_3Rig_16_0"/>
      <w:bookmarkStart w:id="1427" w:name="Tc_MT-R_jJNfkOtW4lCE0AxSg_15_4"/>
      <w:bookmarkStart w:id="1428" w:name="Tc_NxKXVzEf2EONGI-U-kNfcg_15_2"/>
      <w:bookmarkStart w:id="1429" w:name="Tc_wvjKKwIPRU-tNmwZR2yn8w_15_0"/>
      <w:bookmarkStart w:id="1430" w:name="Tc_mVwlS6HvUkW2cM47lpuxsQ_13_0"/>
      <w:bookmarkStart w:id="1431" w:name="Tc_4I2kKzslO029qdUDyLUViw_12_4"/>
      <w:bookmarkStart w:id="1432" w:name="Tc_icUt2lvGNUqNPc2MyIApWg_12_2"/>
      <w:bookmarkStart w:id="1433" w:name="Tc_jq0Lx8OD8kuTCCBMVKSE2g_12_0"/>
      <w:bookmarkStart w:id="1434" w:name="Tc_Nt__3t5cvEuWSdjAb36FcQ_11_2"/>
      <w:bookmarkStart w:id="1435" w:name="Tc_jkfEPRchh0G8gPwPpIzvoQ_11_0"/>
      <w:bookmarkStart w:id="1436" w:name="Tc_LH2pUf7OEkSg_bdZZ_y8hw_10_4"/>
      <w:bookmarkStart w:id="1437" w:name="Tc_Qz4assL15USDz1GZ8q0yXA_10_2"/>
      <w:bookmarkStart w:id="1438" w:name="Tc_DKnhiMy4RUGkGRhfEczC1Q_10_0"/>
      <w:bookmarkStart w:id="1439" w:name="Tc_dnBM9OEAcE2xTl3ULEWttw_9_0"/>
      <w:bookmarkStart w:id="1440" w:name="Tc_PMPdwMVTyEukIhB7hypN8A_8_4"/>
      <w:bookmarkStart w:id="1441" w:name="Tc_gT6dWM0qB02ODbXQa7QkxA_8_2"/>
      <w:bookmarkStart w:id="1442" w:name="Tc_kiubJbWPfkqhQ3OlC_jU1A_8_0"/>
      <w:bookmarkStart w:id="1443" w:name="Tc_3ES42yP-kESWjoXgR4XTaA_6_0"/>
      <w:bookmarkStart w:id="1444" w:name="Tc_xX36nk7OpUe11gAt0fPY-w_5_4"/>
      <w:bookmarkStart w:id="1445" w:name="Tc_BrIfbSRfuEG40DeWjwWoWw_5_2"/>
      <w:bookmarkStart w:id="1446" w:name="Tc_n_NWy1UzWU-RsLZ9AYidHw_5_0"/>
      <w:bookmarkStart w:id="1447" w:name="Tc_7r14OsLjg0S-kIcKmvjfDw_4_0"/>
      <w:bookmarkStart w:id="1448" w:name="Tc_bIOAcE9tHU-SrTJ51S4dbA_3_6"/>
      <w:bookmarkStart w:id="1449" w:name="Tc_bHkCgo2iFke4vjPDxZ6YHQ_3_4"/>
      <w:bookmarkStart w:id="1450" w:name="Tc_peKgbumakUydNezlLLjAoA_3_2"/>
      <w:bookmarkStart w:id="1451" w:name="Tc_hNcvdekJq0-cF6iGyNdjAA_2_4"/>
      <w:bookmarkStart w:id="1452" w:name="Tc_Po6v1U8e2k2t9uXFKa9c9A_2_2"/>
      <w:bookmarkStart w:id="1453" w:name="Tc_q67Ems_VFESz2OV_NJhsMQ_1_2"/>
      <w:bookmarkStart w:id="1454" w:name="_4a3b25c8_6648_477c_802b_04f1ce50ba6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b/>
          <w:i w:val="false"/>
          <w:caps w:val="false"/>
          <w:smallCaps w:val="false"/>
          <w:sz w:val="20"/>
        </w:rPr>
        <w:t>8.</w:t>
      </w:r>
      <w:r>
        <w:rPr>
          <w:rFonts w:ascii="Times New Roman;Times;serif" w:hAnsi="Times New Roman;Times;serif"/>
          <w:b/>
          <w:sz w:val="20"/>
        </w:rPr>
        <w:t>Trade and other receivables</w:t>
      </w:r>
    </w:p>
    <w:p>
      <w:pPr>
        <w:pStyle w:val="TextBody"/>
        <w:bidi w:val="0"/>
        <w:spacing w:before="0" w:after="0"/>
        <w:ind w:left="0" w:right="0" w:hanging="0"/>
        <w:jc w:val="left"/>
        <w:rPr/>
      </w:pPr>
      <w:r>
        <w:rPr/>
        <w:t>​</w:t>
      </w:r>
    </w:p>
    <w:tbl>
      <w:tblPr>
        <w:tblW w:w="7222" w:type="dxa"/>
        <w:jc w:val="left"/>
        <w:tblInd w:w="0" w:type="dxa"/>
        <w:tblLayout w:type="fixed"/>
        <w:tblCellMar>
          <w:top w:w="0" w:type="dxa"/>
          <w:left w:w="0" w:type="dxa"/>
          <w:bottom w:w="0" w:type="dxa"/>
          <w:right w:w="0" w:type="dxa"/>
        </w:tblCellMar>
      </w:tblPr>
      <w:tblGrid>
        <w:gridCol w:w="4036"/>
        <w:gridCol w:w="346"/>
        <w:gridCol w:w="901"/>
        <w:gridCol w:w="346"/>
        <w:gridCol w:w="466"/>
        <w:gridCol w:w="346"/>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562860" cy="175260"/>
                      <wp:effectExtent l="0" t="0" r="0" b="0"/>
                      <wp:wrapNone/>
                      <wp:docPr id="314" name="Frame311"/>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15" name="Frame3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72135" cy="175260"/>
                      <wp:effectExtent l="0" t="0" r="0" b="0"/>
                      <wp:wrapNone/>
                      <wp:docPr id="316" name="Frame31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17"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95910" cy="175260"/>
                      <wp:effectExtent l="0" t="0" r="0" b="0"/>
                      <wp:wrapNone/>
                      <wp:docPr id="318" name="Frame31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19"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0" name="Frame3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5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receivables, gross </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 (Note 3.1(b)(ii))</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Trade 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5,490</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receivables (Note)</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receivables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Sub-total</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11,198</w:t>
            </w:r>
          </w:p>
        </w:tc>
      </w:tr>
      <w:tr>
        <w:trPr/>
        <w:tc>
          <w:tcPr>
            <w:tcW w:w="4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recoverable</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trade and 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17,120</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non-current rental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r>
      <w:tr>
        <w:trPr/>
        <w:tc>
          <w:tcPr>
            <w:tcW w:w="4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16,625</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1455" w:name="Tc_hPo96UGW50ySdD0dKUm24A_9_4"/>
      <w:bookmarkStart w:id="1456" w:name="Tc_DA03U3_jqUaz5qo5TIijrQ_9_2"/>
      <w:bookmarkStart w:id="1457" w:name="Tc_rEkOWTGZxESlDDKvKSg9Hg_9_0"/>
      <w:bookmarkStart w:id="1458" w:name="Tc_Mg6BtFTbJUaeAzdTg8jC_Q_8_4"/>
      <w:bookmarkStart w:id="1459" w:name="Tc_0H9DBBPd6U-ogRg-xjWR6A_8_2"/>
      <w:bookmarkStart w:id="1460" w:name="Tc_zy19CYuxP0KdpwneK5l8GQ_8_0"/>
      <w:bookmarkStart w:id="1461" w:name="Tc__-WlLm7qCUyXc3FZhrPuiQ_7_0"/>
      <w:bookmarkStart w:id="1462" w:name="Tc_K8O4xprpL06QO1VyBTDd9A_6_4"/>
      <w:bookmarkStart w:id="1463" w:name="Tc_h3I8GaCgmkKKiFOymmas7A_6_2"/>
      <w:bookmarkStart w:id="1464" w:name="Tc_vM2DtulXlk2lFbht7izgqg_6_0"/>
      <w:bookmarkStart w:id="1465" w:name="Tc_okrC3-mNA0KjC16XtS1Mgg_5_2"/>
      <w:bookmarkStart w:id="1466" w:name="Tc_GtpcjIX90ki3AY3DZ6mdPQ_5_0"/>
      <w:bookmarkStart w:id="1467" w:name="Tc_8t6ouBTvNE-Gt-zP9Ztxsw_4_0"/>
      <w:bookmarkStart w:id="1468" w:name="Tc_JanXfwi8I0SSw44Y9Kyuag_3_6"/>
      <w:bookmarkStart w:id="1469" w:name="Tc_4g7zfgMbS0Cl-sLUV14YMw_3_4"/>
      <w:bookmarkStart w:id="1470" w:name="Tc_s6CAn_gYkUGQxZi_oZEgyg_3_2"/>
      <w:bookmarkStart w:id="1471" w:name="Tc_KTjRJOGoHEWHEu4CZc0sHw_2_4"/>
      <w:bookmarkStart w:id="1472" w:name="Tc_lD3X9f562EOra2SDPlRW6w_2_2"/>
      <w:bookmarkStart w:id="1473" w:name="Tc_vcB0IgVazEa3OBi5fhRXtw_1_2"/>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r>
        <w:rPr>
          <w:rFonts w:ascii="Times New Roman;Times;serif" w:hAnsi="Times New Roman;Times;serif"/>
          <w:b/>
          <w:i w:val="false"/>
          <w:caps w:val="false"/>
          <w:smallCaps w:val="false"/>
          <w:sz w:val="20"/>
        </w:rPr>
        <w:t>8.</w:t>
      </w:r>
      <w:r>
        <w:rPr>
          <w:rFonts w:ascii="Times New Roman;Times;serif" w:hAnsi="Times New Roman;Times;serif"/>
          <w:b/>
          <w:sz w:val="20"/>
        </w:rPr>
        <w:t>Trade and other receivables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Loan balances of (i) US$1.8 million and (ii) US$2 million were provided to two independent third parties for investment purposes.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Balance is unsecured, interest bearing at 3.5% per annum and has been fully settled in February 2026.</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Balance is unsecured, interest bearing at 10% per annum and has been fully settled in March 2026.</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Trade receivables are non-interest bearing and are generally on 30-90 days (2024: 30 days) credit terms.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Trade and other receivables are denominated in the following currencies:</w:t>
      </w:r>
    </w:p>
    <w:p>
      <w:pPr>
        <w:pStyle w:val="TextBody"/>
        <w:bidi w:val="0"/>
        <w:spacing w:before="0" w:after="240"/>
        <w:ind w:left="720" w:right="0" w:hanging="0"/>
        <w:jc w:val="both"/>
        <w:rPr/>
      </w:pPr>
      <w:r>
        <w:rPr/>
        <w:t>​</w:t>
      </w:r>
    </w:p>
    <w:tbl>
      <w:tblPr>
        <w:tblW w:w="5632" w:type="dxa"/>
        <w:jc w:val="left"/>
        <w:tblInd w:w="0" w:type="dxa"/>
        <w:tblLayout w:type="fixed"/>
        <w:tblCellMar>
          <w:top w:w="0" w:type="dxa"/>
          <w:left w:w="0" w:type="dxa"/>
          <w:bottom w:w="0" w:type="dxa"/>
          <w:right w:w="0" w:type="dxa"/>
        </w:tblCellMar>
      </w:tblPr>
      <w:tblGrid>
        <w:gridCol w:w="2446"/>
        <w:gridCol w:w="346"/>
        <w:gridCol w:w="901"/>
        <w:gridCol w:w="346"/>
        <w:gridCol w:w="466"/>
        <w:gridCol w:w="346"/>
        <w:gridCol w:w="7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53210" cy="175260"/>
                      <wp:effectExtent l="0" t="0" r="0" b="0"/>
                      <wp:wrapNone/>
                      <wp:docPr id="321" name="Frame318"/>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2"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72135" cy="175260"/>
                      <wp:effectExtent l="0" t="0" r="0" b="0"/>
                      <wp:wrapNone/>
                      <wp:docPr id="323" name="Frame3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24"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95910" cy="175260"/>
                      <wp:effectExtent l="0" t="0" r="0" b="0"/>
                      <wp:wrapNone/>
                      <wp:docPr id="325" name="Frame32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26"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95935" cy="175260"/>
                      <wp:effectExtent l="0" t="0" r="0" b="0"/>
                      <wp:wrapNone/>
                      <wp:docPr id="327" name="Frame32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5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HK$</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RMB</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3,444</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righ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 British Pound (“GBP”)</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4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11,198</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The carrying amounts of trade and other receivables approximate their fair values. The maximum exposure to credit risk is the carrying amounts of trade and other receivables as the Group does not hold any collateral as security.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474" w:name="Tc_Ge24miGHFUGh6zxMkPVwRQ_9_2"/>
      <w:bookmarkStart w:id="1475" w:name="Tc_7NT27lSQDkmjCSPk6FoNyg_8_4"/>
      <w:bookmarkStart w:id="1476" w:name="Tc_mQ1QRtImukGmH-P_ZRS2hw_8_2"/>
      <w:bookmarkStart w:id="1477" w:name="Tc_u0f8Hkd2T02th7MTj-zXCQ_8_0"/>
      <w:bookmarkStart w:id="1478" w:name="Tc_vPEgpPfx00-zy_a52FhLag_7_2"/>
      <w:bookmarkStart w:id="1479" w:name="Tc_XhGR9AkUPkWcHJ6GBVulNw_7_0"/>
      <w:bookmarkStart w:id="1480" w:name="Tc_w-QRnj4VW0SO8VO3JKNGbA_6_4"/>
      <w:bookmarkStart w:id="1481" w:name="Tc_6E8C3tWEskihW-G3tJJwdw_6_2"/>
      <w:bookmarkStart w:id="1482" w:name="Tc_ZvTEu4SjCkaXUTcImqT86w_6_0"/>
      <w:bookmarkStart w:id="1483" w:name="Tc_PtwzYrMpskGMeQOxsFwK-A_5_6"/>
      <w:bookmarkStart w:id="1484" w:name="Tc_-wNsYOZX7EynyqhlCNs_Kw_5_2"/>
      <w:bookmarkStart w:id="1485" w:name="Tc_GME85x32xEGg4u2j4eT3sQ_5_0"/>
      <w:bookmarkStart w:id="1486" w:name="Tc_R3NzWQY9fkCcmofhCQrkjA_3_6"/>
      <w:bookmarkStart w:id="1487" w:name="Tc_D9GJxnMgBkuHhxqYmjw3fA_3_4"/>
      <w:bookmarkStart w:id="1488" w:name="Tc_3Sqz-BMfHkyCnRJO6apBlw_3_2"/>
      <w:bookmarkStart w:id="1489" w:name="Tc_kNS75rLh8kGuIF5vBPRwmw_2_4"/>
      <w:bookmarkStart w:id="1490" w:name="Tc_CFarFMvAi0Gy9PV3er5GxA_2_2"/>
      <w:bookmarkStart w:id="1491" w:name="Tc_OxlcIfcjxkiXBYP7iQD4vA_1_2"/>
      <w:bookmarkStart w:id="1492" w:name="_c0f2271d_9c75_40be_ba61_8767fc3fbe9a"/>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r>
        <w:rPr>
          <w:rFonts w:ascii="Times New Roman;Times;serif" w:hAnsi="Times New Roman;Times;serif"/>
          <w:b/>
          <w:i w:val="false"/>
          <w:caps w:val="false"/>
          <w:smallCaps w:val="false"/>
          <w:sz w:val="20"/>
        </w:rPr>
        <w:t>9.</w:t>
      </w:r>
      <w:r>
        <w:rPr>
          <w:rFonts w:ascii="Times New Roman;Times;serif" w:hAnsi="Times New Roman;Times;serif"/>
          <w:b/>
          <w:sz w:val="20"/>
        </w:rPr>
        <w:t>Collateral receivables and collateral payables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 offers cryptocurrency Accumulator and Decumulator structured product arrangements with customers, which are structured derivatives that allow customers to systematically accumulate or reduce positions specific cryptocurrency at predetermined prices. These structured products involve bilateral collateral arrangements: client—posted collateral is recorded as collateral receivables, while obligations to return collateral are recognized as collateral payables. Both balances receivables and payables are measured at fair value. The Group maintains operational control over custodial assets but does not assume ownership.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following table sets forth the fair values of collateral receivables and payables as of January 1, 2024 and December 31, 2024 and 2025: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Collateral receivables</w:t>
      </w:r>
    </w:p>
    <w:tbl>
      <w:tblPr>
        <w:tblW w:w="3922" w:type="dxa"/>
        <w:jc w:val="left"/>
        <w:tblInd w:w="0" w:type="dxa"/>
        <w:tblLayout w:type="fixed"/>
        <w:tblCellMar>
          <w:top w:w="0" w:type="dxa"/>
          <w:left w:w="0" w:type="dxa"/>
          <w:bottom w:w="0" w:type="dxa"/>
          <w:right w:w="0" w:type="dxa"/>
        </w:tblCellMar>
      </w:tblPr>
      <w:tblGrid>
        <w:gridCol w:w="631"/>
        <w:gridCol w:w="346"/>
        <w:gridCol w:w="901"/>
        <w:gridCol w:w="346"/>
        <w:gridCol w:w="676"/>
        <w:gridCol w:w="346"/>
        <w:gridCol w:w="676"/>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00685" cy="175260"/>
                      <wp:effectExtent l="0" t="0" r="0" b="0"/>
                      <wp:wrapNone/>
                      <wp:docPr id="328" name="Frame3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29"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72135" cy="175260"/>
                      <wp:effectExtent l="0" t="0" r="0" b="0"/>
                      <wp:wrapNone/>
                      <wp:docPr id="330" name="Frame3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1"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29260" cy="175260"/>
                      <wp:effectExtent l="0" t="0" r="0" b="0"/>
                      <wp:wrapNone/>
                      <wp:docPr id="332" name="Frame3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33"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9260" cy="175260"/>
                      <wp:effectExtent l="0" t="0" r="0" b="0"/>
                      <wp:wrapNone/>
                      <wp:docPr id="334" name="Frame3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3,407</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493" w:name="Tc_MaYXuyLvjEyZSPyDW5iFEQ_9_2"/>
      <w:bookmarkStart w:id="1494" w:name="Tc_phqvmTsLKkOes7zD2WLeWg_8_4"/>
      <w:bookmarkStart w:id="1495" w:name="Tc_vKUL4yjxAkO7ZAliSD9FLA_8_2"/>
      <w:bookmarkStart w:id="1496" w:name="Tc_lf8Y4EvwR0WiqMG6psGKGw_8_0"/>
      <w:bookmarkStart w:id="1497" w:name="Tc_RZf0hlZo1Uylqq3Lvwdebg_7_2"/>
      <w:bookmarkStart w:id="1498" w:name="Tc_DmPjNqWqS0GOg6OE-XuGDQ_7_0"/>
      <w:bookmarkStart w:id="1499" w:name="Tc_Vb-rWW7uiEqjdHZuctkxyQ_6_4"/>
      <w:bookmarkStart w:id="1500" w:name="Tc_r2zQlNWRHEqsS0JeMerNlA_6_2"/>
      <w:bookmarkStart w:id="1501" w:name="Tc__962CcG76UyEJ0t6o9cT9A_6_0"/>
      <w:bookmarkStart w:id="1502" w:name="Tc_WwefM_-QE0-L9eQ9MX1bgQ_5_6"/>
      <w:bookmarkStart w:id="1503" w:name="Tc_jT9JWYsWAkWFBSjv-Y970A_5_2"/>
      <w:bookmarkStart w:id="1504" w:name="Tc_KGavrH0v6kSt1O9Ufedv_w_5_0"/>
      <w:bookmarkStart w:id="1505" w:name="Tc_0s9j9ZUb2UK3xxKdDZnDmg_3_6"/>
      <w:bookmarkStart w:id="1506" w:name="Tc_lpuX_UM8OEenQo0YpNhz1w_3_4"/>
      <w:bookmarkStart w:id="1507" w:name="Tc_f0DQbpl37EiTtqAlOFpH-w_3_2"/>
      <w:bookmarkStart w:id="1508" w:name="Tc_hvq7pmkCSUOjJkLR8JYkjg_2_4"/>
      <w:bookmarkStart w:id="1509" w:name="Tc_oApGB_I8mEK5UgJkSZ3FSA_2_2"/>
      <w:bookmarkStart w:id="1510" w:name="Tc_FmhrzID7Q0CCSvDgpXjp7w_1_2"/>
      <w:bookmarkStart w:id="1511" w:name="_662f18b7_81ea_4cd7_9d68_11ab86d9394b"/>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Pr>
          <w:rFonts w:ascii="Times New Roman;Times;serif" w:hAnsi="Times New Roman;Times;serif"/>
          <w:b/>
          <w:i w:val="false"/>
          <w:caps w:val="false"/>
          <w:smallCaps w:val="false"/>
          <w:sz w:val="20"/>
        </w:rPr>
        <w:t>9.</w:t>
      </w:r>
      <w:r>
        <w:rPr>
          <w:rFonts w:ascii="Times New Roman;Times;serif" w:hAnsi="Times New Roman;Times;serif"/>
          <w:b/>
          <w:sz w:val="20"/>
        </w:rPr>
        <w:t>Collateral receivables and collateral payables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Collateral payables</w:t>
      </w:r>
    </w:p>
    <w:tbl>
      <w:tblPr>
        <w:tblW w:w="4027" w:type="dxa"/>
        <w:jc w:val="left"/>
        <w:tblInd w:w="0" w:type="dxa"/>
        <w:tblLayout w:type="fixed"/>
        <w:tblCellMar>
          <w:top w:w="0" w:type="dxa"/>
          <w:left w:w="0" w:type="dxa"/>
          <w:bottom w:w="0" w:type="dxa"/>
          <w:right w:w="0" w:type="dxa"/>
        </w:tblCellMar>
      </w:tblPr>
      <w:tblGrid>
        <w:gridCol w:w="631"/>
        <w:gridCol w:w="346"/>
        <w:gridCol w:w="901"/>
        <w:gridCol w:w="346"/>
        <w:gridCol w:w="676"/>
        <w:gridCol w:w="346"/>
        <w:gridCol w:w="78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00685" cy="175260"/>
                      <wp:effectExtent l="0" t="0" r="0" b="0"/>
                      <wp:wrapNone/>
                      <wp:docPr id="335" name="Frame3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36"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572135" cy="175260"/>
                      <wp:effectExtent l="0" t="0" r="0" b="0"/>
                      <wp:wrapNone/>
                      <wp:docPr id="337" name="Frame33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38"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29260" cy="175260"/>
                      <wp:effectExtent l="0" t="0" r="0" b="0"/>
                      <wp:wrapNone/>
                      <wp:docPr id="339" name="Frame3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0"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1" name="Frame3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w:t>
            </w:r>
          </w:p>
        </w:tc>
      </w:tr>
      <w:tr>
        <w:trPr/>
        <w:tc>
          <w:tcPr>
            <w:tcW w:w="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7,164</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r>
      <w:tr>
        <w:trPr/>
        <w:tc>
          <w:tcPr>
            <w:tcW w:w="6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512" w:name="Tc_sf2kaBdnbU-vd6IwJb77Vw_7_4"/>
      <w:bookmarkStart w:id="1513" w:name="Tc_nxf9bchu20uEN7z8ITfPSA_7_2"/>
      <w:bookmarkStart w:id="1514" w:name="Tc_bUZdc5R3ZkyXNNFzfkmV6Q_7_0"/>
      <w:bookmarkStart w:id="1515" w:name="Tc_T0KOj_y6pUme5g7-Cu6ceA_6_4"/>
      <w:bookmarkStart w:id="1516" w:name="Tc_QHhnDyRQi0O8IVHPfOCw4g_6_2"/>
      <w:bookmarkStart w:id="1517" w:name="Tc_WU3AGJ5nh0GJ58lj38wyog_6_0"/>
      <w:bookmarkStart w:id="1518" w:name="Tc_V_OChy9dc0uNFeJC4nADiQ_5_4"/>
      <w:bookmarkStart w:id="1519" w:name="Tc_EmWafyKzyUijQg_dZDXduw_5_2"/>
      <w:bookmarkStart w:id="1520" w:name="Tc_bsXUlHbU2UGqEO4pKpFVMQ_5_0"/>
      <w:bookmarkStart w:id="1521" w:name="Tc_hoqbYzJ-9kSfGnr5LAga9Q_4_6"/>
      <w:bookmarkStart w:id="1522" w:name="Tc_AcRyAlNwY0-enoe91Nh93A_4_4"/>
      <w:bookmarkStart w:id="1523" w:name="Tc_IKYx34X7Ok-bbjKcFMddSQ_4_2"/>
      <w:bookmarkStart w:id="1524" w:name="Tc_2hNAOgRzLUWa731K60mU0g_4_0"/>
      <w:bookmarkStart w:id="1525" w:name="Tc_qiaJ47soe0uu44wQ4AtZlw_3_6"/>
      <w:bookmarkStart w:id="1526" w:name="Tc_F6079oXhCEuUUARsR-wHlw_3_4"/>
      <w:bookmarkStart w:id="1527" w:name="Tc_6L8CwnqP5kCwDPoC9WqbFg_3_2"/>
      <w:bookmarkStart w:id="1528" w:name="Tc_HCsf4iLtwESNnCPoINTd3A_2_4"/>
      <w:bookmarkStart w:id="1529" w:name="Tc_UEy1gVyOuU2QewMCxjIMmQ_2_2"/>
      <w:bookmarkStart w:id="1530" w:name="Tc__32JxpSuIUe0WaDdSGzhew_1_2"/>
      <w:bookmarkStart w:id="1531" w:name="Tc_5xTJ036LOEGskFK0jjlvSA_6_4"/>
      <w:bookmarkStart w:id="1532" w:name="Tc_5H2NDoUxfUqrEv5zDp0N8A_6_2"/>
      <w:bookmarkStart w:id="1533" w:name="Tc_VtMnQ7tbYk6Q5cY7ExZOSA_6_0"/>
      <w:bookmarkStart w:id="1534" w:name="Tc_nJlUU1LUfUeVtZGLyQG_jQ_4_4"/>
      <w:bookmarkStart w:id="1535" w:name="Tc_UTmouxwPC0ajAWSGGEMeYA_4_2"/>
      <w:bookmarkStart w:id="1536" w:name="Tc_Gf-EbiHT8kCQXOo0ejZyrw_4_0"/>
      <w:bookmarkStart w:id="1537" w:name="Tc_dmJ6l0VH6EyqWqfSJNXQvA_3_6"/>
      <w:bookmarkStart w:id="1538" w:name="Tc_p7dq3SS1mECLukZvyqtGdQ_3_4"/>
      <w:bookmarkStart w:id="1539" w:name="Tc_QHTkqjE_tkeRagddZ7O3pQ_3_2"/>
      <w:bookmarkStart w:id="1540" w:name="Tc_lTpgxgsiW0-L4HQPSEnwQw_2_4"/>
      <w:bookmarkStart w:id="1541" w:name="Tc_9PYaR81ChU-VY0sUIai1yQ_2_2"/>
      <w:bookmarkStart w:id="1542" w:name="Tc_7lYyF0CUUUe9-gxKPT_m1g_1_2"/>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Pr>
          <w:rFonts w:ascii="Times New Roman;Times;serif" w:hAnsi="Times New Roman;Times;serif"/>
          <w:b/>
          <w:i w:val="false"/>
          <w:caps w:val="false"/>
          <w:smallCaps w:val="false"/>
          <w:sz w:val="20"/>
        </w:rPr>
        <w:t>10.</w:t>
      </w:r>
      <w:r>
        <w:rPr>
          <w:rFonts w:ascii="Times New Roman;Times;serif" w:hAnsi="Times New Roman;Times;serif"/>
          <w:b/>
          <w:sz w:val="20"/>
        </w:rPr>
        <w:t>Investment accounted for using equity method</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and VGI Global Media PLC (“VGI”), an online-to-offline solutions provider across advertising, payment and logistics platforms in Thailand, jointly established V-Click Technology Company Limited (“V-Click”). VGI holds a majority stake of 51% in V-Click and the Company holds the remaining 49% stake. The investment was accounted for as an equity-method investment due to the significant influence over the operating and financial policies of V-Click.</w:t>
      </w:r>
    </w:p>
    <w:p>
      <w:pPr>
        <w:pStyle w:val="TextBody"/>
        <w:bidi w:val="0"/>
        <w:spacing w:before="0" w:after="0"/>
        <w:ind w:left="0" w:right="0" w:hanging="0"/>
        <w:jc w:val="left"/>
        <w:rPr/>
      </w:pPr>
      <w:r>
        <w:rPr/>
        <w:t>​</w:t>
      </w:r>
    </w:p>
    <w:tbl>
      <w:tblPr>
        <w:tblW w:w="5898" w:type="dxa"/>
        <w:jc w:val="left"/>
        <w:tblInd w:w="0" w:type="dxa"/>
        <w:tblLayout w:type="fixed"/>
        <w:tblCellMar>
          <w:top w:w="0" w:type="dxa"/>
          <w:left w:w="0" w:type="dxa"/>
          <w:bottom w:w="0" w:type="dxa"/>
          <w:right w:w="0" w:type="dxa"/>
        </w:tblCellMar>
      </w:tblPr>
      <w:tblGrid>
        <w:gridCol w:w="2746"/>
        <w:gridCol w:w="346"/>
        <w:gridCol w:w="901"/>
        <w:gridCol w:w="346"/>
        <w:gridCol w:w="549"/>
        <w:gridCol w:w="408"/>
        <w:gridCol w:w="602"/>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43710" cy="175260"/>
                      <wp:effectExtent l="0" t="0" r="0" b="0"/>
                      <wp:wrapNone/>
                      <wp:docPr id="342" name="Frame33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43"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72135" cy="175260"/>
                      <wp:effectExtent l="0" t="0" r="0" b="0"/>
                      <wp:wrapNone/>
                      <wp:docPr id="344" name="Frame34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45"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48615" cy="175260"/>
                      <wp:effectExtent l="0" t="0" r="0" b="0"/>
                      <wp:wrapNone/>
                      <wp:docPr id="346" name="Frame343"/>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59080" cy="175260"/>
                      <wp:effectExtent l="0" t="0" r="0" b="0"/>
                      <wp:wrapNone/>
                      <wp:docPr id="347" name="Frame344"/>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82270" cy="175260"/>
                      <wp:effectExtent l="0" t="0" r="0" b="0"/>
                      <wp:wrapNone/>
                      <wp:docPr id="348" name="Frame345"/>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center"/>
              <w:rPr/>
            </w:pPr>
            <w:r>
              <w:rPr/>
              <w:t>​</w:t>
            </w:r>
          </w:p>
        </w:tc>
        <w:tc>
          <w:tcPr>
            <w:tcW w:w="408"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center"/>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8" w:type="dxa"/>
            <w:tcBorders/>
            <w:vAlign w:val="center"/>
          </w:tcPr>
          <w:p>
            <w:pPr>
              <w:pStyle w:val="TableContents"/>
              <w:bidi w:val="0"/>
              <w:spacing w:before="0" w:after="0"/>
              <w:ind w:left="0" w:right="0" w:hanging="0"/>
              <w:jc w:val="left"/>
              <w:rPr/>
            </w:pPr>
            <w:r>
              <w:rPr/>
              <w:t>  ​ ​ ​</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an associate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9" w:type="dxa"/>
            <w:tcBorders/>
            <w:shd w:fill="CCEEFF" w:val="clear"/>
            <w:vAlign w:val="center"/>
          </w:tcPr>
          <w:p>
            <w:pPr>
              <w:pStyle w:val="TableContents"/>
              <w:bidi w:val="0"/>
              <w:spacing w:before="0" w:after="0"/>
              <w:ind w:left="0" w:right="0" w:hanging="0"/>
              <w:jc w:val="right"/>
              <w:rPr/>
            </w:pPr>
            <w:r>
              <w:rPr/>
              <w:t>—</w:t>
            </w:r>
          </w:p>
        </w:tc>
        <w:tc>
          <w:tcPr>
            <w:tcW w:w="408" w:type="dxa"/>
            <w:tcBorders/>
            <w:shd w:fill="CCEEFF" w:val="clear"/>
            <w:vAlign w:val="center"/>
          </w:tcPr>
          <w:p>
            <w:pPr>
              <w:pStyle w:val="TableContents"/>
              <w:bidi w:val="0"/>
              <w:spacing w:before="0" w:after="0"/>
              <w:ind w:left="0" w:right="0" w:hanging="0"/>
              <w:jc w:val="left"/>
              <w:rPr/>
            </w:pPr>
            <w:r>
              <w:rPr/>
              <w:t> </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 from an associate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9" w:type="dxa"/>
            <w:tcBorders/>
            <w:shd w:fill="CCEEFF" w:val="clear"/>
            <w:vAlign w:val="center"/>
          </w:tcPr>
          <w:p>
            <w:pPr>
              <w:pStyle w:val="TableContents"/>
              <w:bidi w:val="0"/>
              <w:spacing w:before="0" w:after="0"/>
              <w:ind w:left="0" w:right="0" w:hanging="0"/>
              <w:jc w:val="right"/>
              <w:rPr/>
            </w:pPr>
            <w:r>
              <w:rPr/>
              <w:t>—</w:t>
            </w:r>
          </w:p>
        </w:tc>
        <w:tc>
          <w:tcPr>
            <w:tcW w:w="408" w:type="dxa"/>
            <w:tcBorders/>
            <w:shd w:fill="CCEEFF" w:val="clear"/>
            <w:vAlign w:val="center"/>
          </w:tcPr>
          <w:p>
            <w:pPr>
              <w:pStyle w:val="TableContents"/>
              <w:bidi w:val="0"/>
              <w:spacing w:before="0" w:after="0"/>
              <w:ind w:left="0" w:right="0" w:hanging="0"/>
              <w:jc w:val="left"/>
              <w:rPr/>
            </w:pPr>
            <w:r>
              <w:rPr/>
              <w:t> </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Movement on the Company’s investment in an associate during the year ended December 31, 2025 was as follows:</w:t>
      </w:r>
    </w:p>
    <w:p>
      <w:pPr>
        <w:pStyle w:val="TextBody"/>
        <w:bidi w:val="0"/>
        <w:spacing w:before="0" w:after="0"/>
        <w:ind w:left="0" w:right="0" w:hanging="0"/>
        <w:jc w:val="left"/>
        <w:rPr/>
      </w:pPr>
      <w:r>
        <w:rPr/>
        <w:t>​</w:t>
      </w:r>
    </w:p>
    <w:tbl>
      <w:tblPr>
        <w:tblW w:w="7578" w:type="dxa"/>
        <w:jc w:val="left"/>
        <w:tblInd w:w="0" w:type="dxa"/>
        <w:tblLayout w:type="fixed"/>
        <w:tblCellMar>
          <w:top w:w="0" w:type="dxa"/>
          <w:left w:w="0" w:type="dxa"/>
          <w:bottom w:w="0" w:type="dxa"/>
          <w:right w:w="0" w:type="dxa"/>
        </w:tblCellMar>
      </w:tblPr>
      <w:tblGrid>
        <w:gridCol w:w="4426"/>
        <w:gridCol w:w="346"/>
        <w:gridCol w:w="901"/>
        <w:gridCol w:w="346"/>
        <w:gridCol w:w="549"/>
        <w:gridCol w:w="408"/>
        <w:gridCol w:w="602"/>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810510" cy="175260"/>
                      <wp:effectExtent l="0" t="0" r="0" b="0"/>
                      <wp:wrapNone/>
                      <wp:docPr id="349" name="Frame346"/>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0"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72135" cy="175260"/>
                      <wp:effectExtent l="0" t="0" r="0" b="0"/>
                      <wp:wrapNone/>
                      <wp:docPr id="351" name="Frame3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2"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48615" cy="175260"/>
                      <wp:effectExtent l="0" t="0" r="0" b="0"/>
                      <wp:wrapNone/>
                      <wp:docPr id="353" name="Frame350"/>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59080" cy="175260"/>
                      <wp:effectExtent l="0" t="0" r="0" b="0"/>
                      <wp:wrapNone/>
                      <wp:docPr id="354" name="Frame351"/>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82270" cy="175260"/>
                      <wp:effectExtent l="0" t="0" r="0" b="0"/>
                      <wp:wrapNone/>
                      <wp:docPr id="355" name="Frame352"/>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  ​ ​ ​</w:t>
            </w:r>
          </w:p>
        </w:tc>
        <w:tc>
          <w:tcPr>
            <w:tcW w:w="549" w:type="dxa"/>
            <w:tcBorders/>
            <w:vAlign w:val="center"/>
          </w:tcPr>
          <w:p>
            <w:pPr>
              <w:pStyle w:val="TableContents"/>
              <w:bidi w:val="0"/>
              <w:spacing w:before="0" w:after="0"/>
              <w:ind w:left="0" w:right="0" w:hanging="0"/>
              <w:jc w:val="center"/>
              <w:rPr/>
            </w:pPr>
            <w:r>
              <w:rPr/>
              <w:t>​</w:t>
            </w:r>
          </w:p>
        </w:tc>
        <w:tc>
          <w:tcPr>
            <w:tcW w:w="408"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center"/>
              <w:rPr/>
            </w:pPr>
            <w:r>
              <w:rPr/>
              <w:t>​</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5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8" w:type="dxa"/>
            <w:tcBorders/>
            <w:vAlign w:val="center"/>
          </w:tcPr>
          <w:p>
            <w:pPr>
              <w:pStyle w:val="TableContents"/>
              <w:bidi w:val="0"/>
              <w:spacing w:before="0" w:after="0"/>
              <w:ind w:left="0" w:right="0" w:hanging="0"/>
              <w:jc w:val="left"/>
              <w:rPr/>
            </w:pPr>
            <w:r>
              <w:rPr/>
              <w:t>  ​ ​ ​</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9" w:type="dxa"/>
            <w:tcBorders/>
            <w:shd w:fill="CCEEFF" w:val="clear"/>
            <w:vAlign w:val="center"/>
          </w:tcPr>
          <w:p>
            <w:pPr>
              <w:pStyle w:val="TableContents"/>
              <w:bidi w:val="0"/>
              <w:spacing w:before="0" w:after="0"/>
              <w:ind w:left="0" w:right="0" w:hanging="0"/>
              <w:jc w:val="right"/>
              <w:rPr/>
            </w:pPr>
            <w:r>
              <w:rPr/>
              <w:t>—</w:t>
            </w:r>
          </w:p>
        </w:tc>
        <w:tc>
          <w:tcPr>
            <w:tcW w:w="408" w:type="dxa"/>
            <w:tcBorders/>
            <w:shd w:fill="CCEEFF" w:val="clear"/>
            <w:vAlign w:val="center"/>
          </w:tcPr>
          <w:p>
            <w:pPr>
              <w:pStyle w:val="TableContents"/>
              <w:bidi w:val="0"/>
              <w:spacing w:before="0" w:after="0"/>
              <w:ind w:left="0" w:right="0" w:hanging="0"/>
              <w:jc w:val="left"/>
              <w:rPr/>
            </w:pPr>
            <w:r>
              <w:rPr/>
              <w:t> </w:t>
            </w:r>
          </w:p>
        </w:tc>
        <w:tc>
          <w:tcPr>
            <w:tcW w:w="602" w:type="dxa"/>
            <w:tcBorders/>
            <w:shd w:fill="CCEEFF" w:val="clear"/>
            <w:vAlign w:val="center"/>
          </w:tcPr>
          <w:p>
            <w:pPr>
              <w:pStyle w:val="TableContents"/>
              <w:bidi w:val="0"/>
              <w:spacing w:before="0" w:after="0"/>
              <w:ind w:left="0" w:right="0" w:hanging="0"/>
              <w:jc w:val="right"/>
              <w:rPr/>
            </w:pPr>
            <w:r>
              <w:rPr/>
              <w:t>—</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49" w:type="dxa"/>
            <w:tcBorders/>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losses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8" w:type="dxa"/>
            <w:tcBorders/>
            <w:shd w:fill="CCEEFF" w:val="clear"/>
            <w:vAlign w:val="center"/>
          </w:tcPr>
          <w:p>
            <w:pPr>
              <w:pStyle w:val="TableContents"/>
              <w:bidi w:val="0"/>
              <w:spacing w:before="0" w:after="0"/>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4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08" w:type="dxa"/>
            <w:tcBorders/>
            <w:vAlign w:val="center"/>
          </w:tcPr>
          <w:p>
            <w:pPr>
              <w:pStyle w:val="TableContents"/>
              <w:bidi w:val="0"/>
              <w:spacing w:before="0" w:after="0"/>
              <w:ind w:left="0" w:right="0" w:hanging="0"/>
              <w:jc w:val="left"/>
              <w:rPr/>
            </w:pPr>
            <w:r>
              <w:rPr/>
              <w:t> </w:t>
            </w:r>
          </w:p>
        </w:tc>
        <w:tc>
          <w:tcPr>
            <w:tcW w:w="60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543" w:name="Tc_aN5OGwiWXkaPZQ9sZ5i9lA_28_0"/>
      <w:bookmarkStart w:id="1544" w:name="Tc_OzUZeBpHCUyMqhfn_Q67NA_27_3"/>
      <w:bookmarkStart w:id="1545" w:name="Tc_fn7F4Yn0CU-QnCB-pjMdug_27_0"/>
      <w:bookmarkStart w:id="1546" w:name="Tc_MqIgp2-WdkuifpzED16HSA_26_0"/>
      <w:bookmarkStart w:id="1547" w:name="Tc_rqIUDh_PP0yDaTA5YV4ymw_25_0"/>
      <w:bookmarkStart w:id="1548" w:name="Tc_PB0RcLDd3kaHYNYk-F-PZg_23_0"/>
      <w:bookmarkStart w:id="1549" w:name="Tc_0fGrLGjORUucawyo_SKtkg_22_0"/>
      <w:bookmarkStart w:id="1550" w:name="Tc_rqNsFu56p0aASM018KxfRQ_20_0"/>
      <w:bookmarkStart w:id="1551" w:name="Tc_lFyu4CVugEO-KTJ4lFMmkg_19_0"/>
      <w:bookmarkStart w:id="1552" w:name="Tc_EBrPaOqG8UGnCt8_xAL5Ew_18_0"/>
      <w:bookmarkStart w:id="1553" w:name="Tc_pEwkzptE-kyT0lZdZ9UxVA_17_0"/>
      <w:bookmarkStart w:id="1554" w:name="Tc_d1kiw8gz5Uqq-Lcvktgkkg_15_0"/>
      <w:bookmarkStart w:id="1555" w:name="Tc_hmGeQPBVxkaQCJrPX6JP5Q_12_0"/>
      <w:bookmarkStart w:id="1556" w:name="Tc_ULy0vFS_GUeq0Htp6snkPA_11_0"/>
      <w:bookmarkStart w:id="1557" w:name="Tc_ypBkiCV720azS_5_5z106A_10_0"/>
      <w:bookmarkStart w:id="1558" w:name="Tc_QnaSEkHpU0C8rXA6CA6ftQ_8_0"/>
      <w:bookmarkStart w:id="1559" w:name="Tc_vX5fPqm1XUKB-2yTASrGjA_7_0"/>
      <w:bookmarkStart w:id="1560" w:name="Tc_he09CViLRkqhAgEzJjYotw_6_0"/>
      <w:bookmarkStart w:id="1561" w:name="Tc_6X62Rz8-ZEmAYMDnp3f3_g_5_0"/>
      <w:bookmarkStart w:id="1562" w:name="Tc_lDdEhKdPOUuB1KIpmCc7Yw_4_2"/>
      <w:bookmarkStart w:id="1563" w:name="Tc_oJW1H0bKIUqkcbeKGoZd5A_3_2"/>
      <w:bookmarkStart w:id="1564" w:name="Tc_W5_XAVESDUqWU1afkP4NIg_2_2"/>
      <w:bookmarkStart w:id="1565" w:name="Tc_NXLoe-rjKUK_fLQWC-Hh8Q_1_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r>
        <w:rPr>
          <w:rFonts w:ascii="Times New Roman;Times;serif" w:hAnsi="Times New Roman;Times;serif"/>
          <w:b/>
          <w:i w:val="false"/>
          <w:caps w:val="false"/>
          <w:smallCaps w:val="false"/>
          <w:sz w:val="20"/>
        </w:rPr>
        <w:t>10.</w:t>
      </w:r>
      <w:r>
        <w:rPr>
          <w:rFonts w:ascii="Times New Roman;Times;serif" w:hAnsi="Times New Roman;Times;serif"/>
          <w:b/>
          <w:sz w:val="20"/>
        </w:rPr>
        <w:t>Investment accounted for using equity method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There are no material contingent liabilities relating to the Group’s interests in the investment accounted for using equity method.</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table below summarized financial information of V-Click.</w:t>
      </w:r>
    </w:p>
    <w:p>
      <w:pPr>
        <w:pStyle w:val="TextBody"/>
        <w:bidi w:val="0"/>
        <w:spacing w:before="0" w:after="0"/>
        <w:ind w:left="720" w:right="0" w:hanging="0"/>
        <w:jc w:val="both"/>
        <w:rPr/>
      </w:pPr>
      <w:r>
        <w:rPr/>
        <w:t>​</w:t>
      </w:r>
    </w:p>
    <w:tbl>
      <w:tblPr>
        <w:tblW w:w="5089" w:type="dxa"/>
        <w:jc w:val="left"/>
        <w:tblInd w:w="0" w:type="dxa"/>
        <w:tblLayout w:type="fixed"/>
        <w:tblCellMar>
          <w:top w:w="0" w:type="dxa"/>
          <w:left w:w="0" w:type="dxa"/>
          <w:bottom w:w="0" w:type="dxa"/>
          <w:right w:w="0" w:type="dxa"/>
        </w:tblCellMar>
      </w:tblPr>
      <w:tblGrid>
        <w:gridCol w:w="2986"/>
        <w:gridCol w:w="346"/>
        <w:gridCol w:w="1441"/>
        <w:gridCol w:w="31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96110" cy="175260"/>
                      <wp:effectExtent l="0" t="0" r="0" b="0"/>
                      <wp:wrapNone/>
                      <wp:docPr id="356" name="Frame353"/>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57"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915035" cy="175260"/>
                      <wp:effectExtent l="0" t="0" r="0" b="0"/>
                      <wp:wrapNone/>
                      <wp:docPr id="358" name="Frame355"/>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0660" cy="175260"/>
                      <wp:effectExtent l="0" t="0" r="0" b="0"/>
                      <wp:wrapNone/>
                      <wp:docPr id="359" name="Frame3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and</w:t>
            </w:r>
          </w:p>
        </w:tc>
        <w:tc>
          <w:tcPr>
            <w:tcW w:w="316" w:type="dxa"/>
            <w:tcBorders/>
            <w:vAlign w:val="center"/>
          </w:tcPr>
          <w:p>
            <w:pPr>
              <w:pStyle w:val="TableContents"/>
              <w:bidi w:val="0"/>
              <w:spacing w:before="0" w:after="0"/>
              <w:ind w:left="0" w:right="0" w:hanging="0"/>
              <w:jc w:val="left"/>
              <w:rPr/>
            </w:pPr>
            <w:r>
              <w:rPr/>
              <w:t> </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316" w:type="dxa"/>
            <w:tcBorders/>
            <w:vAlign w:val="center"/>
          </w:tcPr>
          <w:p>
            <w:pPr>
              <w:pStyle w:val="TableContents"/>
              <w:bidi w:val="0"/>
              <w:spacing w:before="0" w:after="0"/>
              <w:ind w:left="0" w:right="0" w:hanging="0"/>
              <w:jc w:val="left"/>
              <w:rPr/>
            </w:pPr>
            <w:r>
              <w:rPr/>
              <w:t> </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 </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financial position</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profit or loss</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profit</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value</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16" w:type="dxa"/>
            <w:tcBorders/>
            <w:vAlign w:val="center"/>
          </w:tcPr>
          <w:p>
            <w:pPr>
              <w:pStyle w:val="TableContents"/>
              <w:bidi w:val="0"/>
              <w:spacing w:before="0" w:after="0"/>
              <w:ind w:left="0" w:right="0" w:hanging="0"/>
              <w:jc w:val="lef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Group’s share in %</w:t>
            </w:r>
          </w:p>
        </w:tc>
        <w:tc>
          <w:tcPr>
            <w:tcW w:w="34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sz w:val="20"/>
        </w:rPr>
      </w:pPr>
      <w:bookmarkStart w:id="1566" w:name="Tc_7dyN382p_ECjK10_iaqf7w_8_0"/>
      <w:bookmarkStart w:id="1567" w:name="Tc_K4P2dYLJNU6UBS4UyaLCFQ_7_0"/>
      <w:bookmarkStart w:id="1568" w:name="Tc_ggCecphMNEGiBNe3TDt3Jw_6_2"/>
      <w:bookmarkStart w:id="1569" w:name="Tc_oXCdTBhp0kudWVFwXBX8iA_6_0"/>
      <w:bookmarkStart w:id="1570" w:name="Tc_D9CWeCdRqU2sDtOq8aOZCw_5_2"/>
      <w:bookmarkStart w:id="1571" w:name="Tc_3n5X0Y-k_EqYudHl53P-NQ_5_0"/>
      <w:bookmarkStart w:id="1572" w:name="Tc_CvKZ9qRj9EOVQHj-Ssf5lw_4_2"/>
      <w:bookmarkStart w:id="1573" w:name="Tc_eh_UQ3Bl7Eag1-ig6W_2Ig_4_0"/>
      <w:bookmarkStart w:id="1574" w:name="Tc_q4XqqCzjpkG_4Sa2AVMSSQ_3_0"/>
      <w:bookmarkStart w:id="1575" w:name="Tc_D2xx_cD_A0uRlwneh8c65g_2_4"/>
      <w:bookmarkStart w:id="1576" w:name="Tc_YC0ux7rtmkuFlDCygPyvVw_2_2"/>
      <w:bookmarkStart w:id="1577" w:name="Tc_BGOGmfZTyU-VTIhDkRxtXQ_1_2"/>
      <w:bookmarkStart w:id="1578" w:name="Tc_9XSHkfwCs0Cii7pbsnfbug_12_0"/>
      <w:bookmarkStart w:id="1579" w:name="Tc_adP1SEDTEk2FD1DEwz4fvA_9_4"/>
      <w:bookmarkStart w:id="1580" w:name="Tc_VMDO2buQMU6by5uB4pHKtA_9_2"/>
      <w:bookmarkStart w:id="1581" w:name="Tc_bU7nkeyjmE20P3oIKN3wxw_9_0"/>
      <w:bookmarkStart w:id="1582" w:name="Tc_WONLO0k2p0igElPIVv0WNw_8_0"/>
      <w:bookmarkStart w:id="1583" w:name="Tc_kfufKXMdbEmBslJCjjzC9A_7_0"/>
      <w:bookmarkStart w:id="1584" w:name="Tc_zLsrM3Snck2LyNezjUq9eQ_6_4"/>
      <w:bookmarkStart w:id="1585" w:name="Tc_-l74SGFqoEib2S6d4ba2NQ_6_2"/>
      <w:bookmarkStart w:id="1586" w:name="Tc_1XD-ewzSHUaj5bE9BQmCIA_5_4"/>
      <w:bookmarkStart w:id="1587" w:name="Tc_8qXb1nOAHUKXP3H0gn2mgw_5_2"/>
      <w:bookmarkStart w:id="1588" w:name="Tc_umQy_AavKEaCdZHDtCQosg_5_0"/>
      <w:bookmarkStart w:id="1589" w:name="Tc_CZyld4nobUyTz5UzFBlrAg_4_4"/>
      <w:bookmarkStart w:id="1590" w:name="Tc_1XCEirFA90KPChZD-vmfYg_4_2"/>
      <w:bookmarkStart w:id="1591" w:name="Tc_rhuBwg5ojUGZl4oWNGPaRw_4_0"/>
      <w:bookmarkStart w:id="1592" w:name="Tc_cYTLiy0DbUGaoumCJXi9uw_3_0"/>
      <w:bookmarkStart w:id="1593" w:name="Tc_lZlxAYSdHkifsMSB4Ilo_A_2_6"/>
      <w:bookmarkStart w:id="1594" w:name="Tc_ScL5qUjbMU-aLYIFqwHxJw_2_4"/>
      <w:bookmarkStart w:id="1595" w:name="Tc_HeSCa0zSOkmi0ZO49GNJ8A_2_2"/>
      <w:bookmarkStart w:id="1596" w:name="Tc_KS5c8R6_YkmKWFevP7yRmg_1_4"/>
      <w:bookmarkStart w:id="1597" w:name="Tc_Cj5LYyXb8kytq9PqAlaH0g_1_2"/>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Pr>
          <w:rFonts w:ascii="Times New Roman;Times;serif" w:hAnsi="Times New Roman;Times;serif"/>
          <w:b/>
          <w:i w:val="false"/>
          <w:caps w:val="false"/>
          <w:smallCaps w:val="false"/>
          <w:sz w:val="20"/>
        </w:rPr>
        <w:t>11.</w:t>
      </w:r>
      <w:r>
        <w:rPr>
          <w:rFonts w:ascii="Times New Roman;Times;serif" w:hAnsi="Times New Roman;Times;serif"/>
          <w:b/>
          <w:sz w:val="20"/>
        </w:rPr>
        <w:t>Financial assets at fair value through profits or loss</w:t>
      </w:r>
    </w:p>
    <w:p>
      <w:pPr>
        <w:pStyle w:val="TextBody"/>
        <w:bidi w:val="0"/>
        <w:spacing w:before="0" w:after="0"/>
        <w:ind w:left="0" w:right="0" w:hanging="0"/>
        <w:jc w:val="left"/>
        <w:rPr/>
      </w:pPr>
      <w:r>
        <w:rPr/>
        <w:t>​</w:t>
      </w:r>
    </w:p>
    <w:tbl>
      <w:tblPr>
        <w:tblW w:w="6514" w:type="dxa"/>
        <w:jc w:val="left"/>
        <w:tblInd w:w="0" w:type="dxa"/>
        <w:tblLayout w:type="fixed"/>
        <w:tblCellMar>
          <w:top w:w="0" w:type="dxa"/>
          <w:left w:w="0" w:type="dxa"/>
          <w:bottom w:w="0" w:type="dxa"/>
          <w:right w:w="0" w:type="dxa"/>
        </w:tblCellMar>
      </w:tblPr>
      <w:tblGrid>
        <w:gridCol w:w="2941"/>
        <w:gridCol w:w="346"/>
        <w:gridCol w:w="1321"/>
        <w:gridCol w:w="346"/>
        <w:gridCol w:w="522"/>
        <w:gridCol w:w="162"/>
        <w:gridCol w:w="87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867535" cy="175260"/>
                      <wp:effectExtent l="0" t="0" r="0" b="0"/>
                      <wp:wrapNone/>
                      <wp:docPr id="360" name="Frame35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1"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838835" cy="175260"/>
                      <wp:effectExtent l="0" t="0" r="0" b="0"/>
                      <wp:wrapNone/>
                      <wp:docPr id="362" name="Frame35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63"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31470" cy="175260"/>
                      <wp:effectExtent l="0" t="0" r="0" b="0"/>
                      <wp:wrapNone/>
                      <wp:docPr id="364" name="Frame361"/>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02870" cy="175260"/>
                      <wp:effectExtent l="0" t="0" r="0" b="0"/>
                      <wp:wrapNone/>
                      <wp:docPr id="365" name="Frame362"/>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56260" cy="175260"/>
                      <wp:effectExtent l="0" t="0" r="0" b="0"/>
                      <wp:wrapNone/>
                      <wp:docPr id="366" name="Frame363"/>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January 1,</w:t>
            </w:r>
          </w:p>
        </w:tc>
        <w:tc>
          <w:tcPr>
            <w:tcW w:w="346" w:type="dxa"/>
            <w:tcBorders/>
            <w:vAlign w:val="center"/>
          </w:tcPr>
          <w:p>
            <w:pPr>
              <w:pStyle w:val="TableContents"/>
              <w:bidi w:val="0"/>
              <w:spacing w:before="0" w:after="1"/>
              <w:ind w:left="0" w:right="0" w:hanging="0"/>
              <w:jc w:val="center"/>
              <w:rPr/>
            </w:pPr>
            <w:r>
              <w:rPr/>
              <w:t>  ​ ​ ​</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62" w:type="dxa"/>
            <w:tcBorders/>
            <w:vAlign w:val="center"/>
          </w:tcPr>
          <w:p>
            <w:pPr>
              <w:pStyle w:val="TableContents"/>
              <w:bidi w:val="0"/>
              <w:spacing w:before="0" w:after="1"/>
              <w:ind w:left="0" w:right="0" w:hanging="0"/>
              <w:jc w:val="center"/>
              <w:rPr/>
            </w:pPr>
            <w:r>
              <w:rPr/>
              <w:t>​</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Unlisted equity investment</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pPr>
            <w:r>
              <w:rPr/>
              <w:t>—</w:t>
            </w:r>
          </w:p>
        </w:tc>
        <w:tc>
          <w:tcPr>
            <w:tcW w:w="16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 investment</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2" w:type="dxa"/>
            <w:tcBorders/>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 investments</w:t>
            </w:r>
          </w:p>
        </w:tc>
        <w:tc>
          <w:tcPr>
            <w:tcW w:w="346" w:type="dxa"/>
            <w:tcBorders/>
            <w:vAlign w:val="center"/>
          </w:tcPr>
          <w:p>
            <w:pPr>
              <w:pStyle w:val="TableContents"/>
              <w:bidi w:val="0"/>
              <w:spacing w:before="0" w:after="1"/>
              <w:ind w:left="0" w:right="0" w:hanging="0"/>
              <w:jc w:val="left"/>
              <w:rPr/>
            </w:pPr>
            <w:r>
              <w:rPr/>
              <w:t> </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before="0" w:after="1"/>
              <w:ind w:left="0" w:right="0" w:hanging="0"/>
              <w:jc w:val="left"/>
              <w:rPr/>
            </w:pPr>
            <w:r>
              <w:rPr/>
              <w:t> </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162" w:type="dxa"/>
            <w:tcBorders/>
            <w:vAlign w:val="center"/>
          </w:tcPr>
          <w:p>
            <w:pPr>
              <w:pStyle w:val="TableContents"/>
              <w:bidi w:val="0"/>
              <w:spacing w:before="0" w:after="1"/>
              <w:ind w:left="0" w:right="0" w:hanging="0"/>
              <w:jc w:val="left"/>
              <w:rPr/>
            </w:pPr>
            <w:r>
              <w:rPr/>
              <w:t> </w:t>
            </w:r>
          </w:p>
        </w:tc>
        <w:tc>
          <w:tcPr>
            <w:tcW w:w="8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21,816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 listed equity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162" w:type="dxa"/>
            <w:tcBorders/>
            <w:vAlign w:val="center"/>
          </w:tcPr>
          <w:p>
            <w:pPr>
              <w:pStyle w:val="TableContents"/>
              <w:bidi w:val="0"/>
              <w:spacing w:before="0" w:after="1"/>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22,084</w:t>
            </w:r>
          </w:p>
        </w:tc>
      </w:tr>
      <w:tr>
        <w:trPr/>
        <w:tc>
          <w:tcPr>
            <w:tcW w:w="29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pPr>
            <w:r>
              <w:rPr/>
              <w:t>​</w:t>
            </w:r>
          </w:p>
        </w:tc>
        <w:tc>
          <w:tcPr>
            <w:tcW w:w="162" w:type="dxa"/>
            <w:tcBorders/>
            <w:shd w:fill="CCEEFF" w:val="clear"/>
            <w:vAlign w:val="center"/>
          </w:tcPr>
          <w:p>
            <w:pPr>
              <w:pStyle w:val="TableContents"/>
              <w:bidi w:val="0"/>
              <w:spacing w:before="0" w:after="1"/>
              <w:ind w:left="0" w:right="0" w:hanging="0"/>
              <w:jc w:val="left"/>
              <w:rPr/>
            </w:pPr>
            <w:r>
              <w:rPr/>
              <w:t>​</w:t>
            </w:r>
          </w:p>
        </w:tc>
        <w:tc>
          <w:tcPr>
            <w:tcW w:w="876"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vAlign w:val="center"/>
          </w:tcPr>
          <w:p>
            <w:pPr>
              <w:pStyle w:val="TableContents"/>
              <w:bidi w:val="0"/>
              <w:spacing w:before="0" w:after="1"/>
              <w:ind w:left="0" w:right="0" w:hanging="0"/>
              <w:jc w:val="left"/>
              <w:rPr/>
            </w:pPr>
            <w:r>
              <w:rPr/>
              <w:t> </w:t>
            </w:r>
          </w:p>
        </w:tc>
        <w:tc>
          <w:tcPr>
            <w:tcW w:w="5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162" w:type="dxa"/>
            <w:tcBorders/>
            <w:vAlign w:val="center"/>
          </w:tcPr>
          <w:p>
            <w:pPr>
              <w:pStyle w:val="TableContents"/>
              <w:bidi w:val="0"/>
              <w:spacing w:before="0" w:after="1"/>
              <w:ind w:left="0" w:right="0" w:hanging="0"/>
              <w:jc w:val="left"/>
              <w:rPr/>
            </w:pPr>
            <w:r>
              <w:rPr/>
              <w:t> </w:t>
            </w:r>
          </w:p>
        </w:tc>
        <w:tc>
          <w:tcPr>
            <w:tcW w:w="8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23,273</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Movement of financial assets measured at fair value for the years ended December 31, 2024 and 2025:</w:t>
      </w:r>
    </w:p>
    <w:p>
      <w:pPr>
        <w:pStyle w:val="TextBody"/>
        <w:bidi w:val="0"/>
        <w:spacing w:before="0" w:after="0"/>
        <w:ind w:left="0" w:right="0" w:hanging="0"/>
        <w:jc w:val="left"/>
        <w:rPr/>
      </w:pPr>
      <w:r>
        <w:rPr/>
        <w:t>​</w:t>
      </w:r>
    </w:p>
    <w:tbl>
      <w:tblPr>
        <w:tblW w:w="6530" w:type="dxa"/>
        <w:jc w:val="left"/>
        <w:tblInd w:w="0" w:type="dxa"/>
        <w:tblLayout w:type="fixed"/>
        <w:tblCellMar>
          <w:top w:w="0" w:type="dxa"/>
          <w:left w:w="0" w:type="dxa"/>
          <w:bottom w:w="0" w:type="dxa"/>
          <w:right w:w="0" w:type="dxa"/>
        </w:tblCellMar>
      </w:tblPr>
      <w:tblGrid>
        <w:gridCol w:w="4471"/>
        <w:gridCol w:w="406"/>
        <w:gridCol w:w="466"/>
        <w:gridCol w:w="406"/>
        <w:gridCol w:w="78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839085" cy="175260"/>
                      <wp:effectExtent l="0" t="0" r="0" b="0"/>
                      <wp:wrapNone/>
                      <wp:docPr id="367" name="Frame36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57810" cy="175260"/>
                      <wp:effectExtent l="0" t="0" r="0" b="0"/>
                      <wp:wrapNone/>
                      <wp:docPr id="368" name="Frame36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95910" cy="175260"/>
                      <wp:effectExtent l="0" t="0" r="0" b="0"/>
                      <wp:wrapNone/>
                      <wp:docPr id="369" name="Frame36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57810" cy="175260"/>
                      <wp:effectExtent l="0" t="0" r="0" b="0"/>
                      <wp:wrapNone/>
                      <wp:docPr id="370" name="Frame36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95935" cy="175260"/>
                      <wp:effectExtent l="0" t="0" r="0" b="0"/>
                      <wp:wrapNone/>
                      <wp:docPr id="371"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16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47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 xml:space="preserve">  ​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1"/>
              <w:ind w:left="0" w:right="0" w:hanging="0"/>
              <w:jc w:val="left"/>
              <w:rPr/>
            </w:pPr>
            <w:r>
              <w:rPr/>
              <w:t xml:space="preserve">  ​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beginning of year</w:t>
            </w:r>
          </w:p>
        </w:tc>
        <w:tc>
          <w:tcPr>
            <w:tcW w:w="40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40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40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during the year</w:t>
            </w:r>
          </w:p>
        </w:tc>
        <w:tc>
          <w:tcPr>
            <w:tcW w:w="40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18,528</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Disposals during the year</w:t>
            </w:r>
          </w:p>
        </w:tc>
        <w:tc>
          <w:tcPr>
            <w:tcW w:w="40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40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(2,566)</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changes (Note 26)</w:t>
            </w:r>
          </w:p>
        </w:tc>
        <w:tc>
          <w:tcPr>
            <w:tcW w:w="40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the end of year</w:t>
            </w:r>
          </w:p>
        </w:tc>
        <w:tc>
          <w:tcPr>
            <w:tcW w:w="406" w:type="dxa"/>
            <w:tcBorders/>
            <w:vAlign w:val="center"/>
          </w:tcPr>
          <w:p>
            <w:pPr>
              <w:pStyle w:val="TableContents"/>
              <w:bidi w:val="0"/>
              <w:spacing w:before="0" w:after="1"/>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40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23,273</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fair value measurement is disclosed in Note 3.3 to the consolidated financial statements.</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sz w:val="20"/>
        </w:rPr>
      </w:pPr>
      <w:bookmarkStart w:id="1598" w:name="Tc_s4sVPzcMK0ymPWe8o0QlJw_39_2"/>
      <w:bookmarkStart w:id="1599" w:name="Tc_2GjF8OWt-k2bi2322wKqZg_39_0"/>
      <w:bookmarkStart w:id="1600" w:name="Tc_rxDn4gyPvk2wLb_hVjL-ew_38_6"/>
      <w:bookmarkStart w:id="1601" w:name="Tc_eaWcNM2jHUG8MauKP12p4A_38_2"/>
      <w:bookmarkStart w:id="1602" w:name="Tc_f_38-58TQUChD6TnDWifkw_38_0"/>
      <w:bookmarkStart w:id="1603" w:name="Tc_76DVZV_LY0-2o_3MN291Bw_37_8"/>
      <w:bookmarkStart w:id="1604" w:name="Tc_8_WmoZKtukqCuwFWe_6jYQ_37_2"/>
      <w:bookmarkStart w:id="1605" w:name="Tc_iQMh9YV4bUqfaCZn0yTq4Q_37_0"/>
      <w:bookmarkStart w:id="1606" w:name="Tc_mdj3o0a2IkmuyMRdDUyUSQ_36_0"/>
      <w:bookmarkStart w:id="1607" w:name="Tc_jBp7A01Wf0KuqsYYACNzkw_34_8"/>
      <w:bookmarkStart w:id="1608" w:name="Tc_8lf8nV4byUqhs6CpDNoUqg_34_2"/>
      <w:bookmarkStart w:id="1609" w:name="Tc_5AdF7LUxGkG3vr-IelJeBg_34_0"/>
      <w:bookmarkStart w:id="1610" w:name="Tc_G8k-WcQ2lUa-UKZFNDJQMw_33_6"/>
      <w:bookmarkStart w:id="1611" w:name="Tc_pHg3BtCTFky9r9UL0dKTXA_33_2"/>
      <w:bookmarkStart w:id="1612" w:name="Tc_-JxTfaiNGkCQXX9NcSoiBQ_33_0"/>
      <w:bookmarkStart w:id="1613" w:name="Tc_p0ncfV23yECHfuRxAcGjAg_32_0"/>
      <w:bookmarkStart w:id="1614" w:name="Tc_BchD1rRcqU6n2H29xbj_gw_31_0"/>
      <w:bookmarkStart w:id="1615" w:name="Tc_Ov_a47Kj1UucZMghwxiBoQ_28_8"/>
      <w:bookmarkStart w:id="1616" w:name="Tc_EAkLiX4trUq4nSx5EW5PQA_28_2"/>
      <w:bookmarkStart w:id="1617" w:name="Tc_V4R1iugIakCNN_dBl_-Anw_28_0"/>
      <w:bookmarkStart w:id="1618" w:name="Tc_uVwJeQFYdkCGpnaK7EF0jg_27_0"/>
      <w:bookmarkStart w:id="1619" w:name="Tc_GTeqEXfNf06Dhgkw0mexrw_26_0"/>
      <w:bookmarkStart w:id="1620" w:name="Tc_tHXT9r0KRkWrtgdcBr7qyA_24_6"/>
      <w:bookmarkStart w:id="1621" w:name="Tc_osomoJa1ok2uAppDd_dNcg_24_2"/>
      <w:bookmarkStart w:id="1622" w:name="Tc_oi92UluHQ0CSbx_los6kXg_24_0"/>
      <w:bookmarkStart w:id="1623" w:name="Tc_zAWXKziSE0S719lPnl1Lyw_23_0"/>
      <w:bookmarkStart w:id="1624" w:name="Tc_Nn3YXrCTx0qG1WdP6qhn4Q_22_0"/>
      <w:bookmarkStart w:id="1625" w:name="Tc_JPig20hfxkerJpJlI1-hvA_21_0"/>
      <w:bookmarkStart w:id="1626" w:name="Tc_XhPM_jN-pEyfWw-l87REWg_19_2"/>
      <w:bookmarkStart w:id="1627" w:name="Tc_EzW6e8dkHEO5AEHjDbnIJg_18_6"/>
      <w:bookmarkStart w:id="1628" w:name="Tc_sXwC_mIKvUGTXV9DQIFLLg_18_2"/>
      <w:bookmarkStart w:id="1629" w:name="Tc_wveFcandNUqLy8YWztqgsA_18_0"/>
      <w:bookmarkStart w:id="1630" w:name="Tc_LGwBX6PK7EWI91BRTKt7zw_17_8"/>
      <w:bookmarkStart w:id="1631" w:name="Tc_Wsu3BgaMfkS_Vpa_-GG1lA_17_2"/>
      <w:bookmarkStart w:id="1632" w:name="Tc_h50QX02_UU6RmQ9eRJrFAQ_17_0"/>
      <w:bookmarkStart w:id="1633" w:name="Tc_c37g3AvNcEON2iG-_VevMg_16_6"/>
      <w:bookmarkStart w:id="1634" w:name="Tc_d-8EL0zb_kGSWuwi9ZZ36A_16_2"/>
      <w:bookmarkStart w:id="1635" w:name="Tc_xkeYQ_qrs0ydko4gRJDOaQ_16_0"/>
      <w:bookmarkStart w:id="1636" w:name="Tc_pZP17WaXPEWyv5cueuwQZw_15_8"/>
      <w:bookmarkStart w:id="1637" w:name="Tc_6vqRmn17t0GfDKdys7RQLw_15_2"/>
      <w:bookmarkStart w:id="1638" w:name="Tc_N4szX9h-E0mwPZu_6FNyLA_15_0"/>
      <w:bookmarkStart w:id="1639" w:name="Tc_SjnXXSEPxEGL4fnZwS1--g_14_0"/>
      <w:bookmarkStart w:id="1640" w:name="Tc_SqBEMJ-29EqaRef5pWi-SQ_12_8"/>
      <w:bookmarkStart w:id="1641" w:name="Tc_tF2I6MKE2UKg9YoDTt5yKg_12_2"/>
      <w:bookmarkStart w:id="1642" w:name="Tc_7Cmq1W41sEiM_XNg1yFzgw_12_0"/>
      <w:bookmarkStart w:id="1643" w:name="Tc_FrEYSDapqESidjmJo4M8Sg_11_6"/>
      <w:bookmarkStart w:id="1644" w:name="Tc_GlMBF9qnxE23P9X5fGv69g_11_2"/>
      <w:bookmarkStart w:id="1645" w:name="Tc_85uAeLhScEG40Z285hasJg_11_0"/>
      <w:bookmarkStart w:id="1646" w:name="Tc_wNOxMl0030yfn3ew-CiEMw_10_8"/>
      <w:bookmarkStart w:id="1647" w:name="Tc_Qs0eGPCn5EyIsZEM8XEjxA_10_2"/>
      <w:bookmarkStart w:id="1648" w:name="Tc_qCHZRR9TD0Sx3q7Ciwazeg_10_0"/>
      <w:bookmarkStart w:id="1649" w:name="Tc_bW-t8q8g9Uef-P6TSK4BPw_9_6"/>
      <w:bookmarkStart w:id="1650" w:name="Tc_rrB8M6oj2kSJcKM22mkyJg_9_2"/>
      <w:bookmarkStart w:id="1651" w:name="Tc_Q1awiJtTBk2yhDHsS0jr3A_9_0"/>
      <w:bookmarkStart w:id="1652" w:name="Tc_V4rwnTmnYUizc1eR5ZVe0w_8_0"/>
      <w:bookmarkStart w:id="1653" w:name="Tc_n9tIFYRe_0O2grAMll0kMw_7_0"/>
      <w:bookmarkStart w:id="1654" w:name="Tc_iYhQ2T-tf0CL2H8dAqx47w_5_0"/>
      <w:bookmarkStart w:id="1655" w:name="Tc_gbkc0LWSekyBeMa-jIKj1A_4_0"/>
      <w:bookmarkStart w:id="1656" w:name="Tc_ywT4skCvPUmVmaUBoZOh0Q_3_4"/>
      <w:bookmarkStart w:id="1657" w:name="Tc_i54L6qBp0UWLzfYm3UM52w_3_2"/>
      <w:bookmarkStart w:id="1658" w:name="Tc_OOZhXlj5bkKR7_e1AUjYBw_2_8"/>
      <w:bookmarkStart w:id="1659" w:name="Tc_jZ4CcX4JO0KB2wSQaBzFtg_2_6"/>
      <w:bookmarkStart w:id="1660" w:name="Tc_vh1gLRY99UGwKCG3cJbIsg_2_4"/>
      <w:bookmarkStart w:id="1661" w:name="Tc_7KxZ76vaPkuPPkknK3Czug_2_2"/>
      <w:bookmarkStart w:id="1662" w:name="Tc_9phJ9zf2VEemZLFsY8dEYA_1_4"/>
      <w:bookmarkStart w:id="1663" w:name="Tc_MbSh3B0U30q0jj7Iafgr1A_1_2"/>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r>
        <w:rPr>
          <w:rFonts w:ascii="Times New Roman;Times;serif" w:hAnsi="Times New Roman;Times;serif"/>
          <w:b/>
          <w:i w:val="false"/>
          <w:caps w:val="false"/>
          <w:smallCaps w:val="false"/>
          <w:sz w:val="20"/>
        </w:rPr>
        <w:t>12.</w:t>
      </w:r>
      <w:r>
        <w:rPr>
          <w:rFonts w:ascii="Times New Roman;Times;serif" w:hAnsi="Times New Roman;Times;serif"/>
          <w:b/>
          <w:sz w:val="20"/>
        </w:rPr>
        <w:t>Derivative financial assets and liabilities</w:t>
      </w:r>
    </w:p>
    <w:p>
      <w:pPr>
        <w:pStyle w:val="TextBody"/>
        <w:bidi w:val="0"/>
        <w:spacing w:before="0" w:after="0"/>
        <w:ind w:left="0" w:right="0" w:hanging="0"/>
        <w:jc w:val="left"/>
        <w:rPr/>
      </w:pPr>
      <w:r>
        <w:rPr/>
        <w:t>​</w:t>
      </w:r>
    </w:p>
    <w:tbl>
      <w:tblPr>
        <w:tblW w:w="7194" w:type="dxa"/>
        <w:jc w:val="left"/>
        <w:tblInd w:w="0" w:type="dxa"/>
        <w:tblLayout w:type="fixed"/>
        <w:tblCellMar>
          <w:top w:w="0" w:type="dxa"/>
          <w:left w:w="0" w:type="dxa"/>
          <w:bottom w:w="0" w:type="dxa"/>
          <w:right w:w="0" w:type="dxa"/>
        </w:tblCellMar>
      </w:tblPr>
      <w:tblGrid>
        <w:gridCol w:w="2911"/>
        <w:gridCol w:w="346"/>
        <w:gridCol w:w="736"/>
        <w:gridCol w:w="346"/>
        <w:gridCol w:w="736"/>
        <w:gridCol w:w="346"/>
        <w:gridCol w:w="571"/>
        <w:gridCol w:w="346"/>
        <w:gridCol w:w="856"/>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848485" cy="175260"/>
                      <wp:effectExtent l="0" t="0" r="0" b="0"/>
                      <wp:wrapNone/>
                      <wp:docPr id="372" name="Frame36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73"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67360" cy="175260"/>
                      <wp:effectExtent l="0" t="0" r="0" b="0"/>
                      <wp:wrapNone/>
                      <wp:docPr id="374" name="Frame37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75"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67360" cy="175260"/>
                      <wp:effectExtent l="0" t="0" r="0" b="0"/>
                      <wp:wrapNone/>
                      <wp:docPr id="376" name="Frame3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9710" cy="175260"/>
                      <wp:effectExtent l="0" t="0" r="0" b="0"/>
                      <wp:wrapNone/>
                      <wp:docPr id="377"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62585" cy="175260"/>
                      <wp:effectExtent l="0" t="0" r="0" b="0"/>
                      <wp:wrapNone/>
                      <wp:docPr id="378" name="Frame3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79"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43560" cy="175260"/>
                      <wp:effectExtent l="0" t="0" r="0" b="0"/>
                      <wp:wrapNone/>
                      <wp:docPr id="380" name="Frame37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0"/>
              <w:ind w:left="0" w:right="0" w:hanging="0"/>
              <w:jc w:val="left"/>
              <w:rPr/>
            </w:pPr>
            <w:r>
              <w:rPr/>
              <w:t>  ​ ​ ​</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56" w:type="dxa"/>
            <w:tcBorders/>
            <w:vAlign w:val="center"/>
          </w:tcPr>
          <w:p>
            <w:pPr>
              <w:pStyle w:val="TableContents"/>
              <w:bidi w:val="0"/>
              <w:spacing w:before="0" w:after="0"/>
              <w:ind w:left="0" w:right="0" w:hanging="0"/>
              <w:jc w:val="center"/>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Buy</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Derivatives carried at 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Crypto structured products</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 - dual currency</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13,497</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 - dual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22,817</w:t>
            </w:r>
          </w:p>
        </w:tc>
        <w:tc>
          <w:tcPr>
            <w:tcW w:w="34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righ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related party</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 - dual currency</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 - dual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78,964</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76,028</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r>
      <w:tr>
        <w:trPr/>
        <w:tc>
          <w:tcPr>
            <w:tcW w:w="29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2024</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related party</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Call option</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Put option</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6,910</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20</w:t>
            </w:r>
          </w:p>
        </w:tc>
      </w:tr>
    </w:tbl>
    <w:p>
      <w:pPr>
        <w:pStyle w:val="TextBody"/>
        <w:bidi w:val="0"/>
        <w:spacing w:before="0" w:after="0"/>
        <w:ind w:left="72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Group entered into BTC and ETH options and dual currency product with its customers, and as part of the Group’s risk management strategy, the Group also entered into bought identical similar back—to—back put and call BTC and ETH options and dual currency product with its related parties. Management has no intention to hold these derivatives for more than one year and option varies from 1-86 days (2024: 3-178 days) till maturity as of December 31, 2025.</w:t>
      </w:r>
    </w:p>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664" w:name="Tc_NBWRaz8mSk6Q1GLEf_bt5w_8_2"/>
      <w:bookmarkStart w:id="1665" w:name="Tc_euN4fxzMZ0Ci0rnm18swqw_8_0"/>
      <w:bookmarkStart w:id="1666" w:name="Tc_a5XkCakfQkiTg1wfGaIsaQ_7_0"/>
      <w:bookmarkStart w:id="1667" w:name="Tc_0GpLWgCA70SBcM8gUXiJGg_6_0"/>
      <w:bookmarkStart w:id="1668" w:name="Tc_vhMXuLaIe0avyYX1pRyqBg_5_0"/>
      <w:bookmarkStart w:id="1669" w:name="Tc_Gre_Cm2hqU6yeaXrLJF13g_4_0"/>
      <w:bookmarkStart w:id="1670" w:name="Tc_uggy91x4Sk6HQ2dxI_Ts9Q_3_6"/>
      <w:bookmarkStart w:id="1671" w:name="Tc_UtTeicGih0CvxXeJTs08zw_3_4"/>
      <w:bookmarkStart w:id="1672" w:name="Tc_CkAbgrAvikWOxYUVm1YDLA_3_2"/>
      <w:bookmarkStart w:id="1673" w:name="Tc_6LaFD4pSfEK10fo_Tf-kig_2_4"/>
      <w:bookmarkStart w:id="1674" w:name="Tc_xENBtcL4AUisVEWxjymwjQ_2_2"/>
      <w:bookmarkStart w:id="1675" w:name="Tc_UtDCuXiDpkCdzorWTd0utw_1_2"/>
      <w:bookmarkStart w:id="1676" w:name="_0f40073c_d6f0_4702_aca9_888a1b274c88"/>
      <w:bookmarkStart w:id="1677" w:name="Tc_Yertf2DuqEWQVTZiao846A_7_0"/>
      <w:bookmarkStart w:id="1678" w:name="Tc_RJuRjfDkn0uNHslHUtgjRQ_6_6"/>
      <w:bookmarkStart w:id="1679" w:name="Tc_WLYc5CgqGECx87i-Y76W3g_6_4"/>
      <w:bookmarkStart w:id="1680" w:name="Tc_B_NzUbM-J0uDnaGX8kiZkg_6_2"/>
      <w:bookmarkStart w:id="1681" w:name="Tc_6qjvnkP2lUmljvSN2dp5Wg_6_0"/>
      <w:bookmarkStart w:id="1682" w:name="Tc_zSVjFCyMy0K8TAXzLX-5XA_5_0"/>
      <w:bookmarkStart w:id="1683" w:name="Tc_3y_0whGRNEqVT7-DO21hwQ_4_0"/>
      <w:bookmarkStart w:id="1684" w:name="Tc_Kfazay3AIEmhk9UP3x5wjQ_3_6"/>
      <w:bookmarkStart w:id="1685" w:name="Tc_6p7VaVlVmEyFyTxH4CH1CA_3_4"/>
      <w:bookmarkStart w:id="1686" w:name="Tc_ZESobZo5HUu5Syh35u22iQ_3_2"/>
      <w:bookmarkStart w:id="1687" w:name="Tc_X-TkCuRbT0yO-jG3HiNgzA_2_4"/>
      <w:bookmarkStart w:id="1688" w:name="Tc_DYaDsEDdMUqxGYJZTS9Vlw_2_2"/>
      <w:bookmarkStart w:id="1689" w:name="Tc_u4ZHTmRfzkSb8rSW3kowXQ_1_2"/>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Fonts w:ascii="Times New Roman;Times;serif" w:hAnsi="Times New Roman;Times;serif"/>
          <w:b/>
          <w:i w:val="false"/>
          <w:caps w:val="false"/>
          <w:smallCaps w:val="false"/>
          <w:sz w:val="20"/>
        </w:rPr>
        <w:t>13.</w:t>
      </w:r>
      <w:r>
        <w:rPr>
          <w:rFonts w:ascii="Times New Roman;Times;serif" w:hAnsi="Times New Roman;Times;serif"/>
          <w:b/>
          <w:sz w:val="20"/>
        </w:rPr>
        <w:t>Crypto assets loan receivables</w:t>
      </w:r>
    </w:p>
    <w:p>
      <w:pPr>
        <w:pStyle w:val="TextBody"/>
        <w:bidi w:val="0"/>
        <w:spacing w:before="0" w:after="0"/>
        <w:ind w:left="0" w:right="0" w:hanging="0"/>
        <w:jc w:val="left"/>
        <w:rPr/>
      </w:pPr>
      <w:r>
        <w:rPr/>
        <w:t>​</w:t>
      </w:r>
    </w:p>
    <w:tbl>
      <w:tblPr>
        <w:tblW w:w="6977" w:type="dxa"/>
        <w:jc w:val="left"/>
        <w:tblInd w:w="0" w:type="dxa"/>
        <w:tblLayout w:type="fixed"/>
        <w:tblCellMar>
          <w:top w:w="0" w:type="dxa"/>
          <w:left w:w="0" w:type="dxa"/>
          <w:bottom w:w="0" w:type="dxa"/>
          <w:right w:w="0" w:type="dxa"/>
        </w:tblCellMar>
      </w:tblPr>
      <w:tblGrid>
        <w:gridCol w:w="3781"/>
        <w:gridCol w:w="346"/>
        <w:gridCol w:w="901"/>
        <w:gridCol w:w="146"/>
        <w:gridCol w:w="676"/>
        <w:gridCol w:w="346"/>
        <w:gridCol w:w="78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400935" cy="175260"/>
                      <wp:effectExtent l="0" t="0" r="0" b="0"/>
                      <wp:wrapNone/>
                      <wp:docPr id="381" name="Frame378"/>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2"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72135" cy="175260"/>
                      <wp:effectExtent l="0" t="0" r="0" b="0"/>
                      <wp:wrapNone/>
                      <wp:docPr id="383" name="Frame3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2710" cy="175260"/>
                      <wp:effectExtent l="0" t="0" r="0" b="0"/>
                      <wp:wrapNone/>
                      <wp:docPr id="384" name="Frame3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29260" cy="175260"/>
                      <wp:effectExtent l="0" t="0" r="0" b="0"/>
                      <wp:wrapNone/>
                      <wp:docPr id="385" name="Frame3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19710" cy="175260"/>
                      <wp:effectExtent l="0" t="0" r="0" b="0"/>
                      <wp:wrapNone/>
                      <wp:docPr id="386"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87" name="Frame3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146" w:type="dxa"/>
            <w:tcBorders/>
            <w:vAlign w:val="center"/>
          </w:tcPr>
          <w:p>
            <w:pPr>
              <w:pStyle w:val="TableContents"/>
              <w:bidi w:val="0"/>
              <w:spacing w:before="0" w:after="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balance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7,816</w:t>
            </w:r>
          </w:p>
        </w:tc>
        <w:tc>
          <w:tcPr>
            <w:tcW w:w="146"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70,029</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42,057</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changes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of credit losses (Note 3.1 (b))</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carrying amount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7,868</w:t>
            </w:r>
          </w:p>
        </w:tc>
        <w:tc>
          <w:tcPr>
            <w:tcW w:w="1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69,934</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42,141</w:t>
            </w:r>
          </w:p>
        </w:tc>
      </w:tr>
    </w:tbl>
    <w:p>
      <w:pPr>
        <w:pStyle w:val="TextBody"/>
        <w:pBdr/>
        <w:bidi w:val="0"/>
        <w:spacing w:before="0" w:after="0"/>
        <w:ind w:left="43" w:right="0" w:hanging="605"/>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Crypto assets loan receivables are unsecured and bear interest at rates ranging from 0.05% to 9.00% per annum. These receivables consist of both open-term and fixed-term loans, with credit periods ranging from 2 to 365 days.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Crypto assets loan receivables are denominated in the following cryptocurrencies:</w:t>
      </w:r>
    </w:p>
    <w:p>
      <w:pPr>
        <w:pStyle w:val="TextBody"/>
        <w:bidi w:val="0"/>
        <w:spacing w:before="0" w:after="0"/>
        <w:ind w:left="0" w:right="0" w:hanging="0"/>
        <w:jc w:val="left"/>
        <w:rPr/>
      </w:pPr>
      <w:r>
        <w:rPr/>
        <w:t>​</w:t>
      </w:r>
    </w:p>
    <w:tbl>
      <w:tblPr>
        <w:tblW w:w="4552" w:type="dxa"/>
        <w:jc w:val="left"/>
        <w:tblInd w:w="0" w:type="dxa"/>
        <w:tblLayout w:type="fixed"/>
        <w:tblCellMar>
          <w:top w:w="0" w:type="dxa"/>
          <w:left w:w="0" w:type="dxa"/>
          <w:bottom w:w="0" w:type="dxa"/>
          <w:right w:w="0" w:type="dxa"/>
        </w:tblCellMar>
      </w:tblPr>
      <w:tblGrid>
        <w:gridCol w:w="1156"/>
        <w:gridCol w:w="346"/>
        <w:gridCol w:w="901"/>
        <w:gridCol w:w="346"/>
        <w:gridCol w:w="676"/>
        <w:gridCol w:w="346"/>
        <w:gridCol w:w="78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734060" cy="175260"/>
                      <wp:effectExtent l="0" t="0" r="0" b="0"/>
                      <wp:wrapNone/>
                      <wp:docPr id="388" name="Frame38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89"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72135" cy="175260"/>
                      <wp:effectExtent l="0" t="0" r="0" b="0"/>
                      <wp:wrapNone/>
                      <wp:docPr id="390" name="Frame38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1"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9260" cy="175260"/>
                      <wp:effectExtent l="0" t="0" r="0" b="0"/>
                      <wp:wrapNone/>
                      <wp:docPr id="392" name="Frame3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393"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495935" cy="175260"/>
                      <wp:effectExtent l="0" t="0" r="0" b="0"/>
                      <wp:wrapNone/>
                      <wp:docPr id="394" name="Frame3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8,562</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USDS (Note)</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6,896</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46"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15,502</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9,331</w:t>
            </w:r>
          </w:p>
        </w:tc>
      </w:tr>
      <w:tr>
        <w:trPr/>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7,868</w:t>
            </w:r>
          </w:p>
        </w:tc>
        <w:tc>
          <w:tcPr>
            <w:tcW w:w="346" w:type="dxa"/>
            <w:tcBorders/>
            <w:vAlign w:val="center"/>
          </w:tcPr>
          <w:p>
            <w:pPr>
              <w:pStyle w:val="TableContents"/>
              <w:bidi w:val="0"/>
              <w:spacing w:before="0" w:after="0"/>
              <w:ind w:left="0" w:right="0" w:hanging="0"/>
              <w:jc w:val="righ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69,934</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42,141</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USDS is a cryptographic blockchain—based digital information unit token issued by the Group and only used in Group’s platform. Each USDS is equivalent to US$1.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sz w:val="20"/>
        </w:rPr>
      </w:pPr>
      <w:bookmarkStart w:id="1690" w:name="Tc_17JrqBgSmkepDBsiiMBhFg_24_8"/>
      <w:bookmarkStart w:id="1691" w:name="Tc_5vtLCzFDi0mh-cR63UPS_w_24_4"/>
      <w:bookmarkStart w:id="1692" w:name="Tc_MEVPEdRcwkqSwTLRS7nZtg_24_0"/>
      <w:bookmarkStart w:id="1693" w:name="Tc__3NsNth1Ok6XQI3irzTYoA_23_10"/>
      <w:bookmarkStart w:id="1694" w:name="Tc_CzjMLLbwAkmGyoijhjZu-g_23_8"/>
      <w:bookmarkStart w:id="1695" w:name="Tc_wT2H5HwUQkWyxY3eR1PH7Q_23_6"/>
      <w:bookmarkStart w:id="1696" w:name="Tc_G1mRiuXaLU6WwJmobWzSYg_23_4"/>
      <w:bookmarkStart w:id="1697" w:name="Tc_W4DrwME7TUqQ_lfj5g2_tg_23_2"/>
      <w:bookmarkStart w:id="1698" w:name="Tc_r7K5F-4Pf0yvgmVAQ6TOBg_23_0"/>
      <w:bookmarkStart w:id="1699" w:name="Tc_qYxVqm8z5kejIq29FWSm1Q_22_6"/>
      <w:bookmarkStart w:id="1700" w:name="Tc_S2tTk2cmpUWV0y7ncmHk1Q_22_4"/>
      <w:bookmarkStart w:id="1701" w:name="Tc_x5OoFS4OR02Bu-ySauHkHg_22_2"/>
      <w:bookmarkStart w:id="1702" w:name="Tc_OIw6qXsu5k6qkxw-uIF7vQ_22_0"/>
      <w:bookmarkStart w:id="1703" w:name="Tc_xymnOz0ArUySF02VWoPQPg_21_0"/>
      <w:bookmarkStart w:id="1704" w:name="Tc_4WZf3Q5SaESeaeZsqV9Pow_19_8"/>
      <w:bookmarkStart w:id="1705" w:name="Tc_fhc_N4uSSUmH8XZUA-Ojrg_19_6"/>
      <w:bookmarkStart w:id="1706" w:name="Tc_DN8wD-clk0a8wgKXT0w8dQ_19_4"/>
      <w:bookmarkStart w:id="1707" w:name="Tc_kUt-w3JtMUaIf3fZL6GBbg_19_0"/>
      <w:bookmarkStart w:id="1708" w:name="Tc_Z1ulyrgI80usLQjsxVGT4A_18_8"/>
      <w:bookmarkStart w:id="1709" w:name="Tc_vlrx2TgdM0-zdg8GSDqIxQ_18_0"/>
      <w:bookmarkStart w:id="1710" w:name="Tc__bhZRv9QP0m94Zlpr_qtkQ_17_8"/>
      <w:bookmarkStart w:id="1711" w:name="Tc_JjjNSocHOUO4iegE5u9S9g_17_6"/>
      <w:bookmarkStart w:id="1712" w:name="Tc_wxQr952epkO8kZqJBImJFw_17_4"/>
      <w:bookmarkStart w:id="1713" w:name="Tc_XlbgWc8dZkSbnEZTcTpJ-g_17_0"/>
      <w:bookmarkStart w:id="1714" w:name="Tc_IKn-3IO73E2fsOZbAlHS_w_16_8"/>
      <w:bookmarkStart w:id="1715" w:name="Tc_DTis-dr-9kGTYm4aJy060A_16_6"/>
      <w:bookmarkStart w:id="1716" w:name="Tc_NNgiEee4V0uCPTTL3jsaRA_16_4"/>
      <w:bookmarkStart w:id="1717" w:name="Tc_Vr1JkpSYVUKvcvCiiFImRw_16_0"/>
      <w:bookmarkStart w:id="1718" w:name="Tc_CSSLboS9hES6FCNjeIyQzQ_15_8"/>
      <w:bookmarkStart w:id="1719" w:name="Tc_camA9oG8QEKQ68PYxgmMqQ_15_0"/>
      <w:bookmarkStart w:id="1720" w:name="Tc_hrDoa0-foEm1NPRG0cJctg_14_6"/>
      <w:bookmarkStart w:id="1721" w:name="Tc_JChVUEyGo0urbJJorMiC4g_14_4"/>
      <w:bookmarkStart w:id="1722" w:name="Tc_2ZluUcwfl0eO5-tMtgtfCA_14_2"/>
      <w:bookmarkStart w:id="1723" w:name="Tc_yVmYD2cZ2E61lSEGv41T4w_14_0"/>
      <w:bookmarkStart w:id="1724" w:name="Tc_C1QzdAPrdEKDE5mgVRBuEw_13_0"/>
      <w:bookmarkStart w:id="1725" w:name="Tc_VdTymep58U-JyDZC85VwBg_12_0"/>
      <w:bookmarkStart w:id="1726" w:name="Tc_Y2_MDgSAbE64X4gi-OAydw_10_8"/>
      <w:bookmarkStart w:id="1727" w:name="Tc_OTQaXsqee0m-B3k0iXHisQ_10_4"/>
      <w:bookmarkStart w:id="1728" w:name="Tc_up2M596K2EGBWsebroupGg_10_0"/>
      <w:bookmarkStart w:id="1729" w:name="Tc_j_3SGoA9JkGtrgt4I-nqbg_9_8"/>
      <w:bookmarkStart w:id="1730" w:name="Tc_GqN57zCl1Eq7r19DyPkzqA_9_0"/>
      <w:bookmarkStart w:id="1731" w:name="Tc_5W0e4_TvCk6f4hvanmecwg_8_8"/>
      <w:bookmarkStart w:id="1732" w:name="Tc_YKEzyXR1ukuy0_QDORor1Q_8_4"/>
      <w:bookmarkStart w:id="1733" w:name="Tc_3l8BZ26i2kC8ba6yGqtIZQ_8_0"/>
      <w:bookmarkStart w:id="1734" w:name="Tc_kJ-1UTNpv0SDiexTQS-QXw_7_8"/>
      <w:bookmarkStart w:id="1735" w:name="Tc_z1cvhYnonk-IdOx98evVrg_7_6"/>
      <w:bookmarkStart w:id="1736" w:name="Tc_2aoAIqPAvUqjSZQVyt1sKg_7_4"/>
      <w:bookmarkStart w:id="1737" w:name="Tc_k2V4Fl0tDkyRF2-GNmvUbA_7_0"/>
      <w:bookmarkStart w:id="1738" w:name="Tc_wo-gJ_006UK7kIVQ7OKJ2A_6_8"/>
      <w:bookmarkStart w:id="1739" w:name="Tc_MZ5soMaUEUO4dlAjbNNOKA_6_0"/>
      <w:bookmarkStart w:id="1740" w:name="Tc_OG9UMN9WHUSARDwc6xclxA_5_6"/>
      <w:bookmarkStart w:id="1741" w:name="Tc_JalGa_o6AEaj2gP2NqA5lw_5_4"/>
      <w:bookmarkStart w:id="1742" w:name="Tc_NF3Sya7xdUedyuOQjcSGsA_5_2"/>
      <w:bookmarkStart w:id="1743" w:name="Tc_79BmrCL2DkOLJgGzCyToWQ_5_0"/>
      <w:bookmarkStart w:id="1744" w:name="Tc_t7lzEjs6WkSKDJJCKVqcGA_4_0"/>
      <w:bookmarkStart w:id="1745" w:name="Tc_ynUJaknMkUyo5sMeUBN7Tw_3_0"/>
      <w:bookmarkStart w:id="1746" w:name="Tc_Yfsh69t840aANQMwlbHV7Q_2_10"/>
      <w:bookmarkStart w:id="1747" w:name="Tc_oD4WY0K0nUKgdHqlKJ9ZmA_2_8"/>
      <w:bookmarkStart w:id="1748" w:name="Tc_bLg3Pf1F2EO4XHgRloi5RQ_2_6"/>
      <w:bookmarkStart w:id="1749" w:name="Tc_v96QQ9f9rEuO3S9MnxkCTQ_2_4"/>
      <w:bookmarkStart w:id="1750" w:name="Tc_qKvm0lbm5EWh0HTDzNAlTQ_2_2"/>
      <w:bookmarkStart w:id="1751" w:name="Tc_FQO2B9FC8kifGFZ4Vu5Ogg_1_8"/>
      <w:bookmarkStart w:id="1752" w:name="Tc_i5jkJuEmn0OQ-Ox2GqgQdw_1_6"/>
      <w:bookmarkStart w:id="1753" w:name="Tc_SDwnTTR6gUCGzxZI2ym2FA_1_4"/>
      <w:bookmarkStart w:id="1754" w:name="Tc_ns4gQtFARkmikHLKUrwdgw_1_2"/>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b/>
          <w:i w:val="false"/>
          <w:caps w:val="false"/>
          <w:smallCaps w:val="false"/>
          <w:sz w:val="20"/>
        </w:rPr>
        <w:t>14.</w:t>
      </w:r>
      <w:r>
        <w:rPr>
          <w:rFonts w:ascii="Times New Roman;Times;serif" w:hAnsi="Times New Roman;Times;serif"/>
          <w:b/>
          <w:sz w:val="20"/>
        </w:rPr>
        <w:t>Property, plant and equipment</w:t>
      </w:r>
    </w:p>
    <w:p>
      <w:pPr>
        <w:pStyle w:val="TextBody"/>
        <w:bidi w:val="0"/>
        <w:spacing w:before="0" w:after="240"/>
        <w:ind w:left="0" w:right="0" w:hanging="0"/>
        <w:jc w:val="left"/>
        <w:rPr/>
      </w:pPr>
      <w:r>
        <w:rPr/>
        <w:t>​</w:t>
      </w:r>
    </w:p>
    <w:tbl>
      <w:tblPr>
        <w:tblW w:w="9836" w:type="dxa"/>
        <w:jc w:val="left"/>
        <w:tblInd w:w="0" w:type="dxa"/>
        <w:tblLayout w:type="fixed"/>
        <w:tblCellMar>
          <w:top w:w="0" w:type="dxa"/>
          <w:left w:w="0" w:type="dxa"/>
          <w:bottom w:w="0" w:type="dxa"/>
          <w:right w:w="0" w:type="dxa"/>
        </w:tblCellMar>
      </w:tblPr>
      <w:tblGrid>
        <w:gridCol w:w="3796"/>
        <w:gridCol w:w="346"/>
        <w:gridCol w:w="886"/>
        <w:gridCol w:w="346"/>
        <w:gridCol w:w="916"/>
        <w:gridCol w:w="346"/>
        <w:gridCol w:w="856"/>
        <w:gridCol w:w="346"/>
        <w:gridCol w:w="1066"/>
        <w:gridCol w:w="346"/>
        <w:gridCol w:w="58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410460" cy="175260"/>
                      <wp:effectExtent l="0" t="0" r="0" b="0"/>
                      <wp:wrapNone/>
                      <wp:docPr id="395" name="Frame392"/>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396" name="Frame3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62610" cy="175260"/>
                      <wp:effectExtent l="0" t="0" r="0" b="0"/>
                      <wp:wrapNone/>
                      <wp:docPr id="397" name="Frame3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398"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81660" cy="175260"/>
                      <wp:effectExtent l="0" t="0" r="0" b="0"/>
                      <wp:wrapNone/>
                      <wp:docPr id="399" name="Frame39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19710" cy="175260"/>
                      <wp:effectExtent l="0" t="0" r="0" b="0"/>
                      <wp:wrapNone/>
                      <wp:docPr id="400"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43560" cy="175260"/>
                      <wp:effectExtent l="0" t="0" r="0" b="0"/>
                      <wp:wrapNone/>
                      <wp:docPr id="401" name="Frame39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2"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76910" cy="175260"/>
                      <wp:effectExtent l="0" t="0" r="0" b="0"/>
                      <wp:wrapNone/>
                      <wp:docPr id="403" name="Frame40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04"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72110" cy="175260"/>
                      <wp:effectExtent l="0" t="0" r="0" b="0"/>
                      <wp:wrapNone/>
                      <wp:docPr id="405" name="Frame40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Computer </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Furniture </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Office </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Leasehold </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and fixture</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0"/>
              <w:ind w:left="0" w:right="0" w:hanging="0"/>
              <w:jc w:val="left"/>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improvement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7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Written-off</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Written-off</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amortization and impairment</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  ​</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Written-off</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7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combination – merger transaction</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Written-off</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righ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righ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1, 2024</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9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December 31, 2025</w:t>
            </w:r>
          </w:p>
        </w:tc>
        <w:tc>
          <w:tcPr>
            <w:tcW w:w="34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Depreciation charges were expensed off in general and administrative expenses.</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sz w:val="20"/>
        </w:rPr>
      </w:pPr>
      <w:bookmarkStart w:id="1755" w:name="Tc_yufm3GbN70ukXDvlzqBccA_21_4"/>
      <w:bookmarkStart w:id="1756" w:name="Tc_i8Ug25DqIE-4gI4SofKflA_21_0"/>
      <w:bookmarkStart w:id="1757" w:name="Tc_hRnfcx6c60iPR61n3kBR8g_20_8"/>
      <w:bookmarkStart w:id="1758" w:name="Tc_zfLsuYE2IkWnHJKFAUZ0sw_20_6"/>
      <w:bookmarkStart w:id="1759" w:name="Tc_v2rfpJtLkUe-J0Tk0CYHIA_20_4"/>
      <w:bookmarkStart w:id="1760" w:name="Tc_MpVU-vxQxk2lIiOSz2GGYw_20_0"/>
      <w:bookmarkStart w:id="1761" w:name="Tc_D7wGcfukTkmm3BmNTdaIvg_19_8"/>
      <w:bookmarkStart w:id="1762" w:name="Tc_gKfIrMfAYkeQIm6dUBJpWQ_19_6"/>
      <w:bookmarkStart w:id="1763" w:name="Tc_lfaNkM1UhE-H-9pdKhsnqg_19_4"/>
      <w:bookmarkStart w:id="1764" w:name="Tc_ky1fK7BpmketLhkHVCTvcg_19_0"/>
      <w:bookmarkStart w:id="1765" w:name="Tc_7infqZwDRkugLdo5vVm5fw_18_0"/>
      <w:bookmarkStart w:id="1766" w:name="Tc_b5vNxwBuvUujLrP4bboyuQ_16_0"/>
      <w:bookmarkStart w:id="1767" w:name="Tc_FewbodbYs0qkDUWewutLiQ_15_4"/>
      <w:bookmarkStart w:id="1768" w:name="Tc_k4-FR5zg_kq5w9lZG5ugHA_15_0"/>
      <w:bookmarkStart w:id="1769" w:name="Tc_PxsK6vseaEKtxYc_VhnVZw_14_8"/>
      <w:bookmarkStart w:id="1770" w:name="Tc_8YIVFSp9UEueG-TN_JwsvA_14_6"/>
      <w:bookmarkStart w:id="1771" w:name="Tc_h5Nmm4RD30aNmB76GEafPQ_14_0"/>
      <w:bookmarkStart w:id="1772" w:name="Tc_HiZtDa-jzkS7K1_Zb1Y7jQ_13_8"/>
      <w:bookmarkStart w:id="1773" w:name="Tc_LNc5A13FSk-QFsaWCw7e3A_13_6"/>
      <w:bookmarkStart w:id="1774" w:name="Tc_okAh0gXx1kidn0tlgvv4Ug_13_4"/>
      <w:bookmarkStart w:id="1775" w:name="Tc_Ou6NmBnp_EWGxqbl0f96tQ_13_0"/>
      <w:bookmarkStart w:id="1776" w:name="Tc_mBysshibM0C5RFwQ665xkw_12_8"/>
      <w:bookmarkStart w:id="1777" w:name="Tc_Dcri5rjPfk24fPe_bFuyIw_12_6"/>
      <w:bookmarkStart w:id="1778" w:name="Tc_HJjWwBavBUGdeCkPomAu7w_12_0"/>
      <w:bookmarkStart w:id="1779" w:name="Tc_YFNutF_kSk-WsW1z2yNf3g_11_0"/>
      <w:bookmarkStart w:id="1780" w:name="Tc_c_SEigon9kmzrmwrZV1hFg_9_0"/>
      <w:bookmarkStart w:id="1781" w:name="Tc_87pv-_UKHUCmbJj0YwJ7XQ_8_8"/>
      <w:bookmarkStart w:id="1782" w:name="Tc_ciHn-UTOGUOTtarGPVt3HA_8_6"/>
      <w:bookmarkStart w:id="1783" w:name="Tc_BVtbpRg2jk-Zj1TICpidKg_8_4"/>
      <w:bookmarkStart w:id="1784" w:name="Tc_t_k_YI9EYEa9wRhtp-EgWg_8_0"/>
      <w:bookmarkStart w:id="1785" w:name="Tc_Dx4hfJRu0U6JabuNVL7BEw_7_4"/>
      <w:bookmarkStart w:id="1786" w:name="Tc_So7t6SpMUEyJlTEtO6MXyQ_7_0"/>
      <w:bookmarkStart w:id="1787" w:name="Tc_oxkxpjtxOEaLjWf047CxKw_6_8"/>
      <w:bookmarkStart w:id="1788" w:name="Tc_k5qdWWHTyE6N5xho5Lsoqw_6_6"/>
      <w:bookmarkStart w:id="1789" w:name="Tc_bAO28fJSWE6UdZHKK3ivbw_6_0"/>
      <w:bookmarkStart w:id="1790" w:name="Tc_7M5YwcvRD0-pENwAZOsPyQ_5_8"/>
      <w:bookmarkStart w:id="1791" w:name="Tc_EcTOXL-fhE2Vs78aweFLdw_5_6"/>
      <w:bookmarkStart w:id="1792" w:name="Tc_aOQPlCV-AEySsmyr9j2HFg_5_4"/>
      <w:bookmarkStart w:id="1793" w:name="Tc_b2_mL76XK0SxmeUIlokGUQ_5_0"/>
      <w:bookmarkStart w:id="1794" w:name="Tc_tuwJkaiyvEefGSlIftuDXQ_4_8"/>
      <w:bookmarkStart w:id="1795" w:name="Tc_K4oO0NyaX0WtbGxZQ8CYTg_4_6"/>
      <w:bookmarkStart w:id="1796" w:name="Tc_ODKEyBs1vUi4Jg4ayeVpnA_4_0"/>
      <w:bookmarkStart w:id="1797" w:name="Tc_fhcfe5SdLU61Gh4nLumMjQ_3_0"/>
      <w:bookmarkStart w:id="1798" w:name="Tc_GAHImzVUWECQjo4CD9AHag_2_10"/>
      <w:bookmarkStart w:id="1799" w:name="Tc_PtDp9BtWXUWotqtX_pQ9mQ_2_8"/>
      <w:bookmarkStart w:id="1800" w:name="Tc_Vpkn6XYqFkW9hHjBFpnySQ_2_6"/>
      <w:bookmarkStart w:id="1801" w:name="Tc_hjAidzZarUGksld-ilpMxw_2_4"/>
      <w:bookmarkStart w:id="1802" w:name="Tc_8ieGhdsEik-h-9lXENcK1A_2_2"/>
      <w:bookmarkStart w:id="1803" w:name="Tc_E_Oqmk1ynkWpopTB_GYxAA_1_8"/>
      <w:bookmarkStart w:id="1804" w:name="Tc_ddUW19xgrkG-VHDcIUqkJA_1_2"/>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b/>
          <w:i w:val="false"/>
          <w:caps w:val="false"/>
          <w:smallCaps w:val="false"/>
          <w:sz w:val="20"/>
        </w:rPr>
        <w:t>15.</w:t>
      </w:r>
      <w:r>
        <w:rPr>
          <w:rFonts w:ascii="Times New Roman;Times;serif" w:hAnsi="Times New Roman;Times;serif"/>
          <w:b/>
          <w:sz w:val="20"/>
        </w:rPr>
        <w:t>Intangible assets</w:t>
      </w:r>
    </w:p>
    <w:p>
      <w:pPr>
        <w:pStyle w:val="TextBody"/>
        <w:pBdr/>
        <w:bidi w:val="0"/>
        <w:spacing w:before="0" w:after="0"/>
        <w:ind w:left="0" w:right="0" w:hanging="645"/>
        <w:jc w:val="left"/>
        <w:rPr/>
      </w:pPr>
      <w:r>
        <w:rPr/>
        <w:t>​</w:t>
      </w:r>
    </w:p>
    <w:tbl>
      <w:tblPr>
        <w:tblW w:w="10205" w:type="dxa"/>
        <w:jc w:val="left"/>
        <w:tblInd w:w="0" w:type="dxa"/>
        <w:tblLayout w:type="fixed"/>
        <w:tblCellMar>
          <w:top w:w="0" w:type="dxa"/>
          <w:left w:w="0" w:type="dxa"/>
          <w:bottom w:w="0" w:type="dxa"/>
          <w:right w:w="0" w:type="dxa"/>
        </w:tblCellMar>
      </w:tblPr>
      <w:tblGrid>
        <w:gridCol w:w="4080"/>
        <w:gridCol w:w="346"/>
        <w:gridCol w:w="886"/>
        <w:gridCol w:w="346"/>
        <w:gridCol w:w="931"/>
        <w:gridCol w:w="346"/>
        <w:gridCol w:w="940"/>
        <w:gridCol w:w="346"/>
        <w:gridCol w:w="961"/>
        <w:gridCol w:w="346"/>
        <w:gridCol w:w="677"/>
      </w:tblGrid>
      <w:tr>
        <w:trPr/>
        <w:tc>
          <w:tcPr>
            <w:tcW w:w="4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590800" cy="175260"/>
                      <wp:effectExtent l="0" t="0" r="0" b="0"/>
                      <wp:wrapNone/>
                      <wp:docPr id="406" name="Frame403"/>
                      <a:graphic xmlns:a="http://schemas.openxmlformats.org/drawingml/2006/main">
                        <a:graphicData uri="http://schemas.microsoft.com/office/word/2010/wordprocessingShape">
                          <wps:wsp>
                            <wps:cNvSpPr txBox="1"/>
                            <wps:spPr>
                              <a:xfrm>
                                <a:off x="0" y="0"/>
                                <a:ext cx="2590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9710" cy="175260"/>
                      <wp:effectExtent l="0" t="0" r="0" b="0"/>
                      <wp:wrapNone/>
                      <wp:docPr id="407" name="Frame4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62610" cy="175260"/>
                      <wp:effectExtent l="0" t="0" r="0" b="0"/>
                      <wp:wrapNone/>
                      <wp:docPr id="408" name="Frame4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09"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91185" cy="175260"/>
                      <wp:effectExtent l="0" t="0" r="0" b="0"/>
                      <wp:wrapNone/>
                      <wp:docPr id="410" name="Frame4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1"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96900" cy="175260"/>
                      <wp:effectExtent l="0" t="0" r="0" b="0"/>
                      <wp:wrapNone/>
                      <wp:docPr id="412" name="Frame409"/>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19710" cy="175260"/>
                      <wp:effectExtent l="0" t="0" r="0" b="0"/>
                      <wp:wrapNone/>
                      <wp:docPr id="413"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10235" cy="175260"/>
                      <wp:effectExtent l="0" t="0" r="0" b="0"/>
                      <wp:wrapNone/>
                      <wp:docPr id="414" name="Frame41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15"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29895" cy="175260"/>
                      <wp:effectExtent l="0" t="0" r="0" b="0"/>
                      <wp:wrapNone/>
                      <wp:docPr id="416" name="Frame41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Computer </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46"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center"/>
              <w:rPr/>
            </w:pPr>
            <w:r>
              <w:rPr/>
              <w:t>​</w:t>
            </w:r>
          </w:p>
        </w:tc>
      </w:tr>
      <w:tr>
        <w:trPr/>
        <w:tc>
          <w:tcPr>
            <w:tcW w:w="40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center"/>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w:t>
            </w:r>
          </w:p>
        </w:tc>
        <w:tc>
          <w:tcPr>
            <w:tcW w:w="346" w:type="dxa"/>
            <w:tcBorders/>
            <w:vAlign w:val="center"/>
          </w:tcPr>
          <w:p>
            <w:pPr>
              <w:pStyle w:val="TableContents"/>
              <w:bidi w:val="0"/>
              <w:spacing w:before="0" w:after="1"/>
              <w:ind w:left="0" w:right="0" w:hanging="0"/>
              <w:jc w:val="center"/>
              <w:rPr/>
            </w:pPr>
            <w:r>
              <w:rPr/>
              <w:t>  ​ ​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Brand name</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w:t>
            </w:r>
          </w:p>
        </w:tc>
        <w:tc>
          <w:tcPr>
            <w:tcW w:w="346" w:type="dxa"/>
            <w:tcBorders/>
            <w:vAlign w:val="center"/>
          </w:tcPr>
          <w:p>
            <w:pPr>
              <w:pStyle w:val="TableContents"/>
              <w:bidi w:val="0"/>
              <w:spacing w:before="0" w:after="1"/>
              <w:ind w:left="0" w:right="0" w:hanging="0"/>
              <w:jc w:val="center"/>
              <w:rPr/>
            </w:pPr>
            <w:r>
              <w:rPr/>
              <w:t>  ​ ​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3,646</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3,647</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4,084</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7,245</w:t>
            </w:r>
          </w:p>
        </w:tc>
      </w:tr>
      <w:tr>
        <w:trPr/>
        <w:tc>
          <w:tcPr>
            <w:tcW w:w="40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Accumulated amortization and impairment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  ​</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3,712</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4,296</w:t>
            </w:r>
          </w:p>
        </w:tc>
      </w:tr>
      <w:tr>
        <w:trPr/>
        <w:tc>
          <w:tcPr>
            <w:tcW w:w="408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left"/>
              <w:rPr/>
            </w:pPr>
            <w:r>
              <w:rPr/>
              <w:t>​</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Carrying amount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  ​</w:t>
            </w:r>
          </w:p>
        </w:tc>
      </w:tr>
      <w:tr>
        <w:trPr/>
        <w:tc>
          <w:tcPr>
            <w:tcW w:w="408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As of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40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December 31, 2024</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4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0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46" w:type="dxa"/>
            <w:tcBorders/>
            <w:shd w:fill="CCEEFF" w:val="clear"/>
            <w:vAlign w:val="center"/>
          </w:tcPr>
          <w:p>
            <w:pPr>
              <w:pStyle w:val="TableContents"/>
              <w:bidi w:val="0"/>
              <w:spacing w:before="0" w:after="1"/>
              <w:ind w:left="0" w:right="0" w:hanging="0"/>
              <w:jc w:val="left"/>
              <w:rPr/>
            </w:pPr>
            <w:r>
              <w:rPr/>
              <w:t> </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2,949</w:t>
            </w:r>
          </w:p>
        </w:tc>
      </w:tr>
    </w:tbl>
    <w:p>
      <w:pPr>
        <w:pStyle w:val="TextBody"/>
        <w:bidi w:val="0"/>
        <w:spacing w:before="0" w:after="24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Amortization charges were expensed off in general and administrative expenses.</w:t>
      </w:r>
    </w:p>
    <w:p>
      <w:pPr>
        <w:pStyle w:val="TextBody"/>
        <w:bidi w:val="0"/>
        <w:spacing w:before="0" w:after="240"/>
        <w:ind w:left="720" w:right="0" w:hanging="0"/>
        <w:jc w:val="both"/>
        <w:rPr/>
      </w:pPr>
      <w:r>
        <w:rPr/>
        <w:t>​</w:t>
      </w:r>
    </w:p>
    <w:p>
      <w:pPr>
        <w:pStyle w:val="Normal"/>
        <w:bidi w:val="0"/>
        <w:spacing w:before="0" w:after="0"/>
        <w:jc w:val="left"/>
        <w:rPr>
          <w:sz w:val="4"/>
          <w:szCs w:val="4"/>
        </w:rPr>
      </w:pPr>
      <w:r>
        <w:rPr>
          <w:sz w:val="4"/>
          <w:szCs w:val="4"/>
        </w:rPr>
      </w:r>
      <w:bookmarkStart w:id="1805" w:name="Tc_TDW5VCH7pU27We2t_-OOwA_5_0"/>
      <w:bookmarkStart w:id="1806" w:name="Tc_wqb2THQlVkypMJformBTow_4_2"/>
      <w:bookmarkStart w:id="1807" w:name="Tc_xUtCrtcF3kqXhOzADzJrow_4_0"/>
      <w:bookmarkStart w:id="1808" w:name="Tc_ovXXaGxej0qmANbIzkPn9A_3_4"/>
      <w:bookmarkStart w:id="1809" w:name="Tc_uEXojayvLEOmXYLmYhe5fg_3_0"/>
      <w:bookmarkStart w:id="1810" w:name="Tc_d3_LbhKXgU-xkWflLbBX2g_2_6"/>
      <w:bookmarkStart w:id="1811" w:name="Tc_Oy4uCEn36EyeHq4RRbZQkQ_2_4"/>
      <w:bookmarkStart w:id="1812" w:name="Tc__jMm1Yc7wUqzFSyQ8_Vv9Q_2_2"/>
      <w:bookmarkStart w:id="1813" w:name="Tc_GQxmruqtA0GK_2ZK5Uty2A_1_4"/>
      <w:bookmarkStart w:id="1814" w:name="Tc_sKMmj_w9nUS-CQnEf1K32g_1_2"/>
      <w:bookmarkStart w:id="1815" w:name="Tc_TDW5VCH7pU27We2t_-OOwA_5_0"/>
      <w:bookmarkStart w:id="1816" w:name="Tc_wqb2THQlVkypMJformBTow_4_2"/>
      <w:bookmarkStart w:id="1817" w:name="Tc_xUtCrtcF3kqXhOzADzJrow_4_0"/>
      <w:bookmarkStart w:id="1818" w:name="Tc_ovXXaGxej0qmANbIzkPn9A_3_4"/>
      <w:bookmarkStart w:id="1819" w:name="Tc_uEXojayvLEOmXYLmYhe5fg_3_0"/>
      <w:bookmarkStart w:id="1820" w:name="Tc_d3_LbhKXgU-xkWflLbBX2g_2_6"/>
      <w:bookmarkStart w:id="1821" w:name="Tc_Oy4uCEn36EyeHq4RRbZQkQ_2_4"/>
      <w:bookmarkStart w:id="1822" w:name="Tc__jMm1Yc7wUqzFSyQ8_Vv9Q_2_2"/>
      <w:bookmarkStart w:id="1823" w:name="Tc_GQxmruqtA0GK_2ZK5Uty2A_1_4"/>
      <w:bookmarkStart w:id="1824" w:name="Tc_sKMmj_w9nUS-CQnEf1K32g_1_2"/>
      <w:bookmarkEnd w:id="1815"/>
      <w:bookmarkEnd w:id="1816"/>
      <w:bookmarkEnd w:id="1817"/>
      <w:bookmarkEnd w:id="1818"/>
      <w:bookmarkEnd w:id="1819"/>
      <w:bookmarkEnd w:id="1820"/>
      <w:bookmarkEnd w:id="1821"/>
      <w:bookmarkEnd w:id="1822"/>
      <w:bookmarkEnd w:id="1823"/>
      <w:bookmarkEnd w:id="1824"/>
    </w:p>
    <w:tbl>
      <w:tblPr>
        <w:tblW w:w="1307" w:type="dxa"/>
        <w:jc w:val="left"/>
        <w:tblInd w:w="0" w:type="dxa"/>
        <w:tblLayout w:type="fixed"/>
        <w:tblCellMar>
          <w:top w:w="0" w:type="dxa"/>
          <w:left w:w="0" w:type="dxa"/>
          <w:bottom w:w="0" w:type="dxa"/>
          <w:right w:w="0" w:type="dxa"/>
        </w:tblCellMar>
      </w:tblPr>
      <w:tblGrid>
        <w:gridCol w:w="376"/>
        <w:gridCol w:w="931"/>
      </w:tblGrid>
      <w:tr>
        <w:trPr/>
        <w:tc>
          <w:tcPr>
            <w:tcW w:w="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16.</w:t>
            </w:r>
          </w:p>
        </w:tc>
        <w:tc>
          <w:tcPr>
            <w:tcW w:w="93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Goodwill</w:t>
            </w:r>
          </w:p>
        </w:tc>
      </w:tr>
    </w:tbl>
    <w:p>
      <w:pPr>
        <w:pStyle w:val="TextBody"/>
        <w:bidi w:val="0"/>
        <w:spacing w:before="0" w:after="240"/>
        <w:ind w:left="72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4471"/>
        <w:gridCol w:w="406"/>
        <w:gridCol w:w="736"/>
        <w:gridCol w:w="346"/>
        <w:gridCol w:w="676"/>
        <w:gridCol w:w="346"/>
        <w:gridCol w:w="78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839085" cy="175260"/>
                      <wp:effectExtent l="0" t="0" r="0" b="0"/>
                      <wp:wrapNone/>
                      <wp:docPr id="417" name="Frame41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57810" cy="175260"/>
                      <wp:effectExtent l="0" t="0" r="0" b="0"/>
                      <wp:wrapNone/>
                      <wp:docPr id="418" name="Frame4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67360" cy="175260"/>
                      <wp:effectExtent l="0" t="0" r="0" b="0"/>
                      <wp:wrapNone/>
                      <wp:docPr id="419" name="Frame41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19710" cy="175260"/>
                      <wp:effectExtent l="0" t="0" r="0" b="0"/>
                      <wp:wrapNone/>
                      <wp:docPr id="420" name="Frame4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9260" cy="175260"/>
                      <wp:effectExtent l="0" t="0" r="0" b="0"/>
                      <wp:wrapNone/>
                      <wp:docPr id="421" name="Frame4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2"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23" name="Frame4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Sparrow</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iClick </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447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 xml:space="preserve">  ​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group</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group</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January 1, 2024 and December 31, 2024</w:t>
            </w:r>
          </w:p>
        </w:tc>
        <w:tc>
          <w:tcPr>
            <w:tcW w:w="40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16,735</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40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36,401</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36,401</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406" w:type="dxa"/>
            <w:tcBorders/>
            <w:shd w:fill="CCEEFF" w:val="clear"/>
            <w:vAlign w:val="center"/>
          </w:tcPr>
          <w:p>
            <w:pPr>
              <w:pStyle w:val="TableContents"/>
              <w:bidi w:val="0"/>
              <w:spacing w:before="0" w:after="1"/>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16,735</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36,401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53,136</w:t>
            </w:r>
          </w:p>
        </w:tc>
      </w:tr>
    </w:tbl>
    <w:p>
      <w:pPr>
        <w:pStyle w:val="TextBody"/>
        <w:bidi w:val="0"/>
        <w:spacing w:before="0" w:after="240"/>
        <w:ind w:left="72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Goodwill acquired in a business combination is allocated to the cash-generating unit (“CGU”) that is expected to benefit from the business combination. As of December 2025, goodwill is arising from the acquisition of Sparrow group and iClick group.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Group tests CGUs for impairment annually, or more frequently when there is an indication for impairment. The Group measured the recoverable amount of the CGUs based on the value-in-use (“VIU”) calculations by using the discounted cash flow method based on five-year financial projections approved by the directors.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November 2022, Amber Global Limited, a related party under common control ownership, acquired 100% shareholdings in Sparrow Holdings Pte. Limited and its subsidiaries (collectively, the “Sparrow Group”). As part of the reorganization exercise prior to the merger transaction, the entire issued and paid—up capital of Sparrow Group was transferred to Amber DWM in July 2024 and included in the Digital Assets Services and Solutions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1825" w:name="Tc_PcO4yUee-UClOT6NTuCyPA_7_7"/>
      <w:bookmarkStart w:id="1826" w:name="Tc_NkstB_4yfUuqX4WB37-AFA_7_4"/>
      <w:bookmarkStart w:id="1827" w:name="Tc_AdV5TWH34UiMIVFndVGJ6A_7_2"/>
      <w:bookmarkStart w:id="1828" w:name="Tc_eKB8cCOybkaLboWVaLh21w_7_0"/>
      <w:bookmarkStart w:id="1829" w:name="Tc_OULmT0cZP0WPsCS6GKn8fA_6_7"/>
      <w:bookmarkStart w:id="1830" w:name="Tc_qpso7kkrMkasaAEtvhQqaw_6_6"/>
      <w:bookmarkStart w:id="1831" w:name="Tc_nUyGVDFyhkGB_1ulFUIqTw_6_4"/>
      <w:bookmarkStart w:id="1832" w:name="Tc_czbOElBZ4k2CeFPp3gW4MQ_6_2"/>
      <w:bookmarkStart w:id="1833" w:name="Tc_xfWIOUnuZkSnDT7nxt4KPA_6_0"/>
      <w:bookmarkStart w:id="1834" w:name="Tc_MYW0yl15bEC2sWgOoOGRpQ_5_7"/>
      <w:bookmarkStart w:id="1835" w:name="Tc_sNJPftMfNkqhpQmG4eqsIA_5_6"/>
      <w:bookmarkStart w:id="1836" w:name="Tc_DzsM3jrT6k-x_wPg2hijAA_5_4"/>
      <w:bookmarkStart w:id="1837" w:name="Tc_zf7att-9YUGKuFaCsYu9_Q_5_2"/>
      <w:bookmarkStart w:id="1838" w:name="Tc_wgsv0ZrHFki0XGZJG-jLww_5_0"/>
      <w:bookmarkStart w:id="1839" w:name="Tc_WQnD_Q_Gikq2FTH64BDbrQ_4_7"/>
      <w:bookmarkStart w:id="1840" w:name="Tc_ikmGqyYNck67fT2bGYz3CA_4_6"/>
      <w:bookmarkStart w:id="1841" w:name="Tc_VF53vSSqn0eghWPCsnFAAA_4_4"/>
      <w:bookmarkStart w:id="1842" w:name="Tc_k3QEkDSGFkGhXC9dCgKXVw_4_2"/>
      <w:bookmarkStart w:id="1843" w:name="Tc_h6fwPg93k0aMMqqIVDJjSA_4_0"/>
      <w:bookmarkStart w:id="1844" w:name="Tc_8FvtEAI4J0uwxnBeSDI5cA_3_6"/>
      <w:bookmarkStart w:id="1845" w:name="Tc_90H8lZaX00CPgIULB8mbVQ_3_4"/>
      <w:bookmarkStart w:id="1846" w:name="Tc_p1nPGeAR6UmDuZivHfkm1A_3_2"/>
      <w:bookmarkStart w:id="1847" w:name="Tc_ysXWtCKh_EOhzWs0dhUZHQ_2_4"/>
      <w:bookmarkStart w:id="1848" w:name="Tc_68soKce_pE-nectnRaEr1w_2_2"/>
      <w:bookmarkStart w:id="1849" w:name="Tc_aSWvY7tnzEWtvCpahNWAsA_1_2"/>
      <w:bookmarkStart w:id="1850" w:name="Tc_5CeKCYQie0SuIF_A2oNZVQ_7_7"/>
      <w:bookmarkStart w:id="1851" w:name="Tc_8gfoG5IhqEqRTmQd4leXtw_7_5"/>
      <w:bookmarkStart w:id="1852" w:name="Tc_fFm2PVcT3k26ZdDPV_UaOg_7_3"/>
      <w:bookmarkStart w:id="1853" w:name="Tc_2bUbDH_mB0qdMc9gx03igQ_7_0"/>
      <w:bookmarkStart w:id="1854" w:name="Tc_pPaya1C6cUuBBVceIbyP3A_6_7"/>
      <w:bookmarkStart w:id="1855" w:name="Tc__h5b5is-qkyLegxs5gOOJg_6_5"/>
      <w:bookmarkStart w:id="1856" w:name="Tc_iWpGVt-spEOADpx2r9M-2A_6_3"/>
      <w:bookmarkStart w:id="1857" w:name="Tc_bB7GrgVvgk-bglLwCNz6ZA_6_0"/>
      <w:bookmarkStart w:id="1858" w:name="Tc_JSH72lecLUeUQ2R8OpK72A_5_7"/>
      <w:bookmarkStart w:id="1859" w:name="Tc_KhUnGvaQAkWu_ROe9Vj1NA_5_5"/>
      <w:bookmarkStart w:id="1860" w:name="Tc_OSU_MTMzj0qNbzAshJLw0w_5_4"/>
      <w:bookmarkStart w:id="1861" w:name="Tc_lHihaiPHmEKroDECtoqlbg_5_3"/>
      <w:bookmarkStart w:id="1862" w:name="Tc_uEF5TkZIb0WI5kDVsjrz2A_5_2"/>
      <w:bookmarkStart w:id="1863" w:name="Tc_xpm2xQZ78kuuiDIu2ds-4g_5_0"/>
      <w:bookmarkStart w:id="1864" w:name="Tc_rE_BhngfeUieTJmzc54STg_4_7"/>
      <w:bookmarkStart w:id="1865" w:name="Tc_yMC9pJR0xUGYl5FtAyuBBw_4_6"/>
      <w:bookmarkStart w:id="1866" w:name="Tc_xFBexpTvzEeBXlAzWXrzVg_4_5"/>
      <w:bookmarkStart w:id="1867" w:name="Tc_cQsg0gd2ykOF__SWR6iovA_4_4"/>
      <w:bookmarkStart w:id="1868" w:name="Tc_x0rzLgcelEyPjACZQ4o_IA_4_3"/>
      <w:bookmarkStart w:id="1869" w:name="Tc_hbv-xsdrqUeCYWVlZa-NxQ_4_2"/>
      <w:bookmarkStart w:id="1870" w:name="Tc_aOnP3MsTF0qKckIdtPfVXw_4_0"/>
      <w:bookmarkStart w:id="1871" w:name="Tc_SDWcntmyR0GOZdHnMhHgSQ_3_6"/>
      <w:bookmarkStart w:id="1872" w:name="Tc_1-qSPa4oI0uyivgoDz-tOg_3_4"/>
      <w:bookmarkStart w:id="1873" w:name="Tc__w2p2CXBqkmSVVABSfHVqQ_3_2"/>
      <w:bookmarkStart w:id="1874" w:name="Tc_M6b7WXZrKkmiOJa1WA4rbw_2_4"/>
      <w:bookmarkStart w:id="1875" w:name="Tc_D4e-Mz1QNEmemJ6pQPJGyw_2_2"/>
      <w:bookmarkStart w:id="1876" w:name="Tc_QNvy7WPlR0WcSEMX7YmeZg_1_2"/>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r>
        <w:rPr>
          <w:rFonts w:ascii="Times New Roman;Times;serif" w:hAnsi="Times New Roman;Times;serif"/>
          <w:b/>
          <w:i w:val="false"/>
          <w:caps w:val="false"/>
          <w:smallCaps w:val="false"/>
          <w:sz w:val="20"/>
        </w:rPr>
        <w:t>16.</w:t>
      </w:r>
      <w:r>
        <w:rPr>
          <w:rFonts w:ascii="Times New Roman;Times;serif" w:hAnsi="Times New Roman;Times;serif"/>
          <w:b/>
          <w:sz w:val="20"/>
        </w:rPr>
        <w:t>Goodwill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key assumptions used by management for VIU calculations for Sparrow Group include:</w:t>
      </w:r>
    </w:p>
    <w:p>
      <w:pPr>
        <w:pStyle w:val="TextBody"/>
        <w:bidi w:val="0"/>
        <w:spacing w:before="0" w:after="0"/>
        <w:ind w:left="0" w:right="0" w:hanging="0"/>
        <w:jc w:val="left"/>
        <w:rPr/>
      </w:pPr>
      <w:r>
        <w:rPr/>
        <w:t>​</w:t>
      </w:r>
    </w:p>
    <w:tbl>
      <w:tblPr>
        <w:tblW w:w="6143" w:type="dxa"/>
        <w:jc w:val="left"/>
        <w:tblInd w:w="0" w:type="dxa"/>
        <w:tblLayout w:type="fixed"/>
        <w:tblCellMar>
          <w:top w:w="0" w:type="dxa"/>
          <w:left w:w="0" w:type="dxa"/>
          <w:bottom w:w="0" w:type="dxa"/>
          <w:right w:w="0" w:type="dxa"/>
        </w:tblCellMar>
      </w:tblPr>
      <w:tblGrid>
        <w:gridCol w:w="1816"/>
        <w:gridCol w:w="346"/>
        <w:gridCol w:w="991"/>
        <w:gridCol w:w="346"/>
        <w:gridCol w:w="1141"/>
        <w:gridCol w:w="346"/>
        <w:gridCol w:w="841"/>
        <w:gridCol w:w="31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153160" cy="175260"/>
                      <wp:effectExtent l="0" t="0" r="0" b="0"/>
                      <wp:wrapNone/>
                      <wp:docPr id="424" name="Frame42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25"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29285" cy="175260"/>
                      <wp:effectExtent l="0" t="0" r="0" b="0"/>
                      <wp:wrapNone/>
                      <wp:docPr id="426" name="Frame42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27"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24535" cy="175260"/>
                      <wp:effectExtent l="0" t="0" r="0" b="0"/>
                      <wp:wrapNone/>
                      <wp:docPr id="428" name="Frame42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19710" cy="175260"/>
                      <wp:effectExtent l="0" t="0" r="0" b="0"/>
                      <wp:wrapNone/>
                      <wp:docPr id="429"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34035" cy="175260"/>
                      <wp:effectExtent l="0" t="0" r="0" b="0"/>
                      <wp:wrapNone/>
                      <wp:docPr id="430" name="Frame42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0660" cy="175260"/>
                      <wp:effectExtent l="0" t="0" r="0" b="0"/>
                      <wp:wrapNone/>
                      <wp:docPr id="431" name="Frame4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right"/>
              <w:rPr/>
            </w:pPr>
            <w:r>
              <w:rPr/>
              <w:t>​</w:t>
            </w:r>
          </w:p>
        </w:tc>
        <w:tc>
          <w:tcPr>
            <w:tcW w:w="232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16" w:type="dxa"/>
            <w:tcBorders/>
            <w:vAlign w:val="center"/>
          </w:tcPr>
          <w:p>
            <w:pPr>
              <w:pStyle w:val="TableContents"/>
              <w:bidi w:val="0"/>
              <w:spacing w:before="0" w:after="1"/>
              <w:ind w:left="0" w:right="0" w:hanging="0"/>
              <w:jc w:val="left"/>
              <w:rPr/>
            </w:pPr>
            <w:r>
              <w:rPr/>
              <w:t> </w: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righ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righ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rate</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 - 41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 - 69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 - 22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margin</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 - 44.9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 - 49.7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Terminal growth rate</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Pre-tax discount rate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March 2025, the successful consummation of the merger with Amber DWM Holding Limited accounted for as a business combination, resulting in the recognition of US$36 million in goodwill in iClick group under the Online Advertising and SaaS Solutions segment. See Note 5.1 to the consolidated financial statements for details.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key assumptions used by management for VIU calculation for iClick group include:</w:t>
      </w:r>
    </w:p>
    <w:p>
      <w:pPr>
        <w:pStyle w:val="TextBody"/>
        <w:bidi w:val="0"/>
        <w:spacing w:before="0" w:after="240"/>
        <w:ind w:left="720" w:right="0" w:hanging="0"/>
        <w:jc w:val="both"/>
        <w:rPr/>
      </w:pPr>
      <w:r>
        <w:rPr/>
        <w:t>​</w:t>
      </w:r>
    </w:p>
    <w:tbl>
      <w:tblPr>
        <w:tblW w:w="5468" w:type="dxa"/>
        <w:jc w:val="left"/>
        <w:tblInd w:w="0" w:type="dxa"/>
        <w:tblLayout w:type="fixed"/>
        <w:tblCellMar>
          <w:top w:w="0" w:type="dxa"/>
          <w:left w:w="0" w:type="dxa"/>
          <w:bottom w:w="0" w:type="dxa"/>
          <w:right w:w="0" w:type="dxa"/>
        </w:tblCellMar>
      </w:tblPr>
      <w:tblGrid>
        <w:gridCol w:w="1816"/>
        <w:gridCol w:w="346"/>
        <w:gridCol w:w="901"/>
        <w:gridCol w:w="346"/>
        <w:gridCol w:w="466"/>
        <w:gridCol w:w="346"/>
        <w:gridCol w:w="841"/>
        <w:gridCol w:w="40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153160" cy="175260"/>
                      <wp:effectExtent l="0" t="0" r="0" b="0"/>
                      <wp:wrapNone/>
                      <wp:docPr id="432" name="Frame429"/>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33"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72135" cy="175260"/>
                      <wp:effectExtent l="0" t="0" r="0" b="0"/>
                      <wp:wrapNone/>
                      <wp:docPr id="434" name="Frame43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19710" cy="175260"/>
                      <wp:effectExtent l="0" t="0" r="0" b="0"/>
                      <wp:wrapNone/>
                      <wp:docPr id="435"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95910" cy="175260"/>
                      <wp:effectExtent l="0" t="0" r="0" b="0"/>
                      <wp:wrapNone/>
                      <wp:docPr id="436" name="Frame43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37" name="Frame4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34035" cy="175260"/>
                      <wp:effectExtent l="0" t="0" r="0" b="0"/>
                      <wp:wrapNone/>
                      <wp:docPr id="438" name="Frame4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57810" cy="175260"/>
                      <wp:effectExtent l="0" t="0" r="0" b="0"/>
                      <wp:wrapNone/>
                      <wp:docPr id="439" name="Frame43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left"/>
              <w:rPr/>
            </w:pPr>
            <w:r>
              <w:rPr/>
              <w:t>  ​ ​ ​</w:t>
            </w:r>
          </w:p>
        </w:tc>
        <w:tc>
          <w:tcPr>
            <w:tcW w:w="16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406" w:type="dxa"/>
            <w:tcBorders/>
            <w:vAlign w:val="center"/>
          </w:tcPr>
          <w:p>
            <w:pPr>
              <w:pStyle w:val="TableContents"/>
              <w:bidi w:val="0"/>
              <w:spacing w:before="0" w:after="1"/>
              <w:ind w:left="0" w:right="0" w:hanging="0"/>
              <w:jc w:val="left"/>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left"/>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rate</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 - 7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margin</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 - 70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Terminal growth rate</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Pre-tax discount rate</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77" w:name="Tc_ffBGX14sikKYUOOj0sc2Lw_14_4"/>
      <w:bookmarkStart w:id="1878" w:name="Tc_AYuKtgWqAU6wXM8hm1s68Q_14_2"/>
      <w:bookmarkStart w:id="1879" w:name="Tc_CNIU3GA_SEqGLTmMc1AASA_14_0"/>
      <w:bookmarkStart w:id="1880" w:name="Tc_m-2wUNo3K021pFJde0ONVg_13_0"/>
      <w:bookmarkStart w:id="1881" w:name="Tc_DxYp73yY3kCEop3Qh29QuA_11_2"/>
      <w:bookmarkStart w:id="1882" w:name="Tc_k0y9iwm_fkacvoh94jP_UA_11_0"/>
      <w:bookmarkStart w:id="1883" w:name="Tc_ADIlsHMebk-l1ACb27QdQQ_10_4"/>
      <w:bookmarkStart w:id="1884" w:name="Tc_sdSvIinksUCslCEHcT8ODw_10_0"/>
      <w:bookmarkStart w:id="1885" w:name="Tc_xY3iFgv0ZUGmP8leJkQUzQ_9_4"/>
      <w:bookmarkStart w:id="1886" w:name="Tc_GkSICtopskCxFWvuRG475Q_9_0"/>
      <w:bookmarkStart w:id="1887" w:name="Tc_nfPXaVSPOUGGdLM5DA1gfA_8_4"/>
      <w:bookmarkStart w:id="1888" w:name="Tc_ugmsiVmRIEGSr9rXkhgsXw_8_2"/>
      <w:bookmarkStart w:id="1889" w:name="Tc_DO9l87aJREeIlFTNM5GT1w_8_0"/>
      <w:bookmarkStart w:id="1890" w:name="Tc_pWU0xvC3DkSEy-Lbtn41fA_7_4"/>
      <w:bookmarkStart w:id="1891" w:name="Tc_RVHIjcnB00SZlwJ8On-fag_7_2"/>
      <w:bookmarkStart w:id="1892" w:name="Tc_AOARxaUONkuLx3i5KlFxpw_7_0"/>
      <w:bookmarkStart w:id="1893" w:name="Tc_SX3Yyag9ik2WjdHStgGx1A_6_2"/>
      <w:bookmarkStart w:id="1894" w:name="Tc_Wkj641H7Fk23NMdrKURqWg_6_0"/>
      <w:bookmarkStart w:id="1895" w:name="Tc_uej6cl1rIEaekkeYqRoU6A_5_0"/>
      <w:bookmarkStart w:id="1896" w:name="Tc_sEfvePLYUUu1dZYjF7WDQw_4_0"/>
      <w:bookmarkStart w:id="1897" w:name="Tc_OFhjQqMQ0kWvPA5nVcUmRQ_3_6"/>
      <w:bookmarkStart w:id="1898" w:name="Tc_8iPq79ngK0eMJ2aL0sM88w_3_4"/>
      <w:bookmarkStart w:id="1899" w:name="Tc_SgVbpO6v4UaCH_61CZetfQ_3_2"/>
      <w:bookmarkStart w:id="1900" w:name="Tc_A7T3nU_kJEScnU0g3Yzpjw_2_4"/>
      <w:bookmarkStart w:id="1901" w:name="Tc_g3KNMd66SEOcTpiI30_14Q_2_2"/>
      <w:bookmarkStart w:id="1902" w:name="Tc_Q03U1iR2wkGuuLlLIHIICg_1_2"/>
      <w:bookmarkStart w:id="1903" w:name="Tc_ffBGX14sikKYUOOj0sc2Lw_14_4"/>
      <w:bookmarkStart w:id="1904" w:name="Tc_AYuKtgWqAU6wXM8hm1s68Q_14_2"/>
      <w:bookmarkStart w:id="1905" w:name="Tc_CNIU3GA_SEqGLTmMc1AASA_14_0"/>
      <w:bookmarkStart w:id="1906" w:name="Tc_m-2wUNo3K021pFJde0ONVg_13_0"/>
      <w:bookmarkStart w:id="1907" w:name="Tc_DxYp73yY3kCEop3Qh29QuA_11_2"/>
      <w:bookmarkStart w:id="1908" w:name="Tc_k0y9iwm_fkacvoh94jP_UA_11_0"/>
      <w:bookmarkStart w:id="1909" w:name="Tc_ADIlsHMebk-l1ACb27QdQQ_10_4"/>
      <w:bookmarkStart w:id="1910" w:name="Tc_sdSvIinksUCslCEHcT8ODw_10_0"/>
      <w:bookmarkStart w:id="1911" w:name="Tc_xY3iFgv0ZUGmP8leJkQUzQ_9_4"/>
      <w:bookmarkStart w:id="1912" w:name="Tc_GkSICtopskCxFWvuRG475Q_9_0"/>
      <w:bookmarkStart w:id="1913" w:name="Tc_nfPXaVSPOUGGdLM5DA1gfA_8_4"/>
      <w:bookmarkStart w:id="1914" w:name="Tc_ugmsiVmRIEGSr9rXkhgsXw_8_2"/>
      <w:bookmarkStart w:id="1915" w:name="Tc_DO9l87aJREeIlFTNM5GT1w_8_0"/>
      <w:bookmarkStart w:id="1916" w:name="Tc_pWU0xvC3DkSEy-Lbtn41fA_7_4"/>
      <w:bookmarkStart w:id="1917" w:name="Tc_RVHIjcnB00SZlwJ8On-fag_7_2"/>
      <w:bookmarkStart w:id="1918" w:name="Tc_AOARxaUONkuLx3i5KlFxpw_7_0"/>
      <w:bookmarkStart w:id="1919" w:name="Tc_SX3Yyag9ik2WjdHStgGx1A_6_2"/>
      <w:bookmarkStart w:id="1920" w:name="Tc_Wkj641H7Fk23NMdrKURqWg_6_0"/>
      <w:bookmarkStart w:id="1921" w:name="Tc_uej6cl1rIEaekkeYqRoU6A_5_0"/>
      <w:bookmarkStart w:id="1922" w:name="Tc_sEfvePLYUUu1dZYjF7WDQw_4_0"/>
      <w:bookmarkStart w:id="1923" w:name="Tc_OFhjQqMQ0kWvPA5nVcUmRQ_3_6"/>
      <w:bookmarkStart w:id="1924" w:name="Tc_8iPq79ngK0eMJ2aL0sM88w_3_4"/>
      <w:bookmarkStart w:id="1925" w:name="Tc_SgVbpO6v4UaCH_61CZetfQ_3_2"/>
      <w:bookmarkStart w:id="1926" w:name="Tc_A7T3nU_kJEScnU0g3Yzpjw_2_4"/>
      <w:bookmarkStart w:id="1927" w:name="Tc_g3KNMd66SEOcTpiI30_14Q_2_2"/>
      <w:bookmarkStart w:id="1928" w:name="Tc_Q03U1iR2wkGuuLlLIHIICg_1_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p>
    <w:tbl>
      <w:tblPr>
        <w:tblW w:w="2811" w:type="dxa"/>
        <w:jc w:val="left"/>
        <w:tblInd w:w="0" w:type="dxa"/>
        <w:tblLayout w:type="fixed"/>
        <w:tblCellMar>
          <w:top w:w="0" w:type="dxa"/>
          <w:left w:w="0" w:type="dxa"/>
          <w:bottom w:w="0" w:type="dxa"/>
          <w:right w:w="0" w:type="dxa"/>
        </w:tblCellMar>
      </w:tblPr>
      <w:tblGrid>
        <w:gridCol w:w="124"/>
        <w:gridCol w:w="361"/>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17.</w:t>
            </w:r>
          </w:p>
        </w:tc>
        <w:tc>
          <w:tcPr>
            <w:tcW w:w="232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Trade and other payables</w:t>
            </w:r>
          </w:p>
        </w:tc>
      </w:tr>
    </w:tbl>
    <w:p>
      <w:pPr>
        <w:pStyle w:val="TextBody"/>
        <w:pBdr/>
        <w:bidi w:val="0"/>
        <w:spacing w:before="0" w:after="0"/>
        <w:ind w:left="40" w:right="0" w:hanging="605"/>
        <w:jc w:val="left"/>
        <w:rPr/>
      </w:pPr>
      <w:r>
        <w:rPr/>
        <w:t>​</w:t>
      </w:r>
    </w:p>
    <w:tbl>
      <w:tblPr>
        <w:tblW w:w="6682" w:type="dxa"/>
        <w:jc w:val="left"/>
        <w:tblInd w:w="0" w:type="dxa"/>
        <w:tblLayout w:type="fixed"/>
        <w:tblCellMar>
          <w:top w:w="0" w:type="dxa"/>
          <w:left w:w="0" w:type="dxa"/>
          <w:bottom w:w="0" w:type="dxa"/>
          <w:right w:w="0" w:type="dxa"/>
        </w:tblCellMar>
      </w:tblPr>
      <w:tblGrid>
        <w:gridCol w:w="3451"/>
        <w:gridCol w:w="346"/>
        <w:gridCol w:w="901"/>
        <w:gridCol w:w="346"/>
        <w:gridCol w:w="571"/>
        <w:gridCol w:w="346"/>
        <w:gridCol w:w="72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1385" cy="175260"/>
                      <wp:effectExtent l="0" t="0" r="0" b="0"/>
                      <wp:wrapNone/>
                      <wp:docPr id="440" name="Frame43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19710" cy="175260"/>
                      <wp:effectExtent l="0" t="0" r="0" b="0"/>
                      <wp:wrapNone/>
                      <wp:docPr id="441"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572135" cy="175260"/>
                      <wp:effectExtent l="0" t="0" r="0" b="0"/>
                      <wp:wrapNone/>
                      <wp:docPr id="442" name="Frame43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43" name="Frame4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62585" cy="175260"/>
                      <wp:effectExtent l="0" t="0" r="0" b="0"/>
                      <wp:wrapNone/>
                      <wp:docPr id="444" name="Frame4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45"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57835" cy="175260"/>
                      <wp:effectExtent l="0" t="0" r="0" b="0"/>
                      <wp:wrapNone/>
                      <wp:docPr id="446" name="Frame4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6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taxes payables</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deposit received from customers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w:t>
            </w:r>
          </w:p>
        </w:tc>
      </w:tr>
    </w:tbl>
    <w:p>
      <w:pPr>
        <w:pStyle w:val="TextBody"/>
        <w:pBdr/>
        <w:bidi w:val="0"/>
        <w:spacing w:before="0" w:after="0"/>
        <w:ind w:left="40" w:right="0" w:hanging="605"/>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Trade payables are unsecured and are usually paid within 30—90 days (2024: 30 days) of recognition. The carrying amounts of trade and other receivables approximate their fair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Normal"/>
        <w:bidi w:val="0"/>
        <w:spacing w:before="0" w:after="0"/>
        <w:jc w:val="left"/>
        <w:rPr>
          <w:sz w:val="4"/>
          <w:szCs w:val="4"/>
        </w:rPr>
      </w:pPr>
      <w:r>
        <w:rPr>
          <w:sz w:val="4"/>
          <w:szCs w:val="4"/>
        </w:rPr>
      </w:r>
      <w:bookmarkStart w:id="1929" w:name="Tc_8U5ySqDx8E-7k-dLZr3mdw_11_4"/>
      <w:bookmarkStart w:id="1930" w:name="Tc_yu9yFLUdIkORLmbGka1Y7A_11_2"/>
      <w:bookmarkStart w:id="1931" w:name="Tc_jQjW3oDVrEKoJE9hTnZffw_11_0"/>
      <w:bookmarkStart w:id="1932" w:name="Tc_N5onHO6poU6zk_6AdK0EWQ_10_4"/>
      <w:bookmarkStart w:id="1933" w:name="Tc_M-J49hw98k6-S6ETT_Vk7g_10_2"/>
      <w:bookmarkStart w:id="1934" w:name="Tc_73rApz4rN0WIz7Uh3tSxfg_10_0"/>
      <w:bookmarkStart w:id="1935" w:name="Tc_iVEYlL0q00Ge7gjr2Ft6KA_9_4"/>
      <w:bookmarkStart w:id="1936" w:name="Tc_5FpGAk7GrkSZqN1OSdJMuQ_9_2"/>
      <w:bookmarkStart w:id="1937" w:name="Tc_7Wl0zyugB02bDSHf6Q6jvw_9_0"/>
      <w:bookmarkStart w:id="1938" w:name="Tc_Se8zVleWdECzMKAiT_GCDg_8_4"/>
      <w:bookmarkStart w:id="1939" w:name="Tc_W0VAgqsEdUW56_m77GYS2g_8_2"/>
      <w:bookmarkStart w:id="1940" w:name="Tc_yMWwSND890mw3LmWguNpnA_8_0"/>
      <w:bookmarkStart w:id="1941" w:name="Tc_Kp1nKrYba0WMVXLii46EfA_7_0"/>
      <w:bookmarkStart w:id="1942" w:name="Tc_wRw2fvqJeUCT0O3pqOVeew_6_4"/>
      <w:bookmarkStart w:id="1943" w:name="Tc_pG6ahusFnk2Qj5C3G921jQ_6_2"/>
      <w:bookmarkStart w:id="1944" w:name="Tc_0Qgm3EoUwkqXIZ6HVoSb2g_6_0"/>
      <w:bookmarkStart w:id="1945" w:name="Tc_3Q9p2cJ890GjYogb_5gMkA_5_4"/>
      <w:bookmarkStart w:id="1946" w:name="Tc_Z3hgwaxBb0OAbm2Dfb5x-w_5_2"/>
      <w:bookmarkStart w:id="1947" w:name="Tc_ib8Fv-K1I024612Fwcnijw_5_0"/>
      <w:bookmarkStart w:id="1948" w:name="Tc_cfO7RR3nxE-3nE5iIkxnRA_4_0"/>
      <w:bookmarkStart w:id="1949" w:name="Tc_4EyfM5X_GEOhPZhp0YvzZw_3_6"/>
      <w:bookmarkStart w:id="1950" w:name="Tc_0oPWyk-x00S3hKaCpDysqQ_3_4"/>
      <w:bookmarkStart w:id="1951" w:name="Tc_qeaa2YM9tkKuliedxN0ctg_3_2"/>
      <w:bookmarkStart w:id="1952" w:name="Tc_hjrkzeV_BUuHlO8-XT6OsA_2_4"/>
      <w:bookmarkStart w:id="1953" w:name="Tc_Dqkfx6H5dkeOOSqcAhwdaw_2_2"/>
      <w:bookmarkStart w:id="1954" w:name="Tc_OIp38G30cEywfVBQeh5Wvg_1_2"/>
      <w:bookmarkStart w:id="1955" w:name="Tc_8U5ySqDx8E-7k-dLZr3mdw_11_4"/>
      <w:bookmarkStart w:id="1956" w:name="Tc_yu9yFLUdIkORLmbGka1Y7A_11_2"/>
      <w:bookmarkStart w:id="1957" w:name="Tc_jQjW3oDVrEKoJE9hTnZffw_11_0"/>
      <w:bookmarkStart w:id="1958" w:name="Tc_N5onHO6poU6zk_6AdK0EWQ_10_4"/>
      <w:bookmarkStart w:id="1959" w:name="Tc_M-J49hw98k6-S6ETT_Vk7g_10_2"/>
      <w:bookmarkStart w:id="1960" w:name="Tc_73rApz4rN0WIz7Uh3tSxfg_10_0"/>
      <w:bookmarkStart w:id="1961" w:name="Tc_iVEYlL0q00Ge7gjr2Ft6KA_9_4"/>
      <w:bookmarkStart w:id="1962" w:name="Tc_5FpGAk7GrkSZqN1OSdJMuQ_9_2"/>
      <w:bookmarkStart w:id="1963" w:name="Tc_7Wl0zyugB02bDSHf6Q6jvw_9_0"/>
      <w:bookmarkStart w:id="1964" w:name="Tc_Se8zVleWdECzMKAiT_GCDg_8_4"/>
      <w:bookmarkStart w:id="1965" w:name="Tc_W0VAgqsEdUW56_m77GYS2g_8_2"/>
      <w:bookmarkStart w:id="1966" w:name="Tc_yMWwSND890mw3LmWguNpnA_8_0"/>
      <w:bookmarkStart w:id="1967" w:name="Tc_Kp1nKrYba0WMVXLii46EfA_7_0"/>
      <w:bookmarkStart w:id="1968" w:name="Tc_wRw2fvqJeUCT0O3pqOVeew_6_4"/>
      <w:bookmarkStart w:id="1969" w:name="Tc_pG6ahusFnk2Qj5C3G921jQ_6_2"/>
      <w:bookmarkStart w:id="1970" w:name="Tc_0Qgm3EoUwkqXIZ6HVoSb2g_6_0"/>
      <w:bookmarkStart w:id="1971" w:name="Tc_3Q9p2cJ890GjYogb_5gMkA_5_4"/>
      <w:bookmarkStart w:id="1972" w:name="Tc_Z3hgwaxBb0OAbm2Dfb5x-w_5_2"/>
      <w:bookmarkStart w:id="1973" w:name="Tc_ib8Fv-K1I024612Fwcnijw_5_0"/>
      <w:bookmarkStart w:id="1974" w:name="Tc_cfO7RR3nxE-3nE5iIkxnRA_4_0"/>
      <w:bookmarkStart w:id="1975" w:name="Tc_4EyfM5X_GEOhPZhp0YvzZw_3_6"/>
      <w:bookmarkStart w:id="1976" w:name="Tc_0oPWyk-x00S3hKaCpDysqQ_3_4"/>
      <w:bookmarkStart w:id="1977" w:name="Tc_qeaa2YM9tkKuliedxN0ctg_3_2"/>
      <w:bookmarkStart w:id="1978" w:name="Tc_hjrkzeV_BUuHlO8-XT6OsA_2_4"/>
      <w:bookmarkStart w:id="1979" w:name="Tc_Dqkfx6H5dkeOOSqcAhwdaw_2_2"/>
      <w:bookmarkStart w:id="1980" w:name="Tc_OIp38G30cEywfVBQeh5Wvg_1_2"/>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p>
    <w:tbl>
      <w:tblPr>
        <w:tblW w:w="3846" w:type="dxa"/>
        <w:jc w:val="left"/>
        <w:tblInd w:w="0" w:type="dxa"/>
        <w:tblLayout w:type="fixed"/>
        <w:tblCellMar>
          <w:top w:w="0" w:type="dxa"/>
          <w:left w:w="0" w:type="dxa"/>
          <w:bottom w:w="0" w:type="dxa"/>
          <w:right w:w="0" w:type="dxa"/>
        </w:tblCellMar>
      </w:tblPr>
      <w:tblGrid>
        <w:gridCol w:w="124"/>
        <w:gridCol w:w="361"/>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17.</w:t>
            </w:r>
          </w:p>
        </w:tc>
        <w:tc>
          <w:tcPr>
            <w:tcW w:w="336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Trade and other payables (Continued)</w:t>
            </w:r>
          </w:p>
        </w:tc>
      </w:tr>
    </w:tbl>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Trade and other payables are denominated in the following currencies:</w:t>
      </w:r>
    </w:p>
    <w:p>
      <w:pPr>
        <w:pStyle w:val="TextBody"/>
        <w:bidi w:val="0"/>
        <w:spacing w:before="0" w:after="0"/>
        <w:ind w:left="720" w:right="0" w:hanging="0"/>
        <w:jc w:val="left"/>
        <w:rPr/>
      </w:pPr>
      <w:r>
        <w:rPr/>
        <w:t>​</w:t>
      </w:r>
    </w:p>
    <w:tbl>
      <w:tblPr>
        <w:tblW w:w="3937" w:type="dxa"/>
        <w:jc w:val="left"/>
        <w:tblInd w:w="0" w:type="dxa"/>
        <w:tblLayout w:type="fixed"/>
        <w:tblCellMar>
          <w:top w:w="0" w:type="dxa"/>
          <w:left w:w="0" w:type="dxa"/>
          <w:bottom w:w="0" w:type="dxa"/>
          <w:right w:w="0" w:type="dxa"/>
        </w:tblCellMar>
      </w:tblPr>
      <w:tblGrid>
        <w:gridCol w:w="646"/>
        <w:gridCol w:w="346"/>
        <w:gridCol w:w="901"/>
        <w:gridCol w:w="346"/>
        <w:gridCol w:w="571"/>
        <w:gridCol w:w="346"/>
        <w:gridCol w:w="78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10210" cy="175260"/>
                      <wp:effectExtent l="0" t="0" r="0" b="0"/>
                      <wp:wrapNone/>
                      <wp:docPr id="447" name="Frame44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48"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72135" cy="175260"/>
                      <wp:effectExtent l="0" t="0" r="0" b="0"/>
                      <wp:wrapNone/>
                      <wp:docPr id="449" name="Frame4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0"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62585" cy="175260"/>
                      <wp:effectExtent l="0" t="0" r="0" b="0"/>
                      <wp:wrapNone/>
                      <wp:docPr id="451" name="Frame4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2"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95935" cy="175260"/>
                      <wp:effectExtent l="0" t="0" r="0" b="0"/>
                      <wp:wrapNone/>
                      <wp:docPr id="453" name="Frame4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HK$</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6,651</w:t>
            </w:r>
          </w:p>
        </w:tc>
      </w:tr>
      <w:tr>
        <w:trPr/>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RMB</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SGD</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r>
      <w:tr>
        <w:trPr/>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6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81" w:name="Tc_AfFaHXzFkUSFWwozKBY6mg_6_0"/>
      <w:bookmarkStart w:id="1982" w:name="Tc_MgTJ0t8wV0uJbI_84hMCRg_5_4"/>
      <w:bookmarkStart w:id="1983" w:name="Tc_JZIVFi_eZ0KP2IHX6_HWXw_5_2"/>
      <w:bookmarkStart w:id="1984" w:name="Tc_XjPZARIPgE68yf9IFEyQpQ_5_0"/>
      <w:bookmarkStart w:id="1985" w:name="Tc_G07LYMfiPkWAYidjjcXCAg_4_0"/>
      <w:bookmarkStart w:id="1986" w:name="Tc_Z2M6fMKyg0G8UHzHefuyCA_3_6"/>
      <w:bookmarkStart w:id="1987" w:name="Tc_Qvbs1lv_c0C3Qnes02lK5g_3_4"/>
      <w:bookmarkStart w:id="1988" w:name="Tc_tpBf5VlEiUOFlWgMFIjrDg_3_2"/>
      <w:bookmarkStart w:id="1989" w:name="Tc_k28OsSjv-kSYYp1DYcGuCw_2_4"/>
      <w:bookmarkStart w:id="1990" w:name="Tc_lRnfw--2dkyqgOOwaZxanQ_2_2"/>
      <w:bookmarkStart w:id="1991" w:name="Tc_3CH6YCcnxUWG-dlWfyzlGQ_1_2"/>
      <w:bookmarkEnd w:id="1981"/>
      <w:bookmarkEnd w:id="1982"/>
      <w:bookmarkEnd w:id="1983"/>
      <w:bookmarkEnd w:id="1984"/>
      <w:bookmarkEnd w:id="1985"/>
      <w:bookmarkEnd w:id="1986"/>
      <w:bookmarkEnd w:id="1987"/>
      <w:bookmarkEnd w:id="1988"/>
      <w:bookmarkEnd w:id="1989"/>
      <w:bookmarkEnd w:id="1990"/>
      <w:bookmarkEnd w:id="1991"/>
      <w:r>
        <w:rPr>
          <w:rFonts w:ascii="Times New Roman;Times;serif" w:hAnsi="Times New Roman;Times;serif"/>
          <w:b/>
          <w:i w:val="false"/>
          <w:caps w:val="false"/>
          <w:smallCaps w:val="false"/>
          <w:sz w:val="20"/>
        </w:rPr>
        <w:t>18.</w:t>
      </w:r>
      <w:r>
        <w:rPr>
          <w:rFonts w:ascii="Times New Roman;Times;serif" w:hAnsi="Times New Roman;Times;serif"/>
          <w:b/>
          <w:sz w:val="20"/>
        </w:rPr>
        <w:t>Liabilities due to customers</w:t>
      </w:r>
    </w:p>
    <w:p>
      <w:pPr>
        <w:pStyle w:val="TextBody"/>
        <w:bidi w:val="0"/>
        <w:spacing w:before="0" w:after="240"/>
        <w:ind w:left="0" w:right="0" w:hanging="0"/>
        <w:jc w:val="both"/>
        <w:rPr/>
      </w:pPr>
      <w:r>
        <w:rPr/>
        <w:t>​</w:t>
      </w:r>
    </w:p>
    <w:tbl>
      <w:tblPr>
        <w:tblW w:w="5107" w:type="dxa"/>
        <w:jc w:val="left"/>
        <w:tblInd w:w="0" w:type="dxa"/>
        <w:tblLayout w:type="fixed"/>
        <w:tblCellMar>
          <w:top w:w="0" w:type="dxa"/>
          <w:left w:w="0" w:type="dxa"/>
          <w:bottom w:w="0" w:type="dxa"/>
          <w:right w:w="0" w:type="dxa"/>
        </w:tblCellMar>
      </w:tblPr>
      <w:tblGrid>
        <w:gridCol w:w="1711"/>
        <w:gridCol w:w="346"/>
        <w:gridCol w:w="901"/>
        <w:gridCol w:w="346"/>
        <w:gridCol w:w="676"/>
        <w:gridCol w:w="346"/>
        <w:gridCol w:w="78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086485" cy="175260"/>
                      <wp:effectExtent l="0" t="0" r="0" b="0"/>
                      <wp:wrapNone/>
                      <wp:docPr id="454" name="Frame45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55"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72135" cy="175260"/>
                      <wp:effectExtent l="0" t="0" r="0" b="0"/>
                      <wp:wrapNone/>
                      <wp:docPr id="456" name="Frame45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57" name="Frame4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29260" cy="175260"/>
                      <wp:effectExtent l="0" t="0" r="0" b="0"/>
                      <wp:wrapNone/>
                      <wp:docPr id="458" name="Frame4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59"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95935" cy="175260"/>
                      <wp:effectExtent l="0" t="0" r="0" b="0"/>
                      <wp:wrapNone/>
                      <wp:docPr id="460" name="Frame4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Structured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44,797</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Fund investment </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16,133</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r>
      <w:tr>
        <w:trPr/>
        <w:tc>
          <w:tcPr>
            <w:tcW w:w="1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13,867</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71,523</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61,351</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Liabilities due to customers mainly related to proceeds received from customers who purchased cryptocurrency-denominated products, which represent fixed/variable interest cryptocurrency deposited on the “Amber Premium SG” platform (formerly known as “Sparrow”) operated by the Group.</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These deposits are not protected by any insurance and are unsecured. The cryptocurrency-denominated products are structured products, which consist of the following two categories: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Structured products without option element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Upon maturity, customers receive the same quantity and same type of cryptocurrency, plus additional interest returns. These products have fixed terms ranging from 31 to 366 days, with annual interest rates ranging from 0.75% to 8.50%.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Structured products with option element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Upon maturity, if the strike price is triggered, customers will receive a different type of cryptocurrency, with the quantity determined by dividing the original cryptocurrency amount by the strike price, plus additional interest returns on the received cryptocurrency; if the strike price is not triggered, customers receive the same quantity and same type of cryptocurrency, plus additional interest returns. These products have fixed terms ranging from 1 to 110 days, with annual interest rates ranging from 0.31% to 286.31%.</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deposit and interest will be deposited to customers’ accounts on the same date upon maturity of cryptocurrency-denominated products, and customers will be able to withdraw on demand.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1992" w:name="Tc_1UBlLadQ-k-nMr25JDYAyw_11_4"/>
      <w:bookmarkStart w:id="1993" w:name="Tc_DjwyfaY-AUm-D2uSfqVCyg_11_2"/>
      <w:bookmarkStart w:id="1994" w:name="Tc_5WlsHSgNnUavW2WIY0lYeA_11_0"/>
      <w:bookmarkStart w:id="1995" w:name="Tc_E62vmKWTakGiSp9b84pg4A_10_2"/>
      <w:bookmarkStart w:id="1996" w:name="Tc_nH1rLQL670SOkV9UEzQjnw_10_0"/>
      <w:bookmarkStart w:id="1997" w:name="Tc_vUm-ZZLc_kmO1aJXSpQ-UQ_9_0"/>
      <w:bookmarkStart w:id="1998" w:name="Tc_1rsd_RKzMUC4nOwcflTi3Q_8_0"/>
      <w:bookmarkStart w:id="1999" w:name="Tc_VLwdbnmDL0eER2n-Vh9C4Q_7_6"/>
      <w:bookmarkStart w:id="2000" w:name="Tc_5n6E0SaOxEiCuMDBkB8TRA_7_4"/>
      <w:bookmarkStart w:id="2001" w:name="Tc_fA5vUmmgBEW-lWvnRi2k4A_7_0"/>
      <w:bookmarkStart w:id="2002" w:name="Tc_oPBkC_GE0EmMzdgfkhUI1A_6_4"/>
      <w:bookmarkStart w:id="2003" w:name="Tc_zYcIi8G_Mk6cDeVDJcoL1g_6_2"/>
      <w:bookmarkStart w:id="2004" w:name="Tc_9igYVOt7FkyDRIY1-zFpzg_6_0"/>
      <w:bookmarkStart w:id="2005" w:name="Tc_QY4apsz4dk2s0A09CbuCdg_5_0"/>
      <w:bookmarkStart w:id="2006" w:name="Tc_iL4lVFl2S0--4iDnyxmp-g_4_0"/>
      <w:bookmarkStart w:id="2007" w:name="Tc_Kfali_TFokqKFMkSYhERRg_3_6"/>
      <w:bookmarkStart w:id="2008" w:name="Tc_MH_TfBzANkS_q_A0Ai6dHw_3_4"/>
      <w:bookmarkStart w:id="2009" w:name="Tc_D1enQEy6VUe3J5hJSkHotQ_3_2"/>
      <w:bookmarkStart w:id="2010" w:name="Tc_4h0spCs1mEiAlHdhWzQNHQ_2_4"/>
      <w:bookmarkStart w:id="2011" w:name="Tc_v1RlYtWzF0SmNpOvoH_uBQ_2_2"/>
      <w:bookmarkStart w:id="2012" w:name="Tc_pEXanbgEFUuzOLLgxIb6NA_1_2"/>
      <w:bookmarkStart w:id="2013" w:name="_ecb99312_fbc5_4639_8c40_02a315c336ba"/>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r>
        <w:rPr>
          <w:rFonts w:ascii="Times New Roman;Times;serif" w:hAnsi="Times New Roman;Times;serif"/>
          <w:b/>
          <w:i w:val="false"/>
          <w:caps w:val="false"/>
          <w:smallCaps w:val="false"/>
          <w:sz w:val="20"/>
        </w:rPr>
        <w:t>18.</w:t>
      </w:r>
      <w:r>
        <w:rPr>
          <w:rFonts w:ascii="Times New Roman;Times;serif" w:hAnsi="Times New Roman;Times;serif"/>
          <w:b/>
          <w:sz w:val="20"/>
        </w:rPr>
        <w:t>Liabilities due to customers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addition to the cryptocurrency-denominated products described above, liabilities due to customers also include approximately US$16 million representing funds deposited by customers for which the Group acts as a nominee in making fund investments on behalf of its customers. These investments are presented as “Fund Investments” in Note 11 and are measured at fair value through profit or loss. The investment term does not exceed one year. Correspondingly, these customer liabilities have been designated at fair value through profit or loss, with changes in fair value recognised in profit or loss to eliminate an accounting mismatch that would otherwise arise from measuring the related fund investments at fair value.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Liabilities due to customers are denominated in the following cryptocurrencies:</w:t>
      </w:r>
    </w:p>
    <w:p>
      <w:pPr>
        <w:pStyle w:val="TextBody"/>
        <w:bidi w:val="0"/>
        <w:spacing w:before="0" w:after="240"/>
        <w:ind w:left="720" w:right="0" w:hanging="0"/>
        <w:jc w:val="both"/>
        <w:rPr/>
      </w:pPr>
      <w:r>
        <w:rPr/>
        <w:t>​</w:t>
      </w:r>
    </w:p>
    <w:tbl>
      <w:tblPr>
        <w:tblW w:w="7222" w:type="dxa"/>
        <w:jc w:val="left"/>
        <w:tblInd w:w="0" w:type="dxa"/>
        <w:tblLayout w:type="fixed"/>
        <w:tblCellMar>
          <w:top w:w="0" w:type="dxa"/>
          <w:left w:w="0" w:type="dxa"/>
          <w:bottom w:w="0" w:type="dxa"/>
          <w:right w:w="0" w:type="dxa"/>
        </w:tblCellMar>
      </w:tblPr>
      <w:tblGrid>
        <w:gridCol w:w="3826"/>
        <w:gridCol w:w="346"/>
        <w:gridCol w:w="901"/>
        <w:gridCol w:w="346"/>
        <w:gridCol w:w="676"/>
        <w:gridCol w:w="346"/>
        <w:gridCol w:w="78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429510" cy="175260"/>
                      <wp:effectExtent l="0" t="0" r="0" b="0"/>
                      <wp:wrapNone/>
                      <wp:docPr id="461" name="Frame45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2" name="Frame4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72135" cy="175260"/>
                      <wp:effectExtent l="0" t="0" r="0" b="0"/>
                      <wp:wrapNone/>
                      <wp:docPr id="463" name="Frame4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64"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29260" cy="175260"/>
                      <wp:effectExtent l="0" t="0" r="0" b="0"/>
                      <wp:wrapNone/>
                      <wp:docPr id="465" name="Frame4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66"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95935" cy="175260"/>
                      <wp:effectExtent l="0" t="0" r="0" b="0"/>
                      <wp:wrapNone/>
                      <wp:docPr id="467" name="Frame4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44,446</w:t>
            </w:r>
          </w:p>
        </w:tc>
        <w:tc>
          <w:tcPr>
            <w:tcW w:w="346"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16,212</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3,893</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3,444</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7,881</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16,134</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 (Note)</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15,418</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4,187</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7,835</w:t>
            </w:r>
          </w:p>
        </w:tc>
      </w:tr>
      <w:tr>
        <w:trPr/>
        <w:tc>
          <w:tcPr>
            <w:tcW w:w="38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 Dollar Stablecoin (“XSGD”) (Note)</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6,876</w:t>
            </w:r>
          </w:p>
        </w:tc>
      </w:tr>
      <w:tr>
        <w:trPr/>
        <w:tc>
          <w:tcPr>
            <w:tcW w:w="38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2,226</w:t>
            </w:r>
          </w:p>
        </w:tc>
      </w:tr>
      <w:tr>
        <w:trPr/>
        <w:tc>
          <w:tcPr>
            <w:tcW w:w="3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13,867</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71,523</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61,351</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XSGD is Singapore’s stablecoin, pegged to the SGD on a 1:1 basis and fully backed by reserve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14" w:name="Tc_PgbPbL2oxUeJ65fzwxEUmw_6_4"/>
      <w:bookmarkStart w:id="2015" w:name="Tc_XBTRJnNut0q9VA0c-MJT1w_6_2"/>
      <w:bookmarkStart w:id="2016" w:name="Tc_Q0V4I0EIMkO8QIRq3tSL3w_5_4"/>
      <w:bookmarkStart w:id="2017" w:name="Tc_SW95IlWTh0aoOUnZ9vLozA_5_2"/>
      <w:bookmarkStart w:id="2018" w:name="Tc_VgKqHOHRV0yY7bPcmy0hwg_5_0"/>
      <w:bookmarkStart w:id="2019" w:name="Tc_TGviVws6oEetpZ11dKtzWQ_4_4"/>
      <w:bookmarkStart w:id="2020" w:name="Tc_CFvaYpicb0i3p8wsc-FC4Q_4_2"/>
      <w:bookmarkStart w:id="2021" w:name="Tc_fIFW2XEQ9UiyE8bPkmelEw_4_0"/>
      <w:bookmarkStart w:id="2022" w:name="Tc_xj0vBO_bW0-QAaRFrann_Q_3_6"/>
      <w:bookmarkStart w:id="2023" w:name="Tc_08m7aSIU002JPjEoy0C6pg_3_4"/>
      <w:bookmarkStart w:id="2024" w:name="Tc_XhWm4G4gVEurXPOYmX9UGQ_3_2"/>
      <w:bookmarkStart w:id="2025" w:name="Tc_z3WkKQiaA0KFPJ6UfE7-WQ_2_4"/>
      <w:bookmarkStart w:id="2026" w:name="Tc_8kCpwYcjQEGBeP5do2mLPw_2_2"/>
      <w:bookmarkStart w:id="2027" w:name="Tc_7KfN2Yy8O0-phFwME5HbCQ_1_2"/>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r>
        <w:rPr>
          <w:rFonts w:ascii="Times New Roman;Times;serif" w:hAnsi="Times New Roman;Times;serif"/>
          <w:b/>
          <w:i w:val="false"/>
          <w:caps w:val="false"/>
          <w:smallCaps w:val="false"/>
          <w:sz w:val="20"/>
        </w:rPr>
        <w:t>19.</w:t>
      </w:r>
      <w:r>
        <w:rPr>
          <w:rFonts w:ascii="Times New Roman;Times;serif" w:hAnsi="Times New Roman;Times;serif"/>
          <w:b/>
          <w:sz w:val="20"/>
        </w:rPr>
        <w:t>Contract liabilities</w:t>
      </w:r>
    </w:p>
    <w:p>
      <w:pPr>
        <w:pStyle w:val="TextBody"/>
        <w:bidi w:val="0"/>
        <w:spacing w:before="0" w:after="0"/>
        <w:ind w:left="0" w:right="0" w:hanging="0"/>
        <w:jc w:val="left"/>
        <w:rPr/>
      </w:pPr>
      <w:r>
        <w:rPr/>
        <w:t>​</w:t>
      </w:r>
    </w:p>
    <w:tbl>
      <w:tblPr>
        <w:tblW w:w="6363" w:type="dxa"/>
        <w:jc w:val="left"/>
        <w:tblInd w:w="0" w:type="dxa"/>
        <w:tblLayout w:type="fixed"/>
        <w:tblCellMar>
          <w:top w:w="0" w:type="dxa"/>
          <w:left w:w="0" w:type="dxa"/>
          <w:bottom w:w="0" w:type="dxa"/>
          <w:right w:w="0" w:type="dxa"/>
        </w:tblCellMar>
      </w:tblPr>
      <w:tblGrid>
        <w:gridCol w:w="3166"/>
        <w:gridCol w:w="346"/>
        <w:gridCol w:w="901"/>
        <w:gridCol w:w="346"/>
        <w:gridCol w:w="502"/>
        <w:gridCol w:w="373"/>
        <w:gridCol w:w="729"/>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10410" cy="175260"/>
                      <wp:effectExtent l="0" t="0" r="0" b="0"/>
                      <wp:wrapNone/>
                      <wp:docPr id="468" name="Frame46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69"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72135" cy="175260"/>
                      <wp:effectExtent l="0" t="0" r="0" b="0"/>
                      <wp:wrapNone/>
                      <wp:docPr id="470" name="Frame46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1" name="Frame4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18770" cy="175260"/>
                      <wp:effectExtent l="0" t="0" r="0" b="0"/>
                      <wp:wrapNone/>
                      <wp:docPr id="472" name="Frame469"/>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36855" cy="175260"/>
                      <wp:effectExtent l="0" t="0" r="0" b="0"/>
                      <wp:wrapNone/>
                      <wp:docPr id="473" name="Frame470"/>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62915" cy="175260"/>
                      <wp:effectExtent l="0" t="0" r="0" b="0"/>
                      <wp:wrapNone/>
                      <wp:docPr id="474" name="Frame47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0"/>
              <w:ind w:left="0" w:right="0" w:hanging="0"/>
              <w:jc w:val="center"/>
              <w:rPr/>
            </w:pPr>
            <w:r>
              <w:rPr/>
              <w:t>​</w:t>
            </w:r>
          </w:p>
        </w:tc>
        <w:tc>
          <w:tcPr>
            <w:tcW w:w="502" w:type="dxa"/>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0"/>
              <w:ind w:left="0" w:right="0" w:hanging="0"/>
              <w:jc w:val="center"/>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December 31, </w:t>
            </w:r>
          </w:p>
        </w:tc>
      </w:tr>
      <w:tr>
        <w:trPr/>
        <w:tc>
          <w:tcPr>
            <w:tcW w:w="3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5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3" w:type="dxa"/>
            <w:tcBorders/>
            <w:vAlign w:val="center"/>
          </w:tcPr>
          <w:p>
            <w:pPr>
              <w:pStyle w:val="TableContents"/>
              <w:bidi w:val="0"/>
              <w:spacing w:before="0" w:after="0"/>
              <w:ind w:left="0" w:right="0" w:hanging="0"/>
              <w:jc w:val="center"/>
              <w:rPr/>
            </w:pPr>
            <w:r>
              <w:rPr/>
              <w:t>  ​ ​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Advertisement placement service fees</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8,371</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service fees</w:t>
            </w:r>
          </w:p>
        </w:tc>
        <w:tc>
          <w:tcPr>
            <w:tcW w:w="346"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1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8,575</w:t>
            </w:r>
          </w:p>
        </w:tc>
      </w:tr>
    </w:tbl>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Contract liabilities mainly represents contract liabilities in relation to the service fees prepaid by customers for advertisement placement and digital assets services, for which the related services had not been rendered as at December 31, 2025.</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sz w:val="20"/>
        </w:rPr>
        <w:t xml:space="preserve">Contract liabilities increased significantly as a result of the completion of the merger transaction. See Note 5.1 to the consolidated financial statements for details. Among the balance merged from iClick group, US$151 was recognized as revenue during the year ended December 31, 2025 that was capitalised from prior periods.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Management expects that the transaction price allocated to the remaining performance obligation (unsatisfied or partially unsatisfied) as of December 31, 2025 of US$10,164 (2024: US$nil) will be recognized as revenue within the next twelve months.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sz w:val="20"/>
        </w:rPr>
      </w:pPr>
      <w:bookmarkStart w:id="2028" w:name="Tc_7mhlxnBmh0ersusoWvYKzA_4_0"/>
      <w:bookmarkStart w:id="2029" w:name="Tc_h52vyTs5nE6E_dP8Zfd8Ug_3_0"/>
      <w:bookmarkStart w:id="2030" w:name="Tc_oG1pGQ-KOUmNAcwQUxHqNw_2_6"/>
      <w:bookmarkStart w:id="2031" w:name="Tc_49dn8_gayEyvo6BZqXH6pw_2_4"/>
      <w:bookmarkStart w:id="2032" w:name="Tc_uuVVp8BKm0m0Dc1-1bRi3w_2_2"/>
      <w:bookmarkStart w:id="2033" w:name="Tc_d6KwK44O4EajaB0A4Vf_jg_1_2"/>
      <w:bookmarkStart w:id="2034" w:name="Tc_iEteIgQkIEGOQtt6pKErGA_10_2"/>
      <w:bookmarkStart w:id="2035" w:name="Tc_Avm34PEEpEGAeCf9hFAIxA_9_2"/>
      <w:bookmarkStart w:id="2036" w:name="Tc_One7tzMQr0OWHnvUu56-Kw_9_0"/>
      <w:bookmarkStart w:id="2037" w:name="Tc_UxCzjS4dFkeWKAQvCRZGlg_8_2"/>
      <w:bookmarkStart w:id="2038" w:name="Tc_TIPgtWYaHUisU8-xLKbaWQ_8_0"/>
      <w:bookmarkStart w:id="2039" w:name="Tc_hCgwrmeEukGD2atribZbAA_7_0"/>
      <w:bookmarkStart w:id="2040" w:name="Tc_5CHLcVeyxkyZt_BD11esWA_6_2"/>
      <w:bookmarkStart w:id="2041" w:name="Tc_IhNGpRp9mk2Mymt0zGQnmQ_5_2"/>
      <w:bookmarkStart w:id="2042" w:name="Tc_g-ZQkV5hdU28-eCQzYIijw_5_0"/>
      <w:bookmarkStart w:id="2043" w:name="Tc_ytKV3YI6b0qJEztzT2e5gw_4_0"/>
      <w:bookmarkStart w:id="2044" w:name="Tc_TTW6mXO-W0qDiTEZeDc7WA_3_6"/>
      <w:bookmarkStart w:id="2045" w:name="Tc_oAKZFdZBUUizadtDLVobXQ_3_4"/>
      <w:bookmarkStart w:id="2046" w:name="Tc_DkYenkJ2d06NAKQFYDFhUA_3_2"/>
      <w:bookmarkStart w:id="2047" w:name="Tc_e81-QcbPTk62KWFqoI4mXA_2_4"/>
      <w:bookmarkStart w:id="2048" w:name="Tc_2LW6ENpPI0Wd7bdEglOs3g_2_2"/>
      <w:bookmarkStart w:id="2049" w:name="Tc_JaPM7W22MEi94ZR0MZAugA_1_2"/>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r>
        <w:rPr>
          <w:rFonts w:ascii="Times New Roman;Times;serif" w:hAnsi="Times New Roman;Times;serif"/>
          <w:b/>
          <w:i w:val="false"/>
          <w:caps w:val="false"/>
          <w:smallCaps w:val="false"/>
          <w:sz w:val="20"/>
        </w:rPr>
        <w:t>20.</w:t>
      </w:r>
      <w:r>
        <w:rPr>
          <w:rFonts w:ascii="Times New Roman;Times;serif" w:hAnsi="Times New Roman;Times;serif"/>
          <w:b/>
          <w:sz w:val="20"/>
        </w:rPr>
        <w:t>Right-of-use assets and lease liabilities</w:t>
      </w:r>
    </w:p>
    <w:p>
      <w:pPr>
        <w:pStyle w:val="TextBody"/>
        <w:bidi w:val="0"/>
        <w:spacing w:before="0" w:after="0"/>
        <w:ind w:left="0" w:right="0" w:hanging="0"/>
        <w:jc w:val="left"/>
        <w:rPr/>
      </w:pPr>
      <w:r>
        <w:rPr/>
        <w:t>​</w:t>
      </w:r>
    </w:p>
    <w:tbl>
      <w:tblPr>
        <w:tblW w:w="6396" w:type="dxa"/>
        <w:jc w:val="left"/>
        <w:tblInd w:w="0" w:type="dxa"/>
        <w:tblLayout w:type="fixed"/>
        <w:tblCellMar>
          <w:top w:w="28" w:type="dxa"/>
          <w:left w:w="28" w:type="dxa"/>
          <w:bottom w:w="28" w:type="dxa"/>
          <w:right w:w="28" w:type="dxa"/>
        </w:tblCellMar>
      </w:tblPr>
      <w:tblGrid>
        <w:gridCol w:w="124"/>
        <w:gridCol w:w="31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recognized in the consolidated statement of financial position</w:t>
            </w:r>
          </w:p>
        </w:tc>
      </w:tr>
    </w:tbl>
    <w:p>
      <w:pPr>
        <w:pStyle w:val="TextBody"/>
        <w:pBdr/>
        <w:bidi w:val="0"/>
        <w:spacing w:before="0" w:after="240"/>
        <w:ind w:left="720" w:right="0" w:hanging="720"/>
        <w:jc w:val="both"/>
        <w:rPr/>
      </w:pPr>
      <w:r>
        <w:rPr/>
        <w:t>​</w:t>
      </w:r>
    </w:p>
    <w:tbl>
      <w:tblPr>
        <w:tblW w:w="4819" w:type="dxa"/>
        <w:jc w:val="left"/>
        <w:tblInd w:w="0" w:type="dxa"/>
        <w:tblLayout w:type="fixed"/>
        <w:tblCellMar>
          <w:top w:w="0" w:type="dxa"/>
          <w:left w:w="0" w:type="dxa"/>
          <w:bottom w:w="0" w:type="dxa"/>
          <w:right w:w="0" w:type="dxa"/>
        </w:tblCellMar>
      </w:tblPr>
      <w:tblGrid>
        <w:gridCol w:w="1666"/>
        <w:gridCol w:w="346"/>
        <w:gridCol w:w="901"/>
        <w:gridCol w:w="346"/>
        <w:gridCol w:w="488"/>
        <w:gridCol w:w="362"/>
        <w:gridCol w:w="710"/>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057910" cy="175260"/>
                      <wp:effectExtent l="0" t="0" r="0" b="0"/>
                      <wp:wrapNone/>
                      <wp:docPr id="475" name="Frame47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76"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72135" cy="175260"/>
                      <wp:effectExtent l="0" t="0" r="0" b="0"/>
                      <wp:wrapNone/>
                      <wp:docPr id="477" name="Frame4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78"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09880" cy="175260"/>
                      <wp:effectExtent l="0" t="0" r="0" b="0"/>
                      <wp:wrapNone/>
                      <wp:docPr id="479" name="Frame47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29870" cy="175260"/>
                      <wp:effectExtent l="0" t="0" r="0" b="0"/>
                      <wp:wrapNone/>
                      <wp:docPr id="480" name="Frame47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50850" cy="175260"/>
                      <wp:effectExtent l="0" t="0" r="0" b="0"/>
                      <wp:wrapNone/>
                      <wp:docPr id="481" name="Frame478"/>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488" w:type="dxa"/>
            <w:tcBorders/>
            <w:vAlign w:val="center"/>
          </w:tcPr>
          <w:p>
            <w:pPr>
              <w:pStyle w:val="TableContents"/>
              <w:bidi w:val="0"/>
              <w:spacing w:before="0" w:after="1"/>
              <w:ind w:left="0" w:right="0" w:hanging="0"/>
              <w:jc w:val="center"/>
              <w:rPr/>
            </w:pPr>
            <w:r>
              <w:rPr/>
              <w:t>​</w:t>
            </w:r>
          </w:p>
        </w:tc>
        <w:tc>
          <w:tcPr>
            <w:tcW w:w="362" w:type="dxa"/>
            <w:tcBorders/>
            <w:vAlign w:val="center"/>
          </w:tcPr>
          <w:p>
            <w:pPr>
              <w:pStyle w:val="TableContents"/>
              <w:bidi w:val="0"/>
              <w:spacing w:before="0" w:after="1"/>
              <w:ind w:left="0" w:right="0" w:hanging="0"/>
              <w:jc w:val="center"/>
              <w:rPr/>
            </w:pPr>
            <w:r>
              <w:rPr/>
              <w:t>​</w:t>
            </w:r>
          </w:p>
        </w:tc>
        <w:tc>
          <w:tcPr>
            <w:tcW w:w="710" w:type="dxa"/>
            <w:tcBorders/>
            <w:vAlign w:val="center"/>
          </w:tcPr>
          <w:p>
            <w:pPr>
              <w:pStyle w:val="TableContents"/>
              <w:bidi w:val="0"/>
              <w:spacing w:before="0" w:after="1"/>
              <w:ind w:left="0" w:right="0" w:hanging="0"/>
              <w:jc w:val="center"/>
              <w:rPr/>
            </w:pPr>
            <w:r>
              <w:rPr/>
              <w:t>​</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6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4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1"/>
              <w:ind w:left="0" w:right="0" w:hanging="0"/>
              <w:jc w:val="center"/>
              <w:rPr/>
            </w:pPr>
            <w:r>
              <w:rPr/>
              <w:t>  ​ ​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Right-of-use assets</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488" w:type="dxa"/>
            <w:tcBorders/>
            <w:shd w:fill="CCEEFF" w:val="clear"/>
            <w:vAlign w:val="center"/>
          </w:tcPr>
          <w:p>
            <w:pPr>
              <w:pStyle w:val="TableContents"/>
              <w:bidi w:val="0"/>
              <w:spacing w:before="0" w:after="1"/>
              <w:ind w:left="0" w:right="0" w:hanging="0"/>
              <w:jc w:val="center"/>
              <w:rPr/>
            </w:pPr>
            <w:r>
              <w:rPr/>
              <w:t>​</w:t>
            </w:r>
          </w:p>
        </w:tc>
        <w:tc>
          <w:tcPr>
            <w:tcW w:w="362" w:type="dxa"/>
            <w:tcBorders/>
            <w:shd w:fill="CCEEFF" w:val="clear"/>
            <w:vAlign w:val="center"/>
          </w:tcPr>
          <w:p>
            <w:pPr>
              <w:pStyle w:val="TableContents"/>
              <w:bidi w:val="0"/>
              <w:spacing w:before="0" w:after="1"/>
              <w:ind w:left="0" w:right="0" w:hanging="0"/>
              <w:jc w:val="center"/>
              <w:rPr/>
            </w:pPr>
            <w:r>
              <w:rPr/>
              <w:t>​</w:t>
            </w:r>
          </w:p>
        </w:tc>
        <w:tc>
          <w:tcPr>
            <w:tcW w:w="710" w:type="dxa"/>
            <w:tcBorders/>
            <w:shd w:fill="CCEEFF" w:val="clear"/>
            <w:vAlign w:val="center"/>
          </w:tcPr>
          <w:p>
            <w:pPr>
              <w:pStyle w:val="TableContents"/>
              <w:bidi w:val="0"/>
              <w:spacing w:before="0" w:after="1"/>
              <w:ind w:left="0" w:right="0" w:hanging="0"/>
              <w:jc w:val="center"/>
              <w:rPr/>
            </w:pPr>
            <w:r>
              <w:rPr/>
              <w:t>  ​</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Offices</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62" w:type="dxa"/>
            <w:tcBorders/>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62" w:type="dxa"/>
            <w:tcBorders/>
            <w:shd w:fill="CCEEFF" w:val="clear"/>
            <w:vAlign w:val="center"/>
          </w:tcPr>
          <w:p>
            <w:pPr>
              <w:pStyle w:val="TableContents"/>
              <w:bidi w:val="0"/>
              <w:spacing w:before="0" w:after="1"/>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liabilities</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488" w:type="dxa"/>
            <w:tcBorders/>
            <w:vAlign w:val="center"/>
          </w:tcPr>
          <w:p>
            <w:pPr>
              <w:pStyle w:val="TableContents"/>
              <w:bidi w:val="0"/>
              <w:spacing w:before="0" w:after="1"/>
              <w:ind w:left="0" w:right="0" w:hanging="0"/>
              <w:jc w:val="right"/>
              <w:rPr/>
            </w:pPr>
            <w:r>
              <w:rPr/>
              <w:t>  ​</w:t>
            </w:r>
          </w:p>
        </w:tc>
        <w:tc>
          <w:tcPr>
            <w:tcW w:w="362"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pPr>
            <w:r>
              <w:rPr/>
              <w:t>  ​</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62"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4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62" w:type="dxa"/>
            <w:tcBorders/>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r>
      <w:tr>
        <w:trPr/>
        <w:tc>
          <w:tcPr>
            <w:tcW w:w="16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4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w:t>
            </w:r>
          </w:p>
        </w:tc>
        <w:tc>
          <w:tcPr>
            <w:tcW w:w="362" w:type="dxa"/>
            <w:tcBorders/>
            <w:shd w:fill="CCEEFF" w:val="clear"/>
            <w:vAlign w:val="center"/>
          </w:tcPr>
          <w:p>
            <w:pPr>
              <w:pStyle w:val="TableContents"/>
              <w:bidi w:val="0"/>
              <w:spacing w:before="0" w:after="1"/>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1,589</w:t>
            </w:r>
          </w:p>
        </w:tc>
      </w:tr>
    </w:tbl>
    <w:p>
      <w:pPr>
        <w:pStyle w:val="TextBody"/>
        <w:bidi w:val="0"/>
        <w:spacing w:before="0" w:after="240"/>
        <w:ind w:left="720" w:right="0" w:hanging="0"/>
        <w:jc w:val="both"/>
        <w:rPr/>
      </w:pPr>
      <w:r>
        <w:rPr/>
        <w:t>​</w:t>
      </w:r>
    </w:p>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Additions to the right-of-use assets during the year were US$1,613 (2024: US$724), out of which US$1,480 was contributed from the business combination discussed in Note 5.1 to the consolidated financial statements.</w:t>
      </w:r>
    </w:p>
    <w:tbl>
      <w:tblPr>
        <w:tblW w:w="5916" w:type="dxa"/>
        <w:jc w:val="left"/>
        <w:tblInd w:w="0" w:type="dxa"/>
        <w:tblLayout w:type="fixed"/>
        <w:tblCellMar>
          <w:top w:w="28" w:type="dxa"/>
          <w:left w:w="28" w:type="dxa"/>
          <w:bottom w:w="28" w:type="dxa"/>
          <w:right w:w="28" w:type="dxa"/>
        </w:tblCellMar>
      </w:tblPr>
      <w:tblGrid>
        <w:gridCol w:w="124"/>
        <w:gridCol w:w="331"/>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recognized in the consolidated statement of profit or loss</w:t>
            </w:r>
          </w:p>
        </w:tc>
      </w:tr>
    </w:tbl>
    <w:p>
      <w:pPr>
        <w:pStyle w:val="TextBody"/>
        <w:bidi w:val="0"/>
        <w:spacing w:before="0" w:after="240"/>
        <w:ind w:left="720" w:right="0" w:hanging="0"/>
        <w:jc w:val="both"/>
        <w:rPr/>
      </w:pPr>
      <w:r>
        <w:rPr/>
        <w:t>​</w:t>
      </w:r>
    </w:p>
    <w:tbl>
      <w:tblPr>
        <w:tblW w:w="7245" w:type="dxa"/>
        <w:jc w:val="left"/>
        <w:tblInd w:w="0" w:type="dxa"/>
        <w:tblLayout w:type="fixed"/>
        <w:tblCellMar>
          <w:top w:w="0" w:type="dxa"/>
          <w:left w:w="0" w:type="dxa"/>
          <w:bottom w:w="0" w:type="dxa"/>
          <w:right w:w="0" w:type="dxa"/>
        </w:tblCellMar>
      </w:tblPr>
      <w:tblGrid>
        <w:gridCol w:w="4276"/>
        <w:gridCol w:w="346"/>
        <w:gridCol w:w="572"/>
        <w:gridCol w:w="425"/>
        <w:gridCol w:w="572"/>
        <w:gridCol w:w="425"/>
        <w:gridCol w:w="629"/>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715260" cy="175260"/>
                      <wp:effectExtent l="0" t="0" r="0" b="0"/>
                      <wp:wrapNone/>
                      <wp:docPr id="482" name="Frame47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83"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63220" cy="175260"/>
                      <wp:effectExtent l="0" t="0" r="0" b="0"/>
                      <wp:wrapNone/>
                      <wp:docPr id="484" name="Frame481"/>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69875" cy="175260"/>
                      <wp:effectExtent l="0" t="0" r="0" b="0"/>
                      <wp:wrapNone/>
                      <wp:docPr id="485" name="Frame482"/>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63220" cy="175260"/>
                      <wp:effectExtent l="0" t="0" r="0" b="0"/>
                      <wp:wrapNone/>
                      <wp:docPr id="486" name="Frame48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69875" cy="175260"/>
                      <wp:effectExtent l="0" t="0" r="0" b="0"/>
                      <wp:wrapNone/>
                      <wp:docPr id="487" name="Frame48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99415" cy="175260"/>
                      <wp:effectExtent l="0" t="0" r="0" b="0"/>
                      <wp:wrapNone/>
                      <wp:docPr id="488" name="Frame485"/>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2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5" w:type="dxa"/>
            <w:tcBorders/>
            <w:vAlign w:val="center"/>
          </w:tcPr>
          <w:p>
            <w:pPr>
              <w:pStyle w:val="TableContents"/>
              <w:bidi w:val="0"/>
              <w:spacing w:before="0" w:after="1"/>
              <w:ind w:left="0" w:right="0" w:hanging="0"/>
              <w:jc w:val="center"/>
              <w:rPr/>
            </w:pPr>
            <w:r>
              <w:rPr/>
              <w:t>  ​ ​ ​</w:t>
            </w:r>
          </w:p>
        </w:tc>
        <w:tc>
          <w:tcPr>
            <w:tcW w:w="5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5" w:type="dxa"/>
            <w:tcBorders/>
            <w:vAlign w:val="center"/>
          </w:tcPr>
          <w:p>
            <w:pPr>
              <w:pStyle w:val="TableContents"/>
              <w:bidi w:val="0"/>
              <w:spacing w:before="0" w:after="1"/>
              <w:ind w:left="0" w:right="0" w:hanging="0"/>
              <w:jc w:val="center"/>
              <w:rPr/>
            </w:pPr>
            <w:r>
              <w:rPr/>
              <w:t>  ​ ​ ​</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charge of right-of-use assets (Note 24)</w:t>
            </w:r>
          </w:p>
        </w:tc>
        <w:tc>
          <w:tcPr>
            <w:tcW w:w="346" w:type="dxa"/>
            <w:tcBorders/>
            <w:shd w:fill="CCEEFF" w:val="clear"/>
            <w:vAlign w:val="center"/>
          </w:tcPr>
          <w:p>
            <w:pPr>
              <w:pStyle w:val="TableContents"/>
              <w:bidi w:val="0"/>
              <w:spacing w:before="0" w:after="1"/>
              <w:ind w:left="0" w:right="0" w:hanging="0"/>
              <w:jc w:val="left"/>
              <w:rPr/>
            </w:pPr>
            <w:r>
              <w:rPr/>
              <w:t> </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425" w:type="dxa"/>
            <w:tcBorders/>
            <w:shd w:fill="CCEEFF" w:val="clear"/>
            <w:vAlign w:val="center"/>
          </w:tcPr>
          <w:p>
            <w:pPr>
              <w:pStyle w:val="TableContents"/>
              <w:bidi w:val="0"/>
              <w:spacing w:before="0" w:after="1"/>
              <w:ind w:left="0" w:right="0" w:hanging="0"/>
              <w:jc w:val="left"/>
              <w:rPr/>
            </w:pPr>
            <w:r>
              <w:rPr/>
              <w:t> </w:t>
            </w:r>
          </w:p>
        </w:tc>
        <w:tc>
          <w:tcPr>
            <w:tcW w:w="5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25" w:type="dxa"/>
            <w:tcBorders/>
            <w:shd w:fill="CCEEFF" w:val="clear"/>
            <w:vAlign w:val="center"/>
          </w:tcPr>
          <w:p>
            <w:pPr>
              <w:pStyle w:val="TableContents"/>
              <w:bidi w:val="0"/>
              <w:spacing w:before="0" w:after="1"/>
              <w:ind w:left="0" w:right="0" w:hanging="0"/>
              <w:jc w:val="left"/>
              <w:rPr/>
            </w:pPr>
            <w:r>
              <w:rPr/>
              <w:t> </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(Note 25)</w:t>
            </w:r>
          </w:p>
        </w:tc>
        <w:tc>
          <w:tcPr>
            <w:tcW w:w="346" w:type="dxa"/>
            <w:tcBorders/>
            <w:vAlign w:val="center"/>
          </w:tcPr>
          <w:p>
            <w:pPr>
              <w:pStyle w:val="TableContents"/>
              <w:bidi w:val="0"/>
              <w:spacing w:before="0" w:after="1"/>
              <w:ind w:left="0" w:right="0" w:hanging="0"/>
              <w:jc w:val="left"/>
              <w:rPr/>
            </w:pPr>
            <w:r>
              <w:rPr/>
              <w:t> </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25" w:type="dxa"/>
            <w:tcBorders/>
            <w:vAlign w:val="center"/>
          </w:tcPr>
          <w:p>
            <w:pPr>
              <w:pStyle w:val="TableContents"/>
              <w:bidi w:val="0"/>
              <w:spacing w:before="0" w:after="1"/>
              <w:ind w:left="0" w:right="0" w:hanging="0"/>
              <w:jc w:val="left"/>
              <w:rPr/>
            </w:pPr>
            <w:r>
              <w:rPr/>
              <w:t> </w:t>
            </w:r>
          </w:p>
        </w:tc>
        <w:tc>
          <w:tcPr>
            <w:tcW w:w="5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25" w:type="dxa"/>
            <w:tcBorders/>
            <w:vAlign w:val="center"/>
          </w:tcPr>
          <w:p>
            <w:pPr>
              <w:pStyle w:val="TableContents"/>
              <w:bidi w:val="0"/>
              <w:spacing w:before="0" w:after="1"/>
              <w:ind w:left="0" w:right="0" w:hanging="0"/>
              <w:jc w:val="left"/>
              <w:rPr/>
            </w:pPr>
            <w:r>
              <w:rPr/>
              <w:t> </w:t>
            </w:r>
          </w:p>
        </w:tc>
        <w:tc>
          <w:tcPr>
            <w:tcW w:w="629"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720" w:right="0" w:hanging="0"/>
        <w:jc w:val="both"/>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Total cash outflow for leases during the period was US$796 (2024: US$11).</w:t>
      </w:r>
    </w:p>
    <w:tbl>
      <w:tblPr>
        <w:tblW w:w="5496" w:type="dxa"/>
        <w:jc w:val="left"/>
        <w:tblInd w:w="0" w:type="dxa"/>
        <w:tblLayout w:type="fixed"/>
        <w:tblCellMar>
          <w:top w:w="28" w:type="dxa"/>
          <w:left w:w="28" w:type="dxa"/>
          <w:bottom w:w="28" w:type="dxa"/>
          <w:right w:w="28" w:type="dxa"/>
        </w:tblCellMar>
      </w:tblPr>
      <w:tblGrid>
        <w:gridCol w:w="124"/>
        <w:gridCol w:w="31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leasing activities and how leases are account for</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Company has operating leases primarily for office and operation space. The lease term is generally specified in lease agreements, however certain agreements provide for lease term extensions or early termination options. The lease terms of the Company’s operating leases generally ranged from 12 to 36 months (2024: 36 months).</w:t>
      </w:r>
    </w:p>
    <w:p>
      <w:pPr>
        <w:pStyle w:val="TextBody"/>
        <w:bidi w:val="0"/>
        <w:spacing w:before="0" w:after="24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As of December 31, 2025, lease liabilities were discounted using the incremental borrowing rates ranging from 3.26% to 5.03% (2024: 3.37%).</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80"/>
        <w:ind w:left="0" w:right="0" w:hanging="0"/>
        <w:jc w:val="left"/>
        <w:rPr>
          <w:rFonts w:ascii="Times New Roman;Times;serif" w:hAnsi="Times New Roman;Times;serif"/>
          <w:sz w:val="20"/>
        </w:rPr>
      </w:pPr>
      <w:bookmarkStart w:id="2050" w:name="Tc_Q_SgUhc7EE-6mc7T5bW5VA_11_0"/>
      <w:bookmarkStart w:id="2051" w:name="Tc_AoK_lZjV1kGdYVyQ2ZG_Mg_10_8"/>
      <w:bookmarkStart w:id="2052" w:name="Tc_JbZXwSiNEUy-61-7ev3bRw_10_0"/>
      <w:bookmarkStart w:id="2053" w:name="Tc_izkq29mxvkq13hSYLABrbw_9_8"/>
      <w:bookmarkStart w:id="2054" w:name="Tc_1wJbJf-H7Ei62v0QkC2hHw_9_6"/>
      <w:bookmarkStart w:id="2055" w:name="Tc_hin6O9D2y0-7_FHlFu5LGA_9_4"/>
      <w:bookmarkStart w:id="2056" w:name="Tc_ZGBXWY37-0KN1xFfHQELNg_9_0"/>
      <w:bookmarkStart w:id="2057" w:name="Tc_EFkbkejczkaDMjpNl2X1Jg_8_6"/>
      <w:bookmarkStart w:id="2058" w:name="Tc_Ci1hZcxaU0ePbOhFCSsvvg_8_4"/>
      <w:bookmarkStart w:id="2059" w:name="Tc_8SrmubJEdE2RK45yv6fBGA_8_0"/>
      <w:bookmarkStart w:id="2060" w:name="Tc_R3TmV7ptnUqSDeTimE1K1g_7_4"/>
      <w:bookmarkStart w:id="2061" w:name="Tc_ArUyzUa6_Uy-7mJBi1cuLw_7_2"/>
      <w:bookmarkStart w:id="2062" w:name="Tc_EdOTHAp0MUiRq4P53JNLwA_7_0"/>
      <w:bookmarkStart w:id="2063" w:name="Tc_PvaMOViiw0yl4cpNXSB_yQ_6_0"/>
      <w:bookmarkStart w:id="2064" w:name="Tc_4ZxMp4NsZ0Om8XVEuTgSYg_5_8"/>
      <w:bookmarkStart w:id="2065" w:name="Tc_aGHRFYJw8UGpsUYc0uL22w_5_0"/>
      <w:bookmarkStart w:id="2066" w:name="Tc_SycfM830MUGCbVDdNkfnzA_4_8"/>
      <w:bookmarkStart w:id="2067" w:name="Tc_RP9IkyoYQk2wzUyT1xZ6Lw_4_4"/>
      <w:bookmarkStart w:id="2068" w:name="Tc_4gka3RnnqUuc9zAwz3I9AQ_4_2"/>
      <w:bookmarkStart w:id="2069" w:name="Tc_kv5UpXw6O0SmGSuNNxj22g_4_0"/>
      <w:bookmarkStart w:id="2070" w:name="Tc_rXM6xJMhRkG8vOCQo82vyw_3_8"/>
      <w:bookmarkStart w:id="2071" w:name="Tc_lxfIh2WzaEOAknYH-qHyAg_3_0"/>
      <w:bookmarkStart w:id="2072" w:name="Tc_trvQ-b499E-AG7Q1TjPXyQ_2_8"/>
      <w:bookmarkStart w:id="2073" w:name="Tc_4F9X01n4GkGpWMq_tuz3lQ_2_6"/>
      <w:bookmarkStart w:id="2074" w:name="Tc_r7K1urVtZEGGvd0KjzgzlA_2_4"/>
      <w:bookmarkStart w:id="2075" w:name="Tc_s76jDSILOUWTWDzCWBP5_w_2_2"/>
      <w:bookmarkStart w:id="2076" w:name="Tc_gC1XLi9ACEa_Yj30F6mArQ_1_8"/>
      <w:bookmarkStart w:id="2077" w:name="Tc_O1C4DDx_LECjmD6cYCHBzg_1_6"/>
      <w:bookmarkStart w:id="2078" w:name="Tc_mXU5fUSFdk2S_orZO2GxvA_1_2"/>
      <w:bookmarkStart w:id="2079" w:name="_8adccfc8_18ab_47a1_8140_cc8314ff36a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r>
        <w:rPr>
          <w:rFonts w:ascii="Times New Roman;Times;serif" w:hAnsi="Times New Roman;Times;serif"/>
          <w:b/>
          <w:i w:val="false"/>
          <w:caps w:val="false"/>
          <w:smallCaps w:val="false"/>
          <w:sz w:val="20"/>
        </w:rPr>
        <w:t>21.</w:t>
      </w:r>
      <w:r>
        <w:rPr>
          <w:rFonts w:ascii="Times New Roman;Times;serif" w:hAnsi="Times New Roman;Times;serif"/>
          <w:b/>
          <w:sz w:val="20"/>
        </w:rPr>
        <w:t>Share capital</w:t>
      </w:r>
    </w:p>
    <w:p>
      <w:pPr>
        <w:pStyle w:val="TextBody"/>
        <w:bidi w:val="0"/>
        <w:spacing w:before="0" w:after="180"/>
        <w:ind w:left="720" w:right="0" w:hanging="0"/>
        <w:jc w:val="both"/>
        <w:rPr>
          <w:rFonts w:ascii="Times New Roman;Times;serif" w:hAnsi="Times New Roman;Times;serif"/>
          <w:i/>
          <w:sz w:val="20"/>
        </w:rPr>
      </w:pPr>
      <w:r>
        <w:rPr>
          <w:rFonts w:ascii="Times New Roman;Times;serif" w:hAnsi="Times New Roman;Times;serif"/>
          <w:i/>
          <w:sz w:val="20"/>
        </w:rPr>
        <w:t>Authorized:</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As of January 1, 2024 and December 31, 2024 and 2025, the authorized share capital of the Company is US$100,000 divided into 100,000,000 shares, comprising of (i) 80,000,000 Class A ordinary shares with a par value of US$0.001 each, and (ii) 20,000,000 Class B ordinary shares with a par value of US$0.001 each.</w:t>
      </w:r>
    </w:p>
    <w:p>
      <w:pPr>
        <w:pStyle w:val="TextBody"/>
        <w:bidi w:val="0"/>
        <w:spacing w:before="0" w:after="180"/>
        <w:ind w:left="720" w:right="0" w:hanging="0"/>
        <w:jc w:val="both"/>
        <w:rPr>
          <w:rFonts w:ascii="Times New Roman;Times;serif" w:hAnsi="Times New Roman;Times;serif"/>
          <w:i/>
          <w:sz w:val="20"/>
        </w:rPr>
      </w:pPr>
      <w:r>
        <w:rPr>
          <w:rFonts w:ascii="Times New Roman;Times;serif" w:hAnsi="Times New Roman;Times;serif"/>
          <w:i/>
          <w:sz w:val="20"/>
        </w:rPr>
        <w:t>Issued and fully paid:</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As of December 31, 2025, 435,143,020 Class A ordinary shares and 36,233,237 Class B ordinary shares were issued and fully paid by the Company. The holders of Class A ordinary shares shall have one vote in respect of each Class A ordinary share held, and is not convertible into Class B ordinary shares under any circumstances. The holders of Class B ordinary shares shall have twenty votes in respect of each Class B ordinary share held and are subject to automatic conversion into Class A ordinary shares when the beneficial ownership of Class B ordinary shares is transferred to persons who are not an affiliate of the holders of the Class B ordinary shares. During the year ended December 31, 2025, 5,034,420 Class B ordinary shares were converted to Class A ordinary shares.</w:t>
      </w:r>
    </w:p>
    <w:p>
      <w:pPr>
        <w:pStyle w:val="TextBody"/>
        <w:bidi w:val="0"/>
        <w:spacing w:before="0" w:after="180"/>
        <w:ind w:left="720" w:right="0" w:hanging="0"/>
        <w:jc w:val="both"/>
        <w:rPr>
          <w:rFonts w:ascii="Times New Roman;Times;serif" w:hAnsi="Times New Roman;Times;serif"/>
          <w:i/>
          <w:sz w:val="20"/>
        </w:rPr>
      </w:pPr>
      <w:r>
        <w:rPr>
          <w:rFonts w:ascii="Times New Roman;Times;serif" w:hAnsi="Times New Roman;Times;serif"/>
          <w:i/>
          <w:sz w:val="20"/>
        </w:rPr>
        <w:t>Share premium:</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Amount subscribed for share capital in excess of nominal value.</w:t>
      </w:r>
    </w:p>
    <w:p>
      <w:pPr>
        <w:pStyle w:val="TextBody"/>
        <w:bidi w:val="0"/>
        <w:spacing w:before="0" w:after="180"/>
        <w:ind w:left="720" w:right="0" w:hanging="0"/>
        <w:jc w:val="both"/>
        <w:rPr>
          <w:rFonts w:ascii="Times New Roman;Times;serif" w:hAnsi="Times New Roman;Times;serif"/>
          <w:i/>
          <w:sz w:val="20"/>
        </w:rPr>
      </w:pPr>
      <w:r>
        <w:rPr>
          <w:rFonts w:ascii="Times New Roman;Times;serif" w:hAnsi="Times New Roman;Times;serif"/>
          <w:i/>
          <w:sz w:val="20"/>
        </w:rPr>
        <w:t>Treasury shares:</w:t>
      </w:r>
    </w:p>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Company’s share acquired in open market.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15"/>
        <w:gridCol w:w="346"/>
        <w:gridCol w:w="1141"/>
        <w:gridCol w:w="346"/>
        <w:gridCol w:w="902"/>
        <w:gridCol w:w="346"/>
        <w:gridCol w:w="751"/>
        <w:gridCol w:w="346"/>
        <w:gridCol w:w="812"/>
      </w:tblGrid>
      <w:tr>
        <w:trPr/>
        <w:tc>
          <w:tcPr>
            <w:tcW w:w="5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311525" cy="175260"/>
                      <wp:effectExtent l="0" t="0" r="0" b="0"/>
                      <wp:wrapNone/>
                      <wp:docPr id="489" name="Frame486"/>
                      <a:graphic xmlns:a="http://schemas.openxmlformats.org/drawingml/2006/main">
                        <a:graphicData uri="http://schemas.microsoft.com/office/word/2010/wordprocessingShape">
                          <wps:wsp>
                            <wps:cNvSpPr txBox="1"/>
                            <wps:spPr>
                              <a:xfrm>
                                <a:off x="0" y="0"/>
                                <a:ext cx="3311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0"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724535" cy="175260"/>
                      <wp:effectExtent l="0" t="0" r="0" b="0"/>
                      <wp:wrapNone/>
                      <wp:docPr id="491" name="Frame48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2"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72770" cy="175260"/>
                      <wp:effectExtent l="0" t="0" r="0" b="0"/>
                      <wp:wrapNone/>
                      <wp:docPr id="493" name="Frame490"/>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19710" cy="175260"/>
                      <wp:effectExtent l="0" t="0" r="0" b="0"/>
                      <wp:wrapNone/>
                      <wp:docPr id="494" name="Frame4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476885" cy="175260"/>
                      <wp:effectExtent l="0" t="0" r="0" b="0"/>
                      <wp:wrapNone/>
                      <wp:docPr id="495" name="Frame492"/>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496"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15620" cy="175260"/>
                      <wp:effectExtent l="0" t="0" r="0" b="0"/>
                      <wp:wrapNone/>
                      <wp:docPr id="497" name="Frame49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Share </w:t>
            </w:r>
          </w:p>
        </w:tc>
        <w:tc>
          <w:tcPr>
            <w:tcW w:w="346"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r>
      <w:tr>
        <w:trPr/>
        <w:tc>
          <w:tcPr>
            <w:tcW w:w="52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capital</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1"/>
              <w:ind w:left="0" w:right="0" w:hanging="0"/>
              <w:jc w:val="left"/>
              <w:rPr/>
            </w:pPr>
            <w:r>
              <w:rPr/>
              <w:t>  ​ ​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5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48,063,019</w:t>
            </w:r>
          </w:p>
        </w:tc>
        <w:tc>
          <w:tcPr>
            <w:tcW w:w="346"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w:t>
            </w:r>
          </w:p>
        </w:tc>
        <w:tc>
          <w:tcPr>
            <w:tcW w:w="346"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521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Series A preference shares (Note (i))</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w:t>
            </w:r>
          </w:p>
        </w:tc>
        <w:tc>
          <w:tcPr>
            <w:tcW w:w="346" w:type="dxa"/>
            <w:tcBorders/>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21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48,063,019</w:t>
            </w:r>
          </w:p>
        </w:tc>
        <w:tc>
          <w:tcPr>
            <w:tcW w:w="346" w:type="dxa"/>
            <w:tcBorders/>
            <w:shd w:fill="CCEEFF" w:val="cle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13,499</w:t>
            </w:r>
          </w:p>
        </w:tc>
        <w:tc>
          <w:tcPr>
            <w:tcW w:w="346" w:type="dxa"/>
            <w:tcBorders/>
            <w:shd w:fill="CCEEFF" w:val="clear"/>
            <w:vAlign w:val="center"/>
          </w:tcPr>
          <w:p>
            <w:pPr>
              <w:pStyle w:val="TableContents"/>
              <w:bidi w:val="0"/>
              <w:spacing w:before="0"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21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upon consummation of merger, net of issuance cost (Note (ii))</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411,112,330</w:t>
            </w:r>
          </w:p>
        </w:tc>
        <w:tc>
          <w:tcPr>
            <w:tcW w:w="346"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51,723</w:t>
            </w:r>
          </w:p>
        </w:tc>
        <w:tc>
          <w:tcPr>
            <w:tcW w:w="346"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of share options and vesting of restricted shares and RSUs (Note (iii))</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21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ordinary shares (Note (iv))</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2,583,511</w:t>
            </w:r>
          </w:p>
        </w:tc>
        <w:tc>
          <w:tcPr>
            <w:tcW w:w="346" w:type="dxa"/>
            <w:tcBorders/>
            <w:vAlign w:val="center"/>
          </w:tcPr>
          <w:p>
            <w:pPr>
              <w:pStyle w:val="TableContents"/>
              <w:bidi w:val="0"/>
              <w:spacing w:before="0" w:after="1"/>
              <w:ind w:left="0" w:right="0" w:hanging="0"/>
              <w:jc w:val="left"/>
              <w:rPr/>
            </w:pPr>
            <w:r>
              <w:rPr/>
              <w:t> </w:t>
            </w:r>
          </w:p>
        </w:tc>
        <w:tc>
          <w:tcPr>
            <w:tcW w:w="9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r>
      <w:tr>
        <w:trPr/>
        <w:tc>
          <w:tcPr>
            <w:tcW w:w="5215"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Surrender of ordinary shares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9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r>
      <w:tr>
        <w:trPr/>
        <w:tc>
          <w:tcPr>
            <w:tcW w:w="5215"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upon private placement, net of issuance cost (Note (v))</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12,200,915</w:t>
            </w:r>
          </w:p>
        </w:tc>
        <w:tc>
          <w:tcPr>
            <w:tcW w:w="346" w:type="dxa"/>
            <w:tcBorders/>
            <w:vAlign w:val="center"/>
          </w:tcPr>
          <w:p>
            <w:pPr>
              <w:pStyle w:val="TableContents"/>
              <w:bidi w:val="0"/>
              <w:spacing w:before="0" w:after="1"/>
              <w:ind w:left="0" w:right="0" w:hanging="0"/>
              <w:jc w:val="left"/>
              <w:rPr/>
            </w:pPr>
            <w:r>
              <w:rPr/>
              <w:t> </w:t>
            </w:r>
          </w:p>
        </w:tc>
        <w:tc>
          <w:tcPr>
            <w:tcW w:w="9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25,327</w:t>
            </w:r>
          </w:p>
        </w:tc>
        <w:tc>
          <w:tcPr>
            <w:tcW w:w="346" w:type="dxa"/>
            <w:tcBorders/>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215"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473,959,772</w:t>
            </w:r>
          </w:p>
        </w:tc>
        <w:tc>
          <w:tcPr>
            <w:tcW w:w="346" w:type="dxa"/>
            <w:tcBorders/>
            <w:shd w:fill="CCEEFF" w:val="clear"/>
            <w:vAlign w:val="center"/>
          </w:tcPr>
          <w:p>
            <w:pPr>
              <w:pStyle w:val="TableContents"/>
              <w:bidi w:val="0"/>
              <w:spacing w:before="0" w:after="1"/>
              <w:ind w:left="0" w:right="0" w:hanging="0"/>
              <w:jc w:val="left"/>
              <w:rPr/>
            </w:pPr>
            <w:r>
              <w:rPr/>
              <w:t> </w:t>
            </w:r>
          </w:p>
        </w:tc>
        <w:tc>
          <w:tcPr>
            <w:tcW w:w="9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46" w:type="dxa"/>
            <w:tcBorders/>
            <w:shd w:fill="CCEEFF" w:val="clear"/>
            <w:vAlign w:val="center"/>
          </w:tcPr>
          <w:p>
            <w:pPr>
              <w:pStyle w:val="TableContents"/>
              <w:bidi w:val="0"/>
              <w:spacing w:before="0" w:after="1"/>
              <w:ind w:left="0" w:right="0" w:hanging="0"/>
              <w:jc w:val="left"/>
              <w:rPr/>
            </w:pPr>
            <w:r>
              <w:rPr/>
              <w:t> </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90,540</w:t>
            </w:r>
          </w:p>
        </w:tc>
        <w:tc>
          <w:tcPr>
            <w:tcW w:w="346" w:type="dxa"/>
            <w:tcBorders/>
            <w:shd w:fill="CCEEFF" w:val="clear"/>
            <w:vAlign w:val="center"/>
          </w:tcPr>
          <w:p>
            <w:pPr>
              <w:pStyle w:val="TableContents"/>
              <w:bidi w:val="0"/>
              <w:spacing w:before="0" w:after="1"/>
              <w:ind w:left="0" w:right="0" w:hanging="0"/>
              <w:jc w:val="left"/>
              <w:rPr/>
            </w:pPr>
            <w:r>
              <w:rPr/>
              <w:t> </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(903)</w:t>
            </w:r>
          </w:p>
        </w:tc>
      </w:tr>
    </w:tbl>
    <w:p>
      <w:pPr>
        <w:pStyle w:val="TextBody"/>
        <w:bidi w:val="0"/>
        <w:spacing w:before="0" w:after="180"/>
        <w:ind w:left="720" w:right="0" w:hanging="0"/>
        <w:jc w:val="both"/>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(i)</w:t>
            </w:r>
          </w:p>
        </w:tc>
        <w:tc>
          <w:tcPr>
            <w:tcW w:w="9846" w:type="dxa"/>
            <w:tcBorders/>
            <w:vAlign w:val="center"/>
          </w:tcPr>
          <w:p>
            <w:pPr>
              <w:pStyle w:val="TableContents"/>
              <w:bidi w:val="0"/>
              <w:spacing w:before="0" w:after="180"/>
              <w:jc w:val="both"/>
              <w:rPr>
                <w:rFonts w:ascii="Times New Roman;Times;serif" w:hAnsi="Times New Roman;Times;serif"/>
                <w:sz w:val="20"/>
              </w:rPr>
            </w:pPr>
            <w:r>
              <w:rPr>
                <w:rFonts w:ascii="Times New Roman;Times;serif" w:hAnsi="Times New Roman;Times;serif"/>
                <w:sz w:val="20"/>
              </w:rPr>
              <w:t xml:space="preserve">On February 7, 2024, the Company issued 2,000 Series A preference shares with a cash consideration of US$10,000,000 for working capital. On April 15, 2024, the Company’s shareholder approved to amend the authorized share capital by re-designated 1,000 authorised but unissued ordinary shares be and are hereby re-designated as 1,000 Series A preference shares with par value of US$0.000025 each. After the re-designation, the authorised share capital of the Company is US$50,000 divided into (i) 1,999,997,000 ordinary shares, with par value of US$0.000025 each, and (ii) 3,000 Series A preference shares, with par value of US$0.000025 each. </w:t>
            </w:r>
          </w:p>
        </w:tc>
      </w:tr>
    </w:tbl>
    <w:p>
      <w:pPr>
        <w:pStyle w:val="TextBody"/>
        <w:bidi w:val="0"/>
        <w:spacing w:before="0" w:after="200"/>
        <w:ind w:left="1440" w:right="0" w:hanging="0"/>
        <w:jc w:val="both"/>
        <w:rPr>
          <w:rFonts w:ascii="Times New Roman;Times;serif" w:hAnsi="Times New Roman;Times;serif"/>
          <w:sz w:val="20"/>
        </w:rPr>
      </w:pPr>
      <w:r>
        <w:rPr>
          <w:rFonts w:ascii="Times New Roman;Times;serif" w:hAnsi="Times New Roman;Times;serif"/>
          <w:sz w:val="20"/>
        </w:rPr>
        <w:t>On May 6, 2024, the Company issued additional 100 Series A preference shares with a cash consideration of US$500,000. On November 29, 2024, the Company issued additional 120,000 ordinary shares and 6,300 Series A preference shares through bonus shares. All these new issued shares are bonus shares with no consideration. On March 12, 2025, the 8,400 issued Series A preference shares were re-designated as 8,400 ordinary shares with par value of US$0.000025 each.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21.</w:t>
            </w:r>
          </w:p>
        </w:tc>
        <w:tc>
          <w:tcPr>
            <w:tcW w:w="2311"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Share capital (Continued)</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Note: (Continued) </w:t>
      </w:r>
    </w:p>
    <w:tbl>
      <w:tblPr>
        <w:tblW w:w="10205" w:type="dxa"/>
        <w:jc w:val="left"/>
        <w:tblInd w:w="0" w:type="dxa"/>
        <w:tblLayout w:type="fixed"/>
        <w:tblCellMar>
          <w:top w:w="0" w:type="dxa"/>
          <w:left w:w="0" w:type="dxa"/>
          <w:bottom w:w="0" w:type="dxa"/>
          <w:right w:w="0"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(ii)</w:t>
            </w:r>
          </w:p>
        </w:tc>
        <w:tc>
          <w:tcPr>
            <w:tcW w:w="976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As discussed in Note 1.1 and 5.1 to the consolidated financial statements, the Company completed a merger transaction during the year ended December 31, 2025 with the issuance cost of US$510.</w:t>
            </w:r>
          </w:p>
        </w:tc>
      </w:tr>
    </w:tbl>
    <w:tbl>
      <w:tblPr>
        <w:tblW w:w="10205" w:type="dxa"/>
        <w:jc w:val="left"/>
        <w:tblInd w:w="0" w:type="dxa"/>
        <w:tblLayout w:type="fixed"/>
        <w:tblCellMar>
          <w:top w:w="0" w:type="dxa"/>
          <w:left w:w="0" w:type="dxa"/>
          <w:bottom w:w="0" w:type="dxa"/>
          <w:right w:w="0" w:type="dxa"/>
        </w:tblCellMar>
      </w:tblPr>
      <w:tblGrid>
        <w:gridCol w:w="124"/>
        <w:gridCol w:w="384"/>
        <w:gridCol w:w="9697"/>
      </w:tblGrid>
      <w:tr>
        <w:trPr/>
        <w:tc>
          <w:tcPr>
            <w:tcW w:w="1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(iii)</w:t>
            </w:r>
          </w:p>
        </w:tc>
        <w:tc>
          <w:tcPr>
            <w:tcW w:w="9697"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During the year ended December 31, 2025, the Company transferred 822,070 Class A ordinary shares from the Treasury shares to the awardee for the exercise of share options/RSUs.</w:t>
            </w:r>
          </w:p>
        </w:tc>
      </w:tr>
    </w:tbl>
    <w:tbl>
      <w:tblPr>
        <w:tblW w:w="10205" w:type="dxa"/>
        <w:jc w:val="left"/>
        <w:tblInd w:w="0" w:type="dxa"/>
        <w:tblLayout w:type="fixed"/>
        <w:tblCellMar>
          <w:top w:w="0" w:type="dxa"/>
          <w:left w:w="0" w:type="dxa"/>
          <w:bottom w:w="0" w:type="dxa"/>
          <w:right w:w="0" w:type="dxa"/>
        </w:tblCellMar>
      </w:tblPr>
      <w:tblGrid>
        <w:gridCol w:w="124"/>
        <w:gridCol w:w="350"/>
        <w:gridCol w:w="9731"/>
      </w:tblGrid>
      <w:tr>
        <w:trPr/>
        <w:tc>
          <w:tcPr>
            <w:tcW w:w="1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(iv)</w:t>
            </w:r>
          </w:p>
        </w:tc>
        <w:tc>
          <w:tcPr>
            <w:tcW w:w="9731"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On November 26, 2025, board of directors of the Company approved and authorized to repurchase up to US$50 million of ADSs over the next 12 months. The share repurchases may be made from time to time through legally permissible means, depending on market conditions and in accordance with applicable rules and regulations.</w:t>
            </w:r>
          </w:p>
        </w:tc>
      </w:tr>
    </w:tbl>
    <w:tbl>
      <w:tblPr>
        <w:tblW w:w="10205" w:type="dxa"/>
        <w:jc w:val="left"/>
        <w:tblInd w:w="0" w:type="dxa"/>
        <w:tblLayout w:type="fixed"/>
        <w:tblCellMar>
          <w:top w:w="0" w:type="dxa"/>
          <w:left w:w="0" w:type="dxa"/>
          <w:bottom w:w="0" w:type="dxa"/>
          <w:right w:w="0"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7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 July 4, 2025, the Company closed a private placement with its fellow strategic investors aiming to amplify business growth in the crypto market globally. The Company issued 12,200,915 Class A ordinary shares at price of approximately US$2.09 per share and raised US$25.5 million, net of cost of US$161.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080" w:name="Tc_q5y3Bg1FIESzIFNjVWBdkg_11_0"/>
      <w:bookmarkStart w:id="2081" w:name="Tc_MWNQEyjc_EevQI7QndUEFA_10_4"/>
      <w:bookmarkStart w:id="2082" w:name="Tc_7IFa6SwYgEqYhh7EAyX-BQ_10_2"/>
      <w:bookmarkStart w:id="2083" w:name="Tc_OhN16BJl-kSD3ksPZdK6wA_10_0"/>
      <w:bookmarkStart w:id="2084" w:name="Tc_JQkHf5Qj10C-sFVPKRiTXg_9_6"/>
      <w:bookmarkStart w:id="2085" w:name="Tc_RHo4XuahTkGvbMxBtZxGZA_9_2"/>
      <w:bookmarkStart w:id="2086" w:name="Tc_jZc-oDHNyUq3k6BAxMvqvw_9_0"/>
      <w:bookmarkStart w:id="2087" w:name="Tc_oxtQfLf8fE-HNiduVveg-A_8_6"/>
      <w:bookmarkStart w:id="2088" w:name="Tc_0mhq6QRNF0uh-WEpAbkkYA_8_4"/>
      <w:bookmarkStart w:id="2089" w:name="Tc_JprESI3epEyPcZnZS3Sv8A_8_0"/>
      <w:bookmarkStart w:id="2090" w:name="Tc_ZIkLWbWL-U2n3l-Y33L-cA_7_6"/>
      <w:bookmarkStart w:id="2091" w:name="Tc_svh4bRnQg0SDuTtFBmb5Pw_7_2"/>
      <w:bookmarkStart w:id="2092" w:name="Tc_Twfgh83i4EO_hb-IOa2I9Q_7_0"/>
      <w:bookmarkStart w:id="2093" w:name="Tc_WiWonrKh1U-G0kL-k3mZpQ_6_6"/>
      <w:bookmarkStart w:id="2094" w:name="Tc_nO-yGmSjMEOcd265A72fQQ_6_2"/>
      <w:bookmarkStart w:id="2095" w:name="Tc_FH0-YofRxU6RuTWqOxhDVQ_6_0"/>
      <w:bookmarkStart w:id="2096" w:name="Tc_iBD2ReXWIU6YUhoE3wu6_w_5_6"/>
      <w:bookmarkStart w:id="2097" w:name="Tc_PKFGGKmIdUWbQVaZidEAkA_5_2"/>
      <w:bookmarkStart w:id="2098" w:name="Tc_n9uLsImwYEOZg871Lc_HTQ_5_0"/>
      <w:bookmarkStart w:id="2099" w:name="Tc_zre8qdHKpkqwqgz3uANnvw_4_8"/>
      <w:bookmarkStart w:id="2100" w:name="Tc_wjr4TmY1qkWUixIbl1gcOA_4_6"/>
      <w:bookmarkStart w:id="2101" w:name="Tc_2ym55GRTK0yEKFVUa_tN6w_4_4"/>
      <w:bookmarkStart w:id="2102" w:name="Tc_-RPoKw4WrUOIhv90wiySWQ_4_2"/>
      <w:bookmarkStart w:id="2103" w:name="Tc_ljL1HBSEcUmBC0RSGVqaIQ_3_6"/>
      <w:bookmarkStart w:id="2104" w:name="Tc_AO4xnnalnECIVenW1WUCmQ_3_4"/>
      <w:bookmarkStart w:id="2105" w:name="Tc_e1-AtaMahUmQUxB02AlmSA_3_2"/>
      <w:bookmarkStart w:id="2106" w:name="Tc_I7DuR1fho0CouKvTRrr-Sw_2_6"/>
      <w:bookmarkStart w:id="2107" w:name="Tc_8k7Pra3FrkCWJkNHwJFw-Q_2_2"/>
      <w:bookmarkStart w:id="2108" w:name="Tc_6ZpZH7aNNkKTu7rhClBPXg_1_6"/>
      <w:bookmarkStart w:id="2109" w:name="_6ac4d3a0_428e_496d_af7f_296dd5469376"/>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r>
        <w:rPr>
          <w:rFonts w:ascii="Times New Roman;Times;serif" w:hAnsi="Times New Roman;Times;serif"/>
          <w:b/>
          <w:i w:val="false"/>
          <w:caps w:val="false"/>
          <w:smallCaps w:val="false"/>
          <w:sz w:val="20"/>
        </w:rPr>
        <w:t>22.</w:t>
      </w:r>
      <w:r>
        <w:rPr>
          <w:rFonts w:ascii="Times New Roman;Times;serif" w:hAnsi="Times New Roman;Times;serif"/>
          <w:b/>
          <w:sz w:val="20"/>
        </w:rPr>
        <w:t>Other reserves</w:t>
      </w:r>
    </w:p>
    <w:p>
      <w:pPr>
        <w:pStyle w:val="TextBody"/>
        <w:bidi w:val="0"/>
        <w:spacing w:before="0" w:after="0"/>
        <w:ind w:left="0" w:right="0" w:hanging="0"/>
        <w:jc w:val="left"/>
        <w:rPr/>
      </w:pPr>
      <w:r>
        <w:rPr/>
        <w:t>​</w:t>
      </w:r>
    </w:p>
    <w:tbl>
      <w:tblPr>
        <w:tblW w:w="8499" w:type="dxa"/>
        <w:jc w:val="left"/>
        <w:tblInd w:w="0" w:type="dxa"/>
        <w:tblLayout w:type="fixed"/>
        <w:tblCellMar>
          <w:top w:w="0" w:type="dxa"/>
          <w:left w:w="0" w:type="dxa"/>
          <w:bottom w:w="0" w:type="dxa"/>
          <w:right w:w="0" w:type="dxa"/>
        </w:tblCellMar>
      </w:tblPr>
      <w:tblGrid>
        <w:gridCol w:w="3286"/>
        <w:gridCol w:w="346"/>
        <w:gridCol w:w="1096"/>
        <w:gridCol w:w="346"/>
        <w:gridCol w:w="1051"/>
        <w:gridCol w:w="346"/>
        <w:gridCol w:w="901"/>
        <w:gridCol w:w="346"/>
        <w:gridCol w:w="78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86610" cy="175260"/>
                      <wp:effectExtent l="0" t="0" r="0" b="0"/>
                      <wp:wrapNone/>
                      <wp:docPr id="498" name="Frame49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19710" cy="175260"/>
                      <wp:effectExtent l="0" t="0" r="0" b="0"/>
                      <wp:wrapNone/>
                      <wp:docPr id="499"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5960" cy="175260"/>
                      <wp:effectExtent l="0" t="0" r="0" b="0"/>
                      <wp:wrapNone/>
                      <wp:docPr id="500" name="Frame49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1" name="Frame4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67385" cy="175260"/>
                      <wp:effectExtent l="0" t="0" r="0" b="0"/>
                      <wp:wrapNone/>
                      <wp:docPr id="502" name="Frame49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19710" cy="175260"/>
                      <wp:effectExtent l="0" t="0" r="0" b="0"/>
                      <wp:wrapNone/>
                      <wp:docPr id="503" name="Frame5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72135" cy="175260"/>
                      <wp:effectExtent l="0" t="0" r="0" b="0"/>
                      <wp:wrapNone/>
                      <wp:docPr id="504" name="Frame5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19710" cy="175260"/>
                      <wp:effectExtent l="0" t="0" r="0" b="0"/>
                      <wp:wrapNone/>
                      <wp:docPr id="505" name="Frame5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95935" cy="175260"/>
                      <wp:effectExtent l="0" t="0" r="0" b="0"/>
                      <wp:wrapNone/>
                      <wp:docPr id="506" name="Frame5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Share-based</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Contribution</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32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6,069</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6,069</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Waiver of related party balances (Note)</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47,106</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47,106</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53,175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53,175</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Waiver of related party balances (Note)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591</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54,123</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53,390</w:t>
            </w:r>
          </w:p>
        </w:tc>
      </w:tr>
    </w:tbl>
    <w:p>
      <w:pPr>
        <w:pStyle w:val="TextBody"/>
        <w:pBdr/>
        <w:bidi w:val="0"/>
        <w:spacing w:before="0" w:after="240"/>
        <w:ind w:left="720" w:right="0" w:hanging="72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Amount refers to waiver of loans by affiliates of the Company for certain cryptocurrencies loans, advances, payment on behalf and intercompany payables.</w:t>
      </w:r>
    </w:p>
    <w:p>
      <w:pPr>
        <w:pStyle w:val="TextBody"/>
        <w:pBdr/>
        <w:bidi w:val="0"/>
        <w:spacing w:before="0" w:after="240"/>
        <w:ind w:left="720" w:right="0" w:hanging="720"/>
        <w:jc w:val="both"/>
        <w:rPr/>
      </w:pPr>
      <w:r>
        <w:rPr/>
        <w:t>​</w:t>
      </w:r>
    </w:p>
    <w:p>
      <w:pPr>
        <w:pStyle w:val="TextBody"/>
        <w:bidi w:val="0"/>
        <w:spacing w:before="0" w:after="240"/>
        <w:ind w:left="0" w:right="0" w:hanging="0"/>
        <w:jc w:val="left"/>
        <w:rPr>
          <w:rFonts w:ascii="Times New Roman;Times;serif" w:hAnsi="Times New Roman;Times;serif"/>
          <w:b/>
          <w:sz w:val="20"/>
        </w:rPr>
      </w:pPr>
      <w:bookmarkStart w:id="2110" w:name="Narr_k9XV36pqqEqhpJ1WJfpxgg"/>
      <w:bookmarkEnd w:id="2110"/>
      <w:r>
        <w:rPr>
          <w:rFonts w:ascii="Times New Roman;Times;serif" w:hAnsi="Times New Roman;Times;serif"/>
          <w:b/>
          <w:i w:val="false"/>
          <w:caps w:val="false"/>
          <w:smallCaps w:val="false"/>
          <w:sz w:val="20"/>
        </w:rPr>
        <w:t>23.</w:t>
      </w:r>
      <w:r>
        <w:rPr>
          <w:rFonts w:ascii="Times New Roman;Times;serif" w:hAnsi="Times New Roman;Times;serif"/>
          <w:b/>
          <w:sz w:val="20"/>
        </w:rPr>
        <w:t>Revenue and segment reporting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During the year ended December 31, 2024, the Group operated in a single business segment which was development of digital asset platform and provision of digital asset service and solutions. Upon the consummation of the merger as discussed in Note 5.1 to the consolidated financial statements, the Group operates in two operating segments for the year ended December 31, 2025: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b/>
          <w:sz w:val="20"/>
        </w:rPr>
        <w:t>Digital Assets Services and Solutions</w:t>
      </w:r>
      <w:r>
        <w:rPr>
          <w:rFonts w:ascii="Times New Roman;Times;serif" w:hAnsi="Times New Roman;Times;serif"/>
          <w:sz w:val="20"/>
        </w:rPr>
        <w:t xml:space="preserve"> — development of digital asset platform and provision of digital asset service and solutions.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(ii) </w:t>
      </w:r>
      <w:r>
        <w:rPr>
          <w:rFonts w:ascii="Times New Roman;Times;serif" w:hAnsi="Times New Roman;Times;serif"/>
          <w:b/>
          <w:sz w:val="20"/>
        </w:rPr>
        <w:t>Online Advertising and SaaS Solutions</w:t>
      </w:r>
      <w:r>
        <w:rPr>
          <w:rFonts w:ascii="Times New Roman;Times;serif" w:hAnsi="Times New Roman;Times;serif"/>
          <w:sz w:val="20"/>
        </w:rPr>
        <w:t xml:space="preserve"> — provision of online advertising services and provision of digitalized operational solutions.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111" w:name="Tc_N5ovnquTz0mDzg71KR9E_Q_7_0"/>
      <w:bookmarkStart w:id="2112" w:name="Tc_XfKJXumZ6EyHJJyPHXxhJQ_6_0"/>
      <w:bookmarkStart w:id="2113" w:name="Tc_gIMK6oGNuECQ2gkp360XiQ_5_0"/>
      <w:bookmarkStart w:id="2114" w:name="Tc_Ux3LHn3sVkyHfIxQT2_BUQ_4_0"/>
      <w:bookmarkStart w:id="2115" w:name="Tc_-Wyds_m7tEygGXGaPna2sQ_3_0"/>
      <w:bookmarkStart w:id="2116" w:name="Tc_Of0GqnR6W06HqFAcFxPQNQ_2_6"/>
      <w:bookmarkStart w:id="2117" w:name="Tc_NfCSPfboIUWKfVJMIlr_4g_2_4"/>
      <w:bookmarkStart w:id="2118" w:name="Tc_WoC91e2s_0Sa7deFw1VLyw_2_2"/>
      <w:bookmarkStart w:id="2119" w:name="Tc_Dkl0psi1EEW9Ps6xTB5SWg_1_2"/>
      <w:bookmarkStart w:id="2120" w:name="Tc_13VmQg-c70us3MjRMGQ5yg_19_0"/>
      <w:bookmarkStart w:id="2121" w:name="Tc_6SwsQKkwQ0msWV9T8bkogA_18_0"/>
      <w:bookmarkStart w:id="2122" w:name="Tc_aoseAGyQQEeJPghuF-y0iA_17_0"/>
      <w:bookmarkStart w:id="2123" w:name="Tc_iwc2HCLW1k-nUWwkqYIv-A_15_0"/>
      <w:bookmarkStart w:id="2124" w:name="Tc_NCakBSY5lU-sfPyC5qCB2Q_13_4"/>
      <w:bookmarkStart w:id="2125" w:name="Tc_xGab9WqjZ0mcmNFy1ziIYQ_13_2"/>
      <w:bookmarkStart w:id="2126" w:name="Tc_7GC3j7jHRkuknUusGOWIrA_12_4"/>
      <w:bookmarkStart w:id="2127" w:name="Tc_QhLPRdKfnE209I7W-pnp1w_12_2"/>
      <w:bookmarkStart w:id="2128" w:name="Tc_OMEevaIcxkazspif8LR4bg_12_0"/>
      <w:bookmarkStart w:id="2129" w:name="Tc_vOlnL3yFPk2gtOGd0n7Qkg_11_4"/>
      <w:bookmarkStart w:id="2130" w:name="Tc_wg4ZX7tRMUe1iVVx9M2wlQ_11_2"/>
      <w:bookmarkStart w:id="2131" w:name="Tc_iCm5zoTh2keDPEHQPVvP3Q_11_0"/>
      <w:bookmarkStart w:id="2132" w:name="Tc_wjDbvmsIEka_m7sm5RMTQA_10_4"/>
      <w:bookmarkStart w:id="2133" w:name="Tc_FVG0aBukB0W0X3hM0yvs7g_10_2"/>
      <w:bookmarkStart w:id="2134" w:name="Tc_mJUBXPV58EONnXnmatNN1A_10_0"/>
      <w:bookmarkStart w:id="2135" w:name="Tc_vZ57CsjlSUmiN9sbh0hdWQ_9_4"/>
      <w:bookmarkStart w:id="2136" w:name="Tc_UGn3uuaP5ECYZJGvPuxTIA_9_2"/>
      <w:bookmarkStart w:id="2137" w:name="Tc_Ayi46pPXmEWVJ4nxJR8xAQ_9_0"/>
      <w:bookmarkStart w:id="2138" w:name="Tc_1EuMoJia_kuAnPwrUy13QA_8_0"/>
      <w:bookmarkStart w:id="2139" w:name="Tc_Wx42g3xvD06mv92JqrusPA_6_0"/>
      <w:bookmarkStart w:id="2140" w:name="Tc_9pGd2J0OrEKLOX8xIf2k0A_5_0"/>
      <w:bookmarkStart w:id="2141" w:name="Tc_fF_bHh_2G0219MAs9Nkg_g_4_0"/>
      <w:bookmarkStart w:id="2142" w:name="Tc_s1UaC6zdIE-j-O3EeFn1UQ_3_0"/>
      <w:bookmarkStart w:id="2143" w:name="Tc_Pa7r7nweKUSklE-sO5Rq6Q_2_6"/>
      <w:bookmarkStart w:id="2144" w:name="Tc_WxJw2gM36UW2zzkQyFIwUQ_2_4"/>
      <w:bookmarkStart w:id="2145" w:name="Tc_7Dfi-ab1vEu7MqVhTDutfA_2_2"/>
      <w:bookmarkStart w:id="2146" w:name="Tc_72zRXZ6tyEaXfRhDD_IQDw_1_2"/>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r>
        <w:rPr>
          <w:rFonts w:ascii="Times New Roman;Times;serif" w:hAnsi="Times New Roman;Times;serif"/>
          <w:b/>
          <w:i w:val="false"/>
          <w:caps w:val="false"/>
          <w:smallCaps w:val="false"/>
          <w:sz w:val="20"/>
        </w:rPr>
        <w:t>23.</w:t>
      </w:r>
      <w:r>
        <w:rPr>
          <w:rFonts w:ascii="Times New Roman;Times;serif" w:hAnsi="Times New Roman;Times;serif"/>
          <w:b/>
          <w:sz w:val="20"/>
        </w:rPr>
        <w:t>Revenue and segment reporting (Continued)</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CODM allocates resources to and assess the performance of each operating segment using information about the segment’s revenue and operating profit/(loss). The CODM regularly reviews the Company’s revenue, cost and gross profit/loss derived from each revenue stream and is also provided with information of segment expenses.</w:t>
      </w:r>
    </w:p>
    <w:p>
      <w:pPr>
        <w:pStyle w:val="TextBody"/>
        <w:bidi w:val="0"/>
        <w:spacing w:before="0" w:after="240"/>
        <w:ind w:left="720" w:right="0" w:hanging="0"/>
        <w:jc w:val="both"/>
        <w:rPr/>
      </w:pPr>
      <w:r>
        <w:rPr/>
        <w:t>​</w:t>
      </w:r>
    </w:p>
    <w:tbl>
      <w:tblPr>
        <w:tblW w:w="1311" w:type="dxa"/>
        <w:jc w:val="left"/>
        <w:tblInd w:w="0" w:type="dxa"/>
        <w:tblLayout w:type="fixed"/>
        <w:tblCellMar>
          <w:top w:w="28" w:type="dxa"/>
          <w:left w:w="28" w:type="dxa"/>
          <w:bottom w:w="28" w:type="dxa"/>
          <w:right w:w="28" w:type="dxa"/>
        </w:tblCellMar>
      </w:tblPr>
      <w:tblGrid>
        <w:gridCol w:w="124"/>
        <w:gridCol w:w="316"/>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r>
    </w:tbl>
    <w:p>
      <w:pPr>
        <w:pStyle w:val="TextBody"/>
        <w:bidi w:val="0"/>
        <w:spacing w:before="0" w:after="240"/>
        <w:ind w:left="720" w:right="0" w:hanging="0"/>
        <w:jc w:val="both"/>
        <w:rPr/>
      </w:pPr>
      <w:r>
        <w:rPr/>
        <w:t>​</w:t>
      </w:r>
    </w:p>
    <w:tbl>
      <w:tblPr>
        <w:tblW w:w="6286" w:type="dxa"/>
        <w:jc w:val="left"/>
        <w:tblInd w:w="0" w:type="dxa"/>
        <w:tblLayout w:type="fixed"/>
        <w:tblCellMar>
          <w:top w:w="0" w:type="dxa"/>
          <w:left w:w="0" w:type="dxa"/>
          <w:bottom w:w="0" w:type="dxa"/>
          <w:right w:w="0" w:type="dxa"/>
        </w:tblCellMar>
      </w:tblPr>
      <w:tblGrid>
        <w:gridCol w:w="3316"/>
        <w:gridCol w:w="346"/>
        <w:gridCol w:w="573"/>
        <w:gridCol w:w="347"/>
        <w:gridCol w:w="573"/>
        <w:gridCol w:w="347"/>
        <w:gridCol w:w="784"/>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05660" cy="175260"/>
                      <wp:effectExtent l="0" t="0" r="0" b="0"/>
                      <wp:wrapNone/>
                      <wp:docPr id="507" name="Frame50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9710" cy="175260"/>
                      <wp:effectExtent l="0" t="0" r="0" b="0"/>
                      <wp:wrapNone/>
                      <wp:docPr id="508"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363855" cy="175260"/>
                      <wp:effectExtent l="0" t="0" r="0" b="0"/>
                      <wp:wrapNone/>
                      <wp:docPr id="509" name="Frame506"/>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20345" cy="175260"/>
                      <wp:effectExtent l="0" t="0" r="0" b="0"/>
                      <wp:wrapNone/>
                      <wp:docPr id="510" name="Frame50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363855" cy="175260"/>
                      <wp:effectExtent l="0" t="0" r="0" b="0"/>
                      <wp:wrapNone/>
                      <wp:docPr id="511" name="Frame508"/>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20345" cy="175260"/>
                      <wp:effectExtent l="0" t="0" r="0" b="0"/>
                      <wp:wrapNone/>
                      <wp:docPr id="512" name="Frame509"/>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97840" cy="175260"/>
                      <wp:effectExtent l="0" t="0" r="0" b="0"/>
                      <wp:wrapNone/>
                      <wp:docPr id="513" name="Frame51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7"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7" w:type="dxa"/>
            <w:tcBorders/>
            <w:vAlign w:val="center"/>
          </w:tcPr>
          <w:p>
            <w:pPr>
              <w:pStyle w:val="TableContents"/>
              <w:bidi w:val="0"/>
              <w:spacing w:before="0" w:after="1"/>
              <w:ind w:left="0" w:right="0" w:hanging="0"/>
              <w:jc w:val="center"/>
              <w:rPr/>
            </w:pPr>
            <w:r>
              <w:rPr/>
              <w:t>  ​ ​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Digital Assets Services and Solutions</w:t>
            </w:r>
          </w:p>
        </w:tc>
        <w:tc>
          <w:tcPr>
            <w:tcW w:w="346" w:type="dxa"/>
            <w:tcBorders/>
            <w:shd w:fill="CCEEFF" w:val="clear"/>
            <w:vAlign w:val="center"/>
          </w:tcPr>
          <w:p>
            <w:pPr>
              <w:pStyle w:val="TableContents"/>
              <w:bidi w:val="0"/>
              <w:spacing w:before="0" w:after="1"/>
              <w:ind w:left="0" w:right="0" w:hanging="0"/>
              <w:jc w:val="center"/>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righ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right"/>
              <w:rPr/>
            </w:pPr>
            <w:r>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Wealth management solutions</w:t>
            </w:r>
          </w:p>
        </w:tc>
        <w:tc>
          <w:tcPr>
            <w:tcW w:w="346" w:type="dxa"/>
            <w:tcBorders/>
            <w:vAlign w:val="center"/>
          </w:tcPr>
          <w:p>
            <w:pPr>
              <w:pStyle w:val="TableContents"/>
              <w:bidi w:val="0"/>
              <w:spacing w:before="0" w:after="1"/>
              <w:ind w:left="0" w:right="0" w:hanging="0"/>
              <w:jc w:val="center"/>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47" w:type="dxa"/>
            <w:tcBorders/>
            <w:vAlign w:val="center"/>
          </w:tcPr>
          <w:p>
            <w:pPr>
              <w:pStyle w:val="TableContents"/>
              <w:bidi w:val="0"/>
              <w:spacing w:before="0" w:after="1"/>
              <w:ind w:left="0" w:right="0" w:hanging="0"/>
              <w:jc w:val="righ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6,194</w:t>
            </w:r>
          </w:p>
        </w:tc>
        <w:tc>
          <w:tcPr>
            <w:tcW w:w="347" w:type="dxa"/>
            <w:tcBorders/>
            <w:vAlign w:val="center"/>
          </w:tcPr>
          <w:p>
            <w:pPr>
              <w:pStyle w:val="TableContents"/>
              <w:bidi w:val="0"/>
              <w:spacing w:before="0" w:after="1"/>
              <w:ind w:left="0" w:right="0" w:hanging="0"/>
              <w:jc w:val="righ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34,909</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Execution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c>
          <w:tcPr>
            <w:tcW w:w="347" w:type="dxa"/>
            <w:tcBorders/>
            <w:shd w:fill="CCEEFF" w:val="clear"/>
            <w:vAlign w:val="center"/>
          </w:tcPr>
          <w:p>
            <w:pPr>
              <w:pStyle w:val="TableContents"/>
              <w:bidi w:val="0"/>
              <w:spacing w:before="0" w:after="1"/>
              <w:ind w:left="0" w:right="0" w:hanging="0"/>
              <w:jc w:val="righ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7" w:type="dxa"/>
            <w:tcBorders/>
            <w:shd w:fill="CCEEFF" w:val="clear"/>
            <w:vAlign w:val="center"/>
          </w:tcPr>
          <w:p>
            <w:pPr>
              <w:pStyle w:val="TableContents"/>
              <w:bidi w:val="0"/>
              <w:spacing w:before="0" w:after="1"/>
              <w:ind w:left="0" w:right="0" w:hanging="0"/>
              <w:jc w:val="righ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solutions</w:t>
            </w:r>
          </w:p>
        </w:tc>
        <w:tc>
          <w:tcPr>
            <w:tcW w:w="346" w:type="dxa"/>
            <w:tcBorders/>
            <w:vAlign w:val="center"/>
          </w:tcPr>
          <w:p>
            <w:pPr>
              <w:pStyle w:val="TableContents"/>
              <w:bidi w:val="0"/>
              <w:spacing w:before="0" w:after="1"/>
              <w:ind w:left="0" w:right="0" w:hanging="0"/>
              <w:jc w:val="lef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w:t>
            </w:r>
          </w:p>
        </w:tc>
        <w:tc>
          <w:tcPr>
            <w:tcW w:w="347" w:type="dxa"/>
            <w:tcBorders/>
            <w:vAlign w:val="center"/>
          </w:tcPr>
          <w:p>
            <w:pPr>
              <w:pStyle w:val="TableContents"/>
              <w:bidi w:val="0"/>
              <w:spacing w:before="0" w:after="1"/>
              <w:ind w:left="0" w:right="0" w:hanging="0"/>
              <w:jc w:val="righ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47" w:type="dxa"/>
            <w:tcBorders/>
            <w:vAlign w:val="center"/>
          </w:tcPr>
          <w:p>
            <w:pPr>
              <w:pStyle w:val="TableContents"/>
              <w:bidi w:val="0"/>
              <w:spacing w:before="0" w:after="1"/>
              <w:ind w:left="0" w:right="0" w:hanging="0"/>
              <w:jc w:val="righ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4,086</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47" w:type="dxa"/>
            <w:tcBorders/>
            <w:shd w:fill="CCEEFF" w:val="clear"/>
            <w:vAlign w:val="center"/>
          </w:tcPr>
          <w:p>
            <w:pPr>
              <w:pStyle w:val="TableContents"/>
              <w:bidi w:val="0"/>
              <w:spacing w:before="0" w:after="1"/>
              <w:ind w:left="0" w:right="0" w:hanging="0"/>
              <w:jc w:val="righ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w:t>
            </w:r>
          </w:p>
        </w:tc>
        <w:tc>
          <w:tcPr>
            <w:tcW w:w="347" w:type="dxa"/>
            <w:tcBorders/>
            <w:shd w:fill="CCEEFF" w:val="clear"/>
            <w:vAlign w:val="center"/>
          </w:tcPr>
          <w:p>
            <w:pPr>
              <w:pStyle w:val="TableContents"/>
              <w:bidi w:val="0"/>
              <w:spacing w:before="0" w:after="1"/>
              <w:ind w:left="0" w:right="0" w:hanging="0"/>
              <w:jc w:val="righ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50,238</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Online Advertising and SaaS Solutions</w:t>
            </w:r>
          </w:p>
        </w:tc>
        <w:tc>
          <w:tcPr>
            <w:tcW w:w="34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agent</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Cost-plus</w:t>
            </w:r>
          </w:p>
        </w:tc>
        <w:tc>
          <w:tcPr>
            <w:tcW w:w="34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Specified actions</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6,509</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SaaS products and services</w:t>
            </w:r>
          </w:p>
        </w:tc>
        <w:tc>
          <w:tcPr>
            <w:tcW w:w="346" w:type="dxa"/>
            <w:tcBorders/>
            <w:vAlign w:val="center"/>
          </w:tcPr>
          <w:p>
            <w:pPr>
              <w:pStyle w:val="TableContents"/>
              <w:bidi w:val="0"/>
              <w:spacing w:before="0" w:after="1"/>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6,584</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15,851</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2,734</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7,475</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66,089</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47"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Timing of revenue recognition:</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At a point in time</w:t>
            </w:r>
          </w:p>
        </w:tc>
        <w:tc>
          <w:tcPr>
            <w:tcW w:w="34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w:t>
            </w:r>
          </w:p>
        </w:tc>
        <w:tc>
          <w:tcPr>
            <w:tcW w:w="347"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w:t>
            </w:r>
          </w:p>
        </w:tc>
        <w:tc>
          <w:tcPr>
            <w:tcW w:w="347"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26,906</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Over time</w:t>
            </w:r>
          </w:p>
        </w:tc>
        <w:tc>
          <w:tcPr>
            <w:tcW w:w="346" w:type="dxa"/>
            <w:tcBorders/>
            <w:shd w:fill="CCEEFF" w:val="clear"/>
            <w:vAlign w:val="center"/>
          </w:tcPr>
          <w:p>
            <w:pPr>
              <w:pStyle w:val="TableContents"/>
              <w:bidi w:val="0"/>
              <w:spacing w:before="0" w:after="1"/>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w:t>
            </w:r>
          </w:p>
        </w:tc>
        <w:tc>
          <w:tcPr>
            <w:tcW w:w="347" w:type="dxa"/>
            <w:tcBorders/>
            <w:shd w:fill="CCEEFF" w:val="clear"/>
            <w:vAlign w:val="center"/>
          </w:tcPr>
          <w:p>
            <w:pPr>
              <w:pStyle w:val="TableContents"/>
              <w:bidi w:val="0"/>
              <w:spacing w:before="0" w:after="1"/>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6,164</w:t>
            </w:r>
          </w:p>
        </w:tc>
        <w:tc>
          <w:tcPr>
            <w:tcW w:w="347" w:type="dxa"/>
            <w:tcBorders/>
            <w:shd w:fill="CCEEFF" w:val="cle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39,183</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2,734</w:t>
            </w:r>
          </w:p>
        </w:tc>
        <w:tc>
          <w:tcPr>
            <w:tcW w:w="347" w:type="dxa"/>
            <w:tcBorders/>
            <w:vAlign w:val="center"/>
          </w:tcPr>
          <w:p>
            <w:pPr>
              <w:pStyle w:val="TableContents"/>
              <w:bidi w:val="0"/>
              <w:spacing w:before="0" w:after="1"/>
              <w:ind w:left="0" w:right="0" w:hanging="0"/>
              <w:jc w:val="left"/>
              <w:rPr/>
            </w:pPr>
            <w:r>
              <w:rPr/>
              <w:t>​</w:t>
            </w:r>
          </w:p>
        </w:tc>
        <w:tc>
          <w:tcPr>
            <w:tcW w:w="5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7,475</w:t>
            </w:r>
          </w:p>
        </w:tc>
        <w:tc>
          <w:tcPr>
            <w:tcW w:w="347" w:type="dxa"/>
            <w:tcBorders/>
            <w:vAlign w:val="center"/>
          </w:tcPr>
          <w:p>
            <w:pPr>
              <w:pStyle w:val="TableContents"/>
              <w:bidi w:val="0"/>
              <w:spacing w:before="0" w:after="1"/>
              <w:ind w:left="0" w:right="0" w:hanging="0"/>
              <w:jc w:val="left"/>
              <w:rPr/>
            </w:pPr>
            <w:r>
              <w:rPr/>
              <w:t>​</w:t>
            </w:r>
          </w:p>
        </w:tc>
        <w:tc>
          <w:tcPr>
            <w:tcW w:w="78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66,089</w:t>
            </w:r>
          </w:p>
        </w:tc>
      </w:tr>
    </w:tbl>
    <w:p>
      <w:pPr>
        <w:pStyle w:val="TextBody"/>
        <w:bidi w:val="0"/>
        <w:spacing w:before="0" w:after="240"/>
        <w:ind w:left="72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following table breaks down revenue by geographic location of the Group’s revenue. The geographical location is based on the geographical location where customers are located.</w:t>
      </w:r>
    </w:p>
    <w:p>
      <w:pPr>
        <w:pStyle w:val="TextBody"/>
        <w:bidi w:val="0"/>
        <w:spacing w:before="0" w:after="240"/>
        <w:ind w:left="720" w:right="0" w:hanging="0"/>
        <w:jc w:val="both"/>
        <w:rPr/>
      </w:pPr>
      <w:r>
        <w:rPr/>
        <w:t>​</w:t>
      </w:r>
    </w:p>
    <w:tbl>
      <w:tblPr>
        <w:tblW w:w="4276" w:type="dxa"/>
        <w:jc w:val="left"/>
        <w:tblInd w:w="0" w:type="dxa"/>
        <w:tblLayout w:type="fixed"/>
        <w:tblCellMar>
          <w:top w:w="0" w:type="dxa"/>
          <w:left w:w="0" w:type="dxa"/>
          <w:bottom w:w="0" w:type="dxa"/>
          <w:right w:w="0" w:type="dxa"/>
        </w:tblCellMar>
      </w:tblPr>
      <w:tblGrid>
        <w:gridCol w:w="1306"/>
        <w:gridCol w:w="346"/>
        <w:gridCol w:w="573"/>
        <w:gridCol w:w="347"/>
        <w:gridCol w:w="573"/>
        <w:gridCol w:w="347"/>
        <w:gridCol w:w="784"/>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829310" cy="175260"/>
                      <wp:effectExtent l="0" t="0" r="0" b="0"/>
                      <wp:wrapNone/>
                      <wp:docPr id="514" name="Frame51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15" name="Frame5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63855" cy="175260"/>
                      <wp:effectExtent l="0" t="0" r="0" b="0"/>
                      <wp:wrapNone/>
                      <wp:docPr id="516" name="Frame513"/>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20345" cy="175260"/>
                      <wp:effectExtent l="0" t="0" r="0" b="0"/>
                      <wp:wrapNone/>
                      <wp:docPr id="517" name="Frame51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63855" cy="175260"/>
                      <wp:effectExtent l="0" t="0" r="0" b="0"/>
                      <wp:wrapNone/>
                      <wp:docPr id="518" name="Frame515"/>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20345" cy="175260"/>
                      <wp:effectExtent l="0" t="0" r="0" b="0"/>
                      <wp:wrapNone/>
                      <wp:docPr id="519" name="Frame516"/>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497840" cy="175260"/>
                      <wp:effectExtent l="0" t="0" r="0" b="0"/>
                      <wp:wrapNone/>
                      <wp:docPr id="520" name="Frame517"/>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7" w:type="dxa"/>
            <w:tcBorders/>
            <w:vAlign w:val="center"/>
          </w:tcPr>
          <w:p>
            <w:pPr>
              <w:pStyle w:val="TableContents"/>
              <w:bidi w:val="0"/>
              <w:spacing w:before="0" w:after="1"/>
              <w:ind w:left="0" w:right="0" w:hanging="0"/>
              <w:jc w:val="center"/>
              <w:rPr/>
            </w:pPr>
            <w:r>
              <w:rPr/>
              <w:t>  ​ ​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7" w:type="dxa"/>
            <w:tcBorders/>
            <w:vAlign w:val="center"/>
          </w:tcPr>
          <w:p>
            <w:pPr>
              <w:pStyle w:val="TableContents"/>
              <w:bidi w:val="0"/>
              <w:spacing w:before="0" w:after="1"/>
              <w:ind w:left="0" w:right="0" w:hanging="0"/>
              <w:jc w:val="center"/>
              <w:rPr/>
            </w:pPr>
            <w:r>
              <w:rPr/>
              <w:t>  ​ ​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Asia</w:t>
            </w:r>
          </w:p>
        </w:tc>
        <w:tc>
          <w:tcPr>
            <w:tcW w:w="346" w:type="dxa"/>
            <w:tcBorders/>
            <w:shd w:fill="CCEEFF" w:val="clear"/>
            <w:vAlign w:val="center"/>
          </w:tcPr>
          <w:p>
            <w:pPr>
              <w:pStyle w:val="TableContents"/>
              <w:bidi w:val="0"/>
              <w:spacing w:before="0" w:after="1"/>
              <w:ind w:left="0" w:right="0" w:hanging="0"/>
              <w:jc w:val="center"/>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47" w:type="dxa"/>
            <w:tcBorders/>
            <w:shd w:fill="CCEEFF" w:val="clear"/>
            <w:vAlign w:val="center"/>
          </w:tcPr>
          <w:p>
            <w:pPr>
              <w:pStyle w:val="TableContents"/>
              <w:bidi w:val="0"/>
              <w:spacing w:before="0" w:after="1"/>
              <w:ind w:left="0" w:right="0" w:hanging="0"/>
              <w:jc w:val="center"/>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47" w:type="dxa"/>
            <w:tcBorders/>
            <w:shd w:fill="CCEEFF" w:val="clear"/>
            <w:vAlign w:val="center"/>
          </w:tcPr>
          <w:p>
            <w:pPr>
              <w:pStyle w:val="TableContents"/>
              <w:bidi w:val="0"/>
              <w:spacing w:before="0" w:after="1"/>
              <w:ind w:left="0" w:right="0" w:hanging="0"/>
              <w:jc w:val="center"/>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20,848</w:t>
            </w:r>
          </w:p>
        </w:tc>
      </w:tr>
      <w:tr>
        <w:trPr/>
        <w:tc>
          <w:tcPr>
            <w:tcW w:w="1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46" w:type="dxa"/>
            <w:tcBorders/>
            <w:vAlign w:val="center"/>
          </w:tcPr>
          <w:p>
            <w:pPr>
              <w:pStyle w:val="TableContents"/>
              <w:bidi w:val="0"/>
              <w:spacing w:before="0" w:after="1"/>
              <w:ind w:left="0" w:right="0" w:hanging="0"/>
              <w:jc w:val="center"/>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w:t>
            </w:r>
          </w:p>
        </w:tc>
        <w:tc>
          <w:tcPr>
            <w:tcW w:w="347" w:type="dxa"/>
            <w:tcBorders/>
            <w:vAlign w:val="center"/>
          </w:tcPr>
          <w:p>
            <w:pPr>
              <w:pStyle w:val="TableContents"/>
              <w:bidi w:val="0"/>
              <w:spacing w:before="0" w:after="1"/>
              <w:ind w:left="0" w:right="0" w:hanging="0"/>
              <w:jc w:val="center"/>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3,946</w:t>
            </w:r>
          </w:p>
        </w:tc>
        <w:tc>
          <w:tcPr>
            <w:tcW w:w="347" w:type="dxa"/>
            <w:tcBorders/>
            <w:vAlign w:val="center"/>
          </w:tcPr>
          <w:p>
            <w:pPr>
              <w:pStyle w:val="TableContents"/>
              <w:bidi w:val="0"/>
              <w:spacing w:before="0" w:after="1"/>
              <w:ind w:left="0" w:right="0" w:hanging="0"/>
              <w:jc w:val="center"/>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20,915</w:t>
            </w:r>
          </w:p>
        </w:tc>
      </w:tr>
      <w:tr>
        <w:trPr/>
        <w:tc>
          <w:tcPr>
            <w:tcW w:w="1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Africa</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7"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w:t>
            </w:r>
          </w:p>
        </w:tc>
        <w:tc>
          <w:tcPr>
            <w:tcW w:w="347"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w:t>
            </w:r>
          </w:p>
        </w:tc>
      </w:tr>
      <w:tr>
        <w:trPr/>
        <w:tc>
          <w:tcPr>
            <w:tcW w:w="1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7"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7"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7" w:type="dxa"/>
            <w:tcBorders/>
            <w:shd w:fill="CCEEFF" w:val="clear"/>
            <w:vAlign w:val="center"/>
          </w:tcPr>
          <w:p>
            <w:pPr>
              <w:pStyle w:val="TableContents"/>
              <w:bidi w:val="0"/>
              <w:spacing w:before="0" w:after="1"/>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47" w:type="dxa"/>
            <w:tcBorders/>
            <w:shd w:fill="CCEEFF" w:val="cle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3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2,734</w:t>
            </w:r>
          </w:p>
        </w:tc>
        <w:tc>
          <w:tcPr>
            <w:tcW w:w="347" w:type="dxa"/>
            <w:tcBorders/>
            <w:vAlign w:val="center"/>
          </w:tcPr>
          <w:p>
            <w:pPr>
              <w:pStyle w:val="TableContents"/>
              <w:bidi w:val="0"/>
              <w:spacing w:before="0" w:after="1"/>
              <w:ind w:left="0" w:right="0" w:hanging="0"/>
              <w:jc w:val="left"/>
              <w:rPr/>
            </w:pPr>
            <w:r>
              <w:rPr/>
              <w:t> </w:t>
            </w:r>
          </w:p>
        </w:tc>
        <w:tc>
          <w:tcPr>
            <w:tcW w:w="5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w:t>
            </w:r>
          </w:p>
        </w:tc>
        <w:tc>
          <w:tcPr>
            <w:tcW w:w="347" w:type="dxa"/>
            <w:tcBorders/>
            <w:vAlign w:val="center"/>
          </w:tcPr>
          <w:p>
            <w:pPr>
              <w:pStyle w:val="TableContents"/>
              <w:bidi w:val="0"/>
              <w:spacing w:before="0" w:after="1"/>
              <w:ind w:left="0" w:right="0" w:hanging="0"/>
              <w:jc w:val="left"/>
              <w:rPr/>
            </w:pPr>
            <w:r>
              <w:rPr/>
              <w:t> </w:t>
            </w:r>
          </w:p>
        </w:tc>
        <w:tc>
          <w:tcPr>
            <w:tcW w:w="78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66,089</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147" w:name="Tc_ojj2xLvJTkWkWQos0O-fIA_18_8"/>
      <w:bookmarkStart w:id="2148" w:name="Tc_2VBuURNihEGiMRXColDoTA_18_6"/>
      <w:bookmarkStart w:id="2149" w:name="Tc_xrB0X2gAhkeSjsF18a6Gng_18_2"/>
      <w:bookmarkStart w:id="2150" w:name="Tc_DQJdmv9F00K86P8PqjBoRA_18_0"/>
      <w:bookmarkStart w:id="2151" w:name="Tc_8BYYh0Fp6UWaHLPoCiEOSw_17_10"/>
      <w:bookmarkStart w:id="2152" w:name="Tc_xygQL_CPsUGQqlOmM0HQog_17_0"/>
      <w:bookmarkStart w:id="2153" w:name="Tc_ijJbxgvkSEuCElhB0DJLxA_16_10"/>
      <w:bookmarkStart w:id="2154" w:name="Tc_HKmyKayV9k2uNMzV1_C04A_16_0"/>
      <w:bookmarkStart w:id="2155" w:name="Tc_tf3vDC8nP0mhnK-ddN559Q_15_0"/>
      <w:bookmarkStart w:id="2156" w:name="Tc_CueIRtujg0ub_e11ELdZOQ_13_10"/>
      <w:bookmarkStart w:id="2157" w:name="Tc_Z4Xc-KQM2UGX1EFVdM_rVA_13_8"/>
      <w:bookmarkStart w:id="2158" w:name="Tc_wlHgJjksCkezcNpRcU1_bg_12_10"/>
      <w:bookmarkStart w:id="2159" w:name="Tc_cbWd24_r90CrHcKXDa7Czw_12_8"/>
      <w:bookmarkStart w:id="2160" w:name="Tc_oH-OSZT_vkOreB28v7IInw_12_6"/>
      <w:bookmarkStart w:id="2161" w:name="Tc_bQ-YC7-r4EuOPOCiEpGr8g_12_4"/>
      <w:bookmarkStart w:id="2162" w:name="Tc_e6OUyUUdbU6hs9T7lzne7w_12_2"/>
      <w:bookmarkStart w:id="2163" w:name="Tc_bZJk5sJZ0U2wX04vsk_2oA_12_0"/>
      <w:bookmarkStart w:id="2164" w:name="Tc_WRUzx7oBWU2V-TQoGX1zHw_11_10"/>
      <w:bookmarkStart w:id="2165" w:name="Tc_Ty2ppnMKeUWr-cr_-D9Ngw_11_8"/>
      <w:bookmarkStart w:id="2166" w:name="Tc_sKC7cJcYNUycSJMw1LJsbA_11_0"/>
      <w:bookmarkStart w:id="2167" w:name="Tc_lDB2Jwt1I0KddvBnyJnXOw_10_0"/>
      <w:bookmarkStart w:id="2168" w:name="Tc_aaniMQBjTUuxSWKtjJthEw_8_10"/>
      <w:bookmarkStart w:id="2169" w:name="Tc_wDXrvY3aqUmlSNeOWc2PFA_8_8"/>
      <w:bookmarkStart w:id="2170" w:name="Tc_7fwKnr6Kg0i5gRWFK8DRag_8_4"/>
      <w:bookmarkStart w:id="2171" w:name="Tc_GanGMP2ma0SZ5r1_83r6Dw_7_10"/>
      <w:bookmarkStart w:id="2172" w:name="Tc_gNuzjbDp2ECiFC8tkqBMYg_7_8"/>
      <w:bookmarkStart w:id="2173" w:name="Tc_Z8YhEAE8R0SWb41XtMYbnA_7_6"/>
      <w:bookmarkStart w:id="2174" w:name="Tc_TLBxO3nFyEKbQ8FWKykEKg_7_4"/>
      <w:bookmarkStart w:id="2175" w:name="Tc_bqkX8qp5n0OwLa6P-sPTdQ_7_2"/>
      <w:bookmarkStart w:id="2176" w:name="Tc_fXIwxgGKcEWcQ58nRxN8ww_7_0"/>
      <w:bookmarkStart w:id="2177" w:name="Tc_CxY2R_T060W2XbCn0akYCg_6_10"/>
      <w:bookmarkStart w:id="2178" w:name="Tc_kxhR-SYA5kyVv8KY5NmRWw_6_8"/>
      <w:bookmarkStart w:id="2179" w:name="Tc_7Lj7zfYbI0ytX-KnhVGdeA_6_4"/>
      <w:bookmarkStart w:id="2180" w:name="Tc_-h35fPRHnE6uR02PT5KVVg_6_0"/>
      <w:bookmarkStart w:id="2181" w:name="Tc_NFyHc-CexUC25-h-iO-xaQ_5_0"/>
      <w:bookmarkStart w:id="2182" w:name="Tc_v5tULr24Hk2_AXwZD1wXRA_4_10"/>
      <w:bookmarkStart w:id="2183" w:name="Tc_50x2gOc3V06BPBJ8hBxRYA_4_8"/>
      <w:bookmarkStart w:id="2184" w:name="Tc_Ai8l06NBQEG-oWvCyq7Z5Q_4_6"/>
      <w:bookmarkStart w:id="2185" w:name="Tc_6iN2EdyrLE2m-dobeAuIKg_4_4"/>
      <w:bookmarkStart w:id="2186" w:name="Tc_aNpHJjz0e0eJdYwEE8JRpw_4_2"/>
      <w:bookmarkStart w:id="2187" w:name="Tc_80MxAi6xLUCrNs2mUy410w_3_10"/>
      <w:bookmarkStart w:id="2188" w:name="Tc_oE1u1NwDV0appLuWbB7dUw_3_8"/>
      <w:bookmarkStart w:id="2189" w:name="Tc_44hYKj5bEkWHDFAW1iloDg_3_4"/>
      <w:bookmarkStart w:id="2190" w:name="Tc_qStHwTTU_EytUSPvfLy_Lg_3_2"/>
      <w:bookmarkStart w:id="2191" w:name="Tc_KkVgdCrjFUGkb8oBYrEXEQ_2_10"/>
      <w:bookmarkStart w:id="2192" w:name="Tc_WU3AN6zBLECDSWmPf3SyLg_2_2"/>
      <w:bookmarkStart w:id="2193" w:name="Tc_mlxLO4jRtk6eKmxrbIxgJg_1_10"/>
      <w:bookmarkStart w:id="2194" w:name="_b4fc7798_d9f6_47d2_b99f_705426941e46"/>
      <w:bookmarkStart w:id="2195" w:name="Tc_sZ5ZlWFIQUKDowDOauFykQ_12_0"/>
      <w:bookmarkStart w:id="2196" w:name="Tc_2nKEOdH60E6PKF-jE1b2FQ_11_4"/>
      <w:bookmarkStart w:id="2197" w:name="Tc_LM_FrBu040SXbkurcKeOuA_11_2"/>
      <w:bookmarkStart w:id="2198" w:name="Tc_Uuax8gLM30-IHguBwCnWTQ_11_0"/>
      <w:bookmarkStart w:id="2199" w:name="Tc_2E37PsWeyE-bFDFIpsP_Hg_10_0"/>
      <w:bookmarkStart w:id="2200" w:name="Tc_GwSkd5UnB0C5xFlHVuFvEg_9_0"/>
      <w:bookmarkStart w:id="2201" w:name="Tc_Kuix0vdd_E-yVXt7JcfWsA_6_4"/>
      <w:bookmarkStart w:id="2202" w:name="Tc_RnYMUlIeT0ekLPZ5h5rTcQ_6_2"/>
      <w:bookmarkStart w:id="2203" w:name="Tc_DY_pk0zYjk6-a5b-4hxkqQ_6_0"/>
      <w:bookmarkStart w:id="2204" w:name="Tc_1-02YRfzhkeNIXez6YNrXg_5_4"/>
      <w:bookmarkStart w:id="2205" w:name="Tc_J84v50Bvu0WGHwHmkibbHw_5_2"/>
      <w:bookmarkStart w:id="2206" w:name="Tc_41j5UnG6G0mG4tGzmYiDKA_5_0"/>
      <w:bookmarkStart w:id="2207" w:name="Tc_uYifa3RMZkSeqfv_Q2sk7A_4_0"/>
      <w:bookmarkStart w:id="2208" w:name="Tc_1Y-Ao3CiQUad3XsSNi05uw_3_0"/>
      <w:bookmarkStart w:id="2209" w:name="Tc_QT2b9b_tmU2jXj5ouWLyEw_2_6"/>
      <w:bookmarkStart w:id="2210" w:name="Tc_rUdJx-S8XkO7xYt94Dh7uw_2_4"/>
      <w:bookmarkStart w:id="2211" w:name="Tc_gcYBj9gzR06ePoSRIkz_Tg_2_2"/>
      <w:bookmarkStart w:id="2212" w:name="Tc_EWB8jW93xEuXgsNsvJSFYQ_1_2"/>
      <w:bookmarkStart w:id="2213" w:name="_9127039b_fce4_496b_a1d3_e88e07bc37ce"/>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r>
        <w:rPr>
          <w:rFonts w:ascii="Times New Roman;Times;serif" w:hAnsi="Times New Roman;Times;serif"/>
          <w:b/>
          <w:i w:val="false"/>
          <w:caps w:val="false"/>
          <w:smallCaps w:val="false"/>
          <w:sz w:val="20"/>
        </w:rPr>
        <w:t>23.</w:t>
      </w:r>
      <w:r>
        <w:rPr>
          <w:rFonts w:ascii="Times New Roman;Times;serif" w:hAnsi="Times New Roman;Times;serif"/>
          <w:b/>
          <w:sz w:val="20"/>
        </w:rPr>
        <w:t>Revenue and segment reporting (Continued)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Reconciliation of (loss)/profit before income tax</w:t>
      </w:r>
    </w:p>
    <w:p>
      <w:pPr>
        <w:pStyle w:val="TextBody"/>
        <w:bidi w:val="0"/>
        <w:spacing w:before="0" w:after="240"/>
        <w:ind w:left="1440" w:right="0" w:hanging="0"/>
        <w:jc w:val="both"/>
        <w:rPr/>
      </w:pPr>
      <w:r>
        <w:rPr/>
        <w:t>​</w:t>
      </w:r>
    </w:p>
    <w:tbl>
      <w:tblPr>
        <w:tblW w:w="8992" w:type="dxa"/>
        <w:jc w:val="left"/>
        <w:tblInd w:w="0" w:type="dxa"/>
        <w:tblLayout w:type="fixed"/>
        <w:tblCellMar>
          <w:top w:w="0" w:type="dxa"/>
          <w:left w:w="0" w:type="dxa"/>
          <w:bottom w:w="0" w:type="dxa"/>
          <w:right w:w="0" w:type="dxa"/>
        </w:tblCellMar>
      </w:tblPr>
      <w:tblGrid>
        <w:gridCol w:w="5626"/>
        <w:gridCol w:w="346"/>
        <w:gridCol w:w="796"/>
        <w:gridCol w:w="346"/>
        <w:gridCol w:w="796"/>
        <w:gridCol w:w="346"/>
        <w:gridCol w:w="736"/>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3572510" cy="175260"/>
                      <wp:effectExtent l="0" t="0" r="0" b="0"/>
                      <wp:wrapNone/>
                      <wp:docPr id="521" name="Frame518"/>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19710" cy="175260"/>
                      <wp:effectExtent l="0" t="0" r="0" b="0"/>
                      <wp:wrapNone/>
                      <wp:docPr id="522"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05460" cy="175260"/>
                      <wp:effectExtent l="0" t="0" r="0" b="0"/>
                      <wp:wrapNone/>
                      <wp:docPr id="523" name="Frame5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24" name="Frame5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05460" cy="175260"/>
                      <wp:effectExtent l="0" t="0" r="0" b="0"/>
                      <wp:wrapNone/>
                      <wp:docPr id="525" name="Frame5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19710" cy="175260"/>
                      <wp:effectExtent l="0" t="0" r="0" b="0"/>
                      <wp:wrapNone/>
                      <wp:docPr id="526" name="Frame5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467360" cy="175260"/>
                      <wp:effectExtent l="0" t="0" r="0" b="0"/>
                      <wp:wrapNone/>
                      <wp:docPr id="527" name="Frame5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(loss)/profit: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Digital Assets Services and Solutions</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(3,644)</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(5,306)</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4,380</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Online Advertising and SaaS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3,010</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Other segment *</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(4,795)</w:t>
            </w:r>
          </w:p>
        </w:tc>
      </w:tr>
      <w:tr>
        <w:trPr/>
        <w:tc>
          <w:tcPr>
            <w:tcW w:w="56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(3,644)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(5,306)</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2,595</w:t>
            </w:r>
          </w:p>
        </w:tc>
      </w:tr>
      <w:tr>
        <w:trPr/>
        <w:tc>
          <w:tcPr>
            <w:tcW w:w="5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(costs)/income, net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(loss)/gains, net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(18,071)</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5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6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(Loss)/profit from continuing operations before income tax credit</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(13,536)</w:t>
            </w:r>
          </w:p>
        </w:tc>
        <w:tc>
          <w:tcPr>
            <w:tcW w:w="346" w:type="dxa"/>
            <w:tcBorders/>
            <w:vAlign w:val="center"/>
          </w:tcPr>
          <w:p>
            <w:pPr>
              <w:pStyle w:val="TableContents"/>
              <w:bidi w:val="0"/>
              <w:spacing w:before="0" w:after="1"/>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(23,273)</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3,598</w:t>
            </w:r>
          </w:p>
        </w:tc>
      </w:tr>
    </w:tbl>
    <w:tbl>
      <w:tblPr>
        <w:tblW w:w="4851" w:type="dxa"/>
        <w:jc w:val="left"/>
        <w:tblInd w:w="0" w:type="dxa"/>
        <w:tblLayout w:type="fixed"/>
        <w:tblCellMar>
          <w:top w:w="0" w:type="dxa"/>
          <w:left w:w="0" w:type="dxa"/>
          <w:bottom w:w="0" w:type="dxa"/>
          <w:right w:w="0" w:type="dxa"/>
        </w:tblCellMar>
      </w:tblPr>
      <w:tblGrid>
        <w:gridCol w:w="124"/>
        <w:gridCol w:w="211"/>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451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segment refers to head office and group services</w:t>
            </w:r>
          </w:p>
        </w:tc>
      </w:tr>
    </w:tbl>
    <w:p>
      <w:pPr>
        <w:pStyle w:val="TextBody"/>
        <w:bidi w:val="0"/>
        <w:spacing w:before="0" w:after="24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Other profit or loss disclosures</w:t>
      </w:r>
    </w:p>
    <w:p>
      <w:pPr>
        <w:pStyle w:val="TextBody"/>
        <w:bidi w:val="0"/>
        <w:spacing w:before="0" w:after="240"/>
        <w:ind w:left="720" w:right="0" w:hanging="0"/>
        <w:jc w:val="both"/>
        <w:rPr/>
      </w:pPr>
      <w:r>
        <w:rPr/>
        <w:t>​</w:t>
      </w:r>
    </w:p>
    <w:tbl>
      <w:tblPr>
        <w:tblW w:w="9761" w:type="dxa"/>
        <w:jc w:val="left"/>
        <w:tblInd w:w="0" w:type="dxa"/>
        <w:tblLayout w:type="fixed"/>
        <w:tblCellMar>
          <w:top w:w="0" w:type="dxa"/>
          <w:left w:w="0" w:type="dxa"/>
          <w:bottom w:w="0" w:type="dxa"/>
          <w:right w:w="0" w:type="dxa"/>
        </w:tblCellMar>
      </w:tblPr>
      <w:tblGrid>
        <w:gridCol w:w="3286"/>
        <w:gridCol w:w="346"/>
        <w:gridCol w:w="1051"/>
        <w:gridCol w:w="346"/>
        <w:gridCol w:w="721"/>
        <w:gridCol w:w="346"/>
        <w:gridCol w:w="1066"/>
        <w:gridCol w:w="346"/>
        <w:gridCol w:w="961"/>
        <w:gridCol w:w="346"/>
        <w:gridCol w:w="94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86610" cy="175260"/>
                      <wp:effectExtent l="0" t="0" r="0" b="0"/>
                      <wp:wrapNone/>
                      <wp:docPr id="528" name="Frame52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19710" cy="175260"/>
                      <wp:effectExtent l="0" t="0" r="0" b="0"/>
                      <wp:wrapNone/>
                      <wp:docPr id="529" name="Frame5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67385" cy="175260"/>
                      <wp:effectExtent l="0" t="0" r="0" b="0"/>
                      <wp:wrapNone/>
                      <wp:docPr id="530" name="Frame52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19710" cy="175260"/>
                      <wp:effectExtent l="0" t="0" r="0" b="0"/>
                      <wp:wrapNone/>
                      <wp:docPr id="531"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57835" cy="175260"/>
                      <wp:effectExtent l="0" t="0" r="0" b="0"/>
                      <wp:wrapNone/>
                      <wp:docPr id="532" name="Frame5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33" name="Frame5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76910" cy="175260"/>
                      <wp:effectExtent l="0" t="0" r="0" b="0"/>
                      <wp:wrapNone/>
                      <wp:docPr id="534" name="Frame53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19710" cy="175260"/>
                      <wp:effectExtent l="0" t="0" r="0" b="0"/>
                      <wp:wrapNone/>
                      <wp:docPr id="535" name="Frame5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10235" cy="175260"/>
                      <wp:effectExtent l="0" t="0" r="0" b="0"/>
                      <wp:wrapNone/>
                      <wp:docPr id="536" name="Frame53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19710" cy="175260"/>
                      <wp:effectExtent l="0" t="0" r="0" b="0"/>
                      <wp:wrapNone/>
                      <wp:docPr id="537"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00710" cy="175260"/>
                      <wp:effectExtent l="0" t="0" r="0" b="0"/>
                      <wp:wrapNone/>
                      <wp:docPr id="538" name="Frame53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of </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Depreciation</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 from</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tax </w:t>
            </w:r>
          </w:p>
        </w:tc>
        <w:tc>
          <w:tcPr>
            <w:tcW w:w="346"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 equity </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costs</w:t>
            </w:r>
          </w:p>
        </w:tc>
        <w:tc>
          <w:tcPr>
            <w:tcW w:w="346" w:type="dxa"/>
            <w:tcBorders/>
            <w:vAlign w:val="center"/>
          </w:tcPr>
          <w:p>
            <w:pPr>
              <w:pStyle w:val="TableContents"/>
              <w:bidi w:val="0"/>
              <w:spacing w:before="0" w:after="1"/>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w:t>
            </w:r>
          </w:p>
        </w:tc>
        <w:tc>
          <w:tcPr>
            <w:tcW w:w="346" w:type="dxa"/>
            <w:tcBorders/>
            <w:vAlign w:val="center"/>
          </w:tcPr>
          <w:p>
            <w:pPr>
              <w:pStyle w:val="TableContents"/>
              <w:bidi w:val="0"/>
              <w:spacing w:before="0" w:after="1"/>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investee</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Year ended December 31, 2023</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Solutions</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(740)</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Year ended December 31, 2024</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(379)</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Year ended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Solutions</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32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(1,451)</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619</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1,067</w:t>
            </w:r>
          </w:p>
        </w:tc>
        <w:tc>
          <w:tcPr>
            <w:tcW w:w="346" w:type="dxa"/>
            <w:tcBorders/>
            <w:shd w:fill="CCEEFF" w:val="clear"/>
            <w:vAlign w:val="center"/>
          </w:tcPr>
          <w:p>
            <w:pPr>
              <w:pStyle w:val="TableContents"/>
              <w:bidi w:val="0"/>
              <w:spacing w:before="0" w:after="1"/>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w:t>
            </w:r>
          </w:p>
        </w:tc>
      </w:tr>
    </w:tbl>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Other segment refers to head office and group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214" w:name="Tc_nf0umFb4tk6u_3lqMHuRlQ_26_0"/>
      <w:bookmarkStart w:id="2215" w:name="Tc_kfCyPy2MzU65cvi0TZVV7A_25_4"/>
      <w:bookmarkStart w:id="2216" w:name="Tc_Sbf3l8_ZBUyiyRkpzlzB9A_25_2"/>
      <w:bookmarkStart w:id="2217" w:name="Tc_IouDh8gYCU6M2IZWwPhqLg_25_0"/>
      <w:bookmarkStart w:id="2218" w:name="Tc_7P4ISXWiokWkuinSIA22UA_24_4"/>
      <w:bookmarkStart w:id="2219" w:name="Tc_FGOjvEoEE0yk4H6p6fK5Cw_24_2"/>
      <w:bookmarkStart w:id="2220" w:name="Tc_YJZC2xC8YEKxcSVdEHNykw_24_0"/>
      <w:bookmarkStart w:id="2221" w:name="Tc_ThylujYkuEi2lFJ7GzcKEA_23_4"/>
      <w:bookmarkStart w:id="2222" w:name="Tc_-rKh-R1RX0u5sjGJQVfE7A_23_2"/>
      <w:bookmarkStart w:id="2223" w:name="Tc_rDVStPg5h0iIc_4yy3n9KQ_23_0"/>
      <w:bookmarkStart w:id="2224" w:name="Tc_wvFrtXaVz02TysM3b2wBqQ_21_0"/>
      <w:bookmarkStart w:id="2225" w:name="Tc_1E5rE1upB0OO-K9xACMFSw_20_4"/>
      <w:bookmarkStart w:id="2226" w:name="Tc_2YZ1RUwYiESJU2c8_dc5wA_20_2"/>
      <w:bookmarkStart w:id="2227" w:name="Tc_oxVyRo3kqkSaDorLAmg-Og_20_0"/>
      <w:bookmarkStart w:id="2228" w:name="Tc_BzYnx4JOM0ick8ZrBloGUg_19_0"/>
      <w:bookmarkStart w:id="2229" w:name="Tc_VUGsFYmZgkK8gLi6Rr1QVA_18_0"/>
      <w:bookmarkStart w:id="2230" w:name="Tc_rhpT4_499k6qNy6Lgm11Qw_16_2"/>
      <w:bookmarkStart w:id="2231" w:name="Tc_PfpJJFjkVkSAd8kyzFi01Q_15_4"/>
      <w:bookmarkStart w:id="2232" w:name="Tc_qZ7tiyPxHUuTHji_jSSn7A_15_2"/>
      <w:bookmarkStart w:id="2233" w:name="Tc_YPZEUf0SK021oJafoBotkQ_15_0"/>
      <w:bookmarkStart w:id="2234" w:name="Tc_qBOn9pY2zE-DQrF4CLg1pg_14_2"/>
      <w:bookmarkStart w:id="2235" w:name="Tc_BZyWeugtR0eMIGUQiMvZzA_14_0"/>
      <w:bookmarkStart w:id="2236" w:name="Tc_LjRaSA-wJUSdxgIxzoi30A_13_0"/>
      <w:bookmarkStart w:id="2237" w:name="Tc_eSfJG-bPbk2A-1MZ4vBVPQ_11_0"/>
      <w:bookmarkStart w:id="2238" w:name="Tc_nAYUI4DzGEmC2y06rY765w_10_4"/>
      <w:bookmarkStart w:id="2239" w:name="Tc_4ClSwUxnik6UGaQ65Ttxpw_10_2"/>
      <w:bookmarkStart w:id="2240" w:name="Tc_2H8rp3kipkmp_R8qK-zJqw_10_0"/>
      <w:bookmarkStart w:id="2241" w:name="Tc_r1jK5zHVxkiHOWatrYzYMQ_9_4"/>
      <w:bookmarkStart w:id="2242" w:name="Tc_wx2hEeZ81kqHcXFqDm_Ihg_9_2"/>
      <w:bookmarkStart w:id="2243" w:name="Tc_Z6L1LaicqkCESmGIAUgwsw_9_0"/>
      <w:bookmarkStart w:id="2244" w:name="Tc_vn3IVMkJgU2Q61UpMSBwBw_8_4"/>
      <w:bookmarkStart w:id="2245" w:name="Tc_0eOJj_OhpUGQkhXhx6iM-Q_8_2"/>
      <w:bookmarkStart w:id="2246" w:name="Tc_LwbPmWsF9kq6Syv0hK4B8Q_8_0"/>
      <w:bookmarkStart w:id="2247" w:name="Tc_SZfEzoN-xkmeEBpn2w0B8g_6_0"/>
      <w:bookmarkStart w:id="2248" w:name="Tc_vAi5yimJLkqoi32qeFryfA_5_4"/>
      <w:bookmarkStart w:id="2249" w:name="Tc_k2PdgvM-zECkV0MbvMht8A_5_2"/>
      <w:bookmarkStart w:id="2250" w:name="Tc_pNMuGA4xG0qzv0WiZeodrw_5_0"/>
      <w:bookmarkStart w:id="2251" w:name="Tc__DonOfghWU6vjM1r8oVcsg_4_0"/>
      <w:bookmarkStart w:id="2252" w:name="Tc_G0cYF23XOUu5JJTLWW1_SQ_3_0"/>
      <w:bookmarkStart w:id="2253" w:name="Tc_TzoaOplOCkqq-P4ajueCGg_2_6"/>
      <w:bookmarkStart w:id="2254" w:name="Tc_eitkCEqSpk6RWZfUqZ9-qA_2_4"/>
      <w:bookmarkStart w:id="2255" w:name="Tc_lOEurIiWB0izV6y5V7j5Sg_2_2"/>
      <w:bookmarkStart w:id="2256" w:name="Tc_AT-x7_O7-kq8MFwMDU-rTA_1_2"/>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r>
        <w:rPr>
          <w:rFonts w:ascii="Times New Roman;Times;serif" w:hAnsi="Times New Roman;Times;serif"/>
          <w:b/>
          <w:i w:val="false"/>
          <w:caps w:val="false"/>
          <w:smallCaps w:val="false"/>
          <w:sz w:val="20"/>
        </w:rPr>
        <w:t>23.</w:t>
      </w:r>
      <w:r>
        <w:rPr>
          <w:rFonts w:ascii="Times New Roman;Times;serif" w:hAnsi="Times New Roman;Times;serif"/>
          <w:b/>
          <w:sz w:val="20"/>
        </w:rPr>
        <w:t>Revenue and segment reporting (Continued)</w:t>
      </w:r>
    </w:p>
    <w:tbl>
      <w:tblPr>
        <w:tblW w:w="2991" w:type="dxa"/>
        <w:jc w:val="left"/>
        <w:tblInd w:w="0" w:type="dxa"/>
        <w:tblLayout w:type="fixed"/>
        <w:tblCellMar>
          <w:top w:w="28" w:type="dxa"/>
          <w:left w:w="28" w:type="dxa"/>
          <w:bottom w:w="28" w:type="dxa"/>
          <w:right w:w="28" w:type="dxa"/>
        </w:tblCellMar>
      </w:tblPr>
      <w:tblGrid>
        <w:gridCol w:w="124"/>
        <w:gridCol w:w="331"/>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 and liabilities</w:t>
            </w:r>
          </w:p>
        </w:tc>
      </w:tr>
    </w:tbl>
    <w:p>
      <w:pPr>
        <w:pStyle w:val="TextBody"/>
        <w:bidi w:val="0"/>
        <w:spacing w:before="0" w:after="240"/>
        <w:ind w:left="720" w:right="0" w:hanging="0"/>
        <w:jc w:val="both"/>
        <w:rPr/>
      </w:pPr>
      <w:r>
        <w:rPr/>
        <w:t>​</w:t>
      </w:r>
    </w:p>
    <w:tbl>
      <w:tblPr>
        <w:tblW w:w="8242" w:type="dxa"/>
        <w:jc w:val="left"/>
        <w:tblInd w:w="0" w:type="dxa"/>
        <w:tblLayout w:type="fixed"/>
        <w:tblCellMar>
          <w:top w:w="0" w:type="dxa"/>
          <w:left w:w="0" w:type="dxa"/>
          <w:bottom w:w="0" w:type="dxa"/>
          <w:right w:w="0" w:type="dxa"/>
        </w:tblCellMar>
      </w:tblPr>
      <w:tblGrid>
        <w:gridCol w:w="4861"/>
        <w:gridCol w:w="346"/>
        <w:gridCol w:w="676"/>
        <w:gridCol w:w="346"/>
        <w:gridCol w:w="781"/>
        <w:gridCol w:w="346"/>
        <w:gridCol w:w="886"/>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086735" cy="175260"/>
                      <wp:effectExtent l="0" t="0" r="0" b="0"/>
                      <wp:wrapNone/>
                      <wp:docPr id="539" name="Frame536"/>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19710" cy="175260"/>
                      <wp:effectExtent l="0" t="0" r="0" b="0"/>
                      <wp:wrapNone/>
                      <wp:docPr id="540"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429260" cy="175260"/>
                      <wp:effectExtent l="0" t="0" r="0" b="0"/>
                      <wp:wrapNone/>
                      <wp:docPr id="541" name="Frame5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2" name="Frame5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95935" cy="175260"/>
                      <wp:effectExtent l="0" t="0" r="0" b="0"/>
                      <wp:wrapNone/>
                      <wp:docPr id="543" name="Frame5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19710" cy="175260"/>
                      <wp:effectExtent l="0" t="0" r="0" b="0"/>
                      <wp:wrapNone/>
                      <wp:docPr id="544" name="Frame5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562610" cy="175260"/>
                      <wp:effectExtent l="0" t="0" r="0" b="0"/>
                      <wp:wrapNone/>
                      <wp:docPr id="545" name="Frame5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Segment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36,851</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129,834</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167,574</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75,267</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assets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36,851</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129,834</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242,841</w:t>
            </w:r>
          </w:p>
        </w:tc>
      </w:tr>
      <w:tr>
        <w:trPr/>
        <w:tc>
          <w:tcPr>
            <w:tcW w:w="48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Intersegment eliminations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(6,087)</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items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19,608</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 as per the statement of financial position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36,851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129,834</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256,379</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Additions to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42,570</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4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42,990</w:t>
            </w:r>
          </w:p>
        </w:tc>
      </w:tr>
      <w:tr>
        <w:trPr/>
        <w:tc>
          <w:tcPr>
            <w:tcW w:w="48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Segment liabilities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Assets Services and Solution</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100,049</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132,379</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Advertising and SaaS Solutions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17,996</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segment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100,049</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150,375</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Intersegment eliminations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(6,085)</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Unallocated items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as per the statement of financial position</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41,399</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100,049</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146,067</w:t>
            </w:r>
          </w:p>
        </w:tc>
      </w:tr>
    </w:tbl>
    <w:p>
      <w:pPr>
        <w:pStyle w:val="TextBody"/>
        <w:bidi w:val="0"/>
        <w:spacing w:before="0" w:after="240"/>
        <w:ind w:left="72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2257" w:name="Tc_pUa71ZE9sUyjFAnxBkva7g_14_4"/>
      <w:bookmarkStart w:id="2258" w:name="Tc_WNC_eb9k6k6d0tdBac6Gjg_14_2"/>
      <w:bookmarkStart w:id="2259" w:name="Tc_5gt-BKeABki1ejzqNpi5SQ_14_0"/>
      <w:bookmarkStart w:id="2260" w:name="Tc_tOzMKwj5MEOzGwYYvl-QSg_13_0"/>
      <w:bookmarkStart w:id="2261" w:name="Tc_OXkIEG890UiGcIZZzqxdOw_12_0"/>
      <w:bookmarkStart w:id="2262" w:name="Tc_S15bzKboRUy284rfs8pO3Q_11_4"/>
      <w:bookmarkStart w:id="2263" w:name="Tc_sNMgHu70tECW6OGskhrNiA_11_0"/>
      <w:bookmarkStart w:id="2264" w:name="Tc_LbNJFL_L7EWTEnt9D_b6mA_10_0"/>
      <w:bookmarkStart w:id="2265" w:name="Tc_docxhtsEF0Kg4dZ5tyCW6g_9_0"/>
      <w:bookmarkStart w:id="2266" w:name="Tc_ZvkCbU22JUGfcmAjCgK5yQ_8_0"/>
      <w:bookmarkStart w:id="2267" w:name="Tc_TNK5uXpoQky4OBDJLRYM4Q_7_4"/>
      <w:bookmarkStart w:id="2268" w:name="Tc_E-sFvxECmEuZ85RLINQapg_7_2"/>
      <w:bookmarkStart w:id="2269" w:name="Tc_IHuHq4UdEUyuY5ovh3Qfdw_7_0"/>
      <w:bookmarkStart w:id="2270" w:name="Tc_i7DFf9lN1km0GC5AYmNQnQ_6_0"/>
      <w:bookmarkStart w:id="2271" w:name="Tc_A3WufFGXIUCN-o9amUbyog_5_0"/>
      <w:bookmarkStart w:id="2272" w:name="Tc_fRQm0aSMZkuD_xQpFUIGBg_4_0"/>
      <w:bookmarkStart w:id="2273" w:name="Tc_pWaJnZE5i0edwbh4dI2nnA_3_0"/>
      <w:bookmarkStart w:id="2274" w:name="Tc_lbdA5msqVU26qflD8QY5mw_2_6"/>
      <w:bookmarkStart w:id="2275" w:name="Tc_TrqvcfAQXEaAxlMnZ2EfpA_2_4"/>
      <w:bookmarkStart w:id="2276" w:name="Tc_3EnoRo0fAE-ejskLaO5Llw_2_2"/>
      <w:bookmarkStart w:id="2277" w:name="Tc_YifMd7D7xEGB5UJ9eCSx8g_1_2"/>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r>
        <w:rPr>
          <w:rFonts w:ascii="Times New Roman;Times;serif" w:hAnsi="Times New Roman;Times;serif"/>
          <w:b/>
          <w:i w:val="false"/>
          <w:caps w:val="false"/>
          <w:smallCaps w:val="false"/>
          <w:sz w:val="20"/>
        </w:rPr>
        <w:t>24.</w:t>
      </w:r>
      <w:r>
        <w:rPr>
          <w:rFonts w:ascii="Times New Roman;Times;serif" w:hAnsi="Times New Roman;Times;serif"/>
          <w:b/>
          <w:sz w:val="20"/>
        </w:rPr>
        <w:t>Expenses by nature</w:t>
      </w:r>
    </w:p>
    <w:p>
      <w:pPr>
        <w:pStyle w:val="TextBody"/>
        <w:bidi w:val="0"/>
        <w:spacing w:before="0" w:after="240"/>
        <w:ind w:left="0" w:right="0" w:hanging="0"/>
        <w:jc w:val="both"/>
        <w:rPr/>
      </w:pPr>
      <w:r>
        <w:rPr/>
        <w:t>​</w:t>
      </w:r>
    </w:p>
    <w:tbl>
      <w:tblPr>
        <w:tblW w:w="7665" w:type="dxa"/>
        <w:jc w:val="left"/>
        <w:tblInd w:w="0" w:type="dxa"/>
        <w:tblLayout w:type="fixed"/>
        <w:tblCellMar>
          <w:top w:w="0" w:type="dxa"/>
          <w:left w:w="0" w:type="dxa"/>
          <w:bottom w:w="0" w:type="dxa"/>
          <w:right w:w="0" w:type="dxa"/>
        </w:tblCellMar>
      </w:tblPr>
      <w:tblGrid>
        <w:gridCol w:w="4696"/>
        <w:gridCol w:w="346"/>
        <w:gridCol w:w="586"/>
        <w:gridCol w:w="355"/>
        <w:gridCol w:w="586"/>
        <w:gridCol w:w="355"/>
        <w:gridCol w:w="74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981960" cy="175260"/>
                      <wp:effectExtent l="0" t="0" r="0" b="0"/>
                      <wp:wrapNone/>
                      <wp:docPr id="546" name="Frame543"/>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19710" cy="175260"/>
                      <wp:effectExtent l="0" t="0" r="0" b="0"/>
                      <wp:wrapNone/>
                      <wp:docPr id="547" name="Frame5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72110" cy="175260"/>
                      <wp:effectExtent l="0" t="0" r="0" b="0"/>
                      <wp:wrapNone/>
                      <wp:docPr id="548" name="Frame54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25425" cy="175260"/>
                      <wp:effectExtent l="0" t="0" r="0" b="0"/>
                      <wp:wrapNone/>
                      <wp:docPr id="549" name="Frame54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72110" cy="175260"/>
                      <wp:effectExtent l="0" t="0" r="0" b="0"/>
                      <wp:wrapNone/>
                      <wp:docPr id="550" name="Frame54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25425" cy="175260"/>
                      <wp:effectExtent l="0" t="0" r="0" b="0"/>
                      <wp:wrapNone/>
                      <wp:docPr id="551" name="Frame54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70535" cy="175260"/>
                      <wp:effectExtent l="0" t="0" r="0" b="0"/>
                      <wp:wrapNone/>
                      <wp:docPr id="552" name="Frame54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5" w:type="dxa"/>
            <w:tcBorders/>
            <w:vAlign w:val="center"/>
          </w:tcPr>
          <w:p>
            <w:pPr>
              <w:pStyle w:val="TableContents"/>
              <w:bidi w:val="0"/>
              <w:spacing w:before="0" w:after="0"/>
              <w:ind w:left="0" w:right="0" w:hanging="0"/>
              <w:jc w:val="center"/>
              <w:rPr/>
            </w:pPr>
            <w:r>
              <w:rPr/>
              <w:t>  ​ ​ ​</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w:t>
            </w:r>
          </w:p>
        </w:tc>
        <w:tc>
          <w:tcPr>
            <w:tcW w:w="355"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c>
          <w:tcPr>
            <w:tcW w:w="355" w:type="dxa"/>
            <w:tcBorders/>
            <w:shd w:fill="CCEEFF" w:val="clear"/>
            <w:vAlign w:val="center"/>
          </w:tcPr>
          <w:p>
            <w:pPr>
              <w:pStyle w:val="TableContents"/>
              <w:bidi w:val="0"/>
              <w:spacing w:before="0" w:after="0"/>
              <w:ind w:left="0" w:right="0" w:hanging="0"/>
              <w:jc w:val="left"/>
              <w:rPr/>
            </w:pPr>
            <w:r>
              <w:rPr/>
              <w:t> </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26,686</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Wages, salaries and bonuses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w:t>
            </w:r>
          </w:p>
        </w:tc>
        <w:tc>
          <w:tcPr>
            <w:tcW w:w="355"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5,095</w:t>
            </w:r>
          </w:p>
        </w:tc>
        <w:tc>
          <w:tcPr>
            <w:tcW w:w="355"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23,932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Contribution to pension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55"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55"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Welfare, medical and other benefits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55"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55"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expenses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55"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55"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10,752</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55"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55"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development expenses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5"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55"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plant and equipment (Note 14)</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55"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(Note 15)</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55"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55"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right-of-use assets (Note 20)</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55"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55" w:type="dxa"/>
            <w:tcBorders/>
            <w:shd w:fill="CCEEFF" w:val="clear"/>
            <w:vAlign w:val="center"/>
          </w:tcPr>
          <w:p>
            <w:pPr>
              <w:pStyle w:val="TableContents"/>
              <w:bidi w:val="0"/>
              <w:spacing w:before="0" w:after="0"/>
              <w:ind w:left="0" w:right="0" w:hanging="0"/>
              <w:jc w:val="left"/>
              <w:rPr/>
            </w:pPr>
            <w:r>
              <w:rPr/>
              <w:t> </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0"/>
        <w:ind w:left="0" w:right="0" w:hanging="0"/>
        <w:jc w:val="left"/>
        <w:rPr>
          <w:rFonts w:ascii="Times New Roman;Times;serif" w:hAnsi="Times New Roman;Times;serif"/>
          <w:b/>
          <w:sz w:val="20"/>
        </w:rPr>
      </w:pPr>
      <w:bookmarkStart w:id="2278" w:name="Tc__JRsxO_GLE-A1WCH5sJtAQ_11_4"/>
      <w:bookmarkStart w:id="2279" w:name="Tc_1MwFrW1Gkk61mW1Ica05Yg_11_2"/>
      <w:bookmarkStart w:id="2280" w:name="Tc_neRkMjEQ1keA81CEqtRbVw_11_0"/>
      <w:bookmarkStart w:id="2281" w:name="Tc_Fx9JrAtAGkC94PrOYZvRKg_10_6"/>
      <w:bookmarkStart w:id="2282" w:name="Tc_01iZDwMKQESftbYrMCPnPg_10_0"/>
      <w:bookmarkStart w:id="2283" w:name="Tc_LP0jZLCAvUuB5-okT7Gnjg_9_0"/>
      <w:bookmarkStart w:id="2284" w:name="Tc_hV_z0qbQGkuCBCNKbrr4OQ_8_0"/>
      <w:bookmarkStart w:id="2285" w:name="Tc_Hwv68BLr0k6VI_9XhKhCWw_6_2"/>
      <w:bookmarkStart w:id="2286" w:name="Tc_qMXP8B6xSUm72G4cnK9XAQ_5_4"/>
      <w:bookmarkStart w:id="2287" w:name="Tc_qI_uTGCWsU2PjaMcAw7gTg_5_2"/>
      <w:bookmarkStart w:id="2288" w:name="Tc_VGixTMbM80ygU25QqGiGdw_5_0"/>
      <w:bookmarkStart w:id="2289" w:name="Tc_jWrGRUaUxk2v2-vHvOeSsw_4_2"/>
      <w:bookmarkStart w:id="2290" w:name="Tc_cxEDfUa7u0-3K5iZsnnBQQ_4_0"/>
      <w:bookmarkStart w:id="2291" w:name="Tc_MWfXMgeStUO1lAkKWEAb8g_3_0"/>
      <w:bookmarkStart w:id="2292" w:name="Tc_3JNKOk43V02liLkmX_TJmw_2_6"/>
      <w:bookmarkStart w:id="2293" w:name="Tc_5iDbPCwXt0qu6RioCKagFw_2_4"/>
      <w:bookmarkStart w:id="2294" w:name="Tc_X_bu-sNud0OSW78mAZ7SFA_2_2"/>
      <w:bookmarkStart w:id="2295" w:name="Tc_SLN4sB1tWEmDcKSlxd8g4w_1_2"/>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r>
        <w:rPr>
          <w:rFonts w:ascii="Times New Roman;Times;serif" w:hAnsi="Times New Roman;Times;serif"/>
          <w:b/>
          <w:i w:val="false"/>
          <w:caps w:val="false"/>
          <w:smallCaps w:val="false"/>
          <w:sz w:val="20"/>
        </w:rPr>
        <w:t>25.</w:t>
      </w:r>
      <w:r>
        <w:rPr>
          <w:rFonts w:ascii="Times New Roman;Times;serif" w:hAnsi="Times New Roman;Times;serif"/>
          <w:b/>
          <w:sz w:val="20"/>
        </w:rPr>
        <w:t>Finance income and costs</w:t>
      </w:r>
    </w:p>
    <w:p>
      <w:pPr>
        <w:pStyle w:val="TextBody"/>
        <w:bidi w:val="0"/>
        <w:spacing w:before="0" w:after="240"/>
        <w:ind w:left="0" w:right="0" w:hanging="0"/>
        <w:jc w:val="both"/>
        <w:rPr/>
      </w:pPr>
      <w:r>
        <w:rPr/>
        <w:t>​</w:t>
      </w:r>
    </w:p>
    <w:tbl>
      <w:tblPr>
        <w:tblW w:w="7126" w:type="dxa"/>
        <w:jc w:val="left"/>
        <w:tblInd w:w="0" w:type="dxa"/>
        <w:tblLayout w:type="fixed"/>
        <w:tblCellMar>
          <w:top w:w="0" w:type="dxa"/>
          <w:left w:w="0" w:type="dxa"/>
          <w:bottom w:w="0" w:type="dxa"/>
          <w:right w:w="0" w:type="dxa"/>
        </w:tblCellMar>
      </w:tblPr>
      <w:tblGrid>
        <w:gridCol w:w="4156"/>
        <w:gridCol w:w="346"/>
        <w:gridCol w:w="642"/>
        <w:gridCol w:w="411"/>
        <w:gridCol w:w="553"/>
        <w:gridCol w:w="411"/>
        <w:gridCol w:w="607"/>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639060" cy="175260"/>
                      <wp:effectExtent l="0" t="0" r="0" b="0"/>
                      <wp:wrapNone/>
                      <wp:docPr id="553" name="Frame550"/>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54" name="Frame5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07670" cy="175260"/>
                      <wp:effectExtent l="0" t="0" r="0" b="0"/>
                      <wp:wrapNone/>
                      <wp:docPr id="555" name="Frame552"/>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60985" cy="175260"/>
                      <wp:effectExtent l="0" t="0" r="0" b="0"/>
                      <wp:wrapNone/>
                      <wp:docPr id="556" name="Frame553"/>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51155" cy="175260"/>
                      <wp:effectExtent l="0" t="0" r="0" b="0"/>
                      <wp:wrapNone/>
                      <wp:docPr id="557" name="Frame554"/>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60985" cy="175260"/>
                      <wp:effectExtent l="0" t="0" r="0" b="0"/>
                      <wp:wrapNone/>
                      <wp:docPr id="558" name="Frame555"/>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85445" cy="175260"/>
                      <wp:effectExtent l="0" t="0" r="0" b="0"/>
                      <wp:wrapNone/>
                      <wp:docPr id="559" name="Frame556"/>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1" w:type="dxa"/>
            <w:tcBorders/>
            <w:vAlign w:val="center"/>
          </w:tcPr>
          <w:p>
            <w:pPr>
              <w:pStyle w:val="TableContents"/>
              <w:bidi w:val="0"/>
              <w:spacing w:before="0" w:after="1"/>
              <w:ind w:left="0" w:right="0" w:hanging="0"/>
              <w:jc w:val="center"/>
              <w:rPr/>
            </w:pPr>
            <w:r>
              <w:rPr/>
              <w:t>  ​ ​ ​</w:t>
            </w:r>
          </w:p>
        </w:tc>
        <w:tc>
          <w:tcPr>
            <w:tcW w:w="5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11" w:type="dxa"/>
            <w:tcBorders/>
            <w:vAlign w:val="center"/>
          </w:tcPr>
          <w:p>
            <w:pPr>
              <w:pStyle w:val="TableContents"/>
              <w:bidi w:val="0"/>
              <w:spacing w:before="0" w:after="1"/>
              <w:ind w:left="0" w:right="0" w:hanging="0"/>
              <w:jc w:val="center"/>
              <w:rPr/>
            </w:pPr>
            <w:r>
              <w:rPr/>
              <w:t>  ​ ​ ​</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income</w:t>
            </w:r>
          </w:p>
        </w:tc>
        <w:tc>
          <w:tcPr>
            <w:tcW w:w="346" w:type="dxa"/>
            <w:tcBorders/>
            <w:shd w:fill="CCEEFF" w:val="clear"/>
            <w:vAlign w:val="center"/>
          </w:tcPr>
          <w:p>
            <w:pPr>
              <w:pStyle w:val="TableContents"/>
              <w:bidi w:val="0"/>
              <w:spacing w:before="0" w:after="1"/>
              <w:ind w:left="0" w:right="0" w:hanging="0"/>
              <w:jc w:val="left"/>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553" w:type="dxa"/>
            <w:tcBorders/>
            <w:shd w:fill="CCEEFF" w:val="cle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607" w:type="dxa"/>
            <w:tcBorders/>
            <w:shd w:fill="CCEEFF" w:val="clear"/>
            <w:vAlign w:val="center"/>
          </w:tcPr>
          <w:p>
            <w:pPr>
              <w:pStyle w:val="TableContents"/>
              <w:bidi w:val="0"/>
              <w:spacing w:before="0" w:after="1"/>
              <w:ind w:left="0" w:right="0" w:hanging="0"/>
              <w:jc w:val="righ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bank deposits</w:t>
            </w:r>
          </w:p>
        </w:tc>
        <w:tc>
          <w:tcPr>
            <w:tcW w:w="346" w:type="dxa"/>
            <w:tcBorders/>
            <w:vAlign w:val="center"/>
          </w:tcPr>
          <w:p>
            <w:pPr>
              <w:pStyle w:val="TableContents"/>
              <w:bidi w:val="0"/>
              <w:spacing w:before="0" w:after="1"/>
              <w:ind w:left="0" w:right="0" w:hanging="0"/>
              <w:jc w:val="left"/>
              <w:rPr/>
            </w:pPr>
            <w:r>
              <w:rPr/>
              <w:t>​</w:t>
            </w:r>
          </w:p>
        </w:tc>
        <w:tc>
          <w:tcPr>
            <w:tcW w:w="642" w:type="dxa"/>
            <w:tcBorders/>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 </w:t>
            </w:r>
          </w:p>
        </w:tc>
        <w:tc>
          <w:tcPr>
            <w:tcW w:w="5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411" w:type="dxa"/>
            <w:tcBorders/>
            <w:vAlign w:val="center"/>
          </w:tcPr>
          <w:p>
            <w:pPr>
              <w:pStyle w:val="TableContents"/>
              <w:bidi w:val="0"/>
              <w:spacing w:before="0" w:after="1"/>
              <w:ind w:left="0" w:right="0" w:hanging="0"/>
              <w:jc w:val="left"/>
              <w:rPr/>
            </w:pPr>
            <w:r>
              <w:rPr/>
              <w:t> </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 </w:t>
            </w:r>
          </w:p>
        </w:tc>
        <w:tc>
          <w:tcPr>
            <w:tcW w:w="5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411" w:type="dxa"/>
            <w:tcBorders/>
            <w:vAlign w:val="center"/>
          </w:tcPr>
          <w:p>
            <w:pPr>
              <w:pStyle w:val="TableContents"/>
              <w:bidi w:val="0"/>
              <w:spacing w:before="0" w:after="1"/>
              <w:ind w:left="0" w:right="0" w:hanging="0"/>
              <w:jc w:val="left"/>
              <w:rPr/>
            </w:pPr>
            <w:r>
              <w:rPr/>
              <w:t> </w:t>
            </w:r>
          </w:p>
        </w:tc>
        <w:tc>
          <w:tcPr>
            <w:tcW w:w="6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2" w:type="dxa"/>
            <w:tcBorders/>
            <w:shd w:fill="CCEEFF" w:val="cle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553" w:type="dxa"/>
            <w:tcBorders/>
            <w:shd w:fill="CCEEFF" w:val="cle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607" w:type="dxa"/>
            <w:tcBorders/>
            <w:shd w:fill="CCEEFF" w:val="clear"/>
            <w:vAlign w:val="center"/>
          </w:tcPr>
          <w:p>
            <w:pPr>
              <w:pStyle w:val="TableContents"/>
              <w:bidi w:val="0"/>
              <w:spacing w:before="0" w:after="1"/>
              <w:ind w:left="0" w:right="0" w:hanging="0"/>
              <w:jc w:val="right"/>
              <w:rPr/>
            </w:pPr>
            <w:r>
              <w:rPr/>
              <w:t>​</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Finance costs</w:t>
            </w:r>
          </w:p>
        </w:tc>
        <w:tc>
          <w:tcPr>
            <w:tcW w:w="346" w:type="dxa"/>
            <w:tcBorders/>
            <w:vAlign w:val="center"/>
          </w:tcPr>
          <w:p>
            <w:pPr>
              <w:pStyle w:val="TableContents"/>
              <w:bidi w:val="0"/>
              <w:spacing w:before="0" w:after="1"/>
              <w:ind w:left="0" w:right="0" w:hanging="0"/>
              <w:jc w:val="left"/>
              <w:rPr/>
            </w:pPr>
            <w:r>
              <w:rPr/>
              <w:t>​</w:t>
            </w:r>
          </w:p>
        </w:tc>
        <w:tc>
          <w:tcPr>
            <w:tcW w:w="642" w:type="dxa"/>
            <w:tcBorders/>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w:t>
            </w:r>
          </w:p>
        </w:tc>
        <w:tc>
          <w:tcPr>
            <w:tcW w:w="553" w:type="dxa"/>
            <w:tcBorders/>
            <w:vAlign w:val="center"/>
          </w:tcPr>
          <w:p>
            <w:pPr>
              <w:pStyle w:val="TableContents"/>
              <w:bidi w:val="0"/>
              <w:spacing w:before="0" w:after="1"/>
              <w:ind w:left="0" w:right="0" w:hanging="0"/>
              <w:jc w:val="right"/>
              <w:rPr/>
            </w:pPr>
            <w:r>
              <w:rPr/>
              <w:t>​</w:t>
            </w:r>
          </w:p>
        </w:tc>
        <w:tc>
          <w:tcPr>
            <w:tcW w:w="411"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6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11" w:type="dxa"/>
            <w:tcBorders/>
            <w:shd w:fill="CCEEFF" w:val="clear"/>
            <w:vAlign w:val="center"/>
          </w:tcPr>
          <w:p>
            <w:pPr>
              <w:pStyle w:val="TableContents"/>
              <w:bidi w:val="0"/>
              <w:spacing w:before="0" w:after="1"/>
              <w:ind w:left="0" w:right="0" w:hanging="0"/>
              <w:jc w:val="left"/>
              <w:rPr/>
            </w:pPr>
            <w:r>
              <w:rPr/>
              <w:t>​</w:t>
            </w:r>
          </w:p>
        </w:tc>
        <w:tc>
          <w:tcPr>
            <w:tcW w:w="5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411"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on amounts due to related parties</w:t>
            </w:r>
          </w:p>
        </w:tc>
        <w:tc>
          <w:tcPr>
            <w:tcW w:w="346" w:type="dxa"/>
            <w:tcBorders/>
            <w:vAlign w:val="center"/>
          </w:tcPr>
          <w:p>
            <w:pPr>
              <w:pStyle w:val="TableContents"/>
              <w:bidi w:val="0"/>
              <w:spacing w:before="0" w:after="1"/>
              <w:ind w:left="0" w:right="0" w:hanging="0"/>
              <w:jc w:val="left"/>
              <w:rPr/>
            </w:pPr>
            <w:r>
              <w:rPr/>
              <w:t>​</w:t>
            </w:r>
          </w:p>
        </w:tc>
        <w:tc>
          <w:tcPr>
            <w:tcW w:w="6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411" w:type="dxa"/>
            <w:tcBorders/>
            <w:vAlign w:val="center"/>
          </w:tcPr>
          <w:p>
            <w:pPr>
              <w:pStyle w:val="TableContents"/>
              <w:bidi w:val="0"/>
              <w:spacing w:before="0" w:after="1"/>
              <w:ind w:left="0" w:right="0" w:hanging="0"/>
              <w:jc w:val="left"/>
              <w:rPr/>
            </w:pPr>
            <w:r>
              <w:rPr/>
              <w:t>​</w:t>
            </w:r>
          </w:p>
        </w:tc>
        <w:tc>
          <w:tcPr>
            <w:tcW w:w="5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411"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pPr>
            <w:r>
              <w:rPr/>
              <w:t>—</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6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1" w:type="dxa"/>
            <w:tcBorders/>
            <w:shd w:fill="CCEEFF" w:val="clear"/>
            <w:vAlign w:val="center"/>
          </w:tcPr>
          <w:p>
            <w:pPr>
              <w:pStyle w:val="TableContents"/>
              <w:bidi w:val="0"/>
              <w:spacing w:before="0" w:after="1"/>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411" w:type="dxa"/>
            <w:tcBorders/>
            <w:vAlign w:val="center"/>
          </w:tcPr>
          <w:p>
            <w:pPr>
              <w:pStyle w:val="TableContents"/>
              <w:bidi w:val="0"/>
              <w:spacing w:before="0" w:after="1"/>
              <w:ind w:left="0" w:right="0" w:hanging="0"/>
              <w:jc w:val="left"/>
              <w:rPr/>
            </w:pPr>
            <w:r>
              <w:rPr/>
              <w:t>​</w:t>
            </w:r>
          </w:p>
        </w:tc>
        <w:tc>
          <w:tcPr>
            <w:tcW w:w="5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411" w:type="dxa"/>
            <w:tcBorders/>
            <w:vAlign w:val="center"/>
          </w:tcPr>
          <w:p>
            <w:pPr>
              <w:pStyle w:val="TableContents"/>
              <w:bidi w:val="0"/>
              <w:spacing w:before="0" w:after="1"/>
              <w:ind w:left="0" w:right="0" w:hanging="0"/>
              <w:jc w:val="left"/>
              <w:rPr/>
            </w:pPr>
            <w:r>
              <w:rPr/>
              <w:t>​</w:t>
            </w:r>
          </w:p>
        </w:tc>
        <w:tc>
          <w:tcPr>
            <w:tcW w:w="6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240"/>
        <w:ind w:left="0" w:right="0" w:hanging="0"/>
        <w:jc w:val="both"/>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z w:val="20"/>
        </w:rPr>
      </w:pPr>
      <w:bookmarkStart w:id="2296" w:name="Tc_6A-OqmqkAUuvTG-V5ivL3w_9_0"/>
      <w:bookmarkStart w:id="2297" w:name="Tc_baQWWK7tG02J1kP5Ohy60g_8_4"/>
      <w:bookmarkStart w:id="2298" w:name="Tc_SpB0xTUhzEy8lql7mmgckQ_8_2"/>
      <w:bookmarkStart w:id="2299" w:name="Tc_idR_z9JAEkWZYH1x4m6xlA_8_0"/>
      <w:bookmarkStart w:id="2300" w:name="Tc_ihNJxZmJME6qWumhvvF70g_7_0"/>
      <w:bookmarkStart w:id="2301" w:name="Tc_2GjohXiKzU6zuXF-fgIuBQ_6_4"/>
      <w:bookmarkStart w:id="2302" w:name="Tc_N-v7fIIRok-1yz2biNgWyw_6_2"/>
      <w:bookmarkStart w:id="2303" w:name="Tc_zzkhMtrJzUmPfrZV_EdQwQ_6_0"/>
      <w:bookmarkStart w:id="2304" w:name="Tc_sI690Fdj-kKUyPiUzm_oSw_5_2"/>
      <w:bookmarkStart w:id="2305" w:name="Tc_ZB9GOELHhUiuu2aJf3HubQ_5_0"/>
      <w:bookmarkStart w:id="2306" w:name="Tc_VFdkJ2wtCE6kiU_c9aipsQ_4_0"/>
      <w:bookmarkStart w:id="2307" w:name="Tc_d38fOaFBNUeqbX5B5OSiUA_3_4"/>
      <w:bookmarkStart w:id="2308" w:name="Tc_HVJT44lWLU-J_dNUVzz0oA_3_2"/>
      <w:bookmarkStart w:id="2309" w:name="Tc_8C3XA3k4yU2w1PEfZBm5mw_3_0"/>
      <w:bookmarkStart w:id="2310" w:name="Tc_4bUbX6dY4U-cK_gIxrLqCA_2_6"/>
      <w:bookmarkStart w:id="2311" w:name="Tc_L05YL_m6kEiNR0TKeRjgUw_2_4"/>
      <w:bookmarkStart w:id="2312" w:name="Tc_kKJ64xvQlUOKDJcYWOhV5A_2_2"/>
      <w:bookmarkStart w:id="2313" w:name="Tc_xgBmIypzSUa5vd11aK2qYg_1_2"/>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r>
        <w:rPr>
          <w:rFonts w:ascii="Times New Roman;Times;serif" w:hAnsi="Times New Roman;Times;serif"/>
          <w:b/>
          <w:i w:val="false"/>
          <w:caps w:val="false"/>
          <w:smallCaps w:val="false"/>
          <w:sz w:val="20"/>
        </w:rPr>
        <w:t>26.</w:t>
      </w:r>
      <w:r>
        <w:rPr>
          <w:rFonts w:ascii="Times New Roman;Times;serif" w:hAnsi="Times New Roman;Times;serif"/>
          <w:b/>
          <w:sz w:val="20"/>
        </w:rPr>
        <w:t>Other gains, net</w:t>
      </w:r>
    </w:p>
    <w:p>
      <w:pPr>
        <w:pStyle w:val="TextBody"/>
        <w:bidi w:val="0"/>
        <w:spacing w:before="0" w:after="240"/>
        <w:ind w:left="0" w:right="0" w:hanging="0"/>
        <w:jc w:val="both"/>
        <w:rPr/>
      </w:pPr>
      <w:r>
        <w:rPr/>
        <w:t>​</w:t>
      </w:r>
    </w:p>
    <w:tbl>
      <w:tblPr>
        <w:tblW w:w="7922" w:type="dxa"/>
        <w:jc w:val="left"/>
        <w:tblInd w:w="0" w:type="dxa"/>
        <w:tblLayout w:type="fixed"/>
        <w:tblCellMar>
          <w:top w:w="0" w:type="dxa"/>
          <w:left w:w="0" w:type="dxa"/>
          <w:bottom w:w="0" w:type="dxa"/>
          <w:right w:w="0" w:type="dxa"/>
        </w:tblCellMar>
      </w:tblPr>
      <w:tblGrid>
        <w:gridCol w:w="4951"/>
        <w:gridCol w:w="346"/>
        <w:gridCol w:w="532"/>
        <w:gridCol w:w="395"/>
        <w:gridCol w:w="532"/>
        <w:gridCol w:w="395"/>
        <w:gridCol w:w="771"/>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3143885" cy="175260"/>
                      <wp:effectExtent l="0" t="0" r="0" b="0"/>
                      <wp:wrapNone/>
                      <wp:docPr id="560" name="Frame557"/>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19710" cy="175260"/>
                      <wp:effectExtent l="0" t="0" r="0" b="0"/>
                      <wp:wrapNone/>
                      <wp:docPr id="561" name="Frame5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337820" cy="175260"/>
                      <wp:effectExtent l="0" t="0" r="0" b="0"/>
                      <wp:wrapNone/>
                      <wp:docPr id="562" name="Frame559"/>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50825" cy="175260"/>
                      <wp:effectExtent l="0" t="0" r="0" b="0"/>
                      <wp:wrapNone/>
                      <wp:docPr id="563" name="Frame56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337820" cy="175260"/>
                      <wp:effectExtent l="0" t="0" r="0" b="0"/>
                      <wp:wrapNone/>
                      <wp:docPr id="564" name="Frame561"/>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50825" cy="175260"/>
                      <wp:effectExtent l="0" t="0" r="0" b="0"/>
                      <wp:wrapNone/>
                      <wp:docPr id="565" name="Frame562"/>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89585" cy="175260"/>
                      <wp:effectExtent l="0" t="0" r="0" b="0"/>
                      <wp:wrapNone/>
                      <wp:docPr id="566" name="Frame563"/>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4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5" w:type="dxa"/>
            <w:tcBorders/>
            <w:vAlign w:val="center"/>
          </w:tcPr>
          <w:p>
            <w:pPr>
              <w:pStyle w:val="TableContents"/>
              <w:bidi w:val="0"/>
              <w:spacing w:before="0" w:after="1"/>
              <w:ind w:left="0" w:right="0" w:hanging="0"/>
              <w:jc w:val="center"/>
              <w:rPr/>
            </w:pPr>
            <w:r>
              <w:rPr/>
              <w:t>  ​ ​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5" w:type="dxa"/>
            <w:tcBorders/>
            <w:vAlign w:val="center"/>
          </w:tcPr>
          <w:p>
            <w:pPr>
              <w:pStyle w:val="TableContents"/>
              <w:bidi w:val="0"/>
              <w:spacing w:before="0" w:after="1"/>
              <w:ind w:left="0" w:right="0" w:hanging="0"/>
              <w:jc w:val="center"/>
              <w:rPr/>
            </w:pPr>
            <w:r>
              <w:rPr/>
              <w:t>  ​ ​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exchange difference, net</w:t>
            </w:r>
          </w:p>
        </w:tc>
        <w:tc>
          <w:tcPr>
            <w:tcW w:w="346"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5"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95"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income</w:t>
            </w:r>
          </w:p>
        </w:tc>
        <w:tc>
          <w:tcPr>
            <w:tcW w:w="346"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95"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income</w:t>
            </w:r>
          </w:p>
        </w:tc>
        <w:tc>
          <w:tcPr>
            <w:tcW w:w="346"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 on financial assets at FVPL, net (Note 11)</w:t>
            </w:r>
          </w:p>
        </w:tc>
        <w:tc>
          <w:tcPr>
            <w:tcW w:w="346"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95" w:type="dxa"/>
            <w:tcBorders/>
            <w:shd w:fill="CCEEFF" w:val="clear"/>
            <w:vAlign w:val="center"/>
          </w:tcPr>
          <w:p>
            <w:pPr>
              <w:pStyle w:val="TableContents"/>
              <w:bidi w:val="0"/>
              <w:spacing w:before="0" w:after="1"/>
              <w:ind w:left="0" w:right="0" w:hanging="0"/>
              <w:jc w:val="left"/>
              <w:rPr/>
            </w:pPr>
            <w:r>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95"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 of other payables, net</w:t>
            </w:r>
          </w:p>
        </w:tc>
        <w:tc>
          <w:tcPr>
            <w:tcW w:w="346"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5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95" w:type="dxa"/>
            <w:tcBorders/>
            <w:shd w:fill="CCEEFF" w:val="clear"/>
            <w:vAlign w:val="center"/>
          </w:tcPr>
          <w:p>
            <w:pPr>
              <w:pStyle w:val="TableContents"/>
              <w:bidi w:val="0"/>
              <w:spacing w:before="0" w:after="1"/>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95" w:type="dxa"/>
            <w:tcBorders/>
            <w:shd w:fill="CCEEFF" w:val="cle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9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95" w:type="dxa"/>
            <w:tcBorders/>
            <w:vAlign w:val="center"/>
          </w:tcPr>
          <w:p>
            <w:pPr>
              <w:pStyle w:val="TableContents"/>
              <w:bidi w:val="0"/>
              <w:spacing w:before="0" w:after="1"/>
              <w:ind w:left="0" w:right="0" w:hanging="0"/>
              <w:jc w:val="left"/>
              <w:rPr/>
            </w:pPr>
            <w:r>
              <w:rPr/>
              <w:t> </w:t>
            </w:r>
          </w:p>
        </w:tc>
        <w:tc>
          <w:tcPr>
            <w:tcW w:w="5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95" w:type="dxa"/>
            <w:tcBorders/>
            <w:vAlign w:val="center"/>
          </w:tcPr>
          <w:p>
            <w:pPr>
              <w:pStyle w:val="TableContents"/>
              <w:bidi w:val="0"/>
              <w:spacing w:before="0" w:after="1"/>
              <w:ind w:left="0" w:right="0" w:hanging="0"/>
              <w:jc w:val="left"/>
              <w:rPr/>
            </w:pPr>
            <w:r>
              <w:rPr/>
              <w:t> </w:t>
            </w:r>
          </w:p>
        </w:tc>
        <w:tc>
          <w:tcPr>
            <w:tcW w:w="77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2,144</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Income tax</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Singapore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Inland Revenue Authority of Singapore, the Company’s subsidiary incorporated in Singapore is subject to a statutory tax rate of 17% (2024: 17%).</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Hong Kong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Hong Kong Inland Revenue Ordinance, the Company’s subsidiary incorporated in Hong Kong is subject to 16.5% income tax on their taxable income generated from operations in Hong Kong before April 1, 2018. Starting from the financial year commencing on April 1, 2018, the two— tiered profits tax regime took effect, under which the tax rate is 8.25% for assessable profits on the first HK$2 million and 16.5% for any assessable profits in excess of HK$2 million.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Dubai</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Under the current Dubai Ministry of Finance, the Company’s subsidiary incorporated in Dubai is subject to UAE corporate tax on their taxable income generated from operations in Dubai. As per Ministry of Finance, corporate rates are 0% for taxable income up to AED375,000 and 9% for taxable income above AED375,000.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2314" w:name="Tc_gC6KTWPiYE6CXxnN_OjGWw_5_4"/>
      <w:bookmarkStart w:id="2315" w:name="Tc_KeEbcHtXBEqOE315AFkUhg_5_2"/>
      <w:bookmarkStart w:id="2316" w:name="Tc_iAGN69ge-06Pf5wVQvBJ0w_5_0"/>
      <w:bookmarkStart w:id="2317" w:name="Tc_-Mv9XhwiXkG0PeeZwAI2Xg_4_4"/>
      <w:bookmarkStart w:id="2318" w:name="Tc_0VDg3by_x0KZZ9PTknjFyQ_4_2"/>
      <w:bookmarkStart w:id="2319" w:name="Tc_uEeoIii1dk6HxixQWTQ4Cw_4_0"/>
      <w:bookmarkStart w:id="2320" w:name="Tc_yNoSFgDGcU-4C_Z6fO9sgA_3_4"/>
      <w:bookmarkStart w:id="2321" w:name="Tc_LRunI4lT6EyFfecFrUuNXQ_3_2"/>
      <w:bookmarkStart w:id="2322" w:name="Tc_BJUkQW-6jEOCRzywPbaWvA_3_0"/>
      <w:bookmarkStart w:id="2323" w:name="Tc_Uy9ZWK2OtUuOcD0oIgV4uA_2_6"/>
      <w:bookmarkStart w:id="2324" w:name="Tc_8lI5g_nBUkGDa-sqacnuUg_2_4"/>
      <w:bookmarkStart w:id="2325" w:name="Tc_T5UNJJIymEaIvHuYjzUMzg_2_2"/>
      <w:bookmarkStart w:id="2326" w:name="Tc_ONOnTWVMQ0mV4tfGCOlB5g_1_2"/>
      <w:bookmarkEnd w:id="2314"/>
      <w:bookmarkEnd w:id="2315"/>
      <w:bookmarkEnd w:id="2316"/>
      <w:bookmarkEnd w:id="2317"/>
      <w:bookmarkEnd w:id="2318"/>
      <w:bookmarkEnd w:id="2319"/>
      <w:bookmarkEnd w:id="2320"/>
      <w:bookmarkEnd w:id="2321"/>
      <w:bookmarkEnd w:id="2322"/>
      <w:bookmarkEnd w:id="2323"/>
      <w:bookmarkEnd w:id="2324"/>
      <w:bookmarkEnd w:id="2325"/>
      <w:bookmarkEnd w:id="2326"/>
      <w:r>
        <w:rPr>
          <w:rFonts w:ascii="Times New Roman;Times;serif" w:hAnsi="Times New Roman;Times;serif"/>
          <w:b/>
          <w:i w:val="false"/>
          <w:caps w:val="false"/>
          <w:smallCaps w:val="false"/>
          <w:sz w:val="20"/>
        </w:rPr>
        <w:t>27.</w:t>
      </w:r>
      <w:r>
        <w:rPr>
          <w:rFonts w:ascii="Times New Roman;Times;serif" w:hAnsi="Times New Roman;Times;serif"/>
          <w:b/>
          <w:sz w:val="20"/>
        </w:rPr>
        <w:t>Income tax (Continued)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PRC Enterprise Income Tax (“EIT”)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subsidiary, VIE and VIE’s subsidiaries in the PRC are governed by the Enterprise Income Tax Law (“EIT Law”). Pursuant to the EIT Law and its implementation rules, enterprises in the PRC are generally subjected to tax at a statutory rate of 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Company’s PRC subsidiaries to the Company’s overseas companies unless otherwise exempted pursuant to applicable tax treaties or tax arrangements between the PRC government and the government of other jurisdiction which the WHT is reduced to 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Although there are undistributed earnings of the Company’s subsidiaries in the PRC that are available for distribution to the Company, the undistributed earnings of the Company’s subsidiaries located in the PRC are considered to be indefinitely reinvested, because the Company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the Company as of December 31, 2025. No funds are available for distribution as of December 31, 2025.</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Cayman Islands and British Virgin Islands</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Under the current tax laws of Cayman Islands, Amber International and its subsidiaries are not subject to tax on income or capital gains. Besides, upon payment of dividends by Amber International to its shareholders, no Cayman Islands withholding tax will be imposed.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Amber International’s subsidiaries incorporated in the British Virgin Islands are not subject to income or capital gains taxes, estate duty, inheritance tax or gift tax. In addition, payment of dividends to the shareholders of Amber International’s subsidiaries in the British Virgin Islands are not subject to withholding tax in the British Virgin Islands.</w:t>
      </w:r>
    </w:p>
    <w:tbl>
      <w:tblPr>
        <w:tblW w:w="3321" w:type="dxa"/>
        <w:jc w:val="left"/>
        <w:tblInd w:w="0" w:type="dxa"/>
        <w:tblLayout w:type="fixed"/>
        <w:tblCellMar>
          <w:top w:w="28" w:type="dxa"/>
          <w:left w:w="28" w:type="dxa"/>
          <w:bottom w:w="28" w:type="dxa"/>
          <w:right w:w="28" w:type="dxa"/>
        </w:tblCellMar>
      </w:tblPr>
      <w:tblGrid>
        <w:gridCol w:w="124"/>
        <w:gridCol w:w="31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income tax credit</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The current and deferred portions of income tax (expense)/credit included in the consolidated statements of comprehensive loss are as follows:</w:t>
      </w:r>
    </w:p>
    <w:p>
      <w:pPr>
        <w:pStyle w:val="TextBody"/>
        <w:bidi w:val="0"/>
        <w:spacing w:before="0" w:after="0"/>
        <w:ind w:left="0" w:right="0" w:hanging="0"/>
        <w:jc w:val="left"/>
        <w:rPr/>
      </w:pPr>
      <w:r>
        <w:rPr/>
        <w:t>​</w:t>
      </w:r>
    </w:p>
    <w:tbl>
      <w:tblPr>
        <w:tblW w:w="5431" w:type="dxa"/>
        <w:jc w:val="left"/>
        <w:tblInd w:w="0" w:type="dxa"/>
        <w:tblLayout w:type="fixed"/>
        <w:tblCellMar>
          <w:top w:w="0" w:type="dxa"/>
          <w:left w:w="0" w:type="dxa"/>
          <w:bottom w:w="0" w:type="dxa"/>
          <w:right w:w="0" w:type="dxa"/>
        </w:tblCellMar>
      </w:tblPr>
      <w:tblGrid>
        <w:gridCol w:w="2461"/>
        <w:gridCol w:w="346"/>
        <w:gridCol w:w="531"/>
        <w:gridCol w:w="394"/>
        <w:gridCol w:w="531"/>
        <w:gridCol w:w="394"/>
        <w:gridCol w:w="774"/>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562735" cy="175260"/>
                      <wp:effectExtent l="0" t="0" r="0" b="0"/>
                      <wp:wrapNone/>
                      <wp:docPr id="567" name="Frame564"/>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19710" cy="175260"/>
                      <wp:effectExtent l="0" t="0" r="0" b="0"/>
                      <wp:wrapNone/>
                      <wp:docPr id="568" name="Frame5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337185" cy="175260"/>
                      <wp:effectExtent l="0" t="0" r="0" b="0"/>
                      <wp:wrapNone/>
                      <wp:docPr id="569" name="Frame566"/>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50190" cy="175260"/>
                      <wp:effectExtent l="0" t="0" r="0" b="0"/>
                      <wp:wrapNone/>
                      <wp:docPr id="570" name="Frame56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37185" cy="175260"/>
                      <wp:effectExtent l="0" t="0" r="0" b="0"/>
                      <wp:wrapNone/>
                      <wp:docPr id="571" name="Frame568"/>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50190" cy="175260"/>
                      <wp:effectExtent l="0" t="0" r="0" b="0"/>
                      <wp:wrapNone/>
                      <wp:docPr id="572" name="Frame56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491490" cy="175260"/>
                      <wp:effectExtent l="0" t="0" r="0" b="0"/>
                      <wp:wrapNone/>
                      <wp:docPr id="573" name="Frame570"/>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4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4" w:type="dxa"/>
            <w:tcBorders/>
            <w:vAlign w:val="center"/>
          </w:tcPr>
          <w:p>
            <w:pPr>
              <w:pStyle w:val="TableContents"/>
              <w:bidi w:val="0"/>
              <w:spacing w:before="0" w:after="1"/>
              <w:ind w:left="0" w:right="0" w:hanging="0"/>
              <w:jc w:val="center"/>
              <w:rPr/>
            </w:pPr>
            <w:r>
              <w:rPr/>
              <w:t>  ​ ​ ​</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4" w:type="dxa"/>
            <w:tcBorders/>
            <w:vAlign w:val="center"/>
          </w:tcPr>
          <w:p>
            <w:pPr>
              <w:pStyle w:val="TableContents"/>
              <w:bidi w:val="0"/>
              <w:spacing w:before="0" w:after="1"/>
              <w:ind w:left="0" w:right="0" w:hanging="0"/>
              <w:jc w:val="center"/>
              <w:rPr/>
            </w:pPr>
            <w:r>
              <w:rPr/>
              <w:t>  ​ ​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income tax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credit</w:t>
            </w:r>
          </w:p>
        </w:tc>
        <w:tc>
          <w:tcPr>
            <w:tcW w:w="346" w:type="dxa"/>
            <w:tcBorders/>
            <w:vAlign w:val="center"/>
          </w:tcPr>
          <w:p>
            <w:pPr>
              <w:pStyle w:val="TableContents"/>
              <w:bidi w:val="0"/>
              <w:spacing w:before="0" w:after="1"/>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4" w:type="dxa"/>
            <w:tcBorders/>
            <w:vAlign w:val="center"/>
          </w:tcPr>
          <w:p>
            <w:pPr>
              <w:pStyle w:val="TableContents"/>
              <w:bidi w:val="0"/>
              <w:spacing w:before="0" w:after="1"/>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credit</w:t>
            </w:r>
          </w:p>
        </w:tc>
        <w:tc>
          <w:tcPr>
            <w:tcW w:w="346" w:type="dxa"/>
            <w:tcBorders/>
            <w:shd w:fill="CCEEFF" w:val="clear"/>
            <w:vAlign w:val="center"/>
          </w:tcPr>
          <w:p>
            <w:pPr>
              <w:pStyle w:val="TableContents"/>
              <w:bidi w:val="0"/>
              <w:spacing w:before="0" w:after="1"/>
              <w:ind w:left="0" w:right="0" w:hanging="0"/>
              <w:jc w:val="left"/>
              <w:rPr/>
            </w:pPr>
            <w:r>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1,067</w:t>
            </w:r>
          </w:p>
        </w:tc>
      </w:tr>
    </w:tbl>
    <w:p>
      <w:pPr>
        <w:pStyle w:val="TextBody"/>
        <w:bidi w:val="0"/>
        <w:spacing w:before="0" w:after="240"/>
        <w:ind w:left="144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2327" w:name="Narr_iKiNoZFi40KCdkNnf6URJA"/>
      <w:bookmarkStart w:id="2328" w:name="Tc_tuz9MH4mqEuwsDdY6FaWQQ_4_0"/>
      <w:bookmarkStart w:id="2329" w:name="Tc_A4nPfK2Nj06F4O04gCcGtw_3_0"/>
      <w:bookmarkStart w:id="2330" w:name="Tc_krzRXYLvZkmqbxCEMFDIoA_2_4"/>
      <w:bookmarkStart w:id="2331" w:name="Tc_QsKYXYLhs06vqStksLaETg_2_2"/>
      <w:bookmarkStart w:id="2332" w:name="Tc_BpdKwh4KT0KRiDv-FGsSTg_2_0"/>
      <w:bookmarkStart w:id="2333" w:name="Tc_5aQ9WO0a9USjGRMcKz5BBQ_1_4"/>
      <w:bookmarkStart w:id="2334" w:name="Tc_qrs0jhIgOk6E4-xEw3Cgag_1_2"/>
      <w:bookmarkStart w:id="2335" w:name="Tc_yoU6EoSqn0KVdv15BR6AQA_12_4"/>
      <w:bookmarkStart w:id="2336" w:name="Tc_5n7plAcpJEK5KF_RogvZzQ_12_2"/>
      <w:bookmarkStart w:id="2337" w:name="Tc_Wf4YKvGtb0qHNmO7i-DTbQ_11_4"/>
      <w:bookmarkStart w:id="2338" w:name="Tc_CGkJJygF7E-Hp3hYyrPt3Q_11_2"/>
      <w:bookmarkStart w:id="2339" w:name="Tc_QAHGxL9LI0CHMOhlhXchRw_11_0"/>
      <w:bookmarkStart w:id="2340" w:name="Tc_AhUpuUDDcUia0sFvnA4QLQ_10_0"/>
      <w:bookmarkStart w:id="2341" w:name="Tc_3GJ9lR5kCkar33Rk2Ixb3Q_9_4"/>
      <w:bookmarkStart w:id="2342" w:name="Tc_ucLuq4eX-UekQ0LRR1t2PQ_9_2"/>
      <w:bookmarkStart w:id="2343" w:name="Tc_ERDxCC5xVEaSS6ILmU-kCg_9_0"/>
      <w:bookmarkStart w:id="2344" w:name="Tc_7hMvEsyZnEmL-GIRGePmWg_8_0"/>
      <w:bookmarkStart w:id="2345" w:name="Tc_mMnodAWGOkOr5M_u7lkucA_7_0"/>
      <w:bookmarkStart w:id="2346" w:name="Tc_T1l1HIes00O9r2TixiEo9A_6_2"/>
      <w:bookmarkStart w:id="2347" w:name="Tc_qkGrDGeZukGDe0KQfV9MOg_6_0"/>
      <w:bookmarkStart w:id="2348" w:name="Tc_8MinLnss7E-gElIY5rwYfQ_5_0"/>
      <w:bookmarkStart w:id="2349" w:name="Tc_1XpSiriKzUGRX3BLFgim9Q_3_0"/>
      <w:bookmarkStart w:id="2350" w:name="Tc_R6SDqixcWEaPRpsw78xCRw_2_6"/>
      <w:bookmarkStart w:id="2351" w:name="Tc_DiKMXEkiBEO6rIAmmE9GKQ_2_4"/>
      <w:bookmarkStart w:id="2352" w:name="Tc_TYQ-ajsNHkOkD4As_knGYw_2_2"/>
      <w:bookmarkStart w:id="2353" w:name="Tc_zYhPo_J8bEyDyxXOP6zXpg_1_2"/>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r>
        <w:rPr>
          <w:rFonts w:ascii="Times New Roman;Times;serif" w:hAnsi="Times New Roman;Times;serif"/>
          <w:b/>
          <w:i w:val="false"/>
          <w:caps w:val="false"/>
          <w:smallCaps w:val="false"/>
          <w:sz w:val="20"/>
        </w:rPr>
        <w:t>27.</w:t>
      </w:r>
      <w:r>
        <w:rPr>
          <w:rFonts w:ascii="Times New Roman;Times;serif" w:hAnsi="Times New Roman;Times;serif"/>
          <w:b/>
          <w:sz w:val="20"/>
        </w:rPr>
        <w:t>Income tax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Cayman Islands and British Virgin Islands (Continued)</w:t>
      </w:r>
    </w:p>
    <w:tbl>
      <w:tblPr>
        <w:tblW w:w="2691" w:type="dxa"/>
        <w:jc w:val="left"/>
        <w:tblInd w:w="0" w:type="dxa"/>
        <w:tblLayout w:type="fixed"/>
        <w:tblCellMar>
          <w:top w:w="28" w:type="dxa"/>
          <w:left w:w="28" w:type="dxa"/>
          <w:bottom w:w="28" w:type="dxa"/>
          <w:right w:w="28" w:type="dxa"/>
        </w:tblCellMar>
      </w:tblPr>
      <w:tblGrid>
        <w:gridCol w:w="124"/>
        <w:gridCol w:w="331"/>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reconciliation</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taxation on the Group’s (loss)/profit before income tax differs from the theoretical amount that would arise using the tax rate of 17% for the years ended December 31, 2023, 2024 and 2025, being the tax rate of the major subsidiaries of the Group before enjoying preferential tax treatments, as follows:</w:t>
      </w:r>
    </w:p>
    <w:p>
      <w:pPr>
        <w:pStyle w:val="TextBody"/>
        <w:bidi w:val="0"/>
        <w:spacing w:before="0" w:after="240"/>
        <w:ind w:left="1440" w:right="0" w:hanging="0"/>
        <w:jc w:val="both"/>
        <w:rPr/>
      </w:pPr>
      <w:r>
        <w:rPr/>
        <w:t>​</w:t>
      </w:r>
    </w:p>
    <w:tbl>
      <w:tblPr>
        <w:tblW w:w="9622" w:type="dxa"/>
        <w:jc w:val="left"/>
        <w:tblInd w:w="0" w:type="dxa"/>
        <w:tblLayout w:type="fixed"/>
        <w:tblCellMar>
          <w:top w:w="0" w:type="dxa"/>
          <w:left w:w="0" w:type="dxa"/>
          <w:bottom w:w="0" w:type="dxa"/>
          <w:right w:w="0" w:type="dxa"/>
        </w:tblCellMar>
      </w:tblPr>
      <w:tblGrid>
        <w:gridCol w:w="6256"/>
        <w:gridCol w:w="346"/>
        <w:gridCol w:w="796"/>
        <w:gridCol w:w="346"/>
        <w:gridCol w:w="796"/>
        <w:gridCol w:w="346"/>
        <w:gridCol w:w="736"/>
      </w:tblGrid>
      <w:tr>
        <w:trPr/>
        <w:tc>
          <w:tcPr>
            <w:tcW w:w="6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972560" cy="175260"/>
                      <wp:effectExtent l="0" t="0" r="0" b="0"/>
                      <wp:wrapNone/>
                      <wp:docPr id="574" name="Frame571"/>
                      <a:graphic xmlns:a="http://schemas.openxmlformats.org/drawingml/2006/main">
                        <a:graphicData uri="http://schemas.microsoft.com/office/word/2010/wordprocessingShape">
                          <wps:wsp>
                            <wps:cNvSpPr txBox="1"/>
                            <wps:spPr>
                              <a:xfrm>
                                <a:off x="0" y="0"/>
                                <a:ext cx="397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19710" cy="175260"/>
                      <wp:effectExtent l="0" t="0" r="0" b="0"/>
                      <wp:wrapNone/>
                      <wp:docPr id="575" name="Frame5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505460" cy="175260"/>
                      <wp:effectExtent l="0" t="0" r="0" b="0"/>
                      <wp:wrapNone/>
                      <wp:docPr id="576" name="Frame5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19710" cy="175260"/>
                      <wp:effectExtent l="0" t="0" r="0" b="0"/>
                      <wp:wrapNone/>
                      <wp:docPr id="577" name="Frame5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505460" cy="175260"/>
                      <wp:effectExtent l="0" t="0" r="0" b="0"/>
                      <wp:wrapNone/>
                      <wp:docPr id="578" name="Frame5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19710" cy="175260"/>
                      <wp:effectExtent l="0" t="0" r="0" b="0"/>
                      <wp:wrapNone/>
                      <wp:docPr id="579"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467360" cy="175260"/>
                      <wp:effectExtent l="0" t="0" r="0" b="0"/>
                      <wp:wrapNone/>
                      <wp:docPr id="580" name="Frame5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(Loss)/profit before income tax</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2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calculated at a tax rate of 17%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62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different tax rates applicable to different subsidiaries of the Group</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r>
      <w:tr>
        <w:trPr/>
        <w:tc>
          <w:tcPr>
            <w:tcW w:w="62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not subject to tax</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r>
      <w:tr>
        <w:trPr/>
        <w:tc>
          <w:tcPr>
            <w:tcW w:w="62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r>
      <w:tr>
        <w:trPr/>
        <w:tc>
          <w:tcPr>
            <w:tcW w:w="62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Over—provision in prior years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62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Temporary difference not recognized</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r>
      <w:tr>
        <w:trPr/>
        <w:tc>
          <w:tcPr>
            <w:tcW w:w="62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Utilization of previously unrecognized tax losses</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6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w:t>
            </w:r>
          </w:p>
        </w:tc>
      </w:tr>
    </w:tbl>
    <w:p>
      <w:pPr>
        <w:pStyle w:val="TextBody"/>
        <w:bidi w:val="0"/>
        <w:spacing w:before="0" w:after="0"/>
        <w:ind w:left="0" w:right="0" w:hanging="0"/>
        <w:jc w:val="left"/>
        <w:rPr/>
      </w:pPr>
      <w:r>
        <w:rPr/>
        <w:t>​</w:t>
      </w:r>
    </w:p>
    <w:tbl>
      <w:tblPr>
        <w:tblW w:w="3261" w:type="dxa"/>
        <w:jc w:val="left"/>
        <w:tblInd w:w="0" w:type="dxa"/>
        <w:tblLayout w:type="fixed"/>
        <w:tblCellMar>
          <w:top w:w="28" w:type="dxa"/>
          <w:left w:w="28" w:type="dxa"/>
          <w:bottom w:w="28" w:type="dxa"/>
          <w:right w:w="28" w:type="dxa"/>
        </w:tblCellMar>
      </w:tblPr>
      <w:tblGrid>
        <w:gridCol w:w="124"/>
        <w:gridCol w:w="31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movements in deferred income tax assets, without taking into consideration the offsetting of balances within the same tax jurisdiction, are as follows:</w:t>
      </w:r>
    </w:p>
    <w:p>
      <w:pPr>
        <w:pStyle w:val="TextBody"/>
        <w:bidi w:val="0"/>
        <w:spacing w:before="0" w:after="0"/>
        <w:ind w:left="1440" w:right="0" w:hanging="0"/>
        <w:jc w:val="left"/>
        <w:rPr/>
      </w:pPr>
      <w:r>
        <w:rPr/>
        <w:t>​</w:t>
      </w:r>
    </w:p>
    <w:tbl>
      <w:tblPr>
        <w:tblW w:w="6920" w:type="dxa"/>
        <w:jc w:val="left"/>
        <w:tblInd w:w="0" w:type="dxa"/>
        <w:tblLayout w:type="fixed"/>
        <w:tblCellMar>
          <w:top w:w="0" w:type="dxa"/>
          <w:left w:w="0" w:type="dxa"/>
          <w:bottom w:w="0" w:type="dxa"/>
          <w:right w:w="0" w:type="dxa"/>
        </w:tblCellMar>
      </w:tblPr>
      <w:tblGrid>
        <w:gridCol w:w="4996"/>
        <w:gridCol w:w="346"/>
        <w:gridCol w:w="691"/>
        <w:gridCol w:w="346"/>
        <w:gridCol w:w="541"/>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172460" cy="175260"/>
                      <wp:effectExtent l="0" t="0" r="0" b="0"/>
                      <wp:wrapNone/>
                      <wp:docPr id="581" name="Frame578"/>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19710" cy="175260"/>
                      <wp:effectExtent l="0" t="0" r="0" b="0"/>
                      <wp:wrapNone/>
                      <wp:docPr id="582" name="Frame5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38785" cy="175260"/>
                      <wp:effectExtent l="0" t="0" r="0" b="0"/>
                      <wp:wrapNone/>
                      <wp:docPr id="583" name="Frame5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19710" cy="175260"/>
                      <wp:effectExtent l="0" t="0" r="0" b="0"/>
                      <wp:wrapNone/>
                      <wp:docPr id="584" name="Frame5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43535" cy="175260"/>
                      <wp:effectExtent l="0" t="0" r="0" b="0"/>
                      <wp:wrapNone/>
                      <wp:docPr id="585" name="Frame58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loss</w:t>
            </w:r>
          </w:p>
        </w:tc>
        <w:tc>
          <w:tcPr>
            <w:tcW w:w="346" w:type="dxa"/>
            <w:tcBorders/>
            <w:vAlign w:val="center"/>
          </w:tcPr>
          <w:p>
            <w:pPr>
              <w:pStyle w:val="TableContents"/>
              <w:bidi w:val="0"/>
              <w:spacing w:before="0" w:after="0"/>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 December 31, 2024 and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Credited to consolidated income statements</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144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The Group only recognizes deferred tax assets if it is probable that future taxable income will be available to utilize. Management will continue to assess the recognition of deferred tax assets in future reporting periods. As of December 31, 2025, the amount of temporary differences arising from unused tax losses for which the Group has not recognized deferred tax assets is US$15,915 (2024: US$405) The cumulative tax losses as of December 31, 2025 amounting to US$1,884 (2024: US$nil) in mainland China will expire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five years, and the cumulative tax losses amounting to US$13,311 (2024: US$6,359) in Singapore, Hong Kong and Dubai generally can be carried forward indefinitely.</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2020 to 2025 remain subject to examination by the tax authorities. There were no ongoing examinations by tax authorities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354" w:name="Tc_Yz_rIJbye0GeJWyO6OemdQ_7_6"/>
      <w:bookmarkStart w:id="2355" w:name="Tc_8dwlYZtNR0iSJYF77ItAog_7_4"/>
      <w:bookmarkStart w:id="2356" w:name="Tc_cPSIZjKZ3USRq0bmkcXVJA_7_2"/>
      <w:bookmarkStart w:id="2357" w:name="Tc_cvRGgeTjNUWlCrMcFrdqjg_7_0"/>
      <w:bookmarkStart w:id="2358" w:name="Tc_7nfrZ_4cO0Sq9WaZ26KzoQ_6_4"/>
      <w:bookmarkStart w:id="2359" w:name="Tc__NeODLm3lE2D-hn3Zl5dhQ_6_0"/>
      <w:bookmarkStart w:id="2360" w:name="Tc_XzfP279vGki5ZmJ12XRpwA_5_0"/>
      <w:bookmarkStart w:id="2361" w:name="Tc_L6lg_g7hdU28V-_NM1F78A_4_0"/>
      <w:bookmarkStart w:id="2362" w:name="Tc_KB1VqJlAx0GgFNCY-izbmg_3_6"/>
      <w:bookmarkStart w:id="2363" w:name="Tc_EPEYQg_ijU-g6NMHskxAOg_3_4"/>
      <w:bookmarkStart w:id="2364" w:name="Tc_m-Q9W1CScUGdwT0AzhI3BA_3_2"/>
      <w:bookmarkStart w:id="2365" w:name="Tc_HfhbAxdiVEeb9j6mRZcshQ_3_0"/>
      <w:bookmarkStart w:id="2366" w:name="Tc_NzS10FRNhEOlASAPHe-18g_2_6"/>
      <w:bookmarkStart w:id="2367" w:name="Tc_kjbPhBa4U0WK59Fz9R4zUg_2_4"/>
      <w:bookmarkStart w:id="2368" w:name="Tc_QmxKV7GpV0yxDTCNfy4Cjw_2_2"/>
      <w:bookmarkStart w:id="2369" w:name="Tc_BzSgAxRUJE-fpYbYcrM0YQ_1_2"/>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r>
        <w:rPr>
          <w:rFonts w:ascii="Times New Roman;Times;serif" w:hAnsi="Times New Roman;Times;serif"/>
          <w:b/>
          <w:i w:val="false"/>
          <w:caps w:val="false"/>
          <w:smallCaps w:val="false"/>
          <w:sz w:val="20"/>
        </w:rPr>
        <w:t>27.</w:t>
      </w:r>
      <w:r>
        <w:rPr>
          <w:rFonts w:ascii="Times New Roman;Times;serif" w:hAnsi="Times New Roman;Times;serif"/>
          <w:b/>
          <w:sz w:val="20"/>
        </w:rPr>
        <w:t>Income tax (Continued)</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Cayman Islands and British Virgin Islands (Continued)</w:t>
      </w:r>
    </w:p>
    <w:tbl>
      <w:tblPr>
        <w:tblW w:w="4296" w:type="dxa"/>
        <w:jc w:val="left"/>
        <w:tblInd w:w="0" w:type="dxa"/>
        <w:tblLayout w:type="fixed"/>
        <w:tblCellMar>
          <w:top w:w="0" w:type="dxa"/>
          <w:left w:w="0" w:type="dxa"/>
          <w:bottom w:w="0" w:type="dxa"/>
          <w:right w:w="0" w:type="dxa"/>
        </w:tblCellMar>
      </w:tblPr>
      <w:tblGrid>
        <w:gridCol w:w="124"/>
        <w:gridCol w:w="31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3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Deferred tax assets and liabilities (Continued)</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movements in deferred income tax liabilities, without taking into consideration the offsetting of balances within the same tax jurisdiction, are as follows:</w:t>
      </w:r>
    </w:p>
    <w:p>
      <w:pPr>
        <w:pStyle w:val="TextBody"/>
        <w:bidi w:val="0"/>
        <w:spacing w:before="0" w:after="0"/>
        <w:ind w:left="1440" w:right="0" w:hanging="0"/>
        <w:jc w:val="both"/>
        <w:rPr/>
      </w:pPr>
      <w:r>
        <w:rPr/>
        <w:t>​</w:t>
      </w:r>
    </w:p>
    <w:tbl>
      <w:tblPr>
        <w:tblW w:w="8467" w:type="dxa"/>
        <w:jc w:val="left"/>
        <w:tblInd w:w="0" w:type="dxa"/>
        <w:tblLayout w:type="fixed"/>
        <w:tblCellMar>
          <w:top w:w="0" w:type="dxa"/>
          <w:left w:w="0" w:type="dxa"/>
          <w:bottom w:w="0" w:type="dxa"/>
          <w:right w:w="0" w:type="dxa"/>
        </w:tblCellMar>
      </w:tblPr>
      <w:tblGrid>
        <w:gridCol w:w="4996"/>
        <w:gridCol w:w="346"/>
        <w:gridCol w:w="1096"/>
        <w:gridCol w:w="346"/>
        <w:gridCol w:w="601"/>
        <w:gridCol w:w="346"/>
        <w:gridCol w:w="736"/>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3172460" cy="175260"/>
                      <wp:effectExtent l="0" t="0" r="0" b="0"/>
                      <wp:wrapNone/>
                      <wp:docPr id="586" name="Frame583"/>
                      <a:graphic xmlns:a="http://schemas.openxmlformats.org/drawingml/2006/main">
                        <a:graphicData uri="http://schemas.microsoft.com/office/word/2010/wordprocessingShape">
                          <wps:wsp>
                            <wps:cNvSpPr txBox="1"/>
                            <wps:spPr>
                              <a:xfrm>
                                <a:off x="0" y="0"/>
                                <a:ext cx="317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19710" cy="175260"/>
                      <wp:effectExtent l="0" t="0" r="0" b="0"/>
                      <wp:wrapNone/>
                      <wp:docPr id="587" name="Frame5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95960" cy="175260"/>
                      <wp:effectExtent l="0" t="0" r="0" b="0"/>
                      <wp:wrapNone/>
                      <wp:docPr id="588" name="Frame58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19710" cy="175260"/>
                      <wp:effectExtent l="0" t="0" r="0" b="0"/>
                      <wp:wrapNone/>
                      <wp:docPr id="589" name="Frame5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81635" cy="175260"/>
                      <wp:effectExtent l="0" t="0" r="0" b="0"/>
                      <wp:wrapNone/>
                      <wp:docPr id="590" name="Frame5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1"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467360" cy="175260"/>
                      <wp:effectExtent l="0" t="0" r="0" b="0"/>
                      <wp:wrapNone/>
                      <wp:docPr id="592" name="Frame58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Undistributed</w:t>
            </w:r>
          </w:p>
        </w:tc>
        <w:tc>
          <w:tcPr>
            <w:tcW w:w="346" w:type="dxa"/>
            <w:tcBorders/>
            <w:vAlign w:val="center"/>
          </w:tcPr>
          <w:p>
            <w:pPr>
              <w:pStyle w:val="TableContents"/>
              <w:bidi w:val="0"/>
              <w:spacing w:before="0" w:after="0"/>
              <w:ind w:left="0" w:right="0" w:hanging="0"/>
              <w:jc w:val="center"/>
              <w:rPr/>
            </w:pPr>
            <w:r>
              <w:rPr/>
              <w:t>  ​ ​ ​</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36" w:type="dxa"/>
            <w:tcBorders/>
            <w:vAlign w:val="center"/>
          </w:tcPr>
          <w:p>
            <w:pPr>
              <w:pStyle w:val="TableContents"/>
              <w:bidi w:val="0"/>
              <w:spacing w:before="0" w:after="0"/>
              <w:ind w:left="0" w:right="0" w:hanging="0"/>
              <w:jc w:val="center"/>
              <w:rPr/>
            </w:pPr>
            <w:r>
              <w:rPr/>
              <w:t>​</w:t>
            </w:r>
          </w:p>
        </w:tc>
      </w:tr>
      <w:tr>
        <w:trPr/>
        <w:tc>
          <w:tcPr>
            <w:tcW w:w="49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Others</w:t>
            </w:r>
          </w:p>
        </w:tc>
        <w:tc>
          <w:tcPr>
            <w:tcW w:w="346"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 December 31, 2024 and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combination – merger transaction (Note 5.1)</w:t>
            </w:r>
          </w:p>
        </w:tc>
        <w:tc>
          <w:tcPr>
            <w:tcW w:w="3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Credited to consolidated income statements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w:t>
            </w:r>
          </w:p>
        </w:tc>
      </w:tr>
      <w:tr>
        <w:trPr/>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70" w:name="Tc_RyMGtKurgEqvCQwmo13EZQ_18_4"/>
      <w:bookmarkStart w:id="2371" w:name="Tc_4JP6ymIy80SPBlEFeT5R4g_18_2"/>
      <w:bookmarkStart w:id="2372" w:name="Tc_UAjd7LkMWkCeTrBhx-uBPg_18_0"/>
      <w:bookmarkStart w:id="2373" w:name="Tc_9MkZIgD-Fkupk_8EsSiPgQ_17_4"/>
      <w:bookmarkStart w:id="2374" w:name="Tc_xC01uHQAkUq070NW6FLa2A_17_2"/>
      <w:bookmarkStart w:id="2375" w:name="Tc_jqRLw2xAi02erHQulmCXYA_17_0"/>
      <w:bookmarkStart w:id="2376" w:name="Tc_5xfQZW8zfUOBI_9OLrTyvQ_16_0"/>
      <w:bookmarkStart w:id="2377" w:name="Tc_H571gnofIE2TIe_ntVmjuQ_14_0"/>
      <w:bookmarkStart w:id="2378" w:name="Tc_aJfp9NwD_kuB8ianTAto_w_13_0"/>
      <w:bookmarkStart w:id="2379" w:name="Tc_qaUyjpNwQU-e9QXjSXlJtw_12_0"/>
      <w:bookmarkStart w:id="2380" w:name="Tc_WoFGUBo14Eyf_srgy_AANQ_10_0"/>
      <w:bookmarkStart w:id="2381" w:name="Tc_RHH4N-xN_02sPgQlP-_AhQ_9_4"/>
      <w:bookmarkStart w:id="2382" w:name="Tc_2-b-E_yvVkG5ij5MeVVnNA_9_2"/>
      <w:bookmarkStart w:id="2383" w:name="Tc_gs8VhW2jAk2TwKLqS3Tk8g_9_0"/>
      <w:bookmarkStart w:id="2384" w:name="Tc_uqw4ZHLaBkKLLzqrlClDNw_8_0"/>
      <w:bookmarkStart w:id="2385" w:name="Tc_9ui5GIvOCki9tdGJ8hqvRg_7_0"/>
      <w:bookmarkStart w:id="2386" w:name="Tc_Q9J3e2cM3kuZkbspkFd5Kw_5_4"/>
      <w:bookmarkStart w:id="2387" w:name="Tc_hxbtNytyGE2143ZEt8xaTA_5_2"/>
      <w:bookmarkStart w:id="2388" w:name="Tc_P9Q7pfhGL0m6TbATy1jgqQ_5_0"/>
      <w:bookmarkStart w:id="2389" w:name="Tc_1rEX74tE5UWeZpIx67BLQQ_4_0"/>
      <w:bookmarkStart w:id="2390" w:name="Tc_Z7aWKIWbEkG3wSMsaHiMaA_3_0"/>
      <w:bookmarkStart w:id="2391" w:name="Tc_9Luajc60YUCwEkkn6cam-Q_2_6"/>
      <w:bookmarkStart w:id="2392" w:name="Tc_r9YbAiTRXkKJVYAJgJBoLQ_2_4"/>
      <w:bookmarkStart w:id="2393" w:name="Tc_QMPoHic6wEyHU-pQojwh0Q_2_2"/>
      <w:bookmarkStart w:id="2394" w:name="Tc_rLJAOAcbgEGytTkmisDFog_1_2"/>
      <w:bookmarkStart w:id="2395" w:name="_e4bb6cdd_9ba4_42ca_9f29_4f4d52664a11"/>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r>
        <w:rPr>
          <w:rFonts w:ascii="Times New Roman;Times;serif" w:hAnsi="Times New Roman;Times;serif"/>
          <w:b/>
          <w:i w:val="false"/>
          <w:caps w:val="false"/>
          <w:smallCaps w:val="false"/>
          <w:sz w:val="20"/>
        </w:rPr>
        <w:t>28.</w:t>
      </w:r>
      <w:r>
        <w:rPr>
          <w:rFonts w:ascii="Times New Roman;Times;serif" w:hAnsi="Times New Roman;Times;serif"/>
          <w:b/>
          <w:sz w:val="20"/>
        </w:rPr>
        <w:t>Basic and diluted net (loss)/profit per ADS</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Basic and diluted net (loss)/profit per ADS for the years ended December 31, 2023, 2024 and 2025 are calculated as follows:</w:t>
      </w:r>
    </w:p>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014"/>
        <w:gridCol w:w="346"/>
        <w:gridCol w:w="1036"/>
        <w:gridCol w:w="346"/>
        <w:gridCol w:w="1036"/>
        <w:gridCol w:w="346"/>
        <w:gridCol w:w="1081"/>
      </w:tblGrid>
      <w:tr>
        <w:trPr/>
        <w:tc>
          <w:tcPr>
            <w:tcW w:w="6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3818890" cy="175260"/>
                      <wp:effectExtent l="0" t="0" r="0" b="0"/>
                      <wp:wrapNone/>
                      <wp:docPr id="593" name="Frame590"/>
                      <a:graphic xmlns:a="http://schemas.openxmlformats.org/drawingml/2006/main">
                        <a:graphicData uri="http://schemas.microsoft.com/office/word/2010/wordprocessingShape">
                          <wps:wsp>
                            <wps:cNvSpPr txBox="1"/>
                            <wps:spPr>
                              <a:xfrm>
                                <a:off x="0" y="0"/>
                                <a:ext cx="3818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19710" cy="175260"/>
                      <wp:effectExtent l="0" t="0" r="0" b="0"/>
                      <wp:wrapNone/>
                      <wp:docPr id="594" name="Frame5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57860" cy="175260"/>
                      <wp:effectExtent l="0" t="0" r="0" b="0"/>
                      <wp:wrapNone/>
                      <wp:docPr id="595" name="Frame5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19710" cy="175260"/>
                      <wp:effectExtent l="0" t="0" r="0" b="0"/>
                      <wp:wrapNone/>
                      <wp:docPr id="596"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57860" cy="175260"/>
                      <wp:effectExtent l="0" t="0" r="0" b="0"/>
                      <wp:wrapNone/>
                      <wp:docPr id="597" name="Frame5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19710" cy="175260"/>
                      <wp:effectExtent l="0" t="0" r="0" b="0"/>
                      <wp:wrapNone/>
                      <wp:docPr id="598" name="Frame5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86435" cy="175260"/>
                      <wp:effectExtent l="0" t="0" r="0" b="0"/>
                      <wp:wrapNone/>
                      <wp:docPr id="599" name="Frame59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8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60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60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(loss)/profit from continuing operations attributable to ordinary shareholders of Amber International</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4,665</w:t>
            </w:r>
          </w:p>
        </w:tc>
      </w:tr>
      <w:tr>
        <w:trPr/>
        <w:tc>
          <w:tcPr>
            <w:tcW w:w="60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discontinued operations attributable to ordinary shareholders of Amber International</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601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60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60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net (loss)/profit per ADS — weighted average ADSs outstanding</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61,966,949</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61,966,949</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86,636,218</w:t>
            </w:r>
          </w:p>
        </w:tc>
      </w:tr>
      <w:tr>
        <w:trPr/>
        <w:tc>
          <w:tcPr>
            <w:tcW w:w="6014"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for the dilutive impact of RSUs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13,101</w:t>
            </w:r>
          </w:p>
        </w:tc>
      </w:tr>
      <w:tr>
        <w:trPr/>
        <w:tc>
          <w:tcPr>
            <w:tcW w:w="60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diluted net profit per ADS — weighted average ADSs outstanding</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61,966,949</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61,966,949</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86,649,319</w:t>
            </w:r>
          </w:p>
        </w:tc>
      </w:tr>
      <w:tr>
        <w:trPr/>
        <w:tc>
          <w:tcPr>
            <w:tcW w:w="60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60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Continued operations: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6014"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 net (loss)/profit per ADS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(0.2184)</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(0.3756)</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0.0538</w:t>
            </w:r>
          </w:p>
        </w:tc>
      </w:tr>
      <w:tr>
        <w:trPr/>
        <w:tc>
          <w:tcPr>
            <w:tcW w:w="6014"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 net (loss)/profit per ADS</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(0.2184)</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(0.3756)</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0.0538</w:t>
            </w:r>
          </w:p>
        </w:tc>
      </w:tr>
      <w:tr>
        <w:trPr/>
        <w:tc>
          <w:tcPr>
            <w:tcW w:w="601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6014"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Discontinued operations:</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w:t>
            </w:r>
          </w:p>
        </w:tc>
      </w:tr>
      <w:tr>
        <w:trPr/>
        <w:tc>
          <w:tcPr>
            <w:tcW w:w="6014" w:type="dxa"/>
            <w:tcBorders/>
            <w:shd w:fill="CCEEFF" w:val="clear"/>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Basic net loss per ADS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(0.0105)</w:t>
            </w:r>
          </w:p>
        </w:tc>
      </w:tr>
      <w:tr>
        <w:trPr/>
        <w:tc>
          <w:tcPr>
            <w:tcW w:w="6014" w:type="dxa"/>
            <w:tcBorders/>
            <w:vAlign w:val="center"/>
          </w:tcPr>
          <w:p>
            <w:pPr>
              <w:pStyle w:val="TableContents"/>
              <w:pBdr/>
              <w:bidi w:val="0"/>
              <w:spacing w:before="0" w:after="1"/>
              <w:ind w:left="0" w:right="0" w:hanging="0"/>
              <w:jc w:val="left"/>
              <w:rPr/>
            </w:pPr>
            <w:r>
              <w:rPr/>
              <w:t xml:space="preserve">— </w:t>
            </w:r>
            <w:r>
              <w:rPr>
                <w:rFonts w:ascii="Times New Roman;Times;serif" w:hAnsi="Times New Roman;Times;serif"/>
                <w:sz w:val="20"/>
              </w:rPr>
              <w:t>Diluted net loss per ADS</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(0.0105)</w:t>
            </w:r>
          </w:p>
        </w:tc>
      </w:tr>
    </w:tbl>
    <w:p>
      <w:pPr>
        <w:pStyle w:val="TextBody"/>
        <w:bidi w:val="0"/>
        <w:spacing w:before="0" w:after="240"/>
        <w:ind w:left="720" w:right="0" w:hanging="0"/>
        <w:jc w:val="both"/>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396" w:name="Tc_-s_lpyZMAk6ANbSATnCpJQ_24_10"/>
      <w:bookmarkStart w:id="2397" w:name="Tc_YVea2Y4d7UiErUEG-kWj6Q_24_0"/>
      <w:bookmarkStart w:id="2398" w:name="Tc_u2ztHcQyakiesWRxd-Jv2g_23_10"/>
      <w:bookmarkStart w:id="2399" w:name="Tc_Ezk9iuWofUGSKZEH7aC93A_23_0"/>
      <w:bookmarkStart w:id="2400" w:name="Tc_fjJIw5gbL0y09ncIipcgLw_22_10"/>
      <w:bookmarkStart w:id="2401" w:name="Tc_IhhU1271M06TkJKRu40bwA_22_6"/>
      <w:bookmarkStart w:id="2402" w:name="Tc_mz336rmTHkSFvTZ3txLgSA_22_0"/>
      <w:bookmarkStart w:id="2403" w:name="Tc_GDkvEketaUKP9cyE-dpULw_21_10"/>
      <w:bookmarkStart w:id="2404" w:name="Tc_1HgHwqeXhEigKbTpxdtakg_21_8"/>
      <w:bookmarkStart w:id="2405" w:name="Tc_30lTPMw7qkqEj3leLKn0Ww_21_6"/>
      <w:bookmarkStart w:id="2406" w:name="Tc_EJepKB7nZkSQuYUwsVq3hg_21_0"/>
      <w:bookmarkStart w:id="2407" w:name="Tc_Ard9LVfkB0urkGepLmq5vA_20_10"/>
      <w:bookmarkStart w:id="2408" w:name="Tc_IqgRVuwDtkSsNQQ0b6k8QQ_20_8"/>
      <w:bookmarkStart w:id="2409" w:name="Tc_ScuM9rppC0WwV9VNJQx3ow_20_6"/>
      <w:bookmarkStart w:id="2410" w:name="Tc_GlbyOLuTT0uMIaxdpssdBQ_20_0"/>
      <w:bookmarkStart w:id="2411" w:name="Tc_Yej76UeRJUySHMQLwDMYwA_19_6"/>
      <w:bookmarkStart w:id="2412" w:name="Tc_4HDN2sY8BEqQ5AfELwMdkQ_19_0"/>
      <w:bookmarkStart w:id="2413" w:name="Tc_RZx_OBTmfkS9JhJxfmLu1Q_17_0"/>
      <w:bookmarkStart w:id="2414" w:name="Tc_d5qs5g0aEE2ByqnULsVMUg_16_0"/>
      <w:bookmarkStart w:id="2415" w:name="Tc_vtkqXTNgLUOFtBJAAin7wA_15_6"/>
      <w:bookmarkStart w:id="2416" w:name="Tc_JzdpCGE6YUGnzlsuhqbHVg_15_0"/>
      <w:bookmarkStart w:id="2417" w:name="Tc_wR74JsWEbkK8LeQpnV9lEg_14_10"/>
      <w:bookmarkStart w:id="2418" w:name="Tc_uQXpQsE7SEuULewbkTzEsg_14_8"/>
      <w:bookmarkStart w:id="2419" w:name="Tc_FHydmE5niku3l-6aU9yk4g_14_6"/>
      <w:bookmarkStart w:id="2420" w:name="Tc_46htzmlSJkqWdDbsG7-5tQ_14_0"/>
      <w:bookmarkStart w:id="2421" w:name="Tc_sQP125HBIkWia7r7wggolg_13_10"/>
      <w:bookmarkStart w:id="2422" w:name="Tc_fdDOsVouX06oiJv4-iQ7gA_13_8"/>
      <w:bookmarkStart w:id="2423" w:name="Tc_nasfNnAK30ybJmrL-mOcAw_13_6"/>
      <w:bookmarkStart w:id="2424" w:name="Tc_P0QN1R45DEKy-mtXTevkYg_13_0"/>
      <w:bookmarkStart w:id="2425" w:name="Tc_lx_3sZ2Hmk6B6jmSFNvrzQ_12_6"/>
      <w:bookmarkStart w:id="2426" w:name="Tc_JrylJOcWEkOV1TjeV7PMVQ_12_0"/>
      <w:bookmarkStart w:id="2427" w:name="Tc_6GsboOaBEEWMDaf9P4MLaA_10_0"/>
      <w:bookmarkStart w:id="2428" w:name="Tc_5UcnVOkPNE-2as01xxHDgg_9_0"/>
      <w:bookmarkStart w:id="2429" w:name="Tc_8ZSvkS64pEqJnnaEd2ACEA_8_6"/>
      <w:bookmarkStart w:id="2430" w:name="Tc_IDBQl8lss0ay8PP_WfTmiQ_8_0"/>
      <w:bookmarkStart w:id="2431" w:name="Tc_NLaz59ZAyUujZ8YD9AzbKQ_7_10"/>
      <w:bookmarkStart w:id="2432" w:name="Tc_70HAUCa_uEmuK355uM8Izg_7_8"/>
      <w:bookmarkStart w:id="2433" w:name="Tc_EeNEaIccbEauw8lNYPEDvw_7_6"/>
      <w:bookmarkStart w:id="2434" w:name="Tc_UlB-SQB5t0CmpyoGY_FolQ_7_0"/>
      <w:bookmarkStart w:id="2435" w:name="Tc__UQcL6T_9keTJzjeAGKc9w_6_6"/>
      <w:bookmarkStart w:id="2436" w:name="Tc_NmpJe4OZ-kOwiXpHktDOYA_6_0"/>
      <w:bookmarkStart w:id="2437" w:name="Tc_ofv6MMtSxUW6tHXD5iXGrg_5_10"/>
      <w:bookmarkStart w:id="2438" w:name="Tc_hx7Nfsk75U-_5sPCE_HJTQ_5_8"/>
      <w:bookmarkStart w:id="2439" w:name="Tc_Njd95t6gYE-iZoEZG_sVYA_5_6"/>
      <w:bookmarkStart w:id="2440" w:name="Tc_hAHS7J0-ZEi5qzxYgrPkKQ_5_4"/>
      <w:bookmarkStart w:id="2441" w:name="Tc_O1e97yUkoUmai26CBh9acw_5_2"/>
      <w:bookmarkStart w:id="2442" w:name="Tc_2x0QnVGS90-dCGky0ttXEQ_4_10"/>
      <w:bookmarkStart w:id="2443" w:name="Tc_CKj3Cz2ib02a6hbRJPcUgg_4_8"/>
      <w:bookmarkStart w:id="2444" w:name="Tc_MK7tLOUzi0mWfgn7VkZQNA_4_6"/>
      <w:bookmarkStart w:id="2445" w:name="Tc_zOmZ9e2uvEmMf1_xOpb7bw_4_4"/>
      <w:bookmarkStart w:id="2446" w:name="Tc_wxCr__SJZU-iNeKc10C_6w_4_2"/>
      <w:bookmarkStart w:id="2447" w:name="Tc_c5daE2i9Fk2xO27YpUB-bQ_3_10"/>
      <w:bookmarkStart w:id="2448" w:name="Tc_1SOhV9I6KUGu-tRy94E-jg_3_8"/>
      <w:bookmarkStart w:id="2449" w:name="Tc_8Buvfz6J8USs7qce7aK4Jw_3_6"/>
      <w:bookmarkStart w:id="2450" w:name="Tc_TJJspGEQ00OuN6moqdfmMw_3_4"/>
      <w:bookmarkStart w:id="2451" w:name="Tc_xJJ7Ch71tUuRRP0xQveROg_3_2"/>
      <w:bookmarkStart w:id="2452" w:name="Tc_l6JfirtxVUeTMxITDgE-aw_2_10"/>
      <w:bookmarkStart w:id="2453" w:name="Tc_Hw_Vhmi07kijHzyJFZOKlQ_2_8"/>
      <w:bookmarkStart w:id="2454" w:name="Tc_HuzX2u-QX0inHaWjxVHRYg_2_6"/>
      <w:bookmarkStart w:id="2455" w:name="Tc_Z6UKvY1lIUCBhSU1-frmcg_2_4"/>
      <w:bookmarkStart w:id="2456" w:name="Tc_LDSjtyMCtkG9cWyMlKQ5rg_1_8"/>
      <w:bookmarkStart w:id="2457" w:name="Tc_qnvFtSgAgki30pNPf0R3Mw_1_6"/>
      <w:bookmarkStart w:id="2458" w:name="Tc_q9zY5K5QhUmrCJwK2ccQEg_1_4"/>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r>
        <w:rPr>
          <w:rFonts w:ascii="Times New Roman;Times;serif" w:hAnsi="Times New Roman;Times;serif"/>
          <w:b/>
          <w:i w:val="false"/>
          <w:caps w:val="false"/>
          <w:smallCaps w:val="false"/>
          <w:sz w:val="20"/>
        </w:rPr>
        <w:t>29.</w:t>
      </w:r>
      <w:r>
        <w:rPr>
          <w:rFonts w:ascii="Times New Roman;Times;serif" w:hAnsi="Times New Roman;Times;serif"/>
          <w:b/>
          <w:sz w:val="20"/>
        </w:rPr>
        <w:t>Share-based compensation</w:t>
      </w:r>
    </w:p>
    <w:tbl>
      <w:tblPr>
        <w:tblW w:w="2526" w:type="dxa"/>
        <w:jc w:val="left"/>
        <w:tblInd w:w="0" w:type="dxa"/>
        <w:tblLayout w:type="fixed"/>
        <w:tblCellMar>
          <w:top w:w="28" w:type="dxa"/>
          <w:left w:w="28" w:type="dxa"/>
          <w:bottom w:w="28" w:type="dxa"/>
          <w:right w:w="28" w:type="dxa"/>
        </w:tblCellMar>
      </w:tblPr>
      <w:tblGrid>
        <w:gridCol w:w="124"/>
        <w:gridCol w:w="31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 Share Option Plan</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Prior to the merger as discussed in Note 5.1 to the consolidated financial statements, iClick operated the 2010 Share Option Plan which provides for the grant of incentive share options to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pStyle w:val="TextBody"/>
        <w:bidi w:val="0"/>
        <w:spacing w:before="0" w:after="240"/>
        <w:ind w:left="1440" w:right="0" w:hanging="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following table summarizes the share option activities for the years ended December 31, 2023, 2024 and 2025:</w:t>
      </w:r>
    </w:p>
    <w:p>
      <w:pPr>
        <w:pStyle w:val="TextBody"/>
        <w:bidi w:val="0"/>
        <w:spacing w:before="0" w:after="0"/>
        <w:ind w:left="144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51"/>
        <w:gridCol w:w="346"/>
        <w:gridCol w:w="898"/>
        <w:gridCol w:w="346"/>
        <w:gridCol w:w="796"/>
        <w:gridCol w:w="346"/>
        <w:gridCol w:w="867"/>
        <w:gridCol w:w="346"/>
        <w:gridCol w:w="946"/>
        <w:gridCol w:w="346"/>
        <w:gridCol w:w="917"/>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2572385" cy="175260"/>
                      <wp:effectExtent l="0" t="0" r="0" b="0"/>
                      <wp:wrapNone/>
                      <wp:docPr id="600" name="Frame59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9710" cy="175260"/>
                      <wp:effectExtent l="0" t="0" r="0" b="0"/>
                      <wp:wrapNone/>
                      <wp:docPr id="601"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70230" cy="175260"/>
                      <wp:effectExtent l="0" t="0" r="0" b="0"/>
                      <wp:wrapNone/>
                      <wp:docPr id="602" name="Frame59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219710" cy="175260"/>
                      <wp:effectExtent l="0" t="0" r="0" b="0"/>
                      <wp:wrapNone/>
                      <wp:docPr id="603"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05460" cy="175260"/>
                      <wp:effectExtent l="0" t="0" r="0" b="0"/>
                      <wp:wrapNone/>
                      <wp:docPr id="604" name="Frame6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05" name="Frame6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550545" cy="175260"/>
                      <wp:effectExtent l="0" t="0" r="0" b="0"/>
                      <wp:wrapNone/>
                      <wp:docPr id="606" name="Frame603"/>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19710" cy="175260"/>
                      <wp:effectExtent l="0" t="0" r="0" b="0"/>
                      <wp:wrapNone/>
                      <wp:docPr id="607" name="Frame6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00710" cy="175260"/>
                      <wp:effectExtent l="0" t="0" r="0" b="0"/>
                      <wp:wrapNone/>
                      <wp:docPr id="608" name="Frame60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19710" cy="175260"/>
                      <wp:effectExtent l="0" t="0" r="0" b="0"/>
                      <wp:wrapNone/>
                      <wp:docPr id="609" name="Frame6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82295" cy="175260"/>
                      <wp:effectExtent l="0" t="0" r="0" b="0"/>
                      <wp:wrapNone/>
                      <wp:docPr id="610" name="Frame60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pPr>
            <w:r>
              <w:rPr/>
              <w:t>​</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9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center"/>
              <w:rPr/>
            </w:pPr>
            <w:r>
              <w:rPr/>
              <w:t>  ​ ​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US$’000</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2023</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274,830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46"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274,050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12.95</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2023</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272,612</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273,940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274,050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(23,545)</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46"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(152,650)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46"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vAlign w:val="center"/>
          </w:tcPr>
          <w:p>
            <w:pPr>
              <w:pStyle w:val="TableContents"/>
              <w:bidi w:val="0"/>
              <w:spacing w:before="0" w:after="0"/>
              <w:ind w:left="0" w:right="0" w:hanging="0"/>
              <w:jc w:val="left"/>
              <w:rPr/>
            </w:pPr>
            <w:r>
              <w:rPr/>
              <w:t> </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97,855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27.92</w:t>
            </w:r>
          </w:p>
        </w:tc>
        <w:tc>
          <w:tcPr>
            <w:tcW w:w="346"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N/A</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0.70</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85,195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0.64</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2024</w:t>
            </w:r>
          </w:p>
        </w:tc>
        <w:tc>
          <w:tcPr>
            <w:tcW w:w="34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97,855</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0.71</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2025</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97,855</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c>
          <w:tcPr>
            <w:tcW w:w="346" w:type="dxa"/>
            <w:tcBorders/>
            <w:vAlign w:val="center"/>
          </w:tcPr>
          <w:p>
            <w:pPr>
              <w:pStyle w:val="TableContents"/>
              <w:bidi w:val="0"/>
              <w:spacing w:before="0" w:after="0"/>
              <w:ind w:left="0" w:right="0" w:hanging="0"/>
              <w:jc w:val="righ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shd w:fill="CCEEFF" w:val="clear"/>
            <w:vAlign w:val="center"/>
          </w:tcPr>
          <w:p>
            <w:pPr>
              <w:pStyle w:val="TableContents"/>
              <w:bidi w:val="0"/>
              <w:spacing w:before="0" w:after="0"/>
              <w:ind w:left="0" w:right="0" w:hanging="0"/>
              <w:jc w:val="righ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(85,905)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46"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10.26</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December 31, 2025</w:t>
            </w:r>
          </w:p>
        </w:tc>
        <w:tc>
          <w:tcPr>
            <w:tcW w:w="346"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to vest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346"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binomial option pricing model is used to determine the fair value of the share options granted to employees and non-employees. There were no grants or modification of share options during the years ended December 31, 2023, 2024 and 2025.</w:t>
      </w:r>
    </w:p>
    <w:p>
      <w:pPr>
        <w:pStyle w:val="TextBody"/>
        <w:bidi w:val="0"/>
        <w:spacing w:before="0" w:after="0"/>
        <w:ind w:left="0" w:right="0" w:hanging="0"/>
        <w:jc w:val="left"/>
        <w:rPr/>
      </w:pPr>
      <w:r>
        <w:rPr/>
        <w:t>​</w:t>
      </w:r>
    </w:p>
    <w:tbl>
      <w:tblPr>
        <w:tblW w:w="3021" w:type="dxa"/>
        <w:jc w:val="left"/>
        <w:tblInd w:w="0" w:type="dxa"/>
        <w:tblLayout w:type="fixed"/>
        <w:tblCellMar>
          <w:top w:w="28" w:type="dxa"/>
          <w:left w:w="28" w:type="dxa"/>
          <w:bottom w:w="28" w:type="dxa"/>
          <w:right w:w="28" w:type="dxa"/>
        </w:tblCellMar>
      </w:tblPr>
      <w:tblGrid>
        <w:gridCol w:w="124"/>
        <w:gridCol w:w="331"/>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Post-IPO Share Incentive Plan</w:t>
            </w:r>
          </w:p>
        </w:tc>
      </w:tr>
    </w:tbl>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The Post-IPO Share Incentive Plan was approved by the then board of directors of iClick prior to the merger transaction. iClick’s Post-IPO Share Incentive Plan provides for the grant of incentive share options and RSUs to the selected employees, officers, directors or consultants. The board of directors of the Company administers the share incentive plan, selects the individuals to whom options and RSUs will be granted, determines the number of options and RSUs to be granted, and the term and exercise price of each option and RSU.</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459" w:name="Tc_qY9U20U7dku0miJbdcfHhg_22_0"/>
      <w:bookmarkStart w:id="2460" w:name="Tc_yzdsAFgAEkyD-HOr39r76g_21_0"/>
      <w:bookmarkStart w:id="2461" w:name="Tc_ZzRvIZs8v0CiQ9_UXNS7KQ_20_0"/>
      <w:bookmarkStart w:id="2462" w:name="Tc_RSDVYi27tk6F1tVmMUE_tg_19_0"/>
      <w:bookmarkStart w:id="2463" w:name="Tc_wtTf_xegEEeU5YiTrKEcvw_18_0"/>
      <w:bookmarkStart w:id="2464" w:name="Tc_O6Zdih8acUi6xNfQ6W4KYA_16_0"/>
      <w:bookmarkStart w:id="2465" w:name="Tc_WfeuUjGKgECBHKHaGKTP3A_15_0"/>
      <w:bookmarkStart w:id="2466" w:name="Tc_fY-bp76YhkyxMRNCyokuuA_14_0"/>
      <w:bookmarkStart w:id="2467" w:name="Tc_uUJTCNrWF0GBNrOsjqozWA_13_0"/>
      <w:bookmarkStart w:id="2468" w:name="Tc_UAC3KcmS7ka6j1fXJe5b2g_12_0"/>
      <w:bookmarkStart w:id="2469" w:name="Tc_wP8M9O3rM0SVt7szsZo6-A_11_0"/>
      <w:bookmarkStart w:id="2470" w:name="Tc_vdTzPaIqVUy04-9knLiNQw_9_0"/>
      <w:bookmarkStart w:id="2471" w:name="Tc_xtPsooH8-UOVYluYt0wsbA_8_0"/>
      <w:bookmarkStart w:id="2472" w:name="Tc_8K6N3OlRcE-Vb13ySylYFA_7_0"/>
      <w:bookmarkStart w:id="2473" w:name="Tc_wZHbhtuokU-46BPFU5CiFg_6_0"/>
      <w:bookmarkStart w:id="2474" w:name="Tc_7t0sbAozf0uxyqgRFoVLFQ_5_0"/>
      <w:bookmarkStart w:id="2475" w:name="Tc_eUMl4H-yzU2Me2Dh-XXJ_Q_4_0"/>
      <w:bookmarkStart w:id="2476" w:name="Tc_pd4Pa7Rxt0CyqIbuyhG1Hw_3_4"/>
      <w:bookmarkStart w:id="2477" w:name="Tc_elRhaanvy026Y5UNM-x5Mw_3_2"/>
      <w:bookmarkStart w:id="2478" w:name="Tc__PpBixcYG0imQBVYhLE3bg_2_4"/>
      <w:bookmarkStart w:id="2479" w:name="Tc_olS6aKWfskK09jalwRzVFA_1_4"/>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r>
        <w:rPr>
          <w:rFonts w:ascii="Times New Roman;Times;serif" w:hAnsi="Times New Roman;Times;serif"/>
          <w:b/>
          <w:i w:val="false"/>
          <w:caps w:val="false"/>
          <w:smallCaps w:val="false"/>
          <w:sz w:val="20"/>
        </w:rPr>
        <w:t>29.</w:t>
      </w:r>
      <w:r>
        <w:rPr>
          <w:rFonts w:ascii="Times New Roman;Times;serif" w:hAnsi="Times New Roman;Times;serif"/>
          <w:b/>
          <w:sz w:val="20"/>
        </w:rPr>
        <w:t>Share-based compensation (Continued)</w:t>
      </w:r>
    </w:p>
    <w:tbl>
      <w:tblPr>
        <w:tblW w:w="4056" w:type="dxa"/>
        <w:jc w:val="left"/>
        <w:tblInd w:w="0" w:type="dxa"/>
        <w:tblLayout w:type="fixed"/>
        <w:tblCellMar>
          <w:top w:w="28" w:type="dxa"/>
          <w:left w:w="28" w:type="dxa"/>
          <w:bottom w:w="28" w:type="dxa"/>
          <w:right w:w="28" w:type="dxa"/>
        </w:tblCellMar>
      </w:tblPr>
      <w:tblGrid>
        <w:gridCol w:w="124"/>
        <w:gridCol w:w="331"/>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Post-IPO Share Incentive Plan (Continued)</w:t>
            </w:r>
          </w:p>
        </w:tc>
      </w:tr>
    </w:tbl>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The following table summarizes the activity of the service-based RSUs for the years ended December 31, 2023, 2024 and 2025:</w:t>
      </w:r>
    </w:p>
    <w:p>
      <w:pPr>
        <w:pStyle w:val="TextBody"/>
        <w:bidi w:val="0"/>
        <w:spacing w:before="0" w:after="0"/>
        <w:ind w:left="1440" w:right="0" w:hanging="0"/>
        <w:jc w:val="left"/>
        <w:rPr/>
      </w:pPr>
      <w:r>
        <w:rPr/>
        <w:t>​</w:t>
      </w:r>
    </w:p>
    <w:tbl>
      <w:tblPr>
        <w:tblW w:w="7505" w:type="dxa"/>
        <w:jc w:val="left"/>
        <w:tblInd w:w="0" w:type="dxa"/>
        <w:tblLayout w:type="fixed"/>
        <w:tblCellMar>
          <w:top w:w="0" w:type="dxa"/>
          <w:left w:w="0" w:type="dxa"/>
          <w:bottom w:w="0" w:type="dxa"/>
          <w:right w:w="0" w:type="dxa"/>
        </w:tblCellMar>
      </w:tblPr>
      <w:tblGrid>
        <w:gridCol w:w="3826"/>
        <w:gridCol w:w="346"/>
        <w:gridCol w:w="1321"/>
        <w:gridCol w:w="346"/>
        <w:gridCol w:w="166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429510" cy="175260"/>
                      <wp:effectExtent l="0" t="0" r="0" b="0"/>
                      <wp:wrapNone/>
                      <wp:docPr id="611" name="Frame60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219710" cy="175260"/>
                      <wp:effectExtent l="0" t="0" r="0" b="0"/>
                      <wp:wrapNone/>
                      <wp:docPr id="612" name="Frame6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838835" cy="175260"/>
                      <wp:effectExtent l="0" t="0" r="0" b="0"/>
                      <wp:wrapNone/>
                      <wp:docPr id="613" name="Frame61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14" name="Frame6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057910" cy="175260"/>
                      <wp:effectExtent l="0" t="0" r="0" b="0"/>
                      <wp:wrapNone/>
                      <wp:docPr id="615" name="Frame612"/>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2023</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110,463</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762,510</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(208,558)</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w:t>
            </w:r>
          </w:p>
        </w:tc>
        <w:tc>
          <w:tcPr>
            <w:tcW w:w="346"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2023</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660,540</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2023</w:t>
            </w:r>
          </w:p>
        </w:tc>
        <w:tc>
          <w:tcPr>
            <w:tcW w:w="3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639,362</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660,540</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357,500</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(914,999)</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2024</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96,834</w:t>
            </w:r>
          </w:p>
        </w:tc>
        <w:tc>
          <w:tcPr>
            <w:tcW w:w="346" w:type="dxa"/>
            <w:tcBorders/>
            <w:vAlign w:val="center"/>
          </w:tcPr>
          <w:p>
            <w:pPr>
              <w:pStyle w:val="TableContents"/>
              <w:bidi w:val="0"/>
              <w:spacing w:before="0" w:after="0"/>
              <w:ind w:left="0" w:right="0" w:hanging="0"/>
              <w:jc w:val="left"/>
              <w:rPr/>
            </w:pPr>
            <w:r>
              <w:rPr/>
              <w:t>​</w:t>
            </w:r>
          </w:p>
        </w:tc>
        <w:tc>
          <w:tcPr>
            <w:tcW w:w="1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79,325</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96,834</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(30,547)</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Forfeited/expired</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(36,259)</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30,028</w:t>
            </w:r>
          </w:p>
        </w:tc>
        <w:tc>
          <w:tcPr>
            <w:tcW w:w="346" w:type="dxa"/>
            <w:tcBorders/>
            <w:vAlign w:val="center"/>
          </w:tcPr>
          <w:p>
            <w:pPr>
              <w:pStyle w:val="TableContents"/>
              <w:bidi w:val="0"/>
              <w:spacing w:before="0" w:after="0"/>
              <w:ind w:left="0" w:right="0" w:hanging="0"/>
              <w:jc w:val="left"/>
              <w:rPr/>
            </w:pPr>
            <w:r>
              <w:rPr/>
              <w:t>​</w:t>
            </w:r>
          </w:p>
        </w:tc>
        <w:tc>
          <w:tcPr>
            <w:tcW w:w="1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30,028</w:t>
            </w:r>
          </w:p>
        </w:tc>
        <w:tc>
          <w:tcPr>
            <w:tcW w:w="346"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w:t>
            </w:r>
          </w:p>
        </w:tc>
      </w:tr>
    </w:tbl>
    <w:p>
      <w:pPr>
        <w:pStyle w:val="TextBody"/>
        <w:bidi w:val="0"/>
        <w:spacing w:before="0" w:after="0"/>
        <w:ind w:left="72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fair value of the restricted shares was calculated based on the fair value of ordinary shares of the Company.</w:t>
      </w:r>
    </w:p>
    <w:p>
      <w:pPr>
        <w:pStyle w:val="TextBody"/>
        <w:bidi w:val="0"/>
        <w:spacing w:before="0" w:after="0"/>
        <w:ind w:left="720" w:right="0" w:hanging="0"/>
        <w:jc w:val="left"/>
        <w:rPr/>
      </w:pPr>
      <w:r>
        <w:rPr/>
        <w:t>​</w:t>
      </w:r>
    </w:p>
    <w:tbl>
      <w:tblPr>
        <w:tblW w:w="3261" w:type="dxa"/>
        <w:jc w:val="left"/>
        <w:tblInd w:w="0" w:type="dxa"/>
        <w:tblLayout w:type="fixed"/>
        <w:tblCellMar>
          <w:top w:w="28" w:type="dxa"/>
          <w:left w:w="28" w:type="dxa"/>
          <w:bottom w:w="28" w:type="dxa"/>
          <w:right w:w="28" w:type="dxa"/>
        </w:tblCellMar>
      </w:tblPr>
      <w:tblGrid>
        <w:gridCol w:w="124"/>
        <w:gridCol w:w="316"/>
        <w:gridCol w:w="28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Post-merger Share Incentive Plan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Followed the completion of the merger transaction, the Company reserved certain ordinary shares to be issued to any qualified employees who contributed to the major milestone of the Company.</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Amber International’s board of directors administers the share incentive plan, selects the individuals to whom RSUs will be granted, determines the number of RSUs to be granted, and the term of each RSU.</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480" w:name="Tc_FkrzmOCHi0uOPUeNry1BUg_5_4"/>
      <w:bookmarkStart w:id="2481" w:name="Tc_mrSDS4dPqkidYSHaXd5Y-A_5_2"/>
      <w:bookmarkStart w:id="2482" w:name="Tc_oMo_eZ7iV0y6qPpEn0o24g_4_4"/>
      <w:bookmarkStart w:id="2483" w:name="Tc_X4xjkC9gFUWXjD8cQAiVDQ_4_2"/>
      <w:bookmarkStart w:id="2484" w:name="Tc_zD3ILjJRVUWWn1d9G6yNkQ_4_0"/>
      <w:bookmarkStart w:id="2485" w:name="Tc_DN7nOmB3hEmYJMeAbjhTpw_3_4"/>
      <w:bookmarkStart w:id="2486" w:name="Tc_rSgalYgrDUu5zCByYwqO_w_3_2"/>
      <w:bookmarkStart w:id="2487" w:name="Tc_KMHxp11vfUqJwlgBNSb1QA_3_0"/>
      <w:bookmarkStart w:id="2488" w:name="Tc_VnNS3gENiEqfXchlicQZKg_2_6"/>
      <w:bookmarkStart w:id="2489" w:name="Tc_1mXBYsKy80Gi-98ozClfkw_2_4"/>
      <w:bookmarkStart w:id="2490" w:name="Tc_NQa96k0fnEKYWzzffSW5ZA_2_2"/>
      <w:bookmarkStart w:id="2491" w:name="Tc_vx-bfcFObUeNygawXanXew_1_2"/>
      <w:bookmarkStart w:id="2492" w:name="Tc_uPSjlr4slUCoA_9E4nI-kw_8_0"/>
      <w:bookmarkStart w:id="2493" w:name="Tc_Nq1psFr_okCOq4lfutKQZQ_7_0"/>
      <w:bookmarkStart w:id="2494" w:name="Tc_Cqj5VXQZPEG6I_78WGBwzg_6_0"/>
      <w:bookmarkStart w:id="2495" w:name="Tc_obvy89oE-Em4QySi3wE_Mg_5_0"/>
      <w:bookmarkStart w:id="2496" w:name="Tc_jKtfufjYLE2T6XjaU_z73A_4_0"/>
      <w:bookmarkStart w:id="2497" w:name="Tc_lW38pK_TIEGe5mWynuTVoQ_3_4"/>
      <w:bookmarkStart w:id="2498" w:name="Tc_mkNnaL49mkiqNXGjJ8Dutg_3_2"/>
      <w:bookmarkStart w:id="2499" w:name="Tc_qe9u3-qOl0S0CjFpVxLF4w_2_4"/>
      <w:bookmarkStart w:id="2500" w:name="Tc_U_bHw09dQUePkJKTVp-K2Q_1_4"/>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r>
        <w:rPr>
          <w:rFonts w:ascii="Times New Roman;Times;serif" w:hAnsi="Times New Roman;Times;serif"/>
          <w:b/>
          <w:i w:val="false"/>
          <w:caps w:val="false"/>
          <w:smallCaps w:val="false"/>
          <w:sz w:val="20"/>
        </w:rPr>
        <w:t>29.</w:t>
      </w:r>
      <w:r>
        <w:rPr>
          <w:rFonts w:ascii="Times New Roman;Times;serif" w:hAnsi="Times New Roman;Times;serif"/>
          <w:b/>
          <w:sz w:val="20"/>
        </w:rPr>
        <w:t>Share-based compensation (Continued)</w:t>
      </w:r>
    </w:p>
    <w:tbl>
      <w:tblPr>
        <w:tblW w:w="4296" w:type="dxa"/>
        <w:jc w:val="left"/>
        <w:tblInd w:w="0" w:type="dxa"/>
        <w:tblLayout w:type="fixed"/>
        <w:tblCellMar>
          <w:top w:w="0" w:type="dxa"/>
          <w:left w:w="0" w:type="dxa"/>
          <w:bottom w:w="0" w:type="dxa"/>
          <w:right w:w="0" w:type="dxa"/>
        </w:tblCellMar>
      </w:tblPr>
      <w:tblGrid>
        <w:gridCol w:w="124"/>
        <w:gridCol w:w="31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38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Post-merger Share Incentive Plan (Continued)</w:t>
            </w:r>
          </w:p>
        </w:tc>
      </w:tr>
    </w:tbl>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The following table summarizes the activity of the service-based RSUs for the year ended December 31, 2025:</w:t>
      </w:r>
    </w:p>
    <w:p>
      <w:pPr>
        <w:pStyle w:val="TextBody"/>
        <w:bidi w:val="0"/>
        <w:spacing w:before="0" w:after="0"/>
        <w:ind w:left="0" w:right="0" w:hanging="0"/>
        <w:jc w:val="left"/>
        <w:rPr/>
      </w:pPr>
      <w:r>
        <w:rPr/>
        <w:t>​</w:t>
      </w:r>
    </w:p>
    <w:tbl>
      <w:tblPr>
        <w:tblW w:w="7505" w:type="dxa"/>
        <w:jc w:val="left"/>
        <w:tblInd w:w="0" w:type="dxa"/>
        <w:tblLayout w:type="fixed"/>
        <w:tblCellMar>
          <w:top w:w="0" w:type="dxa"/>
          <w:left w:w="0" w:type="dxa"/>
          <w:bottom w:w="0" w:type="dxa"/>
          <w:right w:w="0" w:type="dxa"/>
        </w:tblCellMar>
      </w:tblPr>
      <w:tblGrid>
        <w:gridCol w:w="3826"/>
        <w:gridCol w:w="346"/>
        <w:gridCol w:w="1321"/>
        <w:gridCol w:w="346"/>
        <w:gridCol w:w="166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429510" cy="175260"/>
                      <wp:effectExtent l="0" t="0" r="0" b="0"/>
                      <wp:wrapNone/>
                      <wp:docPr id="616" name="Frame61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17" name="Frame6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838835" cy="175260"/>
                      <wp:effectExtent l="0" t="0" r="0" b="0"/>
                      <wp:wrapNone/>
                      <wp:docPr id="618" name="Frame61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19710" cy="175260"/>
                      <wp:effectExtent l="0" t="0" r="0" b="0"/>
                      <wp:wrapNone/>
                      <wp:docPr id="619" name="Frame6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057910" cy="175260"/>
                      <wp:effectExtent l="0" t="0" r="0" b="0"/>
                      <wp:wrapNone/>
                      <wp:docPr id="620" name="Frame617"/>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average </w:t>
            </w:r>
          </w:p>
        </w:tc>
      </w:tr>
      <w:tr>
        <w:trPr/>
        <w:tc>
          <w:tcPr>
            <w:tcW w:w="3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0"/>
              <w:ind w:left="0" w:right="0" w:hanging="0"/>
              <w:jc w:val="left"/>
              <w:rPr/>
            </w:pPr>
            <w:r>
              <w:rPr/>
              <w:t>  ​ ​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(with a vesting period of 0 to 4 years)</w:t>
            </w:r>
          </w:p>
        </w:tc>
        <w:tc>
          <w:tcPr>
            <w:tcW w:w="346"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1,089,875</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(868,062)</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2025</w:t>
            </w:r>
          </w:p>
        </w:tc>
        <w:tc>
          <w:tcPr>
            <w:tcW w:w="346"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221,813</w:t>
            </w:r>
          </w:p>
        </w:tc>
        <w:tc>
          <w:tcPr>
            <w:tcW w:w="346" w:type="dxa"/>
            <w:tcBorders/>
            <w:vAlign w:val="center"/>
          </w:tcPr>
          <w:p>
            <w:pPr>
              <w:pStyle w:val="TableContents"/>
              <w:bidi w:val="0"/>
              <w:spacing w:before="0" w:after="0"/>
              <w:ind w:left="0" w:right="0" w:hanging="0"/>
              <w:jc w:val="left"/>
              <w:rPr/>
            </w:pPr>
            <w:r>
              <w:rPr/>
              <w:t> </w:t>
            </w:r>
          </w:p>
        </w:tc>
        <w:tc>
          <w:tcPr>
            <w:tcW w:w="16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to vest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221,813</w:t>
            </w:r>
          </w:p>
        </w:tc>
        <w:tc>
          <w:tcPr>
            <w:tcW w:w="34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0.35</w:t>
            </w:r>
          </w:p>
        </w:tc>
      </w:tr>
    </w:tbl>
    <w:p>
      <w:pPr>
        <w:pStyle w:val="TextBody"/>
        <w:bidi w:val="0"/>
        <w:spacing w:before="0" w:after="0"/>
        <w:ind w:left="0" w:right="0" w:hanging="0"/>
        <w:jc w:val="left"/>
        <w:rPr/>
      </w:pPr>
      <w:r>
        <w:rPr/>
        <w:t>​</w:t>
      </w:r>
    </w:p>
    <w:p>
      <w:pPr>
        <w:pStyle w:val="TextBody"/>
        <w:bidi w:val="0"/>
        <w:spacing w:before="240" w:after="240"/>
        <w:ind w:left="1440" w:right="0" w:hanging="0"/>
        <w:jc w:val="left"/>
        <w:rPr>
          <w:rFonts w:ascii="Times New Roman;Times;serif" w:hAnsi="Times New Roman;Times;serif"/>
          <w:sz w:val="20"/>
        </w:rPr>
      </w:pPr>
      <w:r>
        <w:rPr>
          <w:rFonts w:ascii="Times New Roman;Times;serif" w:hAnsi="Times New Roman;Times;serif"/>
          <w:sz w:val="20"/>
        </w:rPr>
        <w:t>The fair value of the restricted shares was calculated based on the fair value of ordinary shares of the Company.</w:t>
      </w:r>
    </w:p>
    <w:tbl>
      <w:tblPr>
        <w:tblW w:w="3666" w:type="dxa"/>
        <w:jc w:val="left"/>
        <w:tblInd w:w="0" w:type="dxa"/>
        <w:tblLayout w:type="fixed"/>
        <w:tblCellMar>
          <w:top w:w="28" w:type="dxa"/>
          <w:left w:w="28" w:type="dxa"/>
          <w:bottom w:w="28" w:type="dxa"/>
          <w:right w:w="28" w:type="dxa"/>
        </w:tblCellMar>
      </w:tblPr>
      <w:tblGrid>
        <w:gridCol w:w="124"/>
        <w:gridCol w:w="331"/>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share-based compensation costs</w:t>
            </w:r>
          </w:p>
        </w:tc>
      </w:tr>
    </w:tbl>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Total share-based compensation costs recognized for the years ended December 31, 2023, 2024 and 2025 are as follows:</w:t>
      </w:r>
    </w:p>
    <w:p>
      <w:pPr>
        <w:pStyle w:val="TextBody"/>
        <w:bidi w:val="0"/>
        <w:spacing w:before="0" w:after="0"/>
        <w:ind w:left="720" w:right="0" w:hanging="0"/>
        <w:jc w:val="left"/>
        <w:rPr/>
      </w:pPr>
      <w:r>
        <w:rPr/>
        <w:t>​</w:t>
      </w:r>
    </w:p>
    <w:tbl>
      <w:tblPr>
        <w:tblW w:w="5281" w:type="dxa"/>
        <w:jc w:val="left"/>
        <w:tblInd w:w="0" w:type="dxa"/>
        <w:tblLayout w:type="fixed"/>
        <w:tblCellMar>
          <w:top w:w="0" w:type="dxa"/>
          <w:left w:w="0" w:type="dxa"/>
          <w:bottom w:w="0" w:type="dxa"/>
          <w:right w:w="0" w:type="dxa"/>
        </w:tblCellMar>
      </w:tblPr>
      <w:tblGrid>
        <w:gridCol w:w="2311"/>
        <w:gridCol w:w="346"/>
        <w:gridCol w:w="569"/>
        <w:gridCol w:w="422"/>
        <w:gridCol w:w="569"/>
        <w:gridCol w:w="422"/>
        <w:gridCol w:w="642"/>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467485" cy="175260"/>
                      <wp:effectExtent l="0" t="0" r="0" b="0"/>
                      <wp:wrapNone/>
                      <wp:docPr id="621" name="Frame61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19710" cy="175260"/>
                      <wp:effectExtent l="0" t="0" r="0" b="0"/>
                      <wp:wrapNone/>
                      <wp:docPr id="622" name="Frame6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361315" cy="175260"/>
                      <wp:effectExtent l="0" t="0" r="0" b="0"/>
                      <wp:wrapNone/>
                      <wp:docPr id="623" name="Frame620"/>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67970" cy="175260"/>
                      <wp:effectExtent l="0" t="0" r="0" b="0"/>
                      <wp:wrapNone/>
                      <wp:docPr id="624" name="Frame621"/>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61315" cy="175260"/>
                      <wp:effectExtent l="0" t="0" r="0" b="0"/>
                      <wp:wrapNone/>
                      <wp:docPr id="625" name="Frame622"/>
                      <a:graphic xmlns:a="http://schemas.openxmlformats.org/drawingml/2006/main">
                        <a:graphicData uri="http://schemas.microsoft.com/office/word/2010/wordprocessingShape">
                          <wps:wsp>
                            <wps:cNvSpPr txBox="1"/>
                            <wps:spPr>
                              <a:xfrm>
                                <a:off x="0" y="0"/>
                                <a:ext cx="361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67970" cy="175260"/>
                      <wp:effectExtent l="0" t="0" r="0" b="0"/>
                      <wp:wrapNone/>
                      <wp:docPr id="626" name="Frame623"/>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07670" cy="175260"/>
                      <wp:effectExtent l="0" t="0" r="0" b="0"/>
                      <wp:wrapNone/>
                      <wp:docPr id="627" name="Frame624"/>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2" w:type="dxa"/>
            <w:tcBorders/>
            <w:vAlign w:val="center"/>
          </w:tcPr>
          <w:p>
            <w:pPr>
              <w:pStyle w:val="TableContents"/>
              <w:bidi w:val="0"/>
              <w:spacing w:before="0" w:after="0"/>
              <w:ind w:left="0" w:right="0" w:hanging="0"/>
              <w:jc w:val="center"/>
              <w:rPr/>
            </w:pPr>
            <w:r>
              <w:rPr/>
              <w:t>  ​ ​ ​</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2" w:type="dxa"/>
            <w:tcBorders/>
            <w:vAlign w:val="center"/>
          </w:tcPr>
          <w:p>
            <w:pPr>
              <w:pStyle w:val="TableContents"/>
              <w:bidi w:val="0"/>
              <w:spacing w:before="0" w:after="0"/>
              <w:ind w:left="0" w:right="0" w:hanging="0"/>
              <w:jc w:val="center"/>
              <w:rPr/>
            </w:pPr>
            <w:r>
              <w:rPr/>
              <w:t>  ​ ​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 </w:t>
            </w:r>
          </w:p>
        </w:tc>
        <w:tc>
          <w:tcPr>
            <w:tcW w:w="569"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569"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left"/>
              <w:rPr/>
            </w:pPr>
            <w:r>
              <w:rPr/>
              <w:t> </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 </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left"/>
              <w:rPr/>
            </w:pPr>
            <w:r>
              <w:rPr/>
              <w:t>​</w:t>
            </w:r>
          </w:p>
        </w:tc>
        <w:tc>
          <w:tcPr>
            <w:tcW w:w="5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left"/>
              <w:rPr/>
            </w:pPr>
            <w:r>
              <w:rPr/>
              <w:t> </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r>
      <w:tr>
        <w:trPr/>
        <w:tc>
          <w:tcPr>
            <w:tcW w:w="23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5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left"/>
              <w:rPr/>
            </w:pPr>
            <w:r>
              <w:rPr/>
              <w:t> </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501" w:name="Tc_GgaCWBOyA0mFt6Giusb0_w_30_0"/>
      <w:bookmarkStart w:id="2502" w:name="Tc_02avNor09kKBa7kvfbTQnQ_29_0"/>
      <w:bookmarkStart w:id="2503" w:name="Tc_ps5y7qpRfk679hb42uWNIw_28_6"/>
      <w:bookmarkStart w:id="2504" w:name="Tc_CIXivCbmxUyNOQUE7H9QAg_28_4"/>
      <w:bookmarkStart w:id="2505" w:name="Tc_vKrn_4yBYUSAgPbounaIoA_28_0"/>
      <w:bookmarkStart w:id="2506" w:name="Tc_NwjJTDhzF0uDsKPPM_aMKw_27_0"/>
      <w:bookmarkStart w:id="2507" w:name="Tc_jtmwcq_l_EC3HmvF5lb4Vw_26_0"/>
      <w:bookmarkStart w:id="2508" w:name="Tc_2N6YKSrkZ0KSeMjIuXNXGA_25_0"/>
      <w:bookmarkStart w:id="2509" w:name="Tc_sUEaEFcQxEKvLAJc0oNppQ_24_0"/>
      <w:bookmarkStart w:id="2510" w:name="Tc_DcNVGGUKCkKAok0-NK_3kA_23_8"/>
      <w:bookmarkStart w:id="2511" w:name="Tc_zLyQRq5d8kedtMGqMNwm1w_23_6"/>
      <w:bookmarkStart w:id="2512" w:name="Tc_tmZBo3nYeUaWk6PsIIkT2g_23_0"/>
      <w:bookmarkStart w:id="2513" w:name="Tc_ZsFaIQIq4k6_OH3PDZffcw_22_4"/>
      <w:bookmarkStart w:id="2514" w:name="Tc_WICajuJbAk2PSCIweO56gg_22_0"/>
      <w:bookmarkStart w:id="2515" w:name="Tc_jJJPBVbYWE2anC0aQcK35A_21_4"/>
      <w:bookmarkStart w:id="2516" w:name="Tc_aL_uK3PfwkaWlW4YnXNhCA_21_2"/>
      <w:bookmarkStart w:id="2517" w:name="Tc_lTG8ACvKXEyRX9-WWl1mBQ_21_0"/>
      <w:bookmarkStart w:id="2518" w:name="Tc_QWLsYKc3PEGdPxVb_gpCrw_20_2"/>
      <w:bookmarkStart w:id="2519" w:name="Tc_tADc6-D9-0i1txQhcG16BQ_20_0"/>
      <w:bookmarkStart w:id="2520" w:name="Tc_eLj3FDXwB0Kl0LDbZpPi9w_19_6"/>
      <w:bookmarkStart w:id="2521" w:name="Tc_EcaKRIWBc0a-nGbzSb9yDA_19_4"/>
      <w:bookmarkStart w:id="2522" w:name="Tc_uKh7baSrE0edRwvWF3nxTQ_19_0"/>
      <w:bookmarkStart w:id="2523" w:name="Tc_uTYd15ZUak-rgu1mhTBJUg_18_0"/>
      <w:bookmarkStart w:id="2524" w:name="Tc_tA13yGK7b0u4D8OgS2Xx3A_17_0"/>
      <w:bookmarkStart w:id="2525" w:name="Tc_PXbaQBFiX0CmnJSQIu4pRA_16_0"/>
      <w:bookmarkStart w:id="2526" w:name="Tc_uaLqTaS1f0mqC8DGioTCuA_15_6"/>
      <w:bookmarkStart w:id="2527" w:name="Tc_fJeNWv20zEybmqjQbY3kAg_15_4"/>
      <w:bookmarkStart w:id="2528" w:name="Tc_pfg5ce2XsEK1PumSOkJ_wA_15_2"/>
      <w:bookmarkStart w:id="2529" w:name="Tc__3lSmgwT4UqtmxthkMWf2Q_15_0"/>
      <w:bookmarkStart w:id="2530" w:name="Tc_D7MFF1u-9ECExiUFljn4Sw_14_2"/>
      <w:bookmarkStart w:id="2531" w:name="Tc_he9Bxn3cd0WpqEm5ux-_yA_14_0"/>
      <w:bookmarkStart w:id="2532" w:name="Tc_RlOEeWL-Bk6fTK0plwd9Ug_13_6"/>
      <w:bookmarkStart w:id="2533" w:name="Tc_q-N5_BuylUObn1lKaQn4AQ_13_4"/>
      <w:bookmarkStart w:id="2534" w:name="Tc_UiOvGYQPD0KRC33svjvS-Q_13_2"/>
      <w:bookmarkStart w:id="2535" w:name="Tc_K3gwgBUNxEus-ickgNeONA_13_0"/>
      <w:bookmarkStart w:id="2536" w:name="Tc_wsOTwlc6qkSuCsXGgEby0Q_12_6"/>
      <w:bookmarkStart w:id="2537" w:name="Tc_ZjwgzUtX8kuyayckgu3Fuw_12_4"/>
      <w:bookmarkStart w:id="2538" w:name="Tc_B7xptm5l-UCizEm5DO-pGA_12_2"/>
      <w:bookmarkStart w:id="2539" w:name="Tc_f_QyWCXx8EOOzPdYXodTZA_12_0"/>
      <w:bookmarkStart w:id="2540" w:name="Tc_22tHQugssEe-QJrZex-bFA_11_2"/>
      <w:bookmarkStart w:id="2541" w:name="Tc_c2J3g4foc0KG1VTNJdZmnQ_11_0"/>
      <w:bookmarkStart w:id="2542" w:name="Tc_Ry5imBpj20GwhzIU2CZZFA_10_2"/>
      <w:bookmarkStart w:id="2543" w:name="Tc_QO4B6NLcZEqtMgRBm_Qu4w_10_0"/>
      <w:bookmarkStart w:id="2544" w:name="Tc_1aV1r2VN70-vFZmdDKFFtA_9_6"/>
      <w:bookmarkStart w:id="2545" w:name="Tc_pArG7aa9B0qveG3yO3IZwQ_9_2"/>
      <w:bookmarkStart w:id="2546" w:name="Tc_XNYOxVMeE0akvzrld13seg_9_0"/>
      <w:bookmarkStart w:id="2547" w:name="Tc_lSjY0pIlikWeEOJCuXl0ow_8_0"/>
      <w:bookmarkStart w:id="2548" w:name="Tc_LUSWAZ6FOkSKaWdwzJQn1Q_6_6"/>
      <w:bookmarkStart w:id="2549" w:name="Tc_nkZTHA7QdUuczTHn6Xwk3g_6_4"/>
      <w:bookmarkStart w:id="2550" w:name="Tc_wG1vpFeh-0Sa_S9x6On5yg_6_2"/>
      <w:bookmarkStart w:id="2551" w:name="Tc_rA814hvOb06XSJI4aqvMYQ_6_0"/>
      <w:bookmarkStart w:id="2552" w:name="Tc_T9khcqx-jE-Ig3r55VZWlA_5_0"/>
      <w:bookmarkStart w:id="2553" w:name="Tc_kJsLukF64EOrTRMip9ojWQ_4_0"/>
      <w:bookmarkStart w:id="2554" w:name="Tc_5ar_5RCY90urVBV43HS-rA_3_0"/>
      <w:bookmarkStart w:id="2555" w:name="Tc_rPzT_Dh0D0KRSAJ4JIxlUw_2_8"/>
      <w:bookmarkStart w:id="2556" w:name="Tc_UazcargdqUCZhrc5zG0S-g_2_6"/>
      <w:bookmarkStart w:id="2557" w:name="Tc_oPHX3Cb3-kq0J5YmfFnfVg_2_4"/>
      <w:bookmarkStart w:id="2558" w:name="Tc_8gdZpH-1m0e6onu9tVIOMA_2_2"/>
      <w:bookmarkStart w:id="2559" w:name="Tc_5jnW_TWF4UCHxLoFTf9Oxg_1_4"/>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r>
        <w:rPr>
          <w:rFonts w:ascii="Times New Roman;Times;serif" w:hAnsi="Times New Roman;Times;serif"/>
          <w:b/>
          <w:i w:val="false"/>
          <w:caps w:val="false"/>
          <w:smallCaps w:val="false"/>
          <w:sz w:val="20"/>
        </w:rPr>
        <w:t>30.</w:t>
      </w:r>
      <w:r>
        <w:rPr>
          <w:rFonts w:ascii="Times New Roman;Times;serif" w:hAnsi="Times New Roman;Times;serif"/>
          <w:b/>
          <w:sz w:val="20"/>
        </w:rPr>
        <w:t>Cash flows information</w:t>
      </w:r>
    </w:p>
    <w:p>
      <w:pPr>
        <w:pStyle w:val="TextBody"/>
        <w:bidi w:val="0"/>
        <w:spacing w:before="0" w:after="20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Cash generated from operations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25"/>
        <w:gridCol w:w="346"/>
        <w:gridCol w:w="715"/>
        <w:gridCol w:w="346"/>
        <w:gridCol w:w="778"/>
        <w:gridCol w:w="346"/>
        <w:gridCol w:w="778"/>
        <w:gridCol w:w="346"/>
        <w:gridCol w:w="825"/>
      </w:tblGrid>
      <w:tr>
        <w:trPr/>
        <w:tc>
          <w:tcPr>
            <w:tcW w:w="5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3635375" cy="175260"/>
                      <wp:effectExtent l="0" t="0" r="0" b="0"/>
                      <wp:wrapNone/>
                      <wp:docPr id="628" name="Frame625"/>
                      <a:graphic xmlns:a="http://schemas.openxmlformats.org/drawingml/2006/main">
                        <a:graphicData uri="http://schemas.microsoft.com/office/word/2010/wordprocessingShape">
                          <wps:wsp>
                            <wps:cNvSpPr txBox="1"/>
                            <wps:spPr>
                              <a:xfrm>
                                <a:off x="0" y="0"/>
                                <a:ext cx="3635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29" name="Frame6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454025" cy="175260"/>
                      <wp:effectExtent l="0" t="0" r="0" b="0"/>
                      <wp:wrapNone/>
                      <wp:docPr id="630" name="Frame627"/>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19710" cy="175260"/>
                      <wp:effectExtent l="0" t="0" r="0" b="0"/>
                      <wp:wrapNone/>
                      <wp:docPr id="631" name="Frame6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494030" cy="175260"/>
                      <wp:effectExtent l="0" t="0" r="0" b="0"/>
                      <wp:wrapNone/>
                      <wp:docPr id="632" name="Frame629"/>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19710" cy="175260"/>
                      <wp:effectExtent l="0" t="0" r="0" b="0"/>
                      <wp:wrapNone/>
                      <wp:docPr id="633"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94030" cy="175260"/>
                      <wp:effectExtent l="0" t="0" r="0" b="0"/>
                      <wp:wrapNone/>
                      <wp:docPr id="634" name="Frame631"/>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19710" cy="175260"/>
                      <wp:effectExtent l="0" t="0" r="0" b="0"/>
                      <wp:wrapNone/>
                      <wp:docPr id="635" name="Frame6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523875" cy="175260"/>
                      <wp:effectExtent l="0" t="0" r="0" b="0"/>
                      <wp:wrapNone/>
                      <wp:docPr id="636" name="Frame633"/>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0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7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1"/>
              <w:ind w:left="0" w:right="0" w:hanging="0"/>
              <w:jc w:val="left"/>
              <w:rPr/>
            </w:pPr>
            <w:r>
              <w:rPr/>
              <w:t>  ​ ​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1"/>
              <w:ind w:left="0" w:right="0" w:hanging="0"/>
              <w:jc w:val="left"/>
              <w:rPr/>
            </w:pPr>
            <w:r>
              <w:rPr/>
              <w:t>  ​ ​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right"/>
              <w:rPr/>
            </w:pPr>
            <w:r>
              <w:rPr/>
              <w:t>​</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(Loss)/profit before income tax</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vAlign w:val="center"/>
          </w:tcPr>
          <w:p>
            <w:pPr>
              <w:pStyle w:val="TableContents"/>
              <w:bidi w:val="0"/>
              <w:spacing w:before="0" w:after="1"/>
              <w:ind w:left="0" w:right="0" w:hanging="0"/>
              <w:jc w:val="left"/>
              <w:rPr/>
            </w:pPr>
            <w:r>
              <w:rPr/>
              <w:t>​</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from continuing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(13,536)</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(23,273)</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3,598</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from discontinued operations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5.2, 5.3</w:t>
            </w:r>
          </w:p>
        </w:tc>
        <w:tc>
          <w:tcPr>
            <w:tcW w:w="34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572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right"/>
              <w:rPr/>
            </w:pPr>
            <w:r>
              <w:rPr/>
              <w:t>​</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for:</w:t>
            </w:r>
          </w:p>
        </w:tc>
        <w:tc>
          <w:tcPr>
            <w:tcW w:w="346" w:type="dxa"/>
            <w:tcBorders/>
            <w:vAlign w:val="center"/>
          </w:tcPr>
          <w:p>
            <w:pPr>
              <w:pStyle w:val="TableContents"/>
              <w:bidi w:val="0"/>
              <w:spacing w:before="0" w:after="1"/>
              <w:ind w:left="0" w:right="0" w:hanging="0"/>
              <w:jc w:val="left"/>
              <w:rPr/>
            </w:pPr>
            <w:r>
              <w:rPr/>
              <w:t>​</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25" w:type="dxa"/>
            <w:tcBorders/>
            <w:vAlign w:val="center"/>
          </w:tcPr>
          <w:p>
            <w:pPr>
              <w:pStyle w:val="TableContents"/>
              <w:bidi w:val="0"/>
              <w:spacing w:before="0" w:after="1"/>
              <w:ind w:left="0" w:right="0" w:hanging="0"/>
              <w:jc w:val="right"/>
              <w:rPr/>
            </w:pPr>
            <w:r>
              <w:rPr/>
              <w:t>​</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of 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allowance for credit losses on accounts receivable</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3.1(b)(ii)</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changes on financial asset at fair value through profit or loss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of losses from an equity investee</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Realized fair value changes on digital assets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1"/>
              <w:ind w:left="0" w:right="0" w:hanging="0"/>
              <w:jc w:val="left"/>
              <w:rPr/>
            </w:pPr>
            <w:r>
              <w:rPr/>
              <w:t>​</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fair value changes on digital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fair value changes on amount due to related parties denominated in digital assets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9,317</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18,007</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 off of other payables, net</w:t>
            </w:r>
          </w:p>
        </w:tc>
        <w:tc>
          <w:tcPr>
            <w:tcW w:w="346" w:type="dxa"/>
            <w:tcBorders/>
            <w:shd w:fill="CCEEFF" w:val="clear"/>
            <w:vAlign w:val="center"/>
          </w:tcPr>
          <w:p>
            <w:pPr>
              <w:pStyle w:val="TableContents"/>
              <w:bidi w:val="0"/>
              <w:spacing w:before="0" w:after="1"/>
              <w:ind w:left="0" w:right="0" w:hanging="0"/>
              <w:jc w:val="left"/>
              <w:rPr/>
            </w:pPr>
            <w:r>
              <w:rPr/>
              <w:t>​</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(Gain)/loss on disposal of subsidiary</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modification</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pPr>
            <w:r>
              <w:rPr/>
              <w:t>—</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received or settled in digital assets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(2,495)</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(36,749)</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Changes in working capital:</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pPr>
            <w:r>
              <w:rPr/>
              <w:t>​</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receivables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(5,067)</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57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Disposal of crypto assets held</w:t>
            </w:r>
          </w:p>
        </w:tc>
        <w:tc>
          <w:tcPr>
            <w:tcW w:w="346" w:type="dxa"/>
            <w:tcBorders/>
            <w:shd w:fill="CCEEFF" w:val="clear"/>
            <w:vAlign w:val="center"/>
          </w:tcPr>
          <w:p>
            <w:pPr>
              <w:pStyle w:val="TableContents"/>
              <w:bidi w:val="0"/>
              <w:spacing w:before="0" w:after="1"/>
              <w:ind w:left="0" w:right="0" w:hanging="0"/>
              <w:jc w:val="left"/>
              <w:rPr/>
            </w:pPr>
            <w:r>
              <w:rPr/>
              <w:t> </w:t>
            </w:r>
          </w:p>
        </w:tc>
        <w:tc>
          <w:tcPr>
            <w:tcW w:w="71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15,083</w:t>
            </w:r>
          </w:p>
        </w:tc>
        <w:tc>
          <w:tcPr>
            <w:tcW w:w="346" w:type="dxa"/>
            <w:tcBorders/>
            <w:shd w:fill="CCEEFF" w:val="cle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5,651</w:t>
            </w:r>
          </w:p>
        </w:tc>
        <w:tc>
          <w:tcPr>
            <w:tcW w:w="346" w:type="dxa"/>
            <w:tcBorders/>
            <w:shd w:fill="CCEEFF" w:val="cle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11,582</w:t>
            </w:r>
          </w:p>
        </w:tc>
      </w:tr>
      <w:tr>
        <w:trPr/>
        <w:tc>
          <w:tcPr>
            <w:tcW w:w="5725"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generated from/(used in) operating activities</w:t>
            </w:r>
          </w:p>
        </w:tc>
        <w:tc>
          <w:tcPr>
            <w:tcW w:w="346" w:type="dxa"/>
            <w:tcBorders/>
            <w:vAlign w:val="center"/>
          </w:tcPr>
          <w:p>
            <w:pPr>
              <w:pStyle w:val="TableContents"/>
              <w:bidi w:val="0"/>
              <w:spacing w:before="0" w:after="1"/>
              <w:ind w:left="0" w:right="0" w:hanging="0"/>
              <w:jc w:val="left"/>
              <w:rPr/>
            </w:pPr>
            <w:r>
              <w:rPr/>
              <w:t> </w:t>
            </w:r>
          </w:p>
        </w:tc>
        <w:tc>
          <w:tcPr>
            <w:tcW w:w="7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11,464</w:t>
            </w:r>
          </w:p>
        </w:tc>
        <w:tc>
          <w:tcPr>
            <w:tcW w:w="346" w:type="dxa"/>
            <w:tcBorders/>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(555)</w:t>
            </w:r>
          </w:p>
        </w:tc>
        <w:tc>
          <w:tcPr>
            <w:tcW w:w="346" w:type="dxa"/>
            <w:tcBorders/>
            <w:vAlign w:val="center"/>
          </w:tcPr>
          <w:p>
            <w:pPr>
              <w:pStyle w:val="TableContents"/>
              <w:bidi w:val="0"/>
              <w:spacing w:before="0" w:after="1"/>
              <w:ind w:left="0" w:right="0" w:hanging="0"/>
              <w:jc w:val="left"/>
              <w:rPr/>
            </w:pPr>
            <w:r>
              <w:rPr/>
              <w:t> </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(24,887)</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560" w:name="Tc_MSzKUeibF0OBMK34hskkAg_4_2"/>
      <w:bookmarkStart w:id="2561" w:name="Tc_XrH_rWpqAUCMspeeCENeQQ_4_0"/>
      <w:bookmarkStart w:id="2562" w:name="Tc__2oYD2V2IEWY7rAL380ijg_3_4"/>
      <w:bookmarkStart w:id="2563" w:name="Tc_CNIM-mFcvk2IlqM6FFKLDw_3_2"/>
      <w:bookmarkStart w:id="2564" w:name="Tc_gAk6Lr6uEUaFdMDDNhyuPA_3_0"/>
      <w:bookmarkStart w:id="2565" w:name="Tc_B0q_PWdKP0mUQEtbqq5qaw_2_6"/>
      <w:bookmarkStart w:id="2566" w:name="Tc_UDQ_oLLws0amV2gYRvWqkA_2_4"/>
      <w:bookmarkStart w:id="2567" w:name="Tc_YasokwAFFkO7aOhcjRzxrw_2_2"/>
      <w:bookmarkStart w:id="2568" w:name="Tc_sxBnThViaESzINDg518FbQ_1_2"/>
      <w:bookmarkStart w:id="2569" w:name="Tc_er_L80Dw_0Kn47b8oDBI-A_27_6"/>
      <w:bookmarkStart w:id="2570" w:name="Tc_v9UtNgeHIEm5VeI57KPOhw_27_0"/>
      <w:bookmarkStart w:id="2571" w:name="Tc_bBsMgz8nxU-GZYySXBwGlw_26_6"/>
      <w:bookmarkStart w:id="2572" w:name="Tc_UlVsqyJJAEOMBirPL2tmow_26_2"/>
      <w:bookmarkStart w:id="2573" w:name="Tc_X36WqeRFw0O8x2SPm12N4Q_26_0"/>
      <w:bookmarkStart w:id="2574" w:name="Tc_KAc-USbtY0qFd--j7trnyQ_25_6"/>
      <w:bookmarkStart w:id="2575" w:name="Tc_tb9nyzvOokOnyUYa5AQhcQ_25_4"/>
      <w:bookmarkStart w:id="2576" w:name="Tc_tZmShk9ugkSJdr1fEBwYVA_25_0"/>
      <w:bookmarkStart w:id="2577" w:name="Tc_q9vKw3Cyyk-9TMtCmhZ70w_24_6"/>
      <w:bookmarkStart w:id="2578" w:name="Tc_ZopCCynx5E-Nlb9RBPAVPg_24_4"/>
      <w:bookmarkStart w:id="2579" w:name="Tc_iCon_rcxPk-EocYJZ4kGMA_24_0"/>
      <w:bookmarkStart w:id="2580" w:name="Tc_kYUP2tWtQUmS_aCodpgGAQ_23_2"/>
      <w:bookmarkStart w:id="2581" w:name="Tc_kwhemnrsLkmVGSW1JM-UBQ_23_0"/>
      <w:bookmarkStart w:id="2582" w:name="Tc_MeCatNfzhECQCyJXq4s0jw_22_6"/>
      <w:bookmarkStart w:id="2583" w:name="Tc_-L_BYf_OIkuR3GfHoYMw4g_22_2"/>
      <w:bookmarkStart w:id="2584" w:name="Tc_caEqheMRtkKqH8Ch8DOzXw_22_0"/>
      <w:bookmarkStart w:id="2585" w:name="Tc_0R0YbCrk9ky2Y_5wcNVrhg_21_6"/>
      <w:bookmarkStart w:id="2586" w:name="Tc_A5azqFvNMUa-RHz0xYNQWg_21_2"/>
      <w:bookmarkStart w:id="2587" w:name="Tc_B6t_5zQPMUiwbUehCUkbRw_21_0"/>
      <w:bookmarkStart w:id="2588" w:name="Tc_4IoyIYbx7kGHjgbCgcegZQ_20_4"/>
      <w:bookmarkStart w:id="2589" w:name="Tc_hd-EU3oISkKxYjTGZGnw0A_20_2"/>
      <w:bookmarkStart w:id="2590" w:name="Tc_CI20UTlDm0-dP2iCkWe6gQ_20_0"/>
      <w:bookmarkStart w:id="2591" w:name="Tc_OxfKiKQx4kybuu66rwdnyg_19_6"/>
      <w:bookmarkStart w:id="2592" w:name="Tc_9gfiUUmD8UeglDs-3GC_6A_19_2"/>
      <w:bookmarkStart w:id="2593" w:name="Tc_RnQWGhT3t0ya-lJJji_ZFQ_19_0"/>
      <w:bookmarkStart w:id="2594" w:name="Tc_bG8bapSC-0eh6sWPPQjIVQ_18_2"/>
      <w:bookmarkStart w:id="2595" w:name="Tc_kW1JuILcN02O6oZXuWx0dg_18_0"/>
      <w:bookmarkStart w:id="2596" w:name="Tc_ubwbtmlaikiulsVAx_AOvg_17_6"/>
      <w:bookmarkStart w:id="2597" w:name="Tc_KVFcqr-0Rk2g7OMVPcyApA_17_4"/>
      <w:bookmarkStart w:id="2598" w:name="Tc_hCWYLhuMF0-icA-Y00HRsg_17_0"/>
      <w:bookmarkStart w:id="2599" w:name="Tc_dYjfOmymokyQOjUThM-Beg_16_0"/>
      <w:bookmarkStart w:id="2600" w:name="Tc_t6Rnc2lWyUuxnW8iprSrBw_15_0"/>
      <w:bookmarkStart w:id="2601" w:name="Tc_c43nhbbSNUKGCHjSnQnRiw_13_6"/>
      <w:bookmarkStart w:id="2602" w:name="Tc_N5YidvpnhU-MmJmpu_IvhQ_13_0"/>
      <w:bookmarkStart w:id="2603" w:name="Tc_SSuWpkc0bEuQQLOPbtBO9Q_12_6"/>
      <w:bookmarkStart w:id="2604" w:name="Tc_XiC6FNQBaEW5Dtw0cd0mhw_12_4"/>
      <w:bookmarkStart w:id="2605" w:name="Tc_MkYeIG7woU6dRFlEbJMvSg_12_0"/>
      <w:bookmarkStart w:id="2606" w:name="Tc_GBKPwV_f0keyQghrN94meA_11_6"/>
      <w:bookmarkStart w:id="2607" w:name="Tc_5vZauFaugke_ZzQiWUL2DQ_11_4"/>
      <w:bookmarkStart w:id="2608" w:name="Tc_cBNVKkmpw0C3hi_pbJ3g9Q_11_0"/>
      <w:bookmarkStart w:id="2609" w:name="Tc_GMWIue3pLUO4zL1LT3RgiQ_10_6"/>
      <w:bookmarkStart w:id="2610" w:name="Tc_xOUGMPpWC02bRpH-NFFrpg_10_2"/>
      <w:bookmarkStart w:id="2611" w:name="Tc_S7-varb7Q0-YwjVfO5Cpbw_10_0"/>
      <w:bookmarkStart w:id="2612" w:name="Tc_DaxWmnJYL0aE3LpWNQ_dqQ_9_6"/>
      <w:bookmarkStart w:id="2613" w:name="Tc_5HcB0Gi8ZUiY5nWH22rK5w_9_2"/>
      <w:bookmarkStart w:id="2614" w:name="Tc_SjFLNtgjpU2NO-hIFHMetg_9_0"/>
      <w:bookmarkStart w:id="2615" w:name="Tc_zKxjYfYASkatgeCcof4YHw_8_6"/>
      <w:bookmarkStart w:id="2616" w:name="Tc_rm_576FCP0q--bCP3vHOUw_8_4"/>
      <w:bookmarkStart w:id="2617" w:name="Tc_e_vUVKy8SUeG8PtcaqlmDw_8_0"/>
      <w:bookmarkStart w:id="2618" w:name="Tc_Nmtmi-CxfEqfBwQRJgjhIw_7_0"/>
      <w:bookmarkStart w:id="2619" w:name="Tc_YBHVRTAe3E-TwpSZLCAATQ_6_6"/>
      <w:bookmarkStart w:id="2620" w:name="Tc_1hoYMHXbYke6bEK9KcMm4g_6_0"/>
      <w:bookmarkStart w:id="2621" w:name="Tc_ctvVnSNlzU6DJbj6uBW6CA_5_6"/>
      <w:bookmarkStart w:id="2622" w:name="Tc_g86-uL9K50GBeFRSS6rFoA_5_4"/>
      <w:bookmarkStart w:id="2623" w:name="Tc_aT0rB8AZg0iPke2tEB7MtA_5_0"/>
      <w:bookmarkStart w:id="2624" w:name="Tc_rU2BZE2pkEeEGgLn_SnjoQ_4_4"/>
      <w:bookmarkStart w:id="2625" w:name="Tc_hIU4M4tDl0uBfMXVNIteig_4_2"/>
      <w:bookmarkStart w:id="2626" w:name="Tc_fTo2Mf-6TE2c6AAb-ij7pg_3_8"/>
      <w:bookmarkStart w:id="2627" w:name="Tc_djo9wh65PUWtlLIIVTYlFw_3_6"/>
      <w:bookmarkStart w:id="2628" w:name="Tc_9TxEArlPJESnT0hztjxbFA_3_4"/>
      <w:bookmarkStart w:id="2629" w:name="Tc_5lFJyyt000qUwgzXZM0cVQ_3_2"/>
      <w:bookmarkStart w:id="2630" w:name="Tc_WmX3__LfX02PA1JcQONeBg_2_6"/>
      <w:bookmarkStart w:id="2631" w:name="Tc_60dmQsjktESc-7c3UY_CtQ_2_4"/>
      <w:bookmarkStart w:id="2632" w:name="Tc_5D9BSDzqW0a8aJBgTs0f6Q_2_2"/>
      <w:bookmarkStart w:id="2633" w:name="Tc_Qq_wKEPFGkm7JchRZMjP7A_1_2"/>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r>
        <w:rPr>
          <w:rFonts w:ascii="Times New Roman;Times;serif" w:hAnsi="Times New Roman;Times;serif"/>
          <w:b/>
          <w:i w:val="false"/>
          <w:caps w:val="false"/>
          <w:smallCaps w:val="false"/>
          <w:sz w:val="20"/>
        </w:rPr>
        <w:t>30.</w:t>
      </w:r>
      <w:r>
        <w:rPr>
          <w:rFonts w:ascii="Times New Roman;Times;serif" w:hAnsi="Times New Roman;Times;serif"/>
          <w:b/>
          <w:sz w:val="20"/>
        </w:rPr>
        <w:t>Cash flows information (Continued)</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Reconciliation of net liabilities arising from financing activities:</w:t>
      </w:r>
    </w:p>
    <w:p>
      <w:pPr>
        <w:pStyle w:val="TextBody"/>
        <w:bidi w:val="0"/>
        <w:spacing w:before="0" w:after="240"/>
        <w:ind w:left="720" w:right="0" w:hanging="0"/>
        <w:jc w:val="both"/>
        <w:rPr/>
      </w:pPr>
      <w:r>
        <w:rPr/>
        <w:t>​</w:t>
      </w:r>
    </w:p>
    <w:tbl>
      <w:tblPr>
        <w:tblW w:w="9624" w:type="dxa"/>
        <w:jc w:val="left"/>
        <w:tblInd w:w="0" w:type="dxa"/>
        <w:tblLayout w:type="fixed"/>
        <w:tblCellMar>
          <w:top w:w="0" w:type="dxa"/>
          <w:left w:w="0" w:type="dxa"/>
          <w:bottom w:w="0" w:type="dxa"/>
          <w:right w:w="0" w:type="dxa"/>
        </w:tblCellMar>
      </w:tblPr>
      <w:tblGrid>
        <w:gridCol w:w="4576"/>
        <w:gridCol w:w="346"/>
        <w:gridCol w:w="1096"/>
        <w:gridCol w:w="346"/>
        <w:gridCol w:w="796"/>
        <w:gridCol w:w="346"/>
        <w:gridCol w:w="931"/>
        <w:gridCol w:w="346"/>
        <w:gridCol w:w="841"/>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905760" cy="175260"/>
                      <wp:effectExtent l="0" t="0" r="0" b="0"/>
                      <wp:wrapNone/>
                      <wp:docPr id="637" name="Frame634"/>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19710" cy="175260"/>
                      <wp:effectExtent l="0" t="0" r="0" b="0"/>
                      <wp:wrapNone/>
                      <wp:docPr id="638" name="Frame6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5960" cy="175260"/>
                      <wp:effectExtent l="0" t="0" r="0" b="0"/>
                      <wp:wrapNone/>
                      <wp:docPr id="639" name="Frame63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19710" cy="175260"/>
                      <wp:effectExtent l="0" t="0" r="0" b="0"/>
                      <wp:wrapNone/>
                      <wp:docPr id="640" name="Frame6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505460" cy="175260"/>
                      <wp:effectExtent l="0" t="0" r="0" b="0"/>
                      <wp:wrapNone/>
                      <wp:docPr id="641" name="Frame6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19710" cy="175260"/>
                      <wp:effectExtent l="0" t="0" r="0" b="0"/>
                      <wp:wrapNone/>
                      <wp:docPr id="642" name="Frame6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591185" cy="175260"/>
                      <wp:effectExtent l="0" t="0" r="0" b="0"/>
                      <wp:wrapNone/>
                      <wp:docPr id="643" name="Frame6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19710" cy="175260"/>
                      <wp:effectExtent l="0" t="0" r="0" b="0"/>
                      <wp:wrapNone/>
                      <wp:docPr id="644" name="Frame6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534035" cy="175260"/>
                      <wp:effectExtent l="0" t="0" r="0" b="0"/>
                      <wp:wrapNone/>
                      <wp:docPr id="645" name="Frame6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Amounts due </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related</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Bank</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parties </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borrowings</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31)</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20)</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At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26,875</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2,934</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transactions: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Movement in digital assets</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9,270</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9,270</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Additions of leased assets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Interest expense</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Waiver of related party balances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(47,106)</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(47,106)</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Unrealized fair value loss</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18,007</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9,980</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10,695</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transactions: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Movement in digital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28,394</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28,394</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Business combination – merger transaction (Note 5.1)</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1,938</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3,616</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Transfer to liabilities held for sale</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Disposal of discontinued operations</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Additions of leased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Lease modification</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Waiver of related party balances</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Unrealized fair value loss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Foreign exchange</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48,031</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1,589</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49,620</w:t>
            </w:r>
          </w:p>
        </w:tc>
      </w:tr>
    </w:tbl>
    <w:p>
      <w:pPr>
        <w:pStyle w:val="TextBody"/>
        <w:bidi w:val="0"/>
        <w:spacing w:before="0" w:after="240"/>
        <w:ind w:left="72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Major non-cash transactions</w:t>
      </w:r>
    </w:p>
    <w:p>
      <w:pPr>
        <w:pStyle w:val="TextBody"/>
        <w:bidi w:val="0"/>
        <w:spacing w:before="0" w:after="240"/>
        <w:ind w:left="720" w:right="0" w:hanging="0"/>
        <w:jc w:val="both"/>
        <w:rPr/>
      </w:pPr>
      <w:r>
        <w:rPr/>
        <w:t>​</w:t>
      </w:r>
    </w:p>
    <w:tbl>
      <w:tblPr>
        <w:tblW w:w="8206" w:type="dxa"/>
        <w:jc w:val="left"/>
        <w:tblInd w:w="0" w:type="dxa"/>
        <w:tblLayout w:type="fixed"/>
        <w:tblCellMar>
          <w:top w:w="0" w:type="dxa"/>
          <w:left w:w="0" w:type="dxa"/>
          <w:bottom w:w="0" w:type="dxa"/>
          <w:right w:w="0" w:type="dxa"/>
        </w:tblCellMar>
      </w:tblPr>
      <w:tblGrid>
        <w:gridCol w:w="5236"/>
        <w:gridCol w:w="346"/>
        <w:gridCol w:w="478"/>
        <w:gridCol w:w="355"/>
        <w:gridCol w:w="693"/>
        <w:gridCol w:w="355"/>
        <w:gridCol w:w="743"/>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3324860" cy="175260"/>
                      <wp:effectExtent l="0" t="0" r="0" b="0"/>
                      <wp:wrapNone/>
                      <wp:docPr id="646" name="Frame643"/>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19710" cy="175260"/>
                      <wp:effectExtent l="0" t="0" r="0" b="0"/>
                      <wp:wrapNone/>
                      <wp:docPr id="647" name="Frame6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303530" cy="175260"/>
                      <wp:effectExtent l="0" t="0" r="0" b="0"/>
                      <wp:wrapNone/>
                      <wp:docPr id="648" name="Frame645"/>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225425" cy="175260"/>
                      <wp:effectExtent l="0" t="0" r="0" b="0"/>
                      <wp:wrapNone/>
                      <wp:docPr id="649" name="Frame64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440055" cy="175260"/>
                      <wp:effectExtent l="0" t="0" r="0" b="0"/>
                      <wp:wrapNone/>
                      <wp:docPr id="650" name="Frame647"/>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225425" cy="175260"/>
                      <wp:effectExtent l="0" t="0" r="0" b="0"/>
                      <wp:wrapNone/>
                      <wp:docPr id="651" name="Frame64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471805" cy="175260"/>
                      <wp:effectExtent l="0" t="0" r="0" b="0"/>
                      <wp:wrapNone/>
                      <wp:docPr id="652" name="Frame64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1"/>
              <w:ind w:left="0" w:right="0" w:hanging="0"/>
              <w:jc w:val="left"/>
              <w:rPr/>
            </w:pPr>
            <w:r>
              <w:rPr/>
              <w:t>  ​ ​ ​</w:t>
            </w:r>
          </w:p>
        </w:tc>
        <w:tc>
          <w:tcPr>
            <w:tcW w:w="6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5" w:type="dxa"/>
            <w:tcBorders/>
            <w:vAlign w:val="center"/>
          </w:tcPr>
          <w:p>
            <w:pPr>
              <w:pStyle w:val="TableContents"/>
              <w:bidi w:val="0"/>
              <w:spacing w:before="0" w:after="1"/>
              <w:ind w:left="0" w:right="0" w:hanging="0"/>
              <w:jc w:val="left"/>
              <w:rPr/>
            </w:pPr>
            <w:r>
              <w:rPr/>
              <w:t>  ​ ​ ​</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for business combination (Note 5.1)</w:t>
            </w:r>
          </w:p>
        </w:tc>
        <w:tc>
          <w:tcPr>
            <w:tcW w:w="346" w:type="dxa"/>
            <w:tcBorders/>
            <w:shd w:fill="CCEEFF" w:val="clear"/>
            <w:vAlign w:val="center"/>
          </w:tcPr>
          <w:p>
            <w:pPr>
              <w:pStyle w:val="TableContents"/>
              <w:bidi w:val="0"/>
              <w:spacing w:before="0" w:after="1"/>
              <w:ind w:left="0" w:right="0" w:hanging="0"/>
              <w:jc w:val="left"/>
              <w:rPr/>
            </w:pPr>
            <w:r>
              <w:rPr/>
              <w:t>​</w:t>
            </w:r>
          </w:p>
        </w:tc>
        <w:tc>
          <w:tcPr>
            <w:tcW w:w="478" w:type="dxa"/>
            <w:tcBorders/>
            <w:shd w:fill="CCEEFF" w:val="clear"/>
            <w:vAlign w:val="center"/>
          </w:tcPr>
          <w:p>
            <w:pPr>
              <w:pStyle w:val="TableContents"/>
              <w:bidi w:val="0"/>
              <w:spacing w:before="0" w:after="1"/>
              <w:ind w:left="0" w:right="0" w:hanging="0"/>
              <w:jc w:val="righ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693" w:type="dxa"/>
            <w:tcBorders/>
            <w:shd w:fill="CCEEFF" w:val="clear"/>
            <w:vAlign w:val="center"/>
          </w:tcPr>
          <w:p>
            <w:pPr>
              <w:pStyle w:val="TableContents"/>
              <w:bidi w:val="0"/>
              <w:spacing w:before="0" w:after="1"/>
              <w:ind w:left="0" w:right="0" w:hanging="0"/>
              <w:jc w:val="righ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52,102</w:t>
            </w:r>
          </w:p>
        </w:tc>
      </w:tr>
      <w:tr>
        <w:trPr/>
        <w:tc>
          <w:tcPr>
            <w:tcW w:w="5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Waiver of related party balances</w:t>
            </w:r>
          </w:p>
        </w:tc>
        <w:tc>
          <w:tcPr>
            <w:tcW w:w="346" w:type="dxa"/>
            <w:tcBorders/>
            <w:vAlign w:val="center"/>
          </w:tcPr>
          <w:p>
            <w:pPr>
              <w:pStyle w:val="TableContents"/>
              <w:bidi w:val="0"/>
              <w:spacing w:before="0" w:after="1"/>
              <w:ind w:left="0" w:right="0" w:hanging="0"/>
              <w:jc w:val="left"/>
              <w:rPr/>
            </w:pPr>
            <w:r>
              <w:rPr/>
              <w:t> </w:t>
            </w:r>
          </w:p>
        </w:tc>
        <w:tc>
          <w:tcPr>
            <w:tcW w:w="478" w:type="dxa"/>
            <w:tcBorders/>
            <w:vAlign w:val="center"/>
          </w:tcPr>
          <w:p>
            <w:pPr>
              <w:pStyle w:val="TableContents"/>
              <w:bidi w:val="0"/>
              <w:spacing w:before="0" w:after="1"/>
              <w:ind w:left="0" w:right="0" w:hanging="0"/>
              <w:jc w:val="right"/>
              <w:rPr/>
            </w:pPr>
            <w:r>
              <w:rPr/>
              <w:t>—</w:t>
            </w:r>
          </w:p>
        </w:tc>
        <w:tc>
          <w:tcPr>
            <w:tcW w:w="355" w:type="dxa"/>
            <w:tcBorders/>
            <w:vAlign w:val="center"/>
          </w:tcPr>
          <w:p>
            <w:pPr>
              <w:pStyle w:val="TableContents"/>
              <w:bidi w:val="0"/>
              <w:spacing w:before="0" w:after="1"/>
              <w:ind w:left="0" w:right="0" w:hanging="0"/>
              <w:jc w:val="left"/>
              <w:rPr/>
            </w:pPr>
            <w:r>
              <w:rPr/>
              <w:t> </w:t>
            </w:r>
          </w:p>
        </w:tc>
        <w:tc>
          <w:tcPr>
            <w:tcW w:w="6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47,106</w:t>
            </w:r>
          </w:p>
        </w:tc>
        <w:tc>
          <w:tcPr>
            <w:tcW w:w="355"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948</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bookmarkStart w:id="2634" w:name="_6y56d1zhhkha"/>
      <w:bookmarkEnd w:id="2634"/>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Group’s relationships with related parties who had transaction with the Group are summarized as follows:</w:t>
      </w:r>
    </w:p>
    <w:p>
      <w:pPr>
        <w:pStyle w:val="TextBody"/>
        <w:bidi w:val="0"/>
        <w:spacing w:before="0" w:after="0"/>
        <w:ind w:left="0" w:right="0" w:hanging="0"/>
        <w:jc w:val="left"/>
        <w:rPr/>
      </w:pPr>
      <w:r>
        <w:rPr/>
        <w:t>​</w:t>
      </w:r>
    </w:p>
    <w:tbl>
      <w:tblPr>
        <w:tblW w:w="6678" w:type="dxa"/>
        <w:jc w:val="left"/>
        <w:tblInd w:w="0" w:type="dxa"/>
        <w:tblLayout w:type="fixed"/>
        <w:tblCellMar>
          <w:top w:w="0" w:type="dxa"/>
          <w:left w:w="0" w:type="dxa"/>
          <w:bottom w:w="0" w:type="dxa"/>
          <w:right w:w="0" w:type="dxa"/>
        </w:tblCellMar>
      </w:tblPr>
      <w:tblGrid>
        <w:gridCol w:w="4066"/>
        <w:gridCol w:w="346"/>
        <w:gridCol w:w="226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581910" cy="29210"/>
                      <wp:effectExtent l="0" t="0" r="0" b="0"/>
                      <wp:wrapNone/>
                      <wp:docPr id="653" name="Frame650"/>
                      <a:graphic xmlns:a="http://schemas.openxmlformats.org/drawingml/2006/main">
                        <a:graphicData uri="http://schemas.microsoft.com/office/word/2010/wordprocessingShape">
                          <wps:wsp>
                            <wps:cNvSpPr txBox="1"/>
                            <wps:spPr>
                              <a:xfrm>
                                <a:off x="0" y="0"/>
                                <a:ext cx="2581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438910" cy="29210"/>
                      <wp:effectExtent l="0" t="0" r="0" b="0"/>
                      <wp:wrapNone/>
                      <wp:docPr id="654" name="Frame651"/>
                      <a:graphic xmlns:a="http://schemas.openxmlformats.org/drawingml/2006/main">
                        <a:graphicData uri="http://schemas.microsoft.com/office/word/2010/wordprocessingShape">
                          <wps:wsp>
                            <wps:cNvSpPr txBox="1"/>
                            <wps:spPr>
                              <a:xfrm>
                                <a:off x="0" y="0"/>
                                <a:ext cx="1438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06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Related parties</w:t>
            </w:r>
          </w:p>
        </w:tc>
        <w:tc>
          <w:tcPr>
            <w:tcW w:w="346" w:type="dxa"/>
            <w:tcBorders/>
            <w:vAlign w:val="center"/>
          </w:tcPr>
          <w:p>
            <w:pPr>
              <w:pStyle w:val="TableContents"/>
              <w:bidi w:val="0"/>
              <w:spacing w:lineRule="auto" w:line="328" w:before="0" w:after="0"/>
              <w:ind w:left="0" w:right="0" w:hanging="0"/>
              <w:jc w:val="left"/>
              <w:rPr/>
            </w:pPr>
            <w:r>
              <w:rPr/>
              <w:t>  ​ ​ ​</w:t>
            </w:r>
          </w:p>
        </w:tc>
        <w:tc>
          <w:tcPr>
            <w:tcW w:w="2266"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b/>
                <w:sz w:val="16"/>
              </w:rPr>
            </w:pPr>
            <w:r>
              <w:rPr>
                <w:rFonts w:ascii="Times New Roman;Times;serif" w:hAnsi="Times New Roman;Times;serif"/>
                <w:b/>
                <w:sz w:val="16"/>
              </w:rPr>
              <w:t>Relationship to the Company</w:t>
            </w:r>
          </w:p>
        </w:tc>
      </w:tr>
      <w:tr>
        <w:trPr/>
        <w:tc>
          <w:tcPr>
            <w:tcW w:w="40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top w:val="single" w:sz="2" w:space="0" w:color="000000"/>
            </w:tcBorders>
            <w:shd w:fill="CCEEFF" w:val="clear"/>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AM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Vault AUS Pty. Ltd.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North America Ltd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WhaleFin Markets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Custodian Services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Gamma Digital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Mega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Macro Holding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Rigsec Technology Holding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Services NA, LLC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AAC Global Holding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Global Alpha Fund Management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ALIR Limited</w:t>
            </w:r>
          </w:p>
        </w:tc>
        <w:tc>
          <w:tcPr>
            <w:tcW w:w="346" w:type="dxa"/>
            <w:tcBorders/>
            <w:vAlign w:val="center"/>
          </w:tcPr>
          <w:p>
            <w:pPr>
              <w:pStyle w:val="TableContents"/>
              <w:bidi w:val="0"/>
              <w:spacing w:lineRule="auto" w:line="328" w:before="0" w:after="0"/>
              <w:ind w:left="0" w:right="0" w:hanging="0"/>
              <w:jc w:val="left"/>
              <w:rPr/>
            </w:pPr>
            <w:r>
              <w:rPr/>
              <w:t>​</w:t>
            </w:r>
          </w:p>
        </w:tc>
        <w:tc>
          <w:tcPr>
            <w:tcW w:w="226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r>
        <w:trPr/>
        <w:tc>
          <w:tcPr>
            <w:tcW w:w="40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shd w:fill="CCEEFF" w:val="clear"/>
            <w:vAlign w:val="center"/>
          </w:tcPr>
          <w:p>
            <w:pPr>
              <w:pStyle w:val="TableContents"/>
              <w:bidi w:val="0"/>
              <w:spacing w:lineRule="auto" w:line="328" w:before="0" w:after="0"/>
              <w:ind w:left="0" w:right="0" w:hanging="0"/>
              <w:jc w:val="left"/>
              <w:rPr/>
            </w:pPr>
            <w:r>
              <w:rPr/>
              <w:t>​</w:t>
            </w:r>
          </w:p>
        </w:tc>
        <w:tc>
          <w:tcPr>
            <w:tcW w:w="2266" w:type="dxa"/>
            <w:tcBorders/>
            <w:shd w:fill="CCEEFF" w:val="cle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Affiliate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160"/>
        <w:ind w:left="0" w:right="0" w:hanging="0"/>
        <w:jc w:val="left"/>
        <w:rPr>
          <w:rFonts w:ascii="Times New Roman;Times;serif" w:hAnsi="Times New Roman;Times;serif"/>
          <w:sz w:val="20"/>
        </w:rPr>
      </w:pPr>
      <w:bookmarkStart w:id="2635" w:name="Tc_p3YVTtAhlESxT7XcV_jlZg_51_2"/>
      <w:bookmarkStart w:id="2636" w:name="Tc_tCMLxwenXUO9wjng2S-UkQ_51_0"/>
      <w:bookmarkStart w:id="2637" w:name="Tc_h0ocJ5-gh0q3dYgnMhoVZA_50_0"/>
      <w:bookmarkStart w:id="2638" w:name="Tc_Bh7Xeqc1RU2-oVHet2kB_g_48_4"/>
      <w:bookmarkStart w:id="2639" w:name="Tc_tzr3LbttnE-2xev2T6ZfYQ_48_2"/>
      <w:bookmarkStart w:id="2640" w:name="Tc_vGzYnyErRE6T6cOynXJ7WA_48_0"/>
      <w:bookmarkStart w:id="2641" w:name="Tc_3JGiwdu07UmsLjUVvegqtg_47_0"/>
      <w:bookmarkStart w:id="2642" w:name="Tc_NCI_GDMGRUePLLeoKpUolA_45_2"/>
      <w:bookmarkStart w:id="2643" w:name="Tc_ukDk3MUIBkePC2YhOi9QEQ_45_0"/>
      <w:bookmarkStart w:id="2644" w:name="Tc_IyWrtkowOUi3XBgUONsf2Q_44_0"/>
      <w:bookmarkStart w:id="2645" w:name="Tc__gU12yrwz0qdWIDvUCZpcQ_42_6"/>
      <w:bookmarkStart w:id="2646" w:name="Tc_55JveWyFoEunYuVgvoFvDA_42_4"/>
      <w:bookmarkStart w:id="2647" w:name="Tc_oyMKfcCP6E2pw-R1YGLYpw_42_0"/>
      <w:bookmarkStart w:id="2648" w:name="Tc_WpRGf4SvXUq3cfYmZEV20A_41_6"/>
      <w:bookmarkStart w:id="2649" w:name="Tc_DnRVrT0ePEumGPBbkV-1pA_41_0"/>
      <w:bookmarkStart w:id="2650" w:name="Tc_dOCDS_oi_Ui3KQENCKzmeg_40_0"/>
      <w:bookmarkStart w:id="2651" w:name="Tc_L2Yu6d6bIky8SC-PA1R8-Q_38_4"/>
      <w:bookmarkStart w:id="2652" w:name="Tc_W9LdrRgV-EOTgZGuwMlNhw_38_2"/>
      <w:bookmarkStart w:id="2653" w:name="Tc_85NNqnX4uk-hYtQndQx-DQ_38_0"/>
      <w:bookmarkStart w:id="2654" w:name="Tc_sO930-OMtk6pSODdCsyBqQ_37_4"/>
      <w:bookmarkStart w:id="2655" w:name="Tc_xsDtmjwEw06n6VJRRXNG7Q_37_2"/>
      <w:bookmarkStart w:id="2656" w:name="Tc_k__asQ9NB0W2xsk7DVrQJA_37_0"/>
      <w:bookmarkStart w:id="2657" w:name="Tc_VPtsoeeQLUSzG2RnBqyyCQ_36_4"/>
      <w:bookmarkStart w:id="2658" w:name="Tc_ypuNqIrwWkespN6K9g-t8Q_36_2"/>
      <w:bookmarkStart w:id="2659" w:name="Tc_8C7sqY72i02ANnsxclp2wA_36_0"/>
      <w:bookmarkStart w:id="2660" w:name="Tc_oJ9ih_s01UqF5Kxn2INiDQ_35_4"/>
      <w:bookmarkStart w:id="2661" w:name="Tc_1irR8C_yzkql9a8rPcIqUQ_35_2"/>
      <w:bookmarkStart w:id="2662" w:name="Tc_bCTrpR1IYEinIPDzPcHSYQ_35_0"/>
      <w:bookmarkStart w:id="2663" w:name="Tc_mashcdiPn0CVx_LK1FDL1w_34_4"/>
      <w:bookmarkStart w:id="2664" w:name="Tc_cwCyBkmB4ki5Pdr8OmhZGQ_34_2"/>
      <w:bookmarkStart w:id="2665" w:name="Tc_vOyknU1c0keYX5pnx9OxMQ_34_0"/>
      <w:bookmarkStart w:id="2666" w:name="Tc_hw1GWoD8o02nXKHRrJrW1A_33_4"/>
      <w:bookmarkStart w:id="2667" w:name="Tc_73eRLrt3C0eorOM9acN4DA_33_2"/>
      <w:bookmarkStart w:id="2668" w:name="Tc_IRVR4hY9YEmNCz1ER-hvHw_33_0"/>
      <w:bookmarkStart w:id="2669" w:name="Tc_EFLyzq9XkkGdu7P1J3pkrg_32_6"/>
      <w:bookmarkStart w:id="2670" w:name="Tc_1jxY8GJCikCmBQPPmdjduQ_32_4"/>
      <w:bookmarkStart w:id="2671" w:name="Tc_2O9dCFeh5k2OtzjYiugPPg_32_0"/>
      <w:bookmarkStart w:id="2672" w:name="Tc_IWyaajYvh0SFEPDcORZmCw_31_2"/>
      <w:bookmarkStart w:id="2673" w:name="Tc_Rzwzt1mTY0i7VXRfyZP4_A_31_0"/>
      <w:bookmarkStart w:id="2674" w:name="Tc_j2zkB4XdHEShNJo2B_nt-Q_30_0"/>
      <w:bookmarkStart w:id="2675" w:name="Tc_5BQfWxES_kGK0pl0aD9J8A_28_4"/>
      <w:bookmarkStart w:id="2676" w:name="Tc_GnP6j7UD6U-h2rrs9-ht6w_28_2"/>
      <w:bookmarkStart w:id="2677" w:name="Tc_H9xKoTsJ9EOQHxlyqjUJgg_28_0"/>
      <w:bookmarkStart w:id="2678" w:name="Tc_Pt35VGKGMUCCottKSvvzZA_27_4"/>
      <w:bookmarkStart w:id="2679" w:name="Tc_y8GK6oZ8jEColxwd4fXm2A_27_2"/>
      <w:bookmarkStart w:id="2680" w:name="Tc_pFO6X9xr90Whz1uzpIOh8w_27_0"/>
      <w:bookmarkStart w:id="2681" w:name="Tc_RWK_e2aTrU-Mx3O0ty5FhQ_26_2"/>
      <w:bookmarkStart w:id="2682" w:name="Tc_6UHyXXZxvkO5m0EzkGHsvw_26_0"/>
      <w:bookmarkStart w:id="2683" w:name="Tc_jjkd61_gzEaQVh-6bjYbCw_25_2"/>
      <w:bookmarkStart w:id="2684" w:name="Tc_sBQt3u5QmUW2DOzIP4Z96A_25_0"/>
      <w:bookmarkStart w:id="2685" w:name="Tc_FBEtijAS6EKcMSCfi8G8Lw_24_0"/>
      <w:bookmarkStart w:id="2686" w:name="Tc_Dn9GcjWjj0uR9ncvOlMnsA_22_6"/>
      <w:bookmarkStart w:id="2687" w:name="Tc_foZJHj0FmkOG221ceGMJig_22_4"/>
      <w:bookmarkStart w:id="2688" w:name="Tc_ZpXx1aY8O0qoSZkCHWAkvA_22_0"/>
      <w:bookmarkStart w:id="2689" w:name="Tc_tTp_fIWtaEujKw6NF5WqgQ_21_4"/>
      <w:bookmarkStart w:id="2690" w:name="Tc_ubjoAFElSEygNOR7hO3Prg_21_2"/>
      <w:bookmarkStart w:id="2691" w:name="Tc_VJos5NSPWkO8EuEfmdXn3g_21_0"/>
      <w:bookmarkStart w:id="2692" w:name="Tc_98YAm0oGQkGL5chZczxFmA_20_4"/>
      <w:bookmarkStart w:id="2693" w:name="Tc_VbwPwOivf0esiqiTcGHUyQ_20_2"/>
      <w:bookmarkStart w:id="2694" w:name="Tc_Y1L6nGUnnkCT-_QzJWRjlQ_20_0"/>
      <w:bookmarkStart w:id="2695" w:name="Tc_PyMt3duvy0i3moX9Pnjt-A_19_0"/>
      <w:bookmarkStart w:id="2696" w:name="Tc_d0W6cL78D0SEbqsD7jy-xQ_18_6"/>
      <w:bookmarkStart w:id="2697" w:name="Tc_bA_zKlmnq0uzo6RFf0WDQw_18_0"/>
      <w:bookmarkStart w:id="2698" w:name="Tc_II30RVZ0CUel0FtRMSuEQw_17_0"/>
      <w:bookmarkStart w:id="2699" w:name="Tc_Vi15GjybiU67xShwaQKzYA_14_2"/>
      <w:bookmarkStart w:id="2700" w:name="Tc_rhuA_mEejUKgjjbwvVJhxg_14_0"/>
      <w:bookmarkStart w:id="2701" w:name="Tc_toYmCCRLRE2LbT7DnWBLEw_13_6"/>
      <w:bookmarkStart w:id="2702" w:name="Tc_ixTGF1bsgUaOpYWIT3yzXA_13_0"/>
      <w:bookmarkStart w:id="2703" w:name="Tc_ZXEXXYwLV0ioC_QsvF5J9Q_12_4"/>
      <w:bookmarkStart w:id="2704" w:name="Tc_qw1rPqeITEikwMpSUphdOw_12_2"/>
      <w:bookmarkStart w:id="2705" w:name="Tc_BLKkKeMLLU-sZ5NCjKBuPw_12_0"/>
      <w:bookmarkStart w:id="2706" w:name="Tc_UU9kLP7mlUSThk89B3gvgQ_11_4"/>
      <w:bookmarkStart w:id="2707" w:name="Tc_7mS45Z4N6E2pfS0Uc7tBcw_11_2"/>
      <w:bookmarkStart w:id="2708" w:name="Tc_7Fb0mxkii0mrkP_XoNoY3w_11_0"/>
      <w:bookmarkStart w:id="2709" w:name="Tc_4_05hpZnakiKY-R3o67IrQ_10_4"/>
      <w:bookmarkStart w:id="2710" w:name="Tc_AwTYWNq_EkG23Nu0pCqWmw_10_2"/>
      <w:bookmarkStart w:id="2711" w:name="Tc_KwjQBFWat0W_eKOuSBaQTQ_10_0"/>
      <w:bookmarkStart w:id="2712" w:name="Tc_ODZliF0NzUWHaqo-qWlKIg_9_4"/>
      <w:bookmarkStart w:id="2713" w:name="Tc_xY0RCCA6oEeNQBOnI9qplg_9_2"/>
      <w:bookmarkStart w:id="2714" w:name="Tc_6nSZTAisSEiL8E0iiKHzXA_9_0"/>
      <w:bookmarkStart w:id="2715" w:name="Tc_EWsr3JWF4EKF3IBmiuceEw_8_4"/>
      <w:bookmarkStart w:id="2716" w:name="Tc_caswEc7xrkKGfu_JgsJQ_Q_8_2"/>
      <w:bookmarkStart w:id="2717" w:name="Tc_m23g0xLGhEmHTEmasOmVqQ_8_0"/>
      <w:bookmarkStart w:id="2718" w:name="Tc_Bj7wcV2_a0SsNWqiXbAABg_7_4"/>
      <w:bookmarkStart w:id="2719" w:name="Tc_lA8AwxyUz0qT_r6Y-xaQDA_7_2"/>
      <w:bookmarkStart w:id="2720" w:name="Tc_xNKrYNq3LUq9oLZDlLFRDw_7_0"/>
      <w:bookmarkStart w:id="2721" w:name="Tc_5vQ0kEaSrESdqO-9qlC29Q_6_0"/>
      <w:bookmarkStart w:id="2722" w:name="Tc_YhY12qtmokWgFyF8d6_2Kg_5_6"/>
      <w:bookmarkStart w:id="2723" w:name="Tc_1upZ671UBEmPcV3uLyYbFQ_5_4"/>
      <w:bookmarkStart w:id="2724" w:name="Tc_0QPf4rSi6kKyg0VcyKMbxg_5_0"/>
      <w:bookmarkStart w:id="2725" w:name="Tc_6ahIlDIgiUSyZvRVtOCY8w_4_0"/>
      <w:bookmarkStart w:id="2726" w:name="Tc_KRDEIJIcTEutd72RHuB1Bg_3_0"/>
      <w:bookmarkStart w:id="2727" w:name="Tc_7_8QXjK_tUqMrNKU_CpeBA_2_6"/>
      <w:bookmarkStart w:id="2728" w:name="Tc_TXQD2-cax0GlZIPF0zuyOQ_2_4"/>
      <w:bookmarkStart w:id="2729" w:name="Tc_kD-jzHvwkk6YpB1i_DFfMQ_2_2"/>
      <w:bookmarkStart w:id="2730" w:name="Tc_2CNiFmqUUUCblgcGmdx_Pw_1_2"/>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 (Continued)</w:t>
      </w:r>
    </w:p>
    <w:tbl>
      <w:tblPr>
        <w:tblW w:w="2706" w:type="dxa"/>
        <w:jc w:val="left"/>
        <w:tblInd w:w="0" w:type="dxa"/>
        <w:tblLayout w:type="fixed"/>
        <w:tblCellMar>
          <w:top w:w="0" w:type="dxa"/>
          <w:left w:w="0" w:type="dxa"/>
          <w:bottom w:w="0" w:type="dxa"/>
          <w:right w:w="0" w:type="dxa"/>
        </w:tblCellMar>
      </w:tblPr>
      <w:tblGrid>
        <w:gridCol w:w="124"/>
        <w:gridCol w:w="31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(a)</w:t>
            </w:r>
          </w:p>
        </w:tc>
        <w:tc>
          <w:tcPr>
            <w:tcW w:w="2266" w:type="dxa"/>
            <w:tcBorders/>
            <w:vAlign w:val="center"/>
          </w:tcPr>
          <w:p>
            <w:pPr>
              <w:pStyle w:val="TableContents"/>
              <w:bidi w:val="0"/>
              <w:spacing w:before="0" w:after="160"/>
              <w:jc w:val="left"/>
              <w:rPr>
                <w:rFonts w:ascii="Times New Roman;Times;serif" w:hAnsi="Times New Roman;Times;serif"/>
                <w:sz w:val="20"/>
              </w:rPr>
            </w:pPr>
            <w:r>
              <w:rPr>
                <w:rFonts w:ascii="Times New Roman;Times;serif" w:hAnsi="Times New Roman;Times;serif"/>
                <w:sz w:val="20"/>
              </w:rPr>
              <w:t>Related party transactions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In addition to the related party information disclosed elsewhere in the financial statements, the following transactions with related parties took place at terms agreed between the parties during the financial period:</w:t>
      </w:r>
    </w:p>
    <w:p>
      <w:pPr>
        <w:pStyle w:val="TextBody"/>
        <w:bidi w:val="0"/>
        <w:spacing w:before="0" w:after="240"/>
        <w:ind w:left="0" w:right="0" w:hanging="0"/>
        <w:jc w:val="both"/>
        <w:rPr/>
      </w:pPr>
      <w:r>
        <w:rPr/>
        <w:t>​</w:t>
      </w:r>
    </w:p>
    <w:tbl>
      <w:tblPr>
        <w:tblW w:w="6555" w:type="dxa"/>
        <w:jc w:val="left"/>
        <w:tblInd w:w="0" w:type="dxa"/>
        <w:tblLayout w:type="fixed"/>
        <w:tblCellMar>
          <w:top w:w="0" w:type="dxa"/>
          <w:left w:w="0" w:type="dxa"/>
          <w:bottom w:w="0" w:type="dxa"/>
          <w:right w:w="0" w:type="dxa"/>
        </w:tblCellMar>
      </w:tblPr>
      <w:tblGrid>
        <w:gridCol w:w="3586"/>
        <w:gridCol w:w="346"/>
        <w:gridCol w:w="547"/>
        <w:gridCol w:w="370"/>
        <w:gridCol w:w="644"/>
        <w:gridCol w:w="370"/>
        <w:gridCol w:w="692"/>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277110" cy="175260"/>
                      <wp:effectExtent l="0" t="0" r="0" b="0"/>
                      <wp:wrapNone/>
                      <wp:docPr id="655" name="Frame652"/>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56" name="Frame6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347345" cy="175260"/>
                      <wp:effectExtent l="0" t="0" r="0" b="0"/>
                      <wp:wrapNone/>
                      <wp:docPr id="657" name="Frame654"/>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234950" cy="175260"/>
                      <wp:effectExtent l="0" t="0" r="0" b="0"/>
                      <wp:wrapNone/>
                      <wp:docPr id="658" name="Frame65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408940" cy="175260"/>
                      <wp:effectExtent l="0" t="0" r="0" b="0"/>
                      <wp:wrapNone/>
                      <wp:docPr id="659" name="Frame656"/>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234950" cy="175260"/>
                      <wp:effectExtent l="0" t="0" r="0" b="0"/>
                      <wp:wrapNone/>
                      <wp:docPr id="660" name="Frame65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439420" cy="175260"/>
                      <wp:effectExtent l="0" t="0" r="0" b="0"/>
                      <wp:wrapNone/>
                      <wp:docPr id="661" name="Frame658"/>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0" w:type="dxa"/>
            <w:tcBorders/>
            <w:vAlign w:val="center"/>
          </w:tcPr>
          <w:p>
            <w:pPr>
              <w:pStyle w:val="TableContents"/>
              <w:bidi w:val="0"/>
              <w:spacing w:before="0" w:after="1"/>
              <w:ind w:left="0" w:right="0" w:hanging="0"/>
              <w:jc w:val="center"/>
              <w:rPr/>
            </w:pPr>
            <w:r>
              <w:rPr/>
              <w:t>  ​ ​ ​</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0" w:type="dxa"/>
            <w:tcBorders/>
            <w:vAlign w:val="center"/>
          </w:tcPr>
          <w:p>
            <w:pPr>
              <w:pStyle w:val="TableContents"/>
              <w:bidi w:val="0"/>
              <w:spacing w:before="0" w:after="1"/>
              <w:ind w:left="0" w:right="0" w:hanging="0"/>
              <w:jc w:val="center"/>
              <w:rPr/>
            </w:pPr>
            <w:r>
              <w:rPr/>
              <w:t>  ​ ​ ​</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 generated from:</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644" w:type="dxa"/>
            <w:tcBorders/>
            <w:shd w:fill="CCEEFF" w:val="clear"/>
            <w:vAlign w:val="center"/>
          </w:tcPr>
          <w:p>
            <w:pPr>
              <w:pStyle w:val="TableContents"/>
              <w:bidi w:val="0"/>
              <w:spacing w:before="0" w:after="1"/>
              <w:ind w:left="0" w:right="0" w:hanging="0"/>
              <w:jc w:val="righ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692" w:type="dxa"/>
            <w:tcBorders/>
            <w:shd w:fill="CCEEFF" w:val="clear"/>
            <w:vAlign w:val="center"/>
          </w:tcPr>
          <w:p>
            <w:pPr>
              <w:pStyle w:val="TableContents"/>
              <w:bidi w:val="0"/>
              <w:spacing w:before="0" w:after="1"/>
              <w:ind w:left="0" w:right="0" w:hanging="0"/>
              <w:jc w:val="right"/>
              <w:rPr/>
            </w:pPr>
            <w:r>
              <w:rPr/>
              <w:t>  ​</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WhaleFin Technologies Limited</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w:t>
            </w:r>
          </w:p>
        </w:tc>
        <w:tc>
          <w:tcPr>
            <w:tcW w:w="370" w:type="dxa"/>
            <w:tcBorders/>
            <w:vAlign w:val="center"/>
          </w:tcPr>
          <w:p>
            <w:pPr>
              <w:pStyle w:val="TableContents"/>
              <w:bidi w:val="0"/>
              <w:spacing w:before="0" w:after="1"/>
              <w:ind w:left="0" w:right="0" w:hanging="0"/>
              <w:jc w:val="left"/>
              <w:rPr/>
            </w:pPr>
            <w:r>
              <w:rPr/>
              <w:t> </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1,898</w:t>
            </w:r>
          </w:p>
        </w:tc>
        <w:tc>
          <w:tcPr>
            <w:tcW w:w="370" w:type="dxa"/>
            <w:tcBorders/>
            <w:vAlign w:val="center"/>
          </w:tcPr>
          <w:p>
            <w:pPr>
              <w:pStyle w:val="TableContents"/>
              <w:bidi w:val="0"/>
              <w:spacing w:before="0" w:after="1"/>
              <w:ind w:left="0" w:right="0" w:hanging="0"/>
              <w:jc w:val="left"/>
              <w:rPr/>
            </w:pPr>
            <w:r>
              <w:rPr/>
              <w:t> </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24,142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1,277</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Lead Accelerating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3,709</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8,860</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AG Global Technology Limited Inc.</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3,542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Proton Fund SPC</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4,991</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Axiom AI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Global Alpha Fund Management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ALIR Holding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Rigsec Technology Holding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Rigsec Technology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Gamma Digital Limited</w:t>
            </w:r>
          </w:p>
        </w:tc>
        <w:tc>
          <w:tcPr>
            <w:tcW w:w="346" w:type="dxa"/>
            <w:tcBorders/>
            <w:vAlign w:val="center"/>
          </w:tcPr>
          <w:p>
            <w:pPr>
              <w:pStyle w:val="TableContents"/>
              <w:bidi w:val="0"/>
              <w:spacing w:before="0" w:after="1"/>
              <w:ind w:left="0" w:right="0" w:hanging="0"/>
              <w:jc w:val="left"/>
              <w:rPr/>
            </w:pPr>
            <w:r>
              <w:rPr/>
              <w:t>​</w:t>
            </w:r>
          </w:p>
        </w:tc>
        <w:tc>
          <w:tcPr>
            <w:tcW w:w="5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70" w:type="dxa"/>
            <w:tcBorders/>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1,628</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5,637</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42,980</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revenue to:</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WhaleFin Technologies Limited</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Lead Accelerating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ALIR Holding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AI Services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Global Pte. Ltd.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Service income from:</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Service Pte. Ltd.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WhaleFin Markets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Axiom AI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AAC Global Holding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Outsourcing/support services provided by:</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North America Ltd</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1,675</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Global Pte. Ltd.</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AI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10,622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AI Services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2,960</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AM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Services NA, LLC</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ALIR Holding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Service Pte. Ltd.</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Interest expenses to:</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Global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Technologies Global Pte. Ltd.</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Service fee to:</w:t>
            </w:r>
          </w:p>
        </w:tc>
        <w:tc>
          <w:tcPr>
            <w:tcW w:w="346" w:type="dxa"/>
            <w:tcBorders/>
            <w:vAlign w:val="center"/>
          </w:tcPr>
          <w:p>
            <w:pPr>
              <w:pStyle w:val="TableContents"/>
              <w:bidi w:val="0"/>
              <w:spacing w:before="0" w:after="1"/>
              <w:ind w:left="0" w:right="0" w:hanging="0"/>
              <w:jc w:val="left"/>
              <w:rPr/>
            </w:pPr>
            <w:r>
              <w:rPr/>
              <w:t> </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Rigsec Technology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r>
      <w:tr>
        <w:trPr/>
        <w:tc>
          <w:tcPr>
            <w:tcW w:w="3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Payment on behalf:</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AI Limited</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35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Waiver of balance by:</w:t>
            </w:r>
          </w:p>
        </w:tc>
        <w:tc>
          <w:tcPr>
            <w:tcW w:w="346" w:type="dxa"/>
            <w:tcBorders/>
            <w:vAlign w:val="center"/>
          </w:tcPr>
          <w:p>
            <w:pPr>
              <w:pStyle w:val="TableContents"/>
              <w:bidi w:val="0"/>
              <w:spacing w:before="0" w:after="1"/>
              <w:ind w:left="0" w:right="0" w:hanging="0"/>
              <w:jc w:val="left"/>
              <w:rPr/>
            </w:pPr>
            <w:r>
              <w:rPr/>
              <w:t>​</w:t>
            </w:r>
          </w:p>
        </w:tc>
        <w:tc>
          <w:tcPr>
            <w:tcW w:w="547"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Amber Global Limited</w:t>
            </w:r>
          </w:p>
        </w:tc>
        <w:tc>
          <w:tcPr>
            <w:tcW w:w="346" w:type="dxa"/>
            <w:tcBorders/>
            <w:shd w:fill="CCEEFF" w:val="clear"/>
            <w:vAlign w:val="center"/>
          </w:tcPr>
          <w:p>
            <w:pPr>
              <w:pStyle w:val="TableContents"/>
              <w:bidi w:val="0"/>
              <w:spacing w:before="0" w:after="1"/>
              <w:ind w:left="0" w:right="0" w:hanging="0"/>
              <w:jc w:val="left"/>
              <w:rPr/>
            </w:pPr>
            <w:r>
              <w:rPr/>
              <w:t>​</w:t>
            </w:r>
          </w:p>
        </w:tc>
        <w:tc>
          <w:tcPr>
            <w:tcW w:w="547"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47,106</w:t>
            </w:r>
          </w:p>
        </w:tc>
        <w:tc>
          <w:tcPr>
            <w:tcW w:w="370"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948</w:t>
            </w:r>
          </w:p>
        </w:tc>
      </w:tr>
    </w:tbl>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731" w:name="Tc_VN_QeFtP7U6wfi1i9y18ag_6_2"/>
      <w:bookmarkStart w:id="2732" w:name="Tc_3m4iqZVLAEuKkhbQeWVkmA_6_0"/>
      <w:bookmarkStart w:id="2733" w:name="Tc_5iPix60HT0i1lKf772Sd_g_5_2"/>
      <w:bookmarkStart w:id="2734" w:name="Tc_cOj-aaXjzEWksdagLV1a2A_5_0"/>
      <w:bookmarkStart w:id="2735" w:name="Tc_i__Hk1a5PECIDU655esk4Q_4_0"/>
      <w:bookmarkStart w:id="2736" w:name="Tc_S1Zqk8pLPU26G6nXvYpbkQ_3_6"/>
      <w:bookmarkStart w:id="2737" w:name="Tc_tNGip6uHRU2PxSL5NDXMfg_3_4"/>
      <w:bookmarkStart w:id="2738" w:name="Tc_HZtTEX9wf0Wgf1qA4zcpEA_3_2"/>
      <w:bookmarkStart w:id="2739" w:name="Tc_Q1HrvyWJXEK7B3_LGfIC6w_2_4"/>
      <w:bookmarkStart w:id="2740" w:name="Tc_O3IbpUbl2EOtiTpzReuHWA_2_2"/>
      <w:bookmarkStart w:id="2741" w:name="Tc_mzK6yz42JkW1BvKYQpQtUw_1_2"/>
      <w:bookmarkStart w:id="2742" w:name="Tc_5jm3eUmpIEOtRSFMwj6TIA_25_6"/>
      <w:bookmarkStart w:id="2743" w:name="Tc_vtwg9J2VAEao4ztThpz0lA_25_2"/>
      <w:bookmarkStart w:id="2744" w:name="Tc_JmcprsAFT06nk3dHbzXA-w_25_0"/>
      <w:bookmarkStart w:id="2745" w:name="Tc_h8NNXgsJrUmYzxwsAefy0w_24_4"/>
      <w:bookmarkStart w:id="2746" w:name="Tc_xlCyjPpI5UGtbRcsGIakbQ_24_2"/>
      <w:bookmarkStart w:id="2747" w:name="Tc_WkiEZfthvkmkrm6ZOwFZGA_24_0"/>
      <w:bookmarkStart w:id="2748" w:name="Tc_vRkTG464PE20k7e8X4xjqw_23_4"/>
      <w:bookmarkStart w:id="2749" w:name="Tc_Mo9JRgqWI0-q4--NC9qyXQ_23_2"/>
      <w:bookmarkStart w:id="2750" w:name="Tc_4MyrCkVK_Ey5weahKOSecw_23_0"/>
      <w:bookmarkStart w:id="2751" w:name="Tc_lMuwU6KKuE6J4g4FEUlh8A_22_6"/>
      <w:bookmarkStart w:id="2752" w:name="Tc_B7TSwwZHV0OpPOvZ4BId_A_22_2"/>
      <w:bookmarkStart w:id="2753" w:name="Tc_Xb6jGUa7vUyH8H6oN8bC2g_22_0"/>
      <w:bookmarkStart w:id="2754" w:name="Tc_-rpU3t_z2kGa8jzvGqVerA_21_4"/>
      <w:bookmarkStart w:id="2755" w:name="Tc_MJXY9df0sUiLOqC9Kufy_g_21_0"/>
      <w:bookmarkStart w:id="2756" w:name="Tc_4ame66DiP06VP1NEjzHFbQ_20_2"/>
      <w:bookmarkStart w:id="2757" w:name="Tc_69gfw6xL60m5BYumqG6xuw_20_0"/>
      <w:bookmarkStart w:id="2758" w:name="Tc_o9gFqhXJ50Wbhj4qStKPNQ_19_2"/>
      <w:bookmarkStart w:id="2759" w:name="Tc_E9EbU_XA0E2SS6fLLkCIDQ_19_0"/>
      <w:bookmarkStart w:id="2760" w:name="Tc_8dEJhiVT5U-Z_yGv6-6i6Q_18_6"/>
      <w:bookmarkStart w:id="2761" w:name="Tc_bMsuwJis1UuX1yLaSYY8EA_18_2"/>
      <w:bookmarkStart w:id="2762" w:name="Tc_By0BRPi3QEuEhr3pWxaehg_18_0"/>
      <w:bookmarkStart w:id="2763" w:name="Tc_TXFPx9-qUkG3iT5IYR5h4A_17_2"/>
      <w:bookmarkStart w:id="2764" w:name="Tc_JqMwBdusH0KQQB6d1Fvgtw_17_0"/>
      <w:bookmarkStart w:id="2765" w:name="Tc_TzALDVkgf0Wp7BuL5Thn_Q_16_6"/>
      <w:bookmarkStart w:id="2766" w:name="Tc_q_froFNCzUWIF4rw1xiZuw_16_2"/>
      <w:bookmarkStart w:id="2767" w:name="Tc_xGLEZTqbE0GWPqmltaKo6w_16_0"/>
      <w:bookmarkStart w:id="2768" w:name="Tc_KSTPKYdNXEaLmFAyyrR4bw_15_6"/>
      <w:bookmarkStart w:id="2769" w:name="Tc_ebkLvckBOUepjKBermxNMQ_15_2"/>
      <w:bookmarkStart w:id="2770" w:name="Tc_9juRcdZm6kK0VErab4N7Gg_15_0"/>
      <w:bookmarkStart w:id="2771" w:name="Tc_0jHaOL8xxk-hStdoBIT_vw_14_0"/>
      <w:bookmarkStart w:id="2772" w:name="Tc_9ktb9F9OTE-lPGD3xDU3DA_12_6"/>
      <w:bookmarkStart w:id="2773" w:name="Tc_DHaz0sXIXEy7fL9dXJh8Qg_12_4"/>
      <w:bookmarkStart w:id="2774" w:name="Tc_NxziCHNlgE-n6M9BcqNn6Q_12_0"/>
      <w:bookmarkStart w:id="2775" w:name="Tc_hGnJe4cy2kSeWXcRPAKQvg_11_6"/>
      <w:bookmarkStart w:id="2776" w:name="Tc_kLphyPXvl0-0EjjsKyVTow_11_4"/>
      <w:bookmarkStart w:id="2777" w:name="Tc_U11OyrTBdUyf6h7mRmvKyg_11_0"/>
      <w:bookmarkStart w:id="2778" w:name="Tc_03v3k5jAK0Ox7wF9V9bmvw_10_4"/>
      <w:bookmarkStart w:id="2779" w:name="Tc_OQgsON81YUenoO4cL-1ecQ_10_2"/>
      <w:bookmarkStart w:id="2780" w:name="Tc_ObciBC0hukiu-5R_FYrY0g_10_0"/>
      <w:bookmarkStart w:id="2781" w:name="Tc_20dQ1qVMpk2nTnusmsxRsA_9_4"/>
      <w:bookmarkStart w:id="2782" w:name="Tc_-osb7VdOTUqqWsSm9reuoA_9_2"/>
      <w:bookmarkStart w:id="2783" w:name="Tc_LVtxep_qSUWutkYUDqXlNQ_9_0"/>
      <w:bookmarkStart w:id="2784" w:name="Tc_WIQCdhEKOEWeI9Q3CpwwSA_8_4"/>
      <w:bookmarkStart w:id="2785" w:name="Tc_oPZx_a8cIkCi3vuB5v5pHg_8_2"/>
      <w:bookmarkStart w:id="2786" w:name="Tc_uff0PQdNzEqboF6NY7Jy8w_8_0"/>
      <w:bookmarkStart w:id="2787" w:name="Tc_PNOnJo8aNUqxBdY0GznXWg_7_2"/>
      <w:bookmarkStart w:id="2788" w:name="Tc_q2Gb3kYswEyzEkLsh6YuRg_7_0"/>
      <w:bookmarkStart w:id="2789" w:name="Tc_AHa4aGRuT0WK-wkHyiAaBQ_6_6"/>
      <w:bookmarkStart w:id="2790" w:name="Tc_owA1mmyQMESVx8-WVqWeIA_6_4"/>
      <w:bookmarkStart w:id="2791" w:name="Tc_Q0KFm9T17kWyxH8Gax0eLQ_6_0"/>
      <w:bookmarkStart w:id="2792" w:name="Tc_BAL7Kog0y0eMKkdGD0rDQg_5_2"/>
      <w:bookmarkStart w:id="2793" w:name="Tc_NIhTjdo3jUSsG_fR_vF9lQ_5_0"/>
      <w:bookmarkStart w:id="2794" w:name="Tc_sYDis2YBm0Cn4FwiDZk0DA_4_0"/>
      <w:bookmarkStart w:id="2795" w:name="Tc_pErM6S7d7E-lBZNgdTKQ-w_3_6"/>
      <w:bookmarkStart w:id="2796" w:name="Tc_4F6XCEWPN0-ipo0G9_9Tow_3_4"/>
      <w:bookmarkStart w:id="2797" w:name="Tc_ls-eMAavR0Sn4Yk2v5cfjQ_3_2"/>
      <w:bookmarkStart w:id="2798" w:name="Tc_xgWk2JZm3kWoYON5H1qNdA_2_4"/>
      <w:bookmarkStart w:id="2799" w:name="Tc_FqLT_h5wSk2OniyrKMzMkA_2_2"/>
      <w:bookmarkStart w:id="2800" w:name="Tc_qOjh0eMihU-xqxUdAwiWxw_1_2"/>
      <w:bookmarkStart w:id="2801" w:name="_3e258563_c279_481e_ae02_ed58881620fe"/>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 (Continued)</w:t>
      </w:r>
    </w:p>
    <w:tbl>
      <w:tblPr>
        <w:tblW w:w="2571" w:type="dxa"/>
        <w:jc w:val="left"/>
        <w:tblInd w:w="0" w:type="dxa"/>
        <w:tblLayout w:type="fixed"/>
        <w:tblCellMar>
          <w:top w:w="0" w:type="dxa"/>
          <w:left w:w="0" w:type="dxa"/>
          <w:bottom w:w="0" w:type="dxa"/>
          <w:right w:w="0" w:type="dxa"/>
        </w:tblCellMar>
      </w:tblPr>
      <w:tblGrid>
        <w:gridCol w:w="124"/>
        <w:gridCol w:w="331"/>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21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parties balances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Amounts due from related parties</w:t>
      </w:r>
    </w:p>
    <w:p>
      <w:pPr>
        <w:pStyle w:val="TextBody"/>
        <w:bidi w:val="0"/>
        <w:spacing w:before="0" w:after="240"/>
        <w:ind w:left="720" w:right="0" w:hanging="0"/>
        <w:jc w:val="both"/>
        <w:rPr/>
      </w:pPr>
      <w:r>
        <w:rPr/>
        <w:t>​</w:t>
      </w:r>
    </w:p>
    <w:tbl>
      <w:tblPr>
        <w:tblW w:w="7297" w:type="dxa"/>
        <w:jc w:val="left"/>
        <w:tblInd w:w="0" w:type="dxa"/>
        <w:tblLayout w:type="fixed"/>
        <w:tblCellMar>
          <w:top w:w="0" w:type="dxa"/>
          <w:left w:w="0" w:type="dxa"/>
          <w:bottom w:w="0" w:type="dxa"/>
          <w:right w:w="0" w:type="dxa"/>
        </w:tblCellMar>
      </w:tblPr>
      <w:tblGrid>
        <w:gridCol w:w="4066"/>
        <w:gridCol w:w="346"/>
        <w:gridCol w:w="901"/>
        <w:gridCol w:w="346"/>
        <w:gridCol w:w="571"/>
        <w:gridCol w:w="346"/>
        <w:gridCol w:w="72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581910" cy="175260"/>
                      <wp:effectExtent l="0" t="0" r="0" b="0"/>
                      <wp:wrapNone/>
                      <wp:docPr id="662" name="Frame659"/>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19710" cy="175260"/>
                      <wp:effectExtent l="0" t="0" r="0" b="0"/>
                      <wp:wrapNone/>
                      <wp:docPr id="663"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572135" cy="175260"/>
                      <wp:effectExtent l="0" t="0" r="0" b="0"/>
                      <wp:wrapNone/>
                      <wp:docPr id="664" name="Frame66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65" name="Frame6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362585" cy="175260"/>
                      <wp:effectExtent l="0" t="0" r="0" b="0"/>
                      <wp:wrapNone/>
                      <wp:docPr id="666" name="Frame6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19710" cy="175260"/>
                      <wp:effectExtent l="0" t="0" r="0" b="0"/>
                      <wp:wrapNone/>
                      <wp:docPr id="667" name="Frame6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457835" cy="175260"/>
                      <wp:effectExtent l="0" t="0" r="0" b="0"/>
                      <wp:wrapNone/>
                      <wp:docPr id="668" name="Frame6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nature (Note (i))</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Gamma Digital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4,108</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25,447</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Global Alpha Fund Management Limited</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Non-trade nature (Note (ii))</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Technologies Global Pte. Ltd.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WhaleFin Markets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5,501</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5,503</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Custodian Services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Mega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Axiom AI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Rigsec Technology Holding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Macro Holding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60" w:hanging="0"/>
              <w:jc w:val="right"/>
              <w:rPr/>
            </w:pPr>
            <w:r>
              <w:rPr/>
              <w:t>—</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Note:</w:t>
      </w:r>
    </w:p>
    <w:tbl>
      <w:tblPr>
        <w:tblW w:w="8841" w:type="dxa"/>
        <w:jc w:val="left"/>
        <w:tblInd w:w="0" w:type="dxa"/>
        <w:tblLayout w:type="fixed"/>
        <w:tblCellMar>
          <w:top w:w="28" w:type="dxa"/>
          <w:left w:w="28" w:type="dxa"/>
          <w:bottom w:w="28" w:type="dxa"/>
          <w:right w:w="28" w:type="dxa"/>
        </w:tblCellMar>
      </w:tblPr>
      <w:tblGrid>
        <w:gridCol w:w="124"/>
        <w:gridCol w:w="22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Balances are trade in nature, unsecured, interest—free and with credit terms of 30 days</w:t>
            </w:r>
            <w:r>
              <w:rPr>
                <w:caps w:val="false"/>
                <w:smallCaps w:val="false"/>
              </w:rPr>
              <w:t xml:space="preserve"> </w:t>
            </w:r>
            <w:r>
              <w:rPr>
                <w:rFonts w:ascii="Times New Roman;Times;serif" w:hAnsi="Times New Roman;Times;serif"/>
                <w:b w:val="false"/>
                <w:i w:val="false"/>
                <w:caps w:val="false"/>
                <w:smallCaps w:val="false"/>
                <w:sz w:val="20"/>
              </w:rPr>
              <w:t>(2024: 30 days).</w:t>
            </w:r>
          </w:p>
        </w:tc>
      </w:tr>
    </w:tbl>
    <w:tbl>
      <w:tblPr>
        <w:tblW w:w="7941" w:type="dxa"/>
        <w:jc w:val="left"/>
        <w:tblInd w:w="0" w:type="dxa"/>
        <w:tblLayout w:type="fixed"/>
        <w:tblCellMar>
          <w:top w:w="28" w:type="dxa"/>
          <w:left w:w="28" w:type="dxa"/>
          <w:bottom w:w="28" w:type="dxa"/>
          <w:right w:w="28" w:type="dxa"/>
        </w:tblCellMar>
      </w:tblPr>
      <w:tblGrid>
        <w:gridCol w:w="124"/>
        <w:gridCol w:w="28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non-trade receivables mainly pertained to expenses paid on behalf of related parties. </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Balances are non-trade in nature, unsecured, interest—free and repayable on demand.</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Amounts due from related parties are denominated in the following currencies:</w:t>
      </w:r>
    </w:p>
    <w:p>
      <w:pPr>
        <w:pStyle w:val="TextBody"/>
        <w:bidi w:val="0"/>
        <w:spacing w:before="0" w:after="240"/>
        <w:ind w:left="720" w:right="0" w:hanging="0"/>
        <w:jc w:val="both"/>
        <w:rPr/>
      </w:pPr>
      <w:r>
        <w:rPr/>
        <w:t>​</w:t>
      </w:r>
    </w:p>
    <w:tbl>
      <w:tblPr>
        <w:tblW w:w="3682" w:type="dxa"/>
        <w:jc w:val="left"/>
        <w:tblInd w:w="0" w:type="dxa"/>
        <w:tblLayout w:type="fixed"/>
        <w:tblCellMar>
          <w:top w:w="0" w:type="dxa"/>
          <w:left w:w="0" w:type="dxa"/>
          <w:bottom w:w="0" w:type="dxa"/>
          <w:right w:w="0" w:type="dxa"/>
        </w:tblCellMar>
      </w:tblPr>
      <w:tblGrid>
        <w:gridCol w:w="496"/>
        <w:gridCol w:w="346"/>
        <w:gridCol w:w="901"/>
        <w:gridCol w:w="346"/>
        <w:gridCol w:w="571"/>
        <w:gridCol w:w="346"/>
        <w:gridCol w:w="676"/>
      </w:tblGrid>
      <w:tr>
        <w:trPr/>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314960" cy="175260"/>
                      <wp:effectExtent l="0" t="0" r="0" b="0"/>
                      <wp:wrapNone/>
                      <wp:docPr id="669" name="Frame66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219710" cy="175260"/>
                      <wp:effectExtent l="0" t="0" r="0" b="0"/>
                      <wp:wrapNone/>
                      <wp:docPr id="670" name="Frame6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572135" cy="175260"/>
                      <wp:effectExtent l="0" t="0" r="0" b="0"/>
                      <wp:wrapNone/>
                      <wp:docPr id="671" name="Frame66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2"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362585" cy="175260"/>
                      <wp:effectExtent l="0" t="0" r="0" b="0"/>
                      <wp:wrapNone/>
                      <wp:docPr id="673" name="Frame6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19710" cy="175260"/>
                      <wp:effectExtent l="0" t="0" r="0" b="0"/>
                      <wp:wrapNone/>
                      <wp:docPr id="674" name="Frame6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429260" cy="175260"/>
                      <wp:effectExtent l="0" t="0" r="0" b="0"/>
                      <wp:wrapNone/>
                      <wp:docPr id="675" name="Frame6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6,050</w:t>
            </w:r>
          </w:p>
        </w:tc>
      </w:tr>
      <w:tr>
        <w:trPr/>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SGD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HK$</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w:t>
            </w:r>
          </w:p>
        </w:tc>
      </w:tr>
      <w:tr>
        <w:trPr/>
        <w:tc>
          <w:tcPr>
            <w:tcW w:w="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3,026</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9,054</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802" w:name="Tc_368qwChtSEq51-xMqfYduQ_12_2"/>
      <w:bookmarkStart w:id="2803" w:name="Tc_Lzp7oLLimE2i61IpHWjUpg_12_0"/>
      <w:bookmarkStart w:id="2804" w:name="Tc_itCGXfo4fUWx0pfr5VP1tQ_11_2"/>
      <w:bookmarkStart w:id="2805" w:name="Tc_c8pebPcsMkeTd5ugVlb_-w_11_0"/>
      <w:bookmarkStart w:id="2806" w:name="Tc_A-UsI8fgJ0aWvM_JKBtyOw_10_2"/>
      <w:bookmarkStart w:id="2807" w:name="Tc_mH5b-nA5UEyEop8232z7dQ_10_0"/>
      <w:bookmarkStart w:id="2808" w:name="Tc_PbNWiZZKBk2dFqCBkQ-95g_9_2"/>
      <w:bookmarkStart w:id="2809" w:name="Tc_NMsAg3hvJk2p97FY1Atufw_9_0"/>
      <w:bookmarkStart w:id="2810" w:name="Tc_itFRdmIyIUab3Fqjrn0taQ_8_4"/>
      <w:bookmarkStart w:id="2811" w:name="Tc_fJQaYVDFWE-koPN0OS4HEg_8_0"/>
      <w:bookmarkStart w:id="2812" w:name="Tc_QKUKsT7xM0WvfgZC-vT5TQ_7_4"/>
      <w:bookmarkStart w:id="2813" w:name="Tc_0Cg4k-I6eUC6OZxCzrIdCg_7_0"/>
      <w:bookmarkStart w:id="2814" w:name="Tc_3dmlrqtFMEi3oSj7uHPncw_6_4"/>
      <w:bookmarkStart w:id="2815" w:name="Tc_xEsK77-3IkStuf_BZpbnkQ_6_0"/>
      <w:bookmarkStart w:id="2816" w:name="Tc_S4bhOU3IZEaoTEbOUcORVg_5_0"/>
      <w:bookmarkStart w:id="2817" w:name="Tc_8hMWLybicUirUkCDIOd-iQ_4_0"/>
      <w:bookmarkStart w:id="2818" w:name="Tc_P6K9BNQ9iU-pcmW0zNcPEA_3_6"/>
      <w:bookmarkStart w:id="2819" w:name="Tc_R8mP0yRlPkqg81w3SOi3dg_3_4"/>
      <w:bookmarkStart w:id="2820" w:name="Tc_JDfWRxxrD0GH1lxDWtpbQw_3_2"/>
      <w:bookmarkStart w:id="2821" w:name="Tc_s4Jl05w7bkigZYzmn8jGhg_2_4"/>
      <w:bookmarkStart w:id="2822" w:name="Tc_6OjoHzV7wkS_wqWOVMyiXA_2_2"/>
      <w:bookmarkStart w:id="2823" w:name="Tc_9Gv2oaOBSkG9rZ9mx4JPQw_1_2"/>
      <w:bookmarkStart w:id="2824" w:name="_b54facdf_7b5e_46ea_a21f_e066b32b37f4"/>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 (Continued)</w:t>
      </w:r>
    </w:p>
    <w:tbl>
      <w:tblPr>
        <w:tblW w:w="3606" w:type="dxa"/>
        <w:jc w:val="left"/>
        <w:tblInd w:w="0" w:type="dxa"/>
        <w:tblLayout w:type="fixed"/>
        <w:tblCellMar>
          <w:top w:w="0" w:type="dxa"/>
          <w:left w:w="0" w:type="dxa"/>
          <w:bottom w:w="0" w:type="dxa"/>
          <w:right w:w="0" w:type="dxa"/>
        </w:tblCellMar>
      </w:tblPr>
      <w:tblGrid>
        <w:gridCol w:w="124"/>
        <w:gridCol w:w="331"/>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1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parties balances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Amounts due from related parties (Continued)</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following table sets forth the fair value of the amounts due from related parties that were denominated in digital assets:</w:t>
      </w:r>
    </w:p>
    <w:p>
      <w:pPr>
        <w:pStyle w:val="TextBody"/>
        <w:bidi w:val="0"/>
        <w:spacing w:before="0" w:after="240"/>
        <w:ind w:left="1440" w:right="0" w:hanging="0"/>
        <w:jc w:val="both"/>
        <w:rPr/>
      </w:pPr>
      <w:r>
        <w:rPr/>
        <w:t>​</w:t>
      </w:r>
    </w:p>
    <w:tbl>
      <w:tblPr>
        <w:tblW w:w="4507" w:type="dxa"/>
        <w:jc w:val="left"/>
        <w:tblInd w:w="0" w:type="dxa"/>
        <w:tblLayout w:type="fixed"/>
        <w:tblCellMar>
          <w:top w:w="0" w:type="dxa"/>
          <w:left w:w="0" w:type="dxa"/>
          <w:bottom w:w="0" w:type="dxa"/>
          <w:right w:w="0" w:type="dxa"/>
        </w:tblCellMar>
      </w:tblPr>
      <w:tblGrid>
        <w:gridCol w:w="1156"/>
        <w:gridCol w:w="346"/>
        <w:gridCol w:w="901"/>
        <w:gridCol w:w="346"/>
        <w:gridCol w:w="571"/>
        <w:gridCol w:w="346"/>
        <w:gridCol w:w="841"/>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734060" cy="175260"/>
                      <wp:effectExtent l="0" t="0" r="0" b="0"/>
                      <wp:wrapNone/>
                      <wp:docPr id="676" name="Frame67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19710" cy="175260"/>
                      <wp:effectExtent l="0" t="0" r="0" b="0"/>
                      <wp:wrapNone/>
                      <wp:docPr id="677" name="Frame6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572135" cy="175260"/>
                      <wp:effectExtent l="0" t="0" r="0" b="0"/>
                      <wp:wrapNone/>
                      <wp:docPr id="678" name="Frame6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19710" cy="175260"/>
                      <wp:effectExtent l="0" t="0" r="0" b="0"/>
                      <wp:wrapNone/>
                      <wp:docPr id="679" name="Frame6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362585" cy="175260"/>
                      <wp:effectExtent l="0" t="0" r="0" b="0"/>
                      <wp:wrapNone/>
                      <wp:docPr id="680" name="Frame6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1" name="Frame6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534035" cy="175260"/>
                      <wp:effectExtent l="0" t="0" r="0" b="0"/>
                      <wp:wrapNone/>
                      <wp:docPr id="682" name="Frame67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7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3,058</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4,130</w:t>
            </w:r>
          </w:p>
        </w:tc>
        <w:tc>
          <w:tcPr>
            <w:tcW w:w="34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(48,008)</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(4,368)</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USDS (Note)</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92,586</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(37,139)</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20,356</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ADA</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BCH</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DOT</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XRP</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7,506</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4,108</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23,287</w:t>
            </w:r>
          </w:p>
        </w:tc>
      </w:tr>
    </w:tbl>
    <w:p>
      <w:pPr>
        <w:pStyle w:val="TextBody"/>
        <w:bidi w:val="0"/>
        <w:spacing w:before="0" w:after="160"/>
        <w:ind w:left="144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USDS is a cryptographic blockchain-based digital information unit token issued by the Group and only used in Group’s platform. Each USDS is equivalent to US$1.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sz w:val="20"/>
        </w:rPr>
      </w:pPr>
      <w:bookmarkStart w:id="2825" w:name="Tc_8po31zhm3kyZXKlpjKQV6w_6_4"/>
      <w:bookmarkStart w:id="2826" w:name="Tc_kmzQu46Wm0qjcAtszuKcaQ_6_2"/>
      <w:bookmarkStart w:id="2827" w:name="Tc_IEKdjvVdUkGnSeQ61a_DLw_6_0"/>
      <w:bookmarkStart w:id="2828" w:name="Tc_j4OfLC_NZ0eNL-PD-Nvvgw_5_6"/>
      <w:bookmarkStart w:id="2829" w:name="Tc_rFOXuX_yvkyDdiAMawQcVA_5_0"/>
      <w:bookmarkStart w:id="2830" w:name="Tc_6gdvLLOLz0uplm-fFULJtg_4_0"/>
      <w:bookmarkStart w:id="2831" w:name="Tc_qbgAykbfLU2lw8MXeN_93g_3_6"/>
      <w:bookmarkStart w:id="2832" w:name="Tc_y-plTWzVtke-1nGn9cm4ew_3_4"/>
      <w:bookmarkStart w:id="2833" w:name="Tc_gRYQ4g2N0ECLlpuW_sQl3g_3_2"/>
      <w:bookmarkStart w:id="2834" w:name="Tc_xv49--xuBUmRkTAHfNUIPw_2_4"/>
      <w:bookmarkStart w:id="2835" w:name="Tc_yYJqfF9ymkiybRdjdqHBGw_2_2"/>
      <w:bookmarkStart w:id="2836" w:name="Tc_yZm3FaSzt0qBk_4zfZAS_A_1_2"/>
      <w:bookmarkStart w:id="2837" w:name="Tc_5DI8weG6oE-9gOHkcAmyJw_28_4"/>
      <w:bookmarkStart w:id="2838" w:name="Tc_rpc22H7nLEK7KdYbr-dk0g_28_2"/>
      <w:bookmarkStart w:id="2839" w:name="Tc_s0HC7o5WG0a4_OOrOxjGCQ_28_0"/>
      <w:bookmarkStart w:id="2840" w:name="Tc_5DPjc8IBjkm1wCZYlxIyDQ_27_0"/>
      <w:bookmarkStart w:id="2841" w:name="Tc_CROK-xZoHEaI-3uSd4iEHw_25_4"/>
      <w:bookmarkStart w:id="2842" w:name="Tc_jumi15Oj0keV2OYdez5JPA_25_2"/>
      <w:bookmarkStart w:id="2843" w:name="Tc_abMyfC5WPkOO2ZHzw_oTgQ_25_0"/>
      <w:bookmarkStart w:id="2844" w:name="Tc_hBP11Ei9z0qwpvy48E-GKw_24_4"/>
      <w:bookmarkStart w:id="2845" w:name="Tc_KwLWOHKR8U2aKCSz0YHmpQ_24_2"/>
      <w:bookmarkStart w:id="2846" w:name="Tc_JpoprvYu9Ui-35-ZcH0RjQ_24_0"/>
      <w:bookmarkStart w:id="2847" w:name="Tc_G6rqWM8xs0KO4zVlgqZHww_23_4"/>
      <w:bookmarkStart w:id="2848" w:name="Tc_GDrxuBqx-UWYSTZeAWIm1w_23_2"/>
      <w:bookmarkStart w:id="2849" w:name="Tc_dXXTOy0PHUGUgcm3MV4AFg_23_0"/>
      <w:bookmarkStart w:id="2850" w:name="Tc_v0TOXVeuaUuSjLdOrNrFig_22_4"/>
      <w:bookmarkStart w:id="2851" w:name="Tc_uNCrt-3KQU-B9W48ef9DbQ_22_2"/>
      <w:bookmarkStart w:id="2852" w:name="Tc_jw9Ci4Hb6E6ChAfpq1lszQ_22_0"/>
      <w:bookmarkStart w:id="2853" w:name="Tc_Rf0kavMC90W0uJvyrYLiAw_21_4"/>
      <w:bookmarkStart w:id="2854" w:name="Tc_VOMyFra_YEOaE5J-ZnfOuQ_21_2"/>
      <w:bookmarkStart w:id="2855" w:name="Tc_X7dY9ohXr02r5N2qik-HCA_21_0"/>
      <w:bookmarkStart w:id="2856" w:name="Tc_bTyfNSATB0qTotyT-0Akyw_20_4"/>
      <w:bookmarkStart w:id="2857" w:name="Tc_ugT4PeptKEyvnqsHVBNx4Q_20_2"/>
      <w:bookmarkStart w:id="2858" w:name="Tc_h_9raoeSEkqi9aeUgXz_eA_20_0"/>
      <w:bookmarkStart w:id="2859" w:name="Tc_Jv8cfL5K_EScFfV_t6CtSA_19_4"/>
      <w:bookmarkStart w:id="2860" w:name="Tc_uPwMXW-Aa06RTpkAdlxjSw_19_2"/>
      <w:bookmarkStart w:id="2861" w:name="Tc_ybZVWL1T9U2IIhuF7dkxIw_19_0"/>
      <w:bookmarkStart w:id="2862" w:name="Tc_Q2vCjklDSUCU0sxeF1QyeQ_18_2"/>
      <w:bookmarkStart w:id="2863" w:name="Tc_orXSF3tU10WY2E1M8IagFg_18_0"/>
      <w:bookmarkStart w:id="2864" w:name="Tc_fSaM2DOlKk22YlNQYhL5fA_17_6"/>
      <w:bookmarkStart w:id="2865" w:name="Tc_KLCAFdKk20i_r9Wq_z7Ocw_17_4"/>
      <w:bookmarkStart w:id="2866" w:name="Tc_mj3KV9L7dUOKY8BENUy8Wg_17_0"/>
      <w:bookmarkStart w:id="2867" w:name="Tc_Bi38oNJa40a-XGy-uSEsvA_16_6"/>
      <w:bookmarkStart w:id="2868" w:name="Tc_Ml4JxFbYD0Kj1xUjHlRsxw_16_4"/>
      <w:bookmarkStart w:id="2869" w:name="Tc_TlYvkUjggUqAy4_hLf1ZIA_16_0"/>
      <w:bookmarkStart w:id="2870" w:name="Tc_BxMtmXiby0qNe-P4CFsFQg_15_6"/>
      <w:bookmarkStart w:id="2871" w:name="Tc_tiMb2b_g7k6qjSHIWNYQ5w_15_4"/>
      <w:bookmarkStart w:id="2872" w:name="Tc_mdWleHPoWEKEIFkKZji_VQ_15_0"/>
      <w:bookmarkStart w:id="2873" w:name="Tc_gNe74Z5dTUGFqxKC4_dotw_14_0"/>
      <w:bookmarkStart w:id="2874" w:name="Tc_q6qAqHrgrkS0UHTy13clYw_13_0"/>
      <w:bookmarkStart w:id="2875" w:name="Tc_FGgGjvEqekqGCATEZ3ir8w_11_4"/>
      <w:bookmarkStart w:id="2876" w:name="Tc_wnuY6qfuMEioR_jBOCCMag_11_2"/>
      <w:bookmarkStart w:id="2877" w:name="Tc_DiRhYjBcjEqqZLHgPtHOPw_11_0"/>
      <w:bookmarkStart w:id="2878" w:name="Tc_mQEj6fYRXU21trXOmFESRQ_10_4"/>
      <w:bookmarkStart w:id="2879" w:name="Tc_G1Og_LKloUuDPv48qGoFzg_10_2"/>
      <w:bookmarkStart w:id="2880" w:name="Tc_nEUP_mk_q0On7-2RrgSZHg_10_0"/>
      <w:bookmarkStart w:id="2881" w:name="Tc_mMQgFJAeuka9FCdwOLzR6Q_9_4"/>
      <w:bookmarkStart w:id="2882" w:name="Tc_qZQSnUUQz0-a-VdpB9K5AA_9_2"/>
      <w:bookmarkStart w:id="2883" w:name="Tc_PZ7uZMzzm0yVJQZEPWU3Jw_9_0"/>
      <w:bookmarkStart w:id="2884" w:name="Tc_Yu5SWST5G0GjZp3-SdSEjQ_8_6"/>
      <w:bookmarkStart w:id="2885" w:name="Tc_HPhVvc8yV0GVSnFSwg371Q_8_2"/>
      <w:bookmarkStart w:id="2886" w:name="Tc_fM5r5NAS0kCf9fU-tyO4sQ_8_0"/>
      <w:bookmarkStart w:id="2887" w:name="Tc_7AMKJLfQP0e0iwLwoedizw_7_2"/>
      <w:bookmarkStart w:id="2888" w:name="Tc_hXFEqGmpQEmrLuFZEH-vHQ_7_0"/>
      <w:bookmarkStart w:id="2889" w:name="Tc_NJtuFaME20a9emPvmw_kcg_6_6"/>
      <w:bookmarkStart w:id="2890" w:name="Tc_-_CBR1fhyEO6LV8Wr0QbSg_6_4"/>
      <w:bookmarkStart w:id="2891" w:name="Tc_KXy-NZ8-NE-I7mTtPo1wpA_6_0"/>
      <w:bookmarkStart w:id="2892" w:name="Tc_01XljxXKMU6iWVoylJLMxw_5_6"/>
      <w:bookmarkStart w:id="2893" w:name="Tc_X1Fdtbtlf02HhRnKx_rdEw_5_4"/>
      <w:bookmarkStart w:id="2894" w:name="Tc_q24HMKdGjEGSgYqFAD7VZQ_5_0"/>
      <w:bookmarkStart w:id="2895" w:name="Tc_7F0q4WDhHE6_I7ZoHk0mzQ_4_0"/>
      <w:bookmarkStart w:id="2896" w:name="Tc_wyL-I09hS0SY7qM2ynjL4Q_3_6"/>
      <w:bookmarkStart w:id="2897" w:name="Tc_BIaxJyIyHkmy5BOP9TqI9A_3_4"/>
      <w:bookmarkStart w:id="2898" w:name="Tc_xo2g9AQv3UG3sJDMk2xDvg_3_2"/>
      <w:bookmarkStart w:id="2899" w:name="Tc_IICQB5dkJ0aB1ujHQHdOiw_2_4"/>
      <w:bookmarkStart w:id="2900" w:name="Tc_1EYOdk3bRU-F8el5p2N_Lw_2_2"/>
      <w:bookmarkStart w:id="2901" w:name="Tc_CadQo8Of00aGVWfaNuiDIg_1_2"/>
      <w:bookmarkStart w:id="2902" w:name="_976c1d47_34c0_44e0_b138_9da3ac9d00ef"/>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 (Continued)</w:t>
      </w:r>
    </w:p>
    <w:tbl>
      <w:tblPr>
        <w:tblW w:w="3606" w:type="dxa"/>
        <w:jc w:val="left"/>
        <w:tblInd w:w="0" w:type="dxa"/>
        <w:tblLayout w:type="fixed"/>
        <w:tblCellMar>
          <w:top w:w="0" w:type="dxa"/>
          <w:left w:w="0" w:type="dxa"/>
          <w:bottom w:w="0" w:type="dxa"/>
          <w:right w:w="0" w:type="dxa"/>
        </w:tblCellMar>
      </w:tblPr>
      <w:tblGrid>
        <w:gridCol w:w="124"/>
        <w:gridCol w:w="331"/>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1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parties balances (Continued)</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Amounts due to related parties</w:t>
      </w:r>
    </w:p>
    <w:p>
      <w:pPr>
        <w:pStyle w:val="TextBody"/>
        <w:bidi w:val="0"/>
        <w:spacing w:before="0" w:after="240"/>
        <w:ind w:left="1440" w:right="0" w:hanging="0"/>
        <w:jc w:val="both"/>
        <w:rPr/>
      </w:pPr>
      <w:r>
        <w:rPr/>
        <w:t>​</w:t>
      </w:r>
    </w:p>
    <w:tbl>
      <w:tblPr>
        <w:tblW w:w="6967" w:type="dxa"/>
        <w:jc w:val="left"/>
        <w:tblInd w:w="0" w:type="dxa"/>
        <w:tblLayout w:type="fixed"/>
        <w:tblCellMar>
          <w:top w:w="0" w:type="dxa"/>
          <w:left w:w="0" w:type="dxa"/>
          <w:bottom w:w="0" w:type="dxa"/>
          <w:right w:w="0" w:type="dxa"/>
        </w:tblCellMar>
      </w:tblPr>
      <w:tblGrid>
        <w:gridCol w:w="3736"/>
        <w:gridCol w:w="346"/>
        <w:gridCol w:w="901"/>
        <w:gridCol w:w="346"/>
        <w:gridCol w:w="571"/>
        <w:gridCol w:w="346"/>
        <w:gridCol w:w="72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372360" cy="175260"/>
                      <wp:effectExtent l="0" t="0" r="0" b="0"/>
                      <wp:wrapNone/>
                      <wp:docPr id="683" name="Frame68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19710" cy="175260"/>
                      <wp:effectExtent l="0" t="0" r="0" b="0"/>
                      <wp:wrapNone/>
                      <wp:docPr id="684" name="Frame6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572135" cy="175260"/>
                      <wp:effectExtent l="0" t="0" r="0" b="0"/>
                      <wp:wrapNone/>
                      <wp:docPr id="685" name="Frame6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19710" cy="175260"/>
                      <wp:effectExtent l="0" t="0" r="0" b="0"/>
                      <wp:wrapNone/>
                      <wp:docPr id="686" name="Frame6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362585" cy="175260"/>
                      <wp:effectExtent l="0" t="0" r="0" b="0"/>
                      <wp:wrapNone/>
                      <wp:docPr id="687" name="Frame6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219710" cy="175260"/>
                      <wp:effectExtent l="0" t="0" r="0" b="0"/>
                      <wp:wrapNone/>
                      <wp:docPr id="688"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457835" cy="175260"/>
                      <wp:effectExtent l="0" t="0" r="0" b="0"/>
                      <wp:wrapNone/>
                      <wp:docPr id="689" name="Frame6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6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7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Trade nature</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21,848</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Technologies Limited</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3,260</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WhaleFin Technologies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Proton Fund SPC</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ALIR Holding Ltd</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Non-trade nature</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AI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3,158</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Global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4,946</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Technologies Service Pte. Ltd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Global Technologies Pte. Ltd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Technologies North America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AI Services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AM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Rigsec Technology Limited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 Global Technology Limited Inc.</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ALIR Holding Limited</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Lead Accelerating Limited</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Amber Services NA, LLC</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7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 payable</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 Global Technology Limited Inc. (Note)</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550</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loan payable to AG Global Technology Limited Inc. is for working capital purpose. It is unsecured, interest-free, repayable on demand, and denominated in US$.</w:t>
      </w:r>
    </w:p>
    <w:p>
      <w:pPr>
        <w:pStyle w:val="TextBody"/>
        <w:bidi w:val="0"/>
        <w:spacing w:before="0" w:after="0"/>
        <w:ind w:left="144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Amounts due to related parties are denominated in the following currencies:</w:t>
      </w:r>
    </w:p>
    <w:p>
      <w:pPr>
        <w:pStyle w:val="TextBody"/>
        <w:bidi w:val="0"/>
        <w:spacing w:before="0" w:after="240"/>
        <w:ind w:left="1440" w:right="0" w:hanging="0"/>
        <w:jc w:val="both"/>
        <w:rPr/>
      </w:pPr>
      <w:r>
        <w:rPr/>
        <w:t>​</w:t>
      </w:r>
    </w:p>
    <w:tbl>
      <w:tblPr>
        <w:tblW w:w="3832" w:type="dxa"/>
        <w:jc w:val="left"/>
        <w:tblInd w:w="0" w:type="dxa"/>
        <w:tblLayout w:type="fixed"/>
        <w:tblCellMar>
          <w:top w:w="0" w:type="dxa"/>
          <w:left w:w="0" w:type="dxa"/>
          <w:bottom w:w="0" w:type="dxa"/>
          <w:right w:w="0" w:type="dxa"/>
        </w:tblCellMar>
      </w:tblPr>
      <w:tblGrid>
        <w:gridCol w:w="646"/>
        <w:gridCol w:w="346"/>
        <w:gridCol w:w="901"/>
        <w:gridCol w:w="346"/>
        <w:gridCol w:w="571"/>
        <w:gridCol w:w="346"/>
        <w:gridCol w:w="676"/>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410210" cy="175260"/>
                      <wp:effectExtent l="0" t="0" r="0" b="0"/>
                      <wp:wrapNone/>
                      <wp:docPr id="690" name="Frame68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91"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572135" cy="175260"/>
                      <wp:effectExtent l="0" t="0" r="0" b="0"/>
                      <wp:wrapNone/>
                      <wp:docPr id="692" name="Frame68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219710" cy="175260"/>
                      <wp:effectExtent l="0" t="0" r="0" b="0"/>
                      <wp:wrapNone/>
                      <wp:docPr id="693" name="Frame6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62585" cy="175260"/>
                      <wp:effectExtent l="0" t="0" r="0" b="0"/>
                      <wp:wrapNone/>
                      <wp:docPr id="694" name="Frame6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19710" cy="175260"/>
                      <wp:effectExtent l="0" t="0" r="0" b="0"/>
                      <wp:wrapNone/>
                      <wp:docPr id="695" name="Frame6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429260" cy="175260"/>
                      <wp:effectExtent l="0" t="0" r="0" b="0"/>
                      <wp:wrapNone/>
                      <wp:docPr id="696" name="Frame69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46"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5,096</w:t>
            </w:r>
          </w:p>
        </w:tc>
      </w:tr>
      <w:tr>
        <w:trPr/>
        <w:tc>
          <w:tcPr>
            <w:tcW w:w="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SGD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5,004</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1,735</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5,138</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00"/>
        <w:ind w:left="0" w:right="0" w:hanging="0"/>
        <w:jc w:val="left"/>
        <w:rPr>
          <w:rFonts w:ascii="Times New Roman;Times;serif" w:hAnsi="Times New Roman;Times;serif"/>
          <w:sz w:val="20"/>
        </w:rPr>
      </w:pPr>
      <w:bookmarkStart w:id="2903" w:name="Tc_5js_TPCyoUqaPe1WQcu6Eg_7_2"/>
      <w:bookmarkStart w:id="2904" w:name="Tc_w0_V0a7GI0Ok9MHMVETcaA_6_6"/>
      <w:bookmarkStart w:id="2905" w:name="Tc_2i9-DAJXq0WuXxkv88xCUg_6_4"/>
      <w:bookmarkStart w:id="2906" w:name="Tc_wEFwCeCHQEOS_vbT6692iw_6_2"/>
      <w:bookmarkStart w:id="2907" w:name="Tc_DBF7lUJwdU6_HKuSRAjoQQ_6_0"/>
      <w:bookmarkStart w:id="2908" w:name="Tc_zUA3chn0UUuhpCasw3EZBg_5_4"/>
      <w:bookmarkStart w:id="2909" w:name="Tc_tKfdDpCMhk-OUlvCxlWmRA_5_2"/>
      <w:bookmarkStart w:id="2910" w:name="Tc_6hn-1MtCLECJLYBo76JB1Q_5_0"/>
      <w:bookmarkStart w:id="2911" w:name="Tc_8i5zBRBzBk-7lkDrD9ZFDw_4_2"/>
      <w:bookmarkStart w:id="2912" w:name="Tc_rgui_myL3ky4v7j9orsNCw_4_0"/>
      <w:bookmarkStart w:id="2913" w:name="Tc_172iILD3jk-Az-K_OZ3Ktg_3_6"/>
      <w:bookmarkStart w:id="2914" w:name="Tc_qO4UmnmtGE6KsxSLf3CfVQ_3_4"/>
      <w:bookmarkStart w:id="2915" w:name="Tc_dIvhbjJth0OQO-ZZUnmYsw_3_2"/>
      <w:bookmarkStart w:id="2916" w:name="Tc_BTk9kVaVg0-Ui2ZFb8azVw_3_0"/>
      <w:bookmarkStart w:id="2917" w:name="Tc_jLOMA4br6UeOr5Uz1zQyAA_2_6"/>
      <w:bookmarkStart w:id="2918" w:name="Tc_IRAYv9IZKUu2jR6ifZLL6w_2_4"/>
      <w:bookmarkStart w:id="2919" w:name="Tc_b4Gn4eJxqkGbSfch-wcimQ_2_2"/>
      <w:bookmarkStart w:id="2920" w:name="Tc_MvlqKZF6WkWW6-OSV4_tNw_1_2"/>
      <w:bookmarkStart w:id="2921" w:name="Tc_y_udIojYnkG3yN2o-MAVMg_9_4"/>
      <w:bookmarkStart w:id="2922" w:name="Tc_5YzAk0HOm06Yfj25kxb-1A_9_2"/>
      <w:bookmarkStart w:id="2923" w:name="Tc_UauzaAYnb0awnEoixS2lAA_9_0"/>
      <w:bookmarkStart w:id="2924" w:name="Tc_rA5aD2WEUkCiIDW8jnhRFQ_8_2"/>
      <w:bookmarkStart w:id="2925" w:name="Tc_xb0jXMwKYUCTBt5cnxWmHQ_8_0"/>
      <w:bookmarkStart w:id="2926" w:name="Tc_2MEui2pEskeGESqjXK6Kbw_7_0"/>
      <w:bookmarkStart w:id="2927" w:name="Tc_2AQ4puVKSkumS0IiY9zq_w_6_4"/>
      <w:bookmarkStart w:id="2928" w:name="Tc_okK5nuCUFUau2ob66ZFnfg_6_0"/>
      <w:bookmarkStart w:id="2929" w:name="Tc_Mw2IS9mavUWcGlBY_aBhCw_5_0"/>
      <w:bookmarkStart w:id="2930" w:name="Tc_LYU3PJDQNEmmC0o_WbxJWw_4_0"/>
      <w:bookmarkStart w:id="2931" w:name="Tc_FSt0dii4g06VPMRZLyK_4g_3_6"/>
      <w:bookmarkStart w:id="2932" w:name="Tc_mHwdMEssCkqmeRLwDyNUkA_3_4"/>
      <w:bookmarkStart w:id="2933" w:name="Tc_B9ch8K8VtEeUpLy-EnMElA_3_2"/>
      <w:bookmarkStart w:id="2934" w:name="Tc_32jB_wafeE2ld9ooQgw55A_2_4"/>
      <w:bookmarkStart w:id="2935" w:name="Tc_YfCLeuZmHUqeswMo7_eJng_2_2"/>
      <w:bookmarkStart w:id="2936" w:name="Tc_0nLO0v9sXU2t24ofcfjCeA_1_2"/>
      <w:bookmarkStart w:id="2937" w:name="_cba5b06d_36ad_415c_ac53_3a3809e806db"/>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r>
        <w:rPr>
          <w:rFonts w:ascii="Times New Roman;Times;serif" w:hAnsi="Times New Roman;Times;serif"/>
          <w:b/>
          <w:i w:val="false"/>
          <w:caps w:val="false"/>
          <w:smallCaps w:val="false"/>
          <w:sz w:val="20"/>
        </w:rPr>
        <w:t>31.</w:t>
      </w:r>
      <w:r>
        <w:rPr>
          <w:rFonts w:ascii="Times New Roman;Times;serif" w:hAnsi="Times New Roman;Times;serif"/>
          <w:b/>
          <w:sz w:val="20"/>
        </w:rPr>
        <w:t>Significant related party transactions and balances (Continued)</w:t>
      </w:r>
    </w:p>
    <w:tbl>
      <w:tblPr>
        <w:tblW w:w="3606" w:type="dxa"/>
        <w:jc w:val="left"/>
        <w:tblInd w:w="0" w:type="dxa"/>
        <w:tblLayout w:type="fixed"/>
        <w:tblCellMar>
          <w:top w:w="0" w:type="dxa"/>
          <w:left w:w="0" w:type="dxa"/>
          <w:bottom w:w="0" w:type="dxa"/>
          <w:right w:w="0" w:type="dxa"/>
        </w:tblCellMar>
      </w:tblPr>
      <w:tblGrid>
        <w:gridCol w:w="124"/>
        <w:gridCol w:w="331"/>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31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Related parties balances (Continued)</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Amounts due to related parties (Continued)</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The following table sets forth the fair value of the amount due to related parties that were denominated in digital assets:</w:t>
      </w:r>
    </w:p>
    <w:p>
      <w:pPr>
        <w:pStyle w:val="TextBody"/>
        <w:bidi w:val="0"/>
        <w:spacing w:before="0" w:after="240"/>
        <w:ind w:left="1440" w:right="0" w:hanging="0"/>
        <w:jc w:val="both"/>
        <w:rPr/>
      </w:pPr>
      <w:r>
        <w:rPr/>
        <w:t>​</w:t>
      </w:r>
    </w:p>
    <w:tbl>
      <w:tblPr>
        <w:tblW w:w="4552" w:type="dxa"/>
        <w:jc w:val="left"/>
        <w:tblInd w:w="0" w:type="dxa"/>
        <w:tblLayout w:type="fixed"/>
        <w:tblCellMar>
          <w:top w:w="0" w:type="dxa"/>
          <w:left w:w="0" w:type="dxa"/>
          <w:bottom w:w="0" w:type="dxa"/>
          <w:right w:w="0" w:type="dxa"/>
        </w:tblCellMar>
      </w:tblPr>
      <w:tblGrid>
        <w:gridCol w:w="1201"/>
        <w:gridCol w:w="346"/>
        <w:gridCol w:w="901"/>
        <w:gridCol w:w="346"/>
        <w:gridCol w:w="571"/>
        <w:gridCol w:w="346"/>
        <w:gridCol w:w="84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762635" cy="175260"/>
                      <wp:effectExtent l="0" t="0" r="0" b="0"/>
                      <wp:wrapNone/>
                      <wp:docPr id="697" name="Frame69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698" name="Frame6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572135" cy="175260"/>
                      <wp:effectExtent l="0" t="0" r="0" b="0"/>
                      <wp:wrapNone/>
                      <wp:docPr id="699" name="Frame6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19710" cy="175260"/>
                      <wp:effectExtent l="0" t="0" r="0" b="0"/>
                      <wp:wrapNone/>
                      <wp:docPr id="700" name="Frame6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362585" cy="175260"/>
                      <wp:effectExtent l="0" t="0" r="0" b="0"/>
                      <wp:wrapNone/>
                      <wp:docPr id="701" name="Frame6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19710" cy="175260"/>
                      <wp:effectExtent l="0" t="0" r="0" b="0"/>
                      <wp:wrapNone/>
                      <wp:docPr id="702" name="Frame6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34035" cy="175260"/>
                      <wp:effectExtent l="0" t="0" r="0" b="0"/>
                      <wp:wrapNone/>
                      <wp:docPr id="703" name="Frame70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1,</w:t>
            </w:r>
          </w:p>
        </w:tc>
        <w:tc>
          <w:tcPr>
            <w:tcW w:w="346" w:type="dxa"/>
            <w:tcBorders/>
            <w:vAlign w:val="center"/>
          </w:tcPr>
          <w:p>
            <w:pPr>
              <w:pStyle w:val="TableContents"/>
              <w:bidi w:val="0"/>
              <w:spacing w:before="0" w:after="1"/>
              <w:ind w:left="0" w:right="0" w:hanging="0"/>
              <w:jc w:val="center"/>
              <w:rPr/>
            </w:pPr>
            <w:r>
              <w:rPr/>
              <w:t>​</w:t>
            </w:r>
          </w:p>
        </w:tc>
        <w:tc>
          <w:tcPr>
            <w:tcW w:w="17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BTC</w:t>
            </w:r>
          </w:p>
        </w:tc>
        <w:tc>
          <w:tcPr>
            <w:tcW w:w="346" w:type="dxa"/>
            <w:tcBorders/>
            <w:shd w:fill="CCEEFF" w:val="clear"/>
            <w:vAlign w:val="center"/>
          </w:tcPr>
          <w:p>
            <w:pPr>
              <w:pStyle w:val="TableContents"/>
              <w:bidi w:val="0"/>
              <w:spacing w:before="0" w:after="1"/>
              <w:ind w:left="0" w:right="0" w:hanging="0"/>
              <w:jc w:val="center"/>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12,543</w:t>
            </w:r>
          </w:p>
        </w:tc>
        <w:tc>
          <w:tcPr>
            <w:tcW w:w="346"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5,262</w:t>
            </w:r>
          </w:p>
        </w:tc>
        <w:tc>
          <w:tcPr>
            <w:tcW w:w="34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(47,475)</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4,627</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USDS (Note)</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57,881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USDC</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4,678</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USDT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 (Note)</w:t>
            </w:r>
          </w:p>
        </w:tc>
        <w:tc>
          <w:tcPr>
            <w:tcW w:w="346" w:type="dxa"/>
            <w:tcBorders/>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12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21,871</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8,245</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42,893</w:t>
            </w:r>
          </w:p>
        </w:tc>
      </w:tr>
    </w:tbl>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Note:</w:t>
      </w:r>
    </w:p>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USDS is a cryptographic blockchain-based digital information unit token issued by the Group and only used in Group’s platform. Each USDS is equivalent to US$1.</w:t>
      </w:r>
    </w:p>
    <w:p>
      <w:pPr>
        <w:pStyle w:val="TextBody"/>
        <w:bidi w:val="0"/>
        <w:spacing w:before="0" w:after="180"/>
        <w:ind w:left="1440" w:right="0" w:hanging="0"/>
        <w:jc w:val="both"/>
        <w:rPr>
          <w:rFonts w:ascii="Times New Roman;Times;serif" w:hAnsi="Times New Roman;Times;serif"/>
          <w:sz w:val="20"/>
        </w:rPr>
      </w:pPr>
      <w:r>
        <w:rPr>
          <w:rFonts w:ascii="Times New Roman;Times;serif" w:hAnsi="Times New Roman;Times;serif"/>
          <w:sz w:val="20"/>
        </w:rPr>
        <w:t>Others mainly consist of “XRP”, “ADA”, “BCH”, “ADA”, “DOT” and “SOL”, no other crypto asset individually representing more than 1% of the total.</w:t>
      </w:r>
    </w:p>
    <w:tbl>
      <w:tblPr>
        <w:tblW w:w="3186" w:type="dxa"/>
        <w:jc w:val="left"/>
        <w:tblInd w:w="0" w:type="dxa"/>
        <w:tblLayout w:type="fixed"/>
        <w:tblCellMar>
          <w:top w:w="28" w:type="dxa"/>
          <w:left w:w="28" w:type="dxa"/>
          <w:bottom w:w="28" w:type="dxa"/>
          <w:right w:w="28" w:type="dxa"/>
        </w:tblCellMar>
      </w:tblPr>
      <w:tblGrid>
        <w:gridCol w:w="124"/>
        <w:gridCol w:w="31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compensation</w:t>
            </w:r>
          </w:p>
        </w:tc>
      </w:tr>
    </w:tbl>
    <w:p>
      <w:pPr>
        <w:pStyle w:val="TextBody"/>
        <w:bidi w:val="0"/>
        <w:spacing w:before="0" w:after="240"/>
        <w:ind w:left="720" w:right="0" w:hanging="0"/>
        <w:jc w:val="both"/>
        <w:rPr/>
      </w:pPr>
      <w:r>
        <w:rPr/>
        <w:t>​</w:t>
      </w:r>
    </w:p>
    <w:tbl>
      <w:tblPr>
        <w:tblW w:w="6392" w:type="dxa"/>
        <w:jc w:val="left"/>
        <w:tblInd w:w="0" w:type="dxa"/>
        <w:tblLayout w:type="fixed"/>
        <w:tblCellMar>
          <w:top w:w="0" w:type="dxa"/>
          <w:left w:w="0" w:type="dxa"/>
          <w:bottom w:w="0" w:type="dxa"/>
          <w:right w:w="0" w:type="dxa"/>
        </w:tblCellMar>
      </w:tblPr>
      <w:tblGrid>
        <w:gridCol w:w="3421"/>
        <w:gridCol w:w="346"/>
        <w:gridCol w:w="532"/>
        <w:gridCol w:w="395"/>
        <w:gridCol w:w="532"/>
        <w:gridCol w:w="395"/>
        <w:gridCol w:w="77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2172335" cy="175260"/>
                      <wp:effectExtent l="0" t="0" r="0" b="0"/>
                      <wp:wrapNone/>
                      <wp:docPr id="704" name="Frame701"/>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19710" cy="175260"/>
                      <wp:effectExtent l="0" t="0" r="0" b="0"/>
                      <wp:wrapNone/>
                      <wp:docPr id="705" name="Frame7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337820" cy="175260"/>
                      <wp:effectExtent l="0" t="0" r="0" b="0"/>
                      <wp:wrapNone/>
                      <wp:docPr id="706" name="Frame703"/>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250825" cy="175260"/>
                      <wp:effectExtent l="0" t="0" r="0" b="0"/>
                      <wp:wrapNone/>
                      <wp:docPr id="707" name="Frame704"/>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337820" cy="175260"/>
                      <wp:effectExtent l="0" t="0" r="0" b="0"/>
                      <wp:wrapNone/>
                      <wp:docPr id="708" name="Frame705"/>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50825" cy="175260"/>
                      <wp:effectExtent l="0" t="0" r="0" b="0"/>
                      <wp:wrapNone/>
                      <wp:docPr id="709" name="Frame706"/>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489585" cy="175260"/>
                      <wp:effectExtent l="0" t="0" r="0" b="0"/>
                      <wp:wrapNone/>
                      <wp:docPr id="710" name="Frame707"/>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w:t>
            </w:r>
          </w:p>
        </w:tc>
      </w:tr>
      <w:tr>
        <w:trPr/>
        <w:tc>
          <w:tcPr>
            <w:tcW w:w="3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5" w:type="dxa"/>
            <w:tcBorders/>
            <w:vAlign w:val="center"/>
          </w:tcPr>
          <w:p>
            <w:pPr>
              <w:pStyle w:val="TableContents"/>
              <w:bidi w:val="0"/>
              <w:spacing w:before="0" w:after="1"/>
              <w:ind w:left="0" w:right="0" w:hanging="0"/>
              <w:jc w:val="center"/>
              <w:rPr/>
            </w:pPr>
            <w:r>
              <w:rPr/>
              <w:t>  ​ ​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5" w:type="dxa"/>
            <w:tcBorders/>
            <w:vAlign w:val="center"/>
          </w:tcPr>
          <w:p>
            <w:pPr>
              <w:pStyle w:val="TableContents"/>
              <w:bidi w:val="0"/>
              <w:spacing w:before="0" w:after="1"/>
              <w:ind w:left="0" w:right="0" w:hanging="0"/>
              <w:jc w:val="center"/>
              <w:rPr/>
            </w:pPr>
            <w:r>
              <w:rPr/>
              <w:t>  ​ ​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Fees</w:t>
            </w:r>
          </w:p>
        </w:tc>
        <w:tc>
          <w:tcPr>
            <w:tcW w:w="346" w:type="dxa"/>
            <w:tcBorders/>
            <w:shd w:fill="CCEEFF" w:val="clear"/>
            <w:vAlign w:val="center"/>
          </w:tcPr>
          <w:p>
            <w:pPr>
              <w:pStyle w:val="TableContents"/>
              <w:bidi w:val="0"/>
              <w:spacing w:before="0" w:after="1"/>
              <w:ind w:left="0" w:right="0" w:hanging="0"/>
              <w:jc w:val="left"/>
              <w:rPr/>
            </w:pPr>
            <w:r>
              <w:rPr/>
              <w:t> </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pPr>
            <w:r>
              <w:rPr/>
              <w:t>—</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bonus and allowances</w:t>
            </w:r>
          </w:p>
        </w:tc>
        <w:tc>
          <w:tcPr>
            <w:tcW w:w="346" w:type="dxa"/>
            <w:tcBorders/>
            <w:vAlign w:val="center"/>
          </w:tcPr>
          <w:p>
            <w:pPr>
              <w:pStyle w:val="TableContents"/>
              <w:bidi w:val="0"/>
              <w:spacing w:before="0" w:after="1"/>
              <w:ind w:left="0" w:right="0" w:hanging="0"/>
              <w:jc w:val="left"/>
              <w:rPr/>
            </w:pPr>
            <w:r>
              <w:rPr/>
              <w:t> </w:t>
            </w:r>
          </w:p>
        </w:tc>
        <w:tc>
          <w:tcPr>
            <w:tcW w:w="532" w:type="dxa"/>
            <w:tcBorders/>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 </w:t>
            </w:r>
          </w:p>
        </w:tc>
        <w:tc>
          <w:tcPr>
            <w:tcW w:w="5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95"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34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Defined contribution retirement schemes</w:t>
            </w:r>
          </w:p>
        </w:tc>
        <w:tc>
          <w:tcPr>
            <w:tcW w:w="346" w:type="dxa"/>
            <w:tcBorders/>
            <w:shd w:fill="CCEEFF" w:val="clear"/>
            <w:vAlign w:val="center"/>
          </w:tcPr>
          <w:p>
            <w:pPr>
              <w:pStyle w:val="TableContents"/>
              <w:bidi w:val="0"/>
              <w:spacing w:before="0" w:after="1"/>
              <w:ind w:left="0" w:right="0" w:hanging="0"/>
              <w:jc w:val="left"/>
              <w:rPr/>
            </w:pPr>
            <w:r>
              <w:rPr/>
              <w:t> </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532" w:type="dxa"/>
            <w:tcBorders/>
            <w:shd w:fill="CCEEFF" w:val="cle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4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vAlign w:val="center"/>
          </w:tcPr>
          <w:p>
            <w:pPr>
              <w:pStyle w:val="TableContents"/>
              <w:bidi w:val="0"/>
              <w:spacing w:before="0" w:after="1"/>
              <w:ind w:left="0" w:right="0" w:hanging="0"/>
              <w:jc w:val="left"/>
              <w:rPr/>
            </w:pPr>
            <w:r>
              <w:rPr/>
              <w:t>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 </w:t>
            </w:r>
          </w:p>
        </w:tc>
        <w:tc>
          <w:tcPr>
            <w:tcW w:w="5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5" w:type="dxa"/>
            <w:tcBorders/>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5" w:type="dxa"/>
            <w:tcBorders/>
            <w:shd w:fill="CCEEFF" w:val="clear"/>
            <w:vAlign w:val="center"/>
          </w:tcPr>
          <w:p>
            <w:pPr>
              <w:pStyle w:val="TableContents"/>
              <w:bidi w:val="0"/>
              <w:spacing w:before="0" w:after="1"/>
              <w:ind w:left="0" w:right="0" w:hanging="0"/>
              <w:jc w:val="left"/>
              <w:rPr/>
            </w:pPr>
            <w:r>
              <w:rPr/>
              <w:t> </w:t>
            </w:r>
          </w:p>
        </w:tc>
        <w:tc>
          <w:tcPr>
            <w:tcW w:w="5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95" w:type="dxa"/>
            <w:tcBorders/>
            <w:shd w:fill="CCEEFF" w:val="clear"/>
            <w:vAlign w:val="center"/>
          </w:tcPr>
          <w:p>
            <w:pPr>
              <w:pStyle w:val="TableContents"/>
              <w:bidi w:val="0"/>
              <w:spacing w:before="0" w:after="1"/>
              <w:ind w:left="0" w:right="0" w:hanging="0"/>
              <w:jc w:val="left"/>
              <w:rPr/>
            </w:pPr>
            <w:r>
              <w:rPr/>
              <w:t> </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1,069</w:t>
            </w:r>
          </w:p>
        </w:tc>
      </w:tr>
    </w:tbl>
    <w:p>
      <w:pPr>
        <w:pStyle w:val="TextBody"/>
        <w:bidi w:val="0"/>
        <w:spacing w:before="0" w:after="240"/>
        <w:ind w:left="72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THE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(US$’000, except share data and per share data, or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Commitments and contingencies</w:t>
      </w:r>
    </w:p>
    <w:tbl>
      <w:tblPr>
        <w:tblW w:w="1416" w:type="dxa"/>
        <w:jc w:val="left"/>
        <w:tblInd w:w="0" w:type="dxa"/>
        <w:tblLayout w:type="fixed"/>
        <w:tblCellMar>
          <w:top w:w="28" w:type="dxa"/>
          <w:left w:w="28" w:type="dxa"/>
          <w:bottom w:w="28" w:type="dxa"/>
          <w:right w:w="28" w:type="dxa"/>
        </w:tblCellMar>
      </w:tblPr>
      <w:tblGrid>
        <w:gridCol w:w="124"/>
        <w:gridCol w:w="31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p>
        </w:tc>
      </w:tr>
    </w:tbl>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In the ordinary course of the business, the Company is subject to periodic legal or administrative proceedings. As of December 31, 2025, the Company is not a party to any legal or administrative proceedings which will have a material adverse effect on the Company’s business, financial position, results of operations and cash flows.</w:t>
      </w:r>
    </w:p>
    <w:tbl>
      <w:tblPr>
        <w:tblW w:w="2346" w:type="dxa"/>
        <w:jc w:val="left"/>
        <w:tblInd w:w="0" w:type="dxa"/>
        <w:tblLayout w:type="fixed"/>
        <w:tblCellMar>
          <w:top w:w="28" w:type="dxa"/>
          <w:left w:w="28" w:type="dxa"/>
          <w:bottom w:w="28" w:type="dxa"/>
          <w:right w:w="28" w:type="dxa"/>
        </w:tblCellMar>
      </w:tblPr>
      <w:tblGrid>
        <w:gridCol w:w="124"/>
        <w:gridCol w:w="331"/>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commitments</w:t>
            </w:r>
          </w:p>
        </w:tc>
      </w:tr>
    </w:tbl>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As of December 31, 2024 and 2025, the Company had no capital commitments.</w:t>
      </w:r>
    </w:p>
    <w:p>
      <w:pPr>
        <w:pStyle w:val="TextBody"/>
        <w:bidi w:val="0"/>
        <w:spacing w:before="0" w:after="0"/>
        <w:ind w:left="0" w:right="0" w:hanging="0"/>
        <w:jc w:val="left"/>
        <w:rPr/>
      </w:pPr>
      <w:r>
        <w:rPr/>
        <w:t>​</w:t>
      </w:r>
    </w:p>
    <w:tbl>
      <w:tblPr>
        <w:tblW w:w="2042" w:type="dxa"/>
        <w:jc w:val="left"/>
        <w:tblInd w:w="0" w:type="dxa"/>
        <w:tblLayout w:type="fixed"/>
        <w:tblCellMar>
          <w:top w:w="0" w:type="dxa"/>
          <w:left w:w="0" w:type="dxa"/>
          <w:bottom w:w="0" w:type="dxa"/>
          <w:right w:w="0" w:type="dxa"/>
        </w:tblCellMar>
      </w:tblPr>
      <w:tblGrid>
        <w:gridCol w:w="376"/>
        <w:gridCol w:w="1666"/>
      </w:tblGrid>
      <w:tr>
        <w:trPr/>
        <w:tc>
          <w:tcPr>
            <w:tcW w:w="37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33.</w:t>
            </w:r>
          </w:p>
        </w:tc>
        <w:tc>
          <w:tcPr>
            <w:tcW w:w="1666" w:type="dxa"/>
            <w:tcBorders/>
            <w:vAlign w:val="center"/>
          </w:tcPr>
          <w:p>
            <w:pPr>
              <w:pStyle w:val="TableContents"/>
              <w:bidi w:val="0"/>
              <w:spacing w:before="0" w:after="16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April 2026, the Group entered into a service agreement with Lead Accelerating Limited, a wholly owned subsidiary of Amber Global Limited, pursuant to which we agreed to provide platform technical, platform and operational services through a self-developed technology platform in connection with the market making business beginning in the second quarter of 2026.</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Except as disclosed above, the Company evaluated subsequent events from December 31, 2025 through the date when the consolidated financial statements were issued, and concluded that no other subsequent events have occurred that would require recognition or disclosure in the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938" w:name="tobepresented_110424"/>
      <w:bookmarkEnd w:id="2938"/>
      <w:r>
        <w:rPr>
          <w:rFonts w:ascii="Times New Roman;Times;serif" w:hAnsi="Times New Roman;Times;serif"/>
          <w:b/>
          <w:i w:val="false"/>
          <w:caps w:val="false"/>
          <w:smallCaps w:val="false"/>
          <w:sz w:val="20"/>
        </w:rPr>
        <w:t>34.</w:t>
      </w:r>
      <w:r>
        <w:rPr>
          <w:rFonts w:ascii="Times New Roman;Times;serif" w:hAnsi="Times New Roman;Times;serif"/>
          <w:b/>
          <w:sz w:val="20"/>
        </w:rPr>
        <w:t>Restricted net assets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Relevant PRC laws and regulations permit payments of dividends by the Company’s subsidiary and VIE incorporated in the PRC only out of their retained earnings, if any, as determined in accordance with PRC accounting standards and regulations. In addition, the Company’s PRC subsidiary and VIE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PRC subsidiary and VIE are restricted in their ability to transfer a portion of their net assets to the Company either in the form of dividends, loans or advances. Even though Amber International currently does not require any such dividends, loans or advances from the PRC entities for working capital and other funding purposes, Amber International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Company’s PRC subsidiary and VIE to satisfy any obligations of Amber International.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Furthermore, cash transfers from Amber International’s PRC subsidiaries to its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Amber International, or otherwise satisfy their foreign currency denominated obligations.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of December 31, 2025, no funds are available for distribution by Amber International’s PRC subsidiary and VIE. Except for the above there is no other restriction on the use of proceeds generated by Amber International’s PRC subsidiary and VIE to satisfy any obligations of Amber International.</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The Group performed a test on the restricted net assets of its subsidiaries and VIEs in accordance with Securities and Exchange Commission Regulation S — X Rule 4 — 08 (e) (3), “General Notes to Financial Statements” and concluded that the restricted net assets do not exceed 25% of the consolidated net assets of the Group as of December 31, 2025 and the condensed financial information of the parent company are not required to be presented.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F-89</w:t>
      </w:r>
    </w:p>
    <w:p>
      <w:pPr>
        <w:pStyle w:val="TextBody"/>
        <w:bidi w:val="0"/>
        <w:spacing w:before="0" w:after="240"/>
        <w:ind w:left="0" w:right="0" w:hanging="0"/>
        <w:jc w:val="right"/>
        <w:rPr>
          <w:rFonts w:ascii="Times New Roman;Times;serif" w:hAnsi="Times New Roman;Times;serif"/>
          <w:b/>
          <w:sz w:val="20"/>
        </w:rPr>
      </w:pPr>
      <w:bookmarkStart w:id="2939" w:name="ambr-20251231xex8d1.htm"/>
      <w:bookmarkStart w:id="2940" w:name="ksambr20251231xex8d1"/>
      <w:bookmarkEnd w:id="2939"/>
      <w:bookmarkEnd w:id="2940"/>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Subsidiaries of Amber International Holding Limited</w:t>
      </w:r>
    </w:p>
    <w:tbl>
      <w:tblPr>
        <w:tblW w:w="8645" w:type="dxa"/>
        <w:jc w:val="left"/>
        <w:tblInd w:w="0" w:type="dxa"/>
        <w:tblLayout w:type="fixed"/>
        <w:tblCellMar>
          <w:top w:w="0" w:type="dxa"/>
          <w:left w:w="0" w:type="dxa"/>
          <w:bottom w:w="28" w:type="dxa"/>
          <w:right w:w="0" w:type="dxa"/>
        </w:tblCellMar>
      </w:tblPr>
      <w:tblGrid>
        <w:gridCol w:w="4426"/>
        <w:gridCol w:w="346"/>
        <w:gridCol w:w="961"/>
        <w:gridCol w:w="526"/>
        <w:gridCol w:w="2386"/>
      </w:tblGrid>
      <w:tr>
        <w:trPr/>
        <w:tc>
          <w:tcPr>
            <w:tcW w:w="442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9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Subsidiaries</w:t>
            </w:r>
          </w:p>
        </w:tc>
        <w:tc>
          <w:tcPr>
            <w:tcW w:w="526" w:type="dxa"/>
            <w:tcBorders>
              <w:bottom w:val="single" w:sz="8" w:space="0" w:color="000000"/>
            </w:tcBorders>
            <w:vAlign w:val="center"/>
          </w:tcPr>
          <w:p>
            <w:pPr>
              <w:pStyle w:val="TableContents"/>
              <w:bidi w:val="0"/>
              <w:spacing w:before="0" w:after="0"/>
              <w:ind w:left="0" w:right="0" w:hanging="0"/>
              <w:jc w:val="left"/>
              <w:rPr/>
            </w:pPr>
            <w:r>
              <w:rPr/>
              <w:t>  ​ ​ ​</w:t>
            </w:r>
          </w:p>
        </w:tc>
        <w:tc>
          <w:tcPr>
            <w:tcW w:w="238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Place of Incorporation</w:t>
            </w:r>
          </w:p>
        </w:tc>
      </w:tr>
      <w:tr>
        <w:trPr/>
        <w:tc>
          <w:tcPr>
            <w:tcW w:w="442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DWM Holding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Match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Premium FZE</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Dubai</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DWM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Holdings Pte. Ltd.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Tech Private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Digital Pte. Ltd.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Fund Management Pte. Ltd.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Sparrow Operations Private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BetaForce Holding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Macro Investment Holding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Macro Ventures Holding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Beta Major Investment Holding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MegaVoyage Holding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Core Markets Holding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Cayman Islands</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Market Pulse Holding Limited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Optimix Media Asia Limited</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Asia Limited</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iClick Interactive (Singapore) Pte. Ltd.</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Singapore</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Diablo Holdings Corporation</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Harmattan Capital Holdings Corporation</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British Virgin Islands</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Search (Asia) Limited</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Search Asia Technology (Shenzhen) Co., Ltd.</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Group Holding Limited </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Beyond Digital Solutions Limited </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CMRS Digital Solutions Limited </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Digital Solutions Limited </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CruiSo Directions Limited </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SociaLink Consultancy Limited </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Hong Kong</w:t>
            </w:r>
          </w:p>
        </w:tc>
      </w:tr>
      <w:tr>
        <w:trPr/>
        <w:tc>
          <w:tcPr>
            <w:tcW w:w="44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Guangzhou Kushu Information Technology Co., Ltd.</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6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8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r>
        <w:trPr/>
        <w:tc>
          <w:tcPr>
            <w:tcW w:w="44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OptAim Network Technology Co., Ltd.</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6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52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sz w:val="15"/>
              </w:rPr>
              <w:t>(1)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People’s Republic of China</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VIE.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2941" w:name="ambr-20251231xex11d2.htm"/>
      <w:bookmarkStart w:id="2942" w:name="ksambr20251231xex11d2"/>
      <w:bookmarkEnd w:id="2941"/>
      <w:bookmarkEnd w:id="2942"/>
      <w:r>
        <w:rPr>
          <w:rFonts w:ascii="Times New Roman;Times;serif" w:hAnsi="Times New Roman;Times;serif"/>
          <w:b/>
          <w:caps/>
          <w:sz w:val="20"/>
        </w:rPr>
        <w:t>E</w:t>
      </w:r>
      <w:r>
        <w:rPr>
          <w:rFonts w:ascii="Times New Roman;Times;serif" w:hAnsi="Times New Roman;Times;serif"/>
          <w:b/>
          <w:sz w:val="20"/>
        </w:rPr>
        <w:t>xhibit</w:t>
      </w:r>
      <w:r>
        <w:rPr>
          <w:rFonts w:ascii="Times New Roman;Times;serif" w:hAnsi="Times New Roman;Times;serif"/>
          <w:caps/>
          <w:sz w:val="20"/>
        </w:rPr>
        <w:t xml:space="preserve"> </w:t>
      </w:r>
      <w:r>
        <w:rPr>
          <w:rFonts w:ascii="Times New Roman;Times;serif" w:hAnsi="Times New Roman;Times;serif"/>
          <w:b/>
          <w:caps/>
          <w:sz w:val="20"/>
        </w:rPr>
        <w:t>11.2</w:t>
      </w:r>
      <w:r>
        <w:br w:type="page"/>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Amber International Holding Limited</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 xml:space="preserve">Statement of PolicIES Governing Material Non-Public Information, </w:t>
        <w:br/>
        <w:t>TRADing IN COMPANY SECURITIES BY INSIDERS and</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The Prevention of InsideR Trading</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of Amber International Holding Limited on 18 March 2026, effective immediately)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of Policies Governing Material Non-Public Information, Trading In Company Securities By Insiders and the Prevention of Insider Trading (this “</w:t>
      </w:r>
      <w:r>
        <w:rPr>
          <w:rFonts w:ascii="Times New Roman;Times;serif" w:hAnsi="Times New Roman;Times;serif"/>
          <w:sz w:val="20"/>
          <w:u w:val="single"/>
        </w:rPr>
        <w:t>Statement</w:t>
      </w:r>
      <w:r>
        <w:rPr>
          <w:rFonts w:ascii="Times New Roman;Times;serif" w:hAnsi="Times New Roman;Times;serif"/>
          <w:sz w:val="20"/>
        </w:rPr>
        <w:t>”) applies to all directors, officers, employees and consultants of Amber International Holding Limited and its subsidiaries and variable interest entities (collectively, the “</w:t>
      </w:r>
      <w:r>
        <w:rPr>
          <w:rFonts w:ascii="Times New Roman;Times;serif" w:hAnsi="Times New Roman;Times;serif"/>
          <w:sz w:val="20"/>
          <w:u w:val="single"/>
        </w:rPr>
        <w:t>Company</w:t>
      </w:r>
      <w:r>
        <w:rPr>
          <w:rFonts w:ascii="Times New Roman;Times;serif" w:hAnsi="Times New Roman;Times;serif"/>
          <w:sz w:val="20"/>
        </w:rPr>
        <w:t>”)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w:t>
      </w:r>
      <w:r>
        <w:rPr>
          <w:rFonts w:ascii="Times New Roman;Times;serif" w:hAnsi="Times New Roman;Times;serif"/>
          <w:sz w:val="20"/>
          <w:u w:val="single"/>
        </w:rPr>
        <w:t>Insider(s)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Every Insider must review this Statement, and execute and return the Certificate of Compliance attached hereto to the Legal Department of the Company (the “</w:t>
      </w:r>
      <w:r>
        <w:rPr>
          <w:rFonts w:ascii="Times New Roman;Times;serif" w:hAnsi="Times New Roman;Times;serif"/>
          <w:sz w:val="20"/>
          <w:u w:val="single"/>
        </w:rPr>
        <w:t>Legal Department</w:t>
      </w:r>
      <w:r>
        <w:rPr>
          <w:rFonts w:ascii="Times New Roman;Times;serif" w:hAnsi="Times New Roman;Times;serif"/>
          <w:sz w:val="20"/>
        </w:rPr>
        <w:t>”) within seven (7) days after you receive this Statement.  Questions regarding the Statement should be directed to the Legal Department at ambr.legal@ambr.io (email).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Statement consists of five sections: Section I provides an overview; Section II sets forth the Company’s policies prohibiting insider trading. Section III explains insider trading, Section IV describes the rules and guidelines for transactions under Rule 10b5-1 plans, and Section V sets forth the additional requirements for Section 16 Insiders.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SUMMARY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Preventing insider trading is necessary to comply with United States securities law and to preserve the reputation and integrity of the Company as well as that of all persons affiliated with it.  “Insider trading” occurs when any person purchases or sells securities while in possession of inside information relating to such securities.  As explained in Section III below, “</w:t>
      </w:r>
      <w:r>
        <w:rPr>
          <w:rFonts w:ascii="Times New Roman;Times;serif" w:hAnsi="Times New Roman;Times;serif"/>
          <w:sz w:val="20"/>
          <w:u w:val="single"/>
        </w:rPr>
        <w:t>inside information</w:t>
      </w:r>
      <w:r>
        <w:rPr>
          <w:rFonts w:ascii="Times New Roman;Times;serif" w:hAnsi="Times New Roman;Times;serif"/>
          <w:sz w:val="20"/>
        </w:rPr>
        <w:t>” is information which is considered to be both “material” and “non-public.”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strict compliance with the policies (the “</w:t>
      </w:r>
      <w:r>
        <w:rPr>
          <w:rFonts w:ascii="Times New Roman;Times;serif" w:hAnsi="Times New Roman;Times;serif"/>
          <w:sz w:val="20"/>
          <w:u w:val="single"/>
        </w:rPr>
        <w:t>Policy</w:t>
      </w:r>
      <w:r>
        <w:rPr>
          <w:rFonts w:ascii="Times New Roman;Times;serif" w:hAnsi="Times New Roman;Times;serif"/>
          <w:sz w:val="20"/>
        </w:rPr>
        <w:t>”) set forth in this Statement to be a matter of utmost importance.  Violation of this Policy could cause extreme reputational damage and possible legal liability to you and the Company.  Knowing or willful violations of this Statement or spirit of this Policy will be grounds for immediate dismissal from the Company.  Violation of the Policy might expose the violator to severe criminal penalties as well as civil liability to any person injured by the violation.  The monetary damages flowing from a violation could be three times the profit realized by the violator, as well as the attorney’s fees of the persons injured.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POLICIES PROHIBITING INSIDER TRADING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Statement, while the terms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sell</w:t>
      </w:r>
      <w:r>
        <w:rPr>
          <w:rFonts w:ascii="Times New Roman;Times;serif" w:hAnsi="Times New Roman;Times;serif"/>
          <w:sz w:val="20"/>
        </w:rPr>
        <w:t>” of securities exclude the acceptance of options granted by the Company thereof and the exercise of options that does not involve the sale of securities, the cashless exercise of options does involve the sale of securities and therefore is subject to the policies set forth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b/>
          <w:i/>
          <w:sz w:val="20"/>
          <w:u w:val="single"/>
        </w:rPr>
        <w:t>No Trading</w:t>
      </w:r>
      <w:r>
        <w:rPr>
          <w:rFonts w:ascii="Times New Roman;Times;serif" w:hAnsi="Times New Roman;Times;serif"/>
          <w:sz w:val="20"/>
        </w:rPr>
        <w:t> - </w:t>
      </w:r>
      <w:r>
        <w:rPr>
          <w:rFonts w:ascii="Times New Roman;Times;serif" w:hAnsi="Times New Roman;Times;serif"/>
          <w:b/>
          <w:sz w:val="20"/>
        </w:rPr>
        <w:t>No Insider shall purchase or sell any securities of the Company or enter into a binding security trading plan in compliance with Rule 10b5-1 under the U.S. Securities Exchange Act of 1934, as amended (the “Exchange Act,” and such a plan, a “Rule 10b5-1 plan”) while in possession of material, non-public information relating to the Company, its ADSs or other securities (the “Material Information”) or during certain periods</w:t>
      </w:r>
      <w:r>
        <w:rPr>
          <w:rFonts w:ascii="Times New Roman;Times;serif" w:hAnsi="Times New Roman;Times;serif"/>
          <w:sz w:val="20"/>
        </w:rPr>
        <w:t>. See Section III-IV for additional procedures and guidelines regarding Rule 10b5-1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Nasdaq following such public disclosure.  The term “</w:t>
      </w:r>
      <w:r>
        <w:rPr>
          <w:rFonts w:ascii="Times New Roman;Times;serif" w:hAnsi="Times New Roman;Times;serif"/>
          <w:sz w:val="20"/>
          <w:u w:val="single"/>
        </w:rPr>
        <w:t>Trading Day</w:t>
      </w:r>
      <w:r>
        <w:rPr>
          <w:rFonts w:ascii="Times New Roman;Times;serif" w:hAnsi="Times New Roman;Times;serif"/>
          <w:sz w:val="20"/>
        </w:rPr>
        <w:t>” is defined as a day on which Nasdaq is open for trading.  Except for public holidays in the United States, Nasdaq’s regular trading hours are from 9:30 a.m. to 4:00 p.m., New York City time, Monday through Friday.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no Insider shall purchase or sell any securities of the Company or enter into a Rule 10b5-1 plan, regardless of whether such Insider possesses any Material Information, (1) during any period commencing on the last day of the last month of each fiscal quarter and ending at the close of trading on the second Trading Day following the date upon which the Company’s earnings statement for that fiscal quarter is released to the public; or (2) without the prior clearance by the Legal Department, during any period designated as a “</w:t>
      </w:r>
      <w:r>
        <w:rPr>
          <w:rFonts w:ascii="Times New Roman;Times;serif" w:hAnsi="Times New Roman;Times;serif"/>
          <w:sz w:val="20"/>
          <w:u w:val="single"/>
        </w:rPr>
        <w:t>limited trading period</w:t>
      </w:r>
      <w:r>
        <w:rPr>
          <w:rFonts w:ascii="Times New Roman;Times;serif" w:hAnsi="Times New Roman;Times;serif"/>
          <w:sz w:val="20"/>
        </w:rPr>
        <w:t>.”  The Legal Department may declare limited trading periods at the times that he deems appropriate, and need not provide any reason for making a declaration.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beginning on December 31 of each fiscal year, no Insider shall purchase or sell any security of the Company until the close of trading on the second Trading Day following the date of the Company’s release of its financial results for the fiscal year ended on December 31 of the prior year. Please see Section III below for an explanation of the Material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b/>
          <w:i/>
          <w:sz w:val="20"/>
          <w:u w:val="single"/>
        </w:rPr>
        <w:t>Trading Window for Directors, Officers and Key Employees</w:t>
      </w:r>
      <w:r>
        <w:rPr>
          <w:rFonts w:ascii="Times New Roman;Times;serif" w:hAnsi="Times New Roman;Times;serif"/>
          <w:sz w:val="20"/>
        </w:rPr>
        <w:t> – </w:t>
      </w:r>
      <w:r>
        <w:rPr>
          <w:rFonts w:ascii="Times New Roman;Times;serif" w:hAnsi="Times New Roman;Times;serif"/>
          <w:b/>
          <w:sz w:val="20"/>
        </w:rPr>
        <w:t>Assuming none of the “no trading” restrictions set forth in Section II-A above applies, officers, directors and key employees designated by the Company may only purchase or sell any securities of the Company or enter into a Rule 10b5-1 plan or any other non-Rule 10b5-1 plan during the “Trading Window.”  </w:t>
      </w:r>
      <w:r>
        <w:rPr>
          <w:rFonts w:ascii="Times New Roman;Times;serif" w:hAnsi="Times New Roman;Times;serif"/>
          <w:sz w:val="20"/>
        </w:rPr>
        <w:t>Generally, there will be four Trading Windows per year, each commencing with the close of trading on the second Trading Day following the date upon which the Company’s financial results for the prior fiscal quarter is released to the public and closing on the last day of the last month of each fiscal quarter.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all transactions in the Company securities (including without limitation, acquisitions and dispositions of the ADSs and the sale of ordinary shares issued upon exercise of stock options and the execution of a Rule 10b5-1 plan , but excluding the acceptance of options granted by the Company and the exercise of options that does not involve the sale of securities) by officers,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key employees (for the purpose of this Policy, key employees refer to employees with M3 Grade (if applicable) or equivalent or above, and Finance employees who have access to sensitive financial information) designated by the Company from time to time must be pre-approved by the Legal Department. A form for such purposes is provided as Attachment 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Company’s public disclosure of its financial results for the prior period occurs on a Trading Day more than four hours before Nasdaq closes, then such date of disclosure shall be considered the first Trading Day following such public disclosure.</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Please note that trading in Company securities during the Trading Window is not a “safe harbor,” and all Insiders should strictly comply with all other policies set forth in this Statement.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When in doubt, do not trade!  Check with the Legal Department first.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b/>
          <w:i/>
          <w:sz w:val="20"/>
          <w:u w:val="single"/>
        </w:rPr>
        <w:t>No Tipping</w:t>
      </w:r>
      <w:r>
        <w:rPr>
          <w:rFonts w:ascii="Times New Roman;Times;serif" w:hAnsi="Times New Roman;Times;serif"/>
          <w:sz w:val="20"/>
        </w:rPr>
        <w:t> - No Insider shall directly or indirectly disclose any Material Information to anyone who trades in securities (so-called “</w:t>
      </w:r>
      <w:r>
        <w:rPr>
          <w:rFonts w:ascii="Times New Roman;Times;serif" w:hAnsi="Times New Roman;Times;serif"/>
          <w:sz w:val="20"/>
          <w:u w:val="single"/>
        </w:rPr>
        <w:t>tipping</w:t>
      </w:r>
      <w:r>
        <w:rPr>
          <w:rFonts w:ascii="Times New Roman;Times;serif" w:hAnsi="Times New Roman;Times;serif"/>
          <w:sz w:val="20"/>
        </w:rPr>
        <w:t>”) while in possession of such Material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b/>
          <w:i/>
          <w:sz w:val="20"/>
          <w:u w:val="single"/>
        </w:rPr>
        <w:t>Confidentiality</w:t>
      </w:r>
      <w:r>
        <w:rPr>
          <w:rFonts w:ascii="Times New Roman;Times;serif" w:hAnsi="Times New Roman;Times;serif"/>
          <w:sz w:val="20"/>
        </w:rPr>
        <w:t> - No Insider shall communicate any Material Information to anyone outside the Company under any circumstances unless approved by the Legal Department in advance, or to anyone within the Company other than on a need-to-know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b/>
          <w:i/>
          <w:sz w:val="20"/>
          <w:u w:val="single"/>
        </w:rPr>
        <w:t>No Comment</w:t>
      </w:r>
      <w:r>
        <w:rPr>
          <w:rFonts w:ascii="Times New Roman;Times;serif" w:hAnsi="Times New Roman;Times;serif"/>
          <w:sz w:val="20"/>
        </w:rPr>
        <w:t> - No Insider shall discuss any internal matters or developments of the Company with anyone outside of the Company, except as required in the performance of regular corporate duties.  Unless you are expressly authorized to the contrary, if you receive any inquiries about the Company or its securities by the financial press, investment analysts or others, or any requests for comments or interviews, you should decline to comment and direct the inquiry or request to the Legal Department.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b/>
          <w:i/>
          <w:sz w:val="20"/>
          <w:u w:val="single"/>
        </w:rPr>
        <w:t>Corrective Action</w:t>
      </w:r>
      <w:r>
        <w:rPr>
          <w:rFonts w:ascii="Times New Roman;Times;serif" w:hAnsi="Times New Roman;Times;serif"/>
          <w:sz w:val="20"/>
        </w:rPr>
        <w:t> - If any potentially Material Information is inadvertently disclosed, any Insider should notify the Legal Department immediately so that the Company can determine whether or not corrective action, such as general disclosure to the public, is warranted.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EXPLANATION OF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w:t>
      </w:r>
      <w:r>
        <w:rPr>
          <w:rFonts w:ascii="Times New Roman;Times;serif" w:hAnsi="Times New Roman;Times;serif"/>
          <w:sz w:val="20"/>
          <w:u w:val="single"/>
        </w:rPr>
        <w:t>insider trading</w:t>
      </w:r>
      <w:r>
        <w:rPr>
          <w:rFonts w:ascii="Times New Roman;Times;serif" w:hAnsi="Times New Roman;Times;serif"/>
          <w:sz w:val="20"/>
        </w:rPr>
        <w:t>” refers to the purchase or sale of securities while in possession of “</w:t>
      </w:r>
      <w:r>
        <w:rPr>
          <w:rFonts w:ascii="Times New Roman;Times;serif" w:hAnsi="Times New Roman;Times;serif"/>
          <w:sz w:val="20"/>
          <w:u w:val="single"/>
        </w:rPr>
        <w:t>material</w:t>
      </w:r>
      <w:r>
        <w:rPr>
          <w:rFonts w:ascii="Times New Roman;Times;serif" w:hAnsi="Times New Roman;Times;serif"/>
          <w:sz w:val="20"/>
        </w:rPr>
        <w:t>” and “</w:t>
      </w:r>
      <w:r>
        <w:rPr>
          <w:rFonts w:ascii="Times New Roman;Times;serif" w:hAnsi="Times New Roman;Times;serif"/>
          <w:sz w:val="20"/>
          <w:u w:val="single"/>
        </w:rPr>
        <w:t>non-public</w:t>
      </w:r>
      <w:r>
        <w:rPr>
          <w:rFonts w:ascii="Times New Roman;Times;serif" w:hAnsi="Times New Roman;Times;serif"/>
          <w:sz w:val="20"/>
        </w:rPr>
        <w:t>” information relating to such securities.  “</w:t>
      </w:r>
      <w:r>
        <w:rPr>
          <w:rFonts w:ascii="Times New Roman;Times;serif" w:hAnsi="Times New Roman;Times;serif"/>
          <w:sz w:val="20"/>
          <w:u w:val="single"/>
        </w:rPr>
        <w:t>Securities</w:t>
      </w:r>
      <w:r>
        <w:rPr>
          <w:rFonts w:ascii="Times New Roman;Times;serif" w:hAnsi="Times New Roman;Times;serif"/>
          <w:sz w:val="20"/>
        </w:rPr>
        <w:t>” include not only stocks, bonds, notes and debentures, but also options, warrants and similar instruments.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sale</w:t>
      </w:r>
      <w:r>
        <w:rPr>
          <w:rFonts w:ascii="Times New Roman;Times;serif" w:hAnsi="Times New Roman;Times;serif"/>
          <w:sz w:val="20"/>
        </w:rPr>
        <w:t>” are defined broadly under the federal securities law.  “</w:t>
      </w:r>
      <w:r>
        <w:rPr>
          <w:rFonts w:ascii="Times New Roman;Times;serif" w:hAnsi="Times New Roman;Times;serif"/>
          <w:sz w:val="20"/>
          <w:u w:val="single"/>
        </w:rPr>
        <w:t>Purchase</w:t>
      </w:r>
      <w:r>
        <w:rPr>
          <w:rFonts w:ascii="Times New Roman;Times;serif" w:hAnsi="Times New Roman;Times;serif"/>
          <w:sz w:val="20"/>
        </w:rPr>
        <w:t>” includes not only the actual purchase of securities, but any contract to purchase or otherwise acquire securities.  “</w:t>
      </w:r>
      <w:r>
        <w:rPr>
          <w:rFonts w:ascii="Times New Roman;Times;serif" w:hAnsi="Times New Roman;Times;serif"/>
          <w:sz w:val="20"/>
          <w:u w:val="single"/>
        </w:rPr>
        <w:t>Sale</w:t>
      </w:r>
      <w:r>
        <w:rPr>
          <w:rFonts w:ascii="Times New Roman;Times;serif" w:hAnsi="Times New Roman;Times;serif"/>
          <w:sz w:val="20"/>
        </w:rPr>
        <w:t>” includes not only the actual sale of securities, but any contract to sell or otherwise dispose of securities.  These definitions extend to a broad range of transactions including conventional cash-for-stock transactions, the grant and exercise of stock options and acquisitions and exercises of warrants or puts, calls or other options related to the securities.  It is generally understood that insider trading includes the following:</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Insiders while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by persons other than Insiders while in possession of material, non-public information where the information either was given in breach of an Insider’s fiduciary duty to keep it confidential or was misappropriated;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communicating or tipping material, non-public information to others, including recommending the purchase or sale of the securities while in possession of such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noted above, for purposes of this Statement, the terms “</w:t>
      </w:r>
      <w:r>
        <w:rPr>
          <w:rFonts w:ascii="Times New Roman;Times;serif" w:hAnsi="Times New Roman;Times;serif"/>
          <w:sz w:val="20"/>
          <w:u w:val="single"/>
        </w:rPr>
        <w:t>purchase</w:t>
      </w:r>
      <w:r>
        <w:rPr>
          <w:rFonts w:ascii="Times New Roman;Times;serif" w:hAnsi="Times New Roman;Times;serif"/>
          <w:sz w:val="20"/>
        </w:rPr>
        <w:t>” and “</w:t>
      </w:r>
      <w:r>
        <w:rPr>
          <w:rFonts w:ascii="Times New Roman;Times;serif" w:hAnsi="Times New Roman;Times;serif"/>
          <w:sz w:val="20"/>
          <w:u w:val="single"/>
        </w:rPr>
        <w:t>sell</w:t>
      </w:r>
      <w:r>
        <w:rPr>
          <w:rFonts w:ascii="Times New Roman;Times;serif" w:hAnsi="Times New Roman;Times;serif"/>
          <w:sz w:val="20"/>
        </w:rPr>
        <w:t>” of securities exclude the acceptance of options granted by the issuer thereof and the exercise of options that does not involve the sale of securities.  Among other things, the cashless exercise of options does involve the sale of securities and therefore is subject to the policies set forth in this Statement.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A. </w:t>
      </w:r>
      <w:r>
        <w:rPr>
          <w:rFonts w:ascii="Times New Roman;Times;serif" w:hAnsi="Times New Roman;Times;serif"/>
          <w:b/>
          <w:i/>
          <w:sz w:val="20"/>
          <w:u w:val="single"/>
        </w:rPr>
        <w:t>What Facts are Material</w:t>
      </w:r>
      <w:r>
        <w:rPr>
          <w:rFonts w:ascii="Times New Roman;Times;serif" w:hAnsi="Times New Roman;Times;serif"/>
          <w:b/>
          <w:i/>
          <w:caps/>
          <w:sz w:val="20"/>
          <w:u w:val="single"/>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materiality of a fact depends upon the circumstances.  A fact is considered “</w:t>
      </w:r>
      <w:r>
        <w:rPr>
          <w:rFonts w:ascii="Times New Roman;Times;serif" w:hAnsi="Times New Roman;Times;serif"/>
          <w:sz w:val="20"/>
          <w:u w:val="single"/>
        </w:rPr>
        <w:t>material</w:t>
      </w:r>
      <w:r>
        <w:rPr>
          <w:rFonts w:ascii="Times New Roman;Times;serif" w:hAnsi="Times New Roman;Times;serif"/>
          <w:sz w:val="20"/>
        </w:rPr>
        <w:t>” if it could reasonably be expected to affect the decision of a reasonable investor to buy, sell or hold the Company’s securities or where the fact is likely to have a significant effect on the market price of the Company’s securities.  Material Information can be positive or negative and can relate to virtually any aspect of a company’s business or to any type of securities, debt or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Examples of Material Information include (but are not limited to) information concerning:</w:t>
      </w:r>
    </w:p>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earnings or earnings forecasts;</w:t>
            </w:r>
          </w:p>
        </w:tc>
      </w:tr>
    </w:tbl>
    <w:tbl>
      <w:tblPr>
        <w:tblW w:w="3888" w:type="dxa"/>
        <w:jc w:val="left"/>
        <w:tblInd w:w="0" w:type="dxa"/>
        <w:tblLayout w:type="fixed"/>
        <w:tblCellMar>
          <w:top w:w="0" w:type="dxa"/>
          <w:left w:w="0" w:type="dxa"/>
          <w:bottom w:w="0" w:type="dxa"/>
          <w:right w:w="0" w:type="dxa"/>
        </w:tblCellMar>
      </w:tblPr>
      <w:tblGrid>
        <w:gridCol w:w="23"/>
        <w:gridCol w:w="17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condition or asset value;</w:t>
            </w:r>
          </w:p>
        </w:tc>
      </w:tr>
    </w:tbl>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for the mergers or acquisitions or dispositions of significant subsidiaries or assets;</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negotiations for material business alliance and collaboration arrangements;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contracts or the loss of a significant contract;</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new products or services;</w:t>
            </w:r>
          </w:p>
        </w:tc>
      </w:tr>
    </w:tbl>
    <w:tbl>
      <w:tblPr>
        <w:tblW w:w="4518" w:type="dxa"/>
        <w:jc w:val="left"/>
        <w:tblInd w:w="0" w:type="dxa"/>
        <w:tblLayout w:type="fixed"/>
        <w:tblCellMar>
          <w:top w:w="0" w:type="dxa"/>
          <w:left w:w="0" w:type="dxa"/>
          <w:bottom w:w="0" w:type="dxa"/>
          <w:right w:w="0" w:type="dxa"/>
        </w:tblCellMar>
      </w:tblPr>
      <w:tblGrid>
        <w:gridCol w:w="23"/>
        <w:gridCol w:w="17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marketing plans or changes in such plans;</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investment plans or changes in such plans;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litigation, administrative action or governmental investigations or inquiries about the Company or any of its affiliated companies, officers or directors;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borrowings or financings;</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on borrowings;</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equity or debt offerings;</w:t>
            </w:r>
          </w:p>
        </w:tc>
      </w:tr>
    </w:tbl>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personnel changes;</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methods and write-offs;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substantial change in industry circumstances or competitive conditions which could significantly affect the Company’s earnings or prospects for expansion.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good general rule of thumb: </w:t>
      </w:r>
      <w:r>
        <w:rPr>
          <w:rFonts w:ascii="Times New Roman;Times;serif" w:hAnsi="Times New Roman;Times;serif"/>
          <w:b/>
          <w:sz w:val="20"/>
        </w:rPr>
        <w:t>when in doubt, do not trade.  </w:t>
      </w:r>
      <w:r>
        <w:rPr>
          <w:rFonts w:ascii="Times New Roman;Times;serif" w:hAnsi="Times New Roman;Times;serif"/>
          <w:sz w:val="20"/>
        </w:rPr>
        <w:t>One convenient rule of thumb in making this determination is to ask yourself, “</w:t>
      </w:r>
      <w:r>
        <w:rPr>
          <w:rFonts w:ascii="Times New Roman;Times;serif" w:hAnsi="Times New Roman;Times;serif"/>
          <w:sz w:val="20"/>
          <w:u w:val="single"/>
        </w:rPr>
        <w:t>Would the person on the other side of this transaction still want to complete the trade at this price if he or she knew what I know about the Company</w:t>
      </w:r>
      <w:r>
        <w:rPr>
          <w:rFonts w:ascii="Times New Roman;Times;serif" w:hAnsi="Times New Roman;Times;serif"/>
          <w:sz w:val="20"/>
        </w:rPr>
        <w:t>?”  If the answer is “</w:t>
      </w:r>
      <w:r>
        <w:rPr>
          <w:rFonts w:ascii="Times New Roman;Times;serif" w:hAnsi="Times New Roman;Times;serif"/>
          <w:sz w:val="20"/>
          <w:u w:val="single"/>
        </w:rPr>
        <w:t>no,</w:t>
      </w:r>
      <w:r>
        <w:rPr>
          <w:rFonts w:ascii="Times New Roman;Times;serif" w:hAnsi="Times New Roman;Times;serif"/>
          <w:sz w:val="20"/>
        </w:rPr>
        <w:t>” chances are you possess material, non-public information.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b/>
          <w:i/>
          <w:sz w:val="20"/>
          <w:u w:val="single"/>
        </w:rPr>
        <w:t>What is Non-public?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Information is “</w:t>
      </w:r>
      <w:r>
        <w:rPr>
          <w:rFonts w:ascii="Times New Roman;Times;serif" w:hAnsi="Times New Roman;Times;serif"/>
          <w:sz w:val="20"/>
          <w:u w:val="single"/>
        </w:rPr>
        <w:t>non-public</w:t>
      </w:r>
      <w:r>
        <w:rPr>
          <w:rFonts w:ascii="Times New Roman;Times;serif" w:hAnsi="Times New Roman;Times;serif"/>
          <w:sz w:val="20"/>
        </w:rPr>
        <w:t>” if it has not been disclosed in a manner that allows it to be widely disseminated.  In order for information to be considered public, it must be widely disseminated in a manner making it generally available to investors such as in a press release or in the Company’s filing with the United States Security and Exchange Commission (the “</w:t>
      </w:r>
      <w:r>
        <w:rPr>
          <w:rFonts w:ascii="Times New Roman;Times;serif" w:hAnsi="Times New Roman;Times;serif"/>
          <w:sz w:val="20"/>
          <w:u w:val="single"/>
        </w:rPr>
        <w:t>SEC</w:t>
      </w:r>
      <w:r>
        <w:rPr>
          <w:rFonts w:ascii="Times New Roman;Times;serif" w:hAnsi="Times New Roman;Times;serif"/>
          <w:sz w:val="20"/>
        </w:rPr>
        <w:t>”), or through such media as </w:t>
      </w:r>
      <w:r>
        <w:rPr>
          <w:rFonts w:ascii="Times New Roman;Times;serif" w:hAnsi="Times New Roman;Times;serif"/>
          <w:i/>
          <w:sz w:val="20"/>
        </w:rPr>
        <w:t>Dow Jones</w:t>
      </w:r>
      <w:r>
        <w:rPr>
          <w:rFonts w:ascii="Times New Roman;Times;serif" w:hAnsi="Times New Roman;Times;serif"/>
          <w:sz w:val="20"/>
        </w:rPr>
        <w:t>, </w:t>
      </w:r>
      <w:r>
        <w:rPr>
          <w:rFonts w:ascii="Times New Roman;Times;serif" w:hAnsi="Times New Roman;Times;serif"/>
          <w:i/>
          <w:sz w:val="20"/>
        </w:rPr>
        <w:t>Reuters Economic Services</w:t>
      </w:r>
      <w:r>
        <w:rPr>
          <w:rFonts w:ascii="Times New Roman;Times;serif" w:hAnsi="Times New Roman;Times;serif"/>
          <w:sz w:val="20"/>
        </w:rPr>
        <w:t>, </w:t>
      </w:r>
      <w:r>
        <w:rPr>
          <w:rFonts w:ascii="Times New Roman;Times;serif" w:hAnsi="Times New Roman;Times;serif"/>
          <w:i/>
          <w:sz w:val="20"/>
        </w:rPr>
        <w:t>The Wall Street Journal</w:t>
      </w:r>
      <w:r>
        <w:rPr>
          <w:rFonts w:ascii="Times New Roman;Times;serif" w:hAnsi="Times New Roman;Times;serif"/>
          <w:sz w:val="20"/>
        </w:rPr>
        <w:t>, </w:t>
      </w:r>
      <w:r>
        <w:rPr>
          <w:rFonts w:ascii="Times New Roman;Times;serif" w:hAnsi="Times New Roman;Times;serif"/>
          <w:i/>
          <w:sz w:val="20"/>
        </w:rPr>
        <w:t>Bloomberg</w:t>
      </w:r>
      <w:r>
        <w:rPr>
          <w:rFonts w:ascii="Times New Roman;Times;serif" w:hAnsi="Times New Roman;Times;serif"/>
          <w:sz w:val="20"/>
        </w:rPr>
        <w:t>, </w:t>
      </w:r>
      <w:r>
        <w:rPr>
          <w:rFonts w:ascii="Times New Roman;Times;serif" w:hAnsi="Times New Roman;Times;serif"/>
          <w:i/>
          <w:sz w:val="20"/>
        </w:rPr>
        <w:t>Associated Press</w:t>
      </w:r>
      <w:r>
        <w:rPr>
          <w:rFonts w:ascii="Times New Roman;Times;serif" w:hAnsi="Times New Roman;Times;serif"/>
          <w:sz w:val="20"/>
        </w:rPr>
        <w:t>, </w:t>
      </w:r>
      <w:r>
        <w:rPr>
          <w:rFonts w:ascii="Times New Roman;Times;serif" w:hAnsi="Times New Roman;Times;serif"/>
          <w:i/>
          <w:sz w:val="20"/>
        </w:rPr>
        <w:t>PR Newswire </w:t>
      </w:r>
      <w:r>
        <w:rPr>
          <w:rFonts w:ascii="Times New Roman;Times;serif" w:hAnsi="Times New Roman;Times;serif"/>
          <w:sz w:val="20"/>
        </w:rPr>
        <w:t>or </w:t>
      </w:r>
      <w:r>
        <w:rPr>
          <w:rFonts w:ascii="Times New Roman;Times;serif" w:hAnsi="Times New Roman;Times;serif"/>
          <w:i/>
          <w:sz w:val="20"/>
        </w:rPr>
        <w:t>United Press International</w:t>
      </w:r>
      <w:r>
        <w:rPr>
          <w:rFonts w:ascii="Times New Roman;Times;serif" w:hAnsi="Times New Roman;Times;serif"/>
          <w:sz w:val="20"/>
        </w:rPr>
        <w:t>.  The circulation of rumors, even if accurate and reported in the media, does not constitute effective public dissemination.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b/>
          <w:i/>
          <w:sz w:val="20"/>
          <w:u w:val="single"/>
        </w:rPr>
        <w:t>Who is an Insider?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Insiders include all directors, officers, employees and consultants of the Company or any other person or entity (a) over which an individual mentioned above exercises influence or control of its investment decisions, or (b) which effects a transaction in the Company’s securities, which securities are in fact beneficially owned by any of the individuals mentioned above.  Insiders have independent fiduciary duties to their company and its stockholders not to trade on material non-public information relating to the company’s securities.  In addition, family members and friends of Insiders as well as professional advisors of the Company (e.g. accountants, attorneys, investment bankers and consultants) who receive material, non-public information about the Company may also fall under the definition of Insiders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should be noted that trading by members of an Insider’s family members can be the responsibility of such Insider under certain circumstances and could give rise to legal and Company-imposed sanctions.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D. </w:t>
      </w:r>
      <w:r>
        <w:rPr>
          <w:rFonts w:ascii="Times New Roman;Times;serif" w:hAnsi="Times New Roman;Times;serif"/>
          <w:b/>
          <w:i/>
          <w:sz w:val="20"/>
          <w:u w:val="single"/>
        </w:rPr>
        <w:t>Trading by Persons Other than Insiders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Insiders are also prohibited from disclosing material non-public information, or making a recommendation or expressing an opinion regarding the Company’s securities based on such information, to others who might use the information to trade in the Company’s securities.  Both the Insider who communicated the material non-public information and the person who receives and uses such information (the “</w:t>
      </w:r>
      <w:r>
        <w:rPr>
          <w:rFonts w:ascii="Times New Roman;Times;serif" w:hAnsi="Times New Roman;Times;serif"/>
          <w:sz w:val="20"/>
          <w:u w:val="single"/>
        </w:rPr>
        <w:t>Tippee</w:t>
      </w:r>
      <w:r>
        <w:rPr>
          <w:rFonts w:ascii="Times New Roman;Times;serif" w:hAnsi="Times New Roman;Times;serif"/>
          <w:sz w:val="20"/>
        </w:rPr>
        <w:t>”) may be liable under United States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Persons other than Insiders also can be liable for insider trading, including Tippees who trade on material, non-public information tipped to them or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E. </w:t>
      </w:r>
      <w:r>
        <w:rPr>
          <w:rFonts w:ascii="Times New Roman;Times;serif" w:hAnsi="Times New Roman;Times;serif"/>
          <w:b/>
          <w:i/>
          <w:sz w:val="20"/>
          <w:u w:val="single"/>
        </w:rPr>
        <w:t>Penalties for Engaging in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Penalties for trading on or tipping material, non-public information can extend significantly beyond any profits made or losses avoided, both for individuals engaging in such unlawful conduct and their employers.  The SEC and the United States Department of Justice have made the civil and criminal prosecution of insider trading violations a top priority.  Enforcement remedies available to the government or private plaintiffs under the federal securities laws include:</w:t>
      </w:r>
    </w:p>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administrative sanctions;</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industry self-regulatory organization sanctions;</w:t>
            </w:r>
          </w:p>
        </w:tc>
      </w:tr>
    </w:tbl>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injunctions;</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awards to private plaintiffs;</w:t>
            </w:r>
          </w:p>
        </w:tc>
      </w:tr>
    </w:tbl>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disgorgement of all profits;</w:t>
            </w:r>
          </w:p>
        </w:tc>
      </w:tr>
    </w:tbl>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violator of up to three times the amount of profit gained or loss avoided;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civil fines for the employer or other controlling person of a violator (i.e., where the violator is an employee or other controlled person) of up to the greater of US$1,000,000 or three times the amount of profit gained or loss avoided by the violator;</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fines for individual violators of up to US$5,000,000 (US$25,000,000 for an entity); and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jail sentences of up to 20 years.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insider trading could result in serious sanctions by the Company, including immediate dismissal.  Insider trading violations are not limited to violations of the federal securities laws: other federal and state civil or criminal laws, such as the laws prohibiting mail and wire fraud and the United States Racketeer Influenced and Corrupt Organizations Act (RICO), may also be violated upon the occurrence of insider trading.</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TRANSACTIONS UNDER RULE 10b5-1 PLANS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Implementation of a trading plan under Rule 10b5-1 under the Exchange Act allows a person to place a standing order with a broker to purchase or sell Company securities, so long as the plan specifies the dates, prices and amounts of the planned trades or establishes a formula for those purposes.  Trades executed pursuant to a Rule 10b5-1 plan that meets the requirements listed below may generally be executed even though the person who established the plan may be in possession of material non-public information at the time of the trade. Any other trading plans that are not implemented under Rule 10b5-1, that do not have the protections of Rule 10b5-1, are referred to as non-Rule 10b5-1 plans.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A Rule 10b5-1 plan may only be established when a person is not in possession of material non-public information and when a blackout period is not in effect.  Anyone subject to this Policy who wishes to enter into a Rule 10b5-1 plan must submit the Rule 10b5-1 plan to the Legal Department for prior, written approval. Subsequent termination or modifications to any Rule 10b5-1 plans must also be pre-approved by the Legal Department.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Whether or not pre-approval will be granted will depend on all the facts and circumstances at the time, but the following guidelines should be kept in mind: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10b5-1 plan must be in writing and entered into only when a blackout period is not in effect and when the individual is not in possession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10b5-1 plan must be adopted in good faith and not as part of a plan or scheme to evade the anti-fraud rules under the federal securities laws, and the individual must at all times act in good faith with respect to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adopting the Rule 10b5-1 plan who serves as a Section 16 Insider (as defined in Section V below) of the Company must certify in writing, in the terms of the Rule 10b5-1 plan agreement, that, at the time of the adoption of a Rule 10b5-1 plan (whether a new plan or due to a Termination Modification, as defined below): (1) they are not aware of material nonpublic information about the Company or the Company’s securities; and (2) they are adopting the plan in good faith and not as part of a plan or scheme to evade the prohibitions of Rule 10b-5;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modification to the amount, price or timing of the purchase or sale of securities under the Rule 10b5-1 plan, as well as any change to an algorithm or computer program affecting such factors shall be deemed to be a termination of the current Rule 10b5-1 plan and the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adoption of a new Rule 10b5-1 plan for purposes of restarting the Cooling-Off Period (as defined below) (any such modification, a “</w:t>
      </w:r>
      <w:r>
        <w:rPr>
          <w:rFonts w:ascii="Times New Roman;Times;serif" w:hAnsi="Times New Roman;Times;serif"/>
          <w:sz w:val="20"/>
          <w:u w:val="single"/>
        </w:rPr>
        <w:t>Termination Modification</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first trade made following adoption or Termination Modification of a Rule 10b5-1 Plan of a Section 16 Insider of the Company may take place no sooner than the later of (i) 90 calendar days from adoption or modification and (ii) the second business day after the Company announces its financial results in a Form 20-F or Form 6-K for the quarter in which the Rule 10b5-1 plan is adopted or amended by a Termination Modification (but in any event, not to exceed 120 days following the Rule 10b5-1 plan’s adoption or any Termination Modification of such Rule 10b5-1 plan) (the “</w:t>
            </w:r>
            <w:r>
              <w:rPr>
                <w:rFonts w:ascii="Times New Roman;Times;serif" w:hAnsi="Times New Roman;Times;serif"/>
                <w:b w:val="false"/>
                <w:i w:val="false"/>
                <w:caps w:val="false"/>
                <w:smallCaps w:val="false"/>
                <w:sz w:val="20"/>
                <w:u w:val="single"/>
              </w:rPr>
              <w:t>Officer Cooling-Off Period</w:t>
            </w:r>
            <w:r>
              <w:rPr>
                <w:caps w:val="false"/>
                <w:smallCaps w:val="false"/>
              </w:rPr>
              <w:t>”</w:t>
            </w:r>
            <w:r>
              <w:rPr>
                <w:rFonts w:ascii="Times New Roman;Times;serif" w:hAnsi="Times New Roman;Times;serif"/>
                <w:b w:val="false"/>
                <w:i w:val="false"/>
                <w:caps w:val="false"/>
                <w:smallCaps w:val="false"/>
                <w:sz w:val="20"/>
              </w:rPr>
              <w:t>). For individual other than Section 16 Insiders of the Company, the Cooling-Off Period must be at least 30 days following the Rule 10b5-1 plan’s adoption or any Termination Modification of such Rule 10b5-1 plan (the “</w:t>
            </w:r>
            <w:r>
              <w:rPr>
                <w:rFonts w:ascii="Times New Roman;Times;serif" w:hAnsi="Times New Roman;Times;serif"/>
                <w:b w:val="false"/>
                <w:i w:val="false"/>
                <w:caps w:val="false"/>
                <w:smallCaps w:val="false"/>
                <w:sz w:val="20"/>
                <w:u w:val="single"/>
              </w:rPr>
              <w:t>non-Officer Cooling-Off Period</w:t>
            </w:r>
            <w:r>
              <w:rPr>
                <w:caps w:val="false"/>
                <w:smallCaps w:val="false"/>
              </w:rPr>
              <w:t>”</w:t>
            </w:r>
            <w:r>
              <w:rPr>
                <w:rFonts w:ascii="Times New Roman;Times;serif" w:hAnsi="Times New Roman;Times;serif"/>
                <w:b w:val="false"/>
                <w:i w:val="false"/>
                <w:caps w:val="false"/>
                <w:smallCaps w:val="false"/>
                <w:sz w:val="20"/>
              </w:rPr>
              <w:t>; together with Officer Cooling-Off Period, the “</w:t>
            </w:r>
            <w:r>
              <w:rPr>
                <w:rFonts w:ascii="Times New Roman;Times;serif" w:hAnsi="Times New Roman;Times;serif"/>
                <w:b w:val="false"/>
                <w:i w:val="false"/>
                <w:caps w:val="false"/>
                <w:smallCaps w:val="false"/>
                <w:sz w:val="20"/>
                <w:u w:val="single"/>
              </w:rPr>
              <w:t>Cooling-Off Period</w:t>
            </w:r>
            <w:r>
              <w:rPr>
                <w:caps w:val="false"/>
                <w:smallCaps w:val="false"/>
              </w:rPr>
              <w:t>”</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permitted by the Legal Department and subject to the limitations under Rule 10b5-1, any directors, officers, employees and consultants of the Company may not have more than one Rule 10b5-1 plan in effect at any given time, and no transactions may be effected outside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Rule 10b5-1 Plan is meant to effect a single transaction, any directors, officers, employees and consultants of the Company may not have had another single-trade plan (10b5-1 or otherwise) during the prior 12-month period;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10b5-1 plans must permit its termination by the Company at any time when the Company believes that trading pursuant to its terms may not lawfully occur;</w:t>
            </w:r>
          </w:p>
        </w:tc>
      </w:tr>
    </w:tbl>
    <w:tbl>
      <w:tblPr>
        <w:tblW w:w="9183" w:type="dxa"/>
        <w:jc w:val="left"/>
        <w:tblInd w:w="0" w:type="dxa"/>
        <w:tblLayout w:type="fixed"/>
        <w:tblCellMar>
          <w:top w:w="0" w:type="dxa"/>
          <w:left w:w="0" w:type="dxa"/>
          <w:bottom w:w="0" w:type="dxa"/>
          <w:right w:w="0" w:type="dxa"/>
        </w:tblCellMar>
      </w:tblPr>
      <w:tblGrid>
        <w:gridCol w:w="23"/>
        <w:gridCol w:w="170"/>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10b5-1 plan should, in the absence of special circumstances, be for a period of not less than one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10b5-1 plan should provide for relatively simple pricing parameters (e.g., limit orders), rather than complex formulae for determining when trading under the Rule 10b5-1 plan may occur and at what price;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generally not be a termination or Termination Modification of a Rule 10b5-1 plan once it is executed to avoid calling into question the original “bona fides” of the Rule 10b5-1 plan; any Termination Modification must be made only during a non-blackout period when the person is not in possession of material non-public information and transactions under the amended Rule 10b5-1 plan may not commence until the Cooling-Off Period, beginning at the execution of the Termination Modification, has elapsed;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 plans do not obviate the need to file Form 144 and the fact that a reported transaction was made or is to be made pursuant to a Rule 10b5-1 should be noted on the form.</w:t>
            </w:r>
          </w:p>
        </w:tc>
      </w:tr>
    </w:tbl>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Information regarding adoption, modification, termination and material terms of any trading plan (including any modification or change to the plan), including both Rule 10b5-1 plans and non-Rule 10b5-1 plans, may be required to be disclosed in the Company’s annual report on Form 20-F.</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A copy of the executed version of any pre-cleared trading plan, both Rule 10b5-1 plans and non-Rule 10b5-1 plans, or any pre-cleared amendment to or modification or termination of a trading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 must be provided to the Legal Department for retention in accordance with the Company’s record retention policy.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ADDITIONAL REQUIREMENTS ON SECTION 16 INSIDERS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have confirmed that certain persons, including all directors and certain officers of the Company, should be subject to the reporting provisions of Section 16(a) of the Exchange Act and the underlying rules and regulations promulgated by the SEC. Each such person is referred to herein as a “</w:t>
      </w:r>
      <w:r>
        <w:rPr>
          <w:rFonts w:ascii="Times New Roman;Times;serif" w:hAnsi="Times New Roman;Times;serif"/>
          <w:sz w:val="20"/>
          <w:u w:val="single"/>
        </w:rPr>
        <w:t>Section 16 Insider</w:t>
      </w:r>
      <w:r>
        <w:rPr>
          <w:rFonts w:ascii="Times New Roman;Times;serif" w:hAnsi="Times New Roman;Times;serif"/>
          <w:sz w:val="20"/>
        </w:rPr>
        <w:t>.” The Board of Directors or its designated committee will review, at least annually, those individuals who are designated as Section 16 Insiders and will recommend any changes regarding such status to the Board of Directors for approval.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u w:val="single"/>
        </w:rPr>
        <w:t xml:space="preserve"> </w:t>
      </w:r>
      <w:r>
        <w:rPr>
          <w:rFonts w:ascii="Times New Roman;Times;serif" w:hAnsi="Times New Roman;Times;serif"/>
          <w:b/>
          <w:i/>
          <w:sz w:val="20"/>
          <w:u w:val="single"/>
        </w:rPr>
        <w:t>Pre-Clearance of Trades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purchases and sales of equity securities of the Company by Section 16 Insiders, other than transactions pursuant to a Rule 10b5-1 plan approved in accordance with this Policy, must be pre-cleared by the Legal Department. This applies even during an open trading window. The intent of this requirement is to prevent inadvertent violations of the Policy, avoid trades involving the appearance of improper insider trading, and facilitate timely Form 4 reporting in accordance with Section 16(a)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Requests for pre-clearance must be submitted to the Legal Department at ambr.legal@ambr.io at least two (2) business days in advance of each proposed transaction. If the Section 16 Insider submits the request by email and does not receive a response from the Legal Department within twenty-four (24) hours (not including weekend days), the Section 16 Insider will be responsible for following up to ensure that the message was received.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request for pre-clearance should provide the following information:</w:t>
      </w:r>
    </w:p>
    <w:tbl>
      <w:tblPr>
        <w:tblW w:w="9243" w:type="dxa"/>
        <w:jc w:val="left"/>
        <w:tblInd w:w="0" w:type="dxa"/>
        <w:tblLayout w:type="fixed"/>
        <w:tblCellMar>
          <w:top w:w="0" w:type="dxa"/>
          <w:left w:w="0" w:type="dxa"/>
          <w:bottom w:w="0" w:type="dxa"/>
          <w:right w:w="0" w:type="dxa"/>
        </w:tblCellMar>
      </w:tblPr>
      <w:tblGrid>
        <w:gridCol w:w="23"/>
        <w:gridCol w:w="170"/>
        <w:gridCol w:w="9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proposed transaction, the expected date of the transaction, and the number of shares involved;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involves an option exercise, the specific option to be exercised and the manner of exercise (e.g., “same-day sale” or “cashless exercise”);</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for the broker who will execute the transaction;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to the Legal Department by the Section 16 Insider that the Section 16 Insider is not in possession of material nonpublic information concerning the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Once the proposed transaction is pre-cleared, the Section 16 Insider may proceed with it during an open window and within two (2) Trading Days on the approved terms, provided that he or she complies with all other securities law requirements, such as (if applicable to the Section 16 Insider) the requirements of Rule 144 under the U.S. Securities Act of 1933, as amended, and with any limited trading periods declared by the Legal Department prior to the completion of the trade. If the transaction does not occur with the two-Trading-Day period following pre-clearance, the Section 16 Insider must re-request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pre-clearance. A Section 16 Insider and his or her broker will be responsible for immediately reporting the results of the transaction as further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pre-clearance is required for the establishment, modification or termination of a Rule 10b5-1 plan (see Section IV above). However, pre-clearance will not be required for individual transactions effected pursuant to a pre-cleared Rule 10b5-1 plan that specifies or establishes a formula for determining the dates, prices and amounts of planned trades. Of course, the results of transactions effected by a Section 16 Insider under a Rule 10b5- 1 plan must be reported immediately to the Company since they will be reportable on Form 4 within two (2) business days following the execution of the trade.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B. </w:t>
      </w:r>
      <w:r>
        <w:rPr>
          <w:rFonts w:ascii="Times New Roman;Times;serif" w:hAnsi="Times New Roman;Times;serif"/>
          <w:b/>
          <w:i/>
          <w:sz w:val="20"/>
          <w:u w:val="single"/>
        </w:rPr>
        <w:t>Reporting of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facilitate timely reporting under Section 16(a) of the Exchange Act of Section 16 Insiders’ transactions in the Company’s equity securities, Section 16 Insiders are required to (i) report the details of each transaction immediately after it is executed and (ii) arrange with persons whose trades must be reported by the Section 16 Insider under Section 16(a) (such as immediate family members living in the Section 16 Insider’s household) to immediately report directly to the Company and to the Section 16 Insider the details of any transactions they have in equity securities of the Company. Immediate family members of a Section 16 Insider include his or her child, stepchild, grandchild, parent, stepparent, grandparent, spouse, sibling, mother-in-law, father-in-law, son-in-law, daughter-in-law, brother-in-law, or sister-in-law, and shall include adoptive relationships.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Transaction details to be reported include:</w:t>
      </w:r>
    </w:p>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date (trade date);</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involved;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 share at which the transaction was executed (before addition or deduction of brokerage commissions and other transaction fees);</w:t>
            </w:r>
          </w:p>
        </w:tc>
      </w:tr>
    </w:tbl>
    <w:tbl>
      <w:tblPr>
        <w:tblW w:w="5928" w:type="dxa"/>
        <w:jc w:val="left"/>
        <w:tblInd w:w="0" w:type="dxa"/>
        <w:tblLayout w:type="fixed"/>
        <w:tblCellMar>
          <w:top w:w="0" w:type="dxa"/>
          <w:left w:w="0" w:type="dxa"/>
          <w:bottom w:w="0" w:type="dxa"/>
          <w:right w:w="0" w:type="dxa"/>
        </w:tblCellMar>
      </w:tblPr>
      <w:tblGrid>
        <w:gridCol w:w="23"/>
        <w:gridCol w:w="170"/>
        <w:gridCol w:w="5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was an option exercise, the specific option exercised;</w:t>
            </w:r>
          </w:p>
        </w:tc>
      </w:tr>
    </w:tbl>
    <w:tbl>
      <w:tblPr>
        <w:tblW w:w="5823" w:type="dxa"/>
        <w:jc w:val="left"/>
        <w:tblInd w:w="0" w:type="dxa"/>
        <w:tblLayout w:type="fixed"/>
        <w:tblCellMar>
          <w:top w:w="0" w:type="dxa"/>
          <w:left w:w="0" w:type="dxa"/>
          <w:bottom w:w="0" w:type="dxa"/>
          <w:right w:w="0" w:type="dxa"/>
        </w:tblCellMar>
      </w:tblPr>
      <w:tblGrid>
        <w:gridCol w:w="23"/>
        <w:gridCol w:w="170"/>
        <w:gridCol w:w="5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for the broker who executed the transaction;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specific representation whether the transaction was intended to satisfy the affirmative defense conditions of Rule 10b5-1(c)</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transaction details must be reported to the Legal Department at ambr.legal@ambr.io, with copies to the Company personnel who will assist the Section 16 Insider in preparing his or her Form 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Most transactions in equity securities of the Company by Section 16 Insiders (including all purchases, sales, gifts, pledge, trades pursuant to Rule 10b5-1 plan, among others) are subject to reporting on Form 4 within two (2) business days following the transaction date (which in the case of an open market trade is the date when the broker places the buy or sell order, not the date when the trade is settled). To facilitate timely reporting, all transactions that are subject to Section 16(a) must be reported to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on the same day as the trade date, or, with respect to transactions effected pursuant to a Rule 10b5-1 plan, on the day the Section 16 Insider is advised of the terms of the transaction.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 xml:space="preserve">C. </w:t>
      </w:r>
      <w:r>
        <w:rPr>
          <w:rFonts w:ascii="Times New Roman;Times;serif" w:hAnsi="Times New Roman;Times;serif"/>
          <w:b/>
          <w:i/>
          <w:sz w:val="20"/>
          <w:u w:val="single"/>
        </w:rPr>
        <w:t>Use of Knowledgeable Broker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16 Insiders are encouraged to select one knowledgeable broker familiar with U.S. securities laws to effect all transactions in the Company’s securities, and that broker should become familiar with this Policy and the restrictions that apply to the Section 16 Insider’s transactions in the Company’s securities. Remember, however, that a broker has no legal responsibility for a client’s Section 16(a) filings. Therefore, the best protection will come from the Section 16 Insider’s own awareness of the requirements of this Policy and the possible pitfalls. However, use of the same broker familiar with this Policy will help you constantly monitor your compliance, not only with this Policy but also with your other securities laws obligations.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COMPLIANCE</w:t>
      </w:r>
    </w:p>
    <w:tbl>
      <w:tblPr>
        <w:tblW w:w="10205" w:type="dxa"/>
        <w:jc w:val="left"/>
        <w:tblInd w:w="0" w:type="dxa"/>
        <w:tblLayout w:type="fixed"/>
        <w:tblCellMar>
          <w:top w:w="0" w:type="dxa"/>
          <w:left w:w="0" w:type="dxa"/>
          <w:bottom w:w="0" w:type="dxa"/>
          <w:right w:w="0" w:type="dxa"/>
        </w:tblCellMar>
      </w:tblPr>
      <w:tblGrid>
        <w:gridCol w:w="708"/>
        <w:gridCol w:w="3929"/>
        <w:gridCol w:w="5568"/>
      </w:tblGrid>
      <w:tr>
        <w:trPr/>
        <w:tc>
          <w:tcPr>
            <w:tcW w:w="708" w:type="dxa"/>
            <w:tcBorders/>
            <w:vAlign w:val="center"/>
          </w:tcPr>
          <w:p>
            <w:pPr>
              <w:pStyle w:val="TableContents"/>
              <w:bidi w:val="0"/>
              <w:spacing w:before="0" w:after="0"/>
              <w:ind w:left="0" w:right="0" w:hanging="0"/>
              <w:jc w:val="left"/>
              <w:rPr/>
            </w:pPr>
            <w:r>
              <w:rPr/>
              <w:t>​</w:t>
            </w:r>
          </w:p>
        </w:tc>
        <w:tc>
          <w:tcPr>
            <w:tcW w:w="9497" w:type="dxa"/>
            <w:gridSpan w:val="2"/>
            <w:tcBorders/>
            <w:vAlign w:val="center"/>
          </w:tcPr>
          <w:p>
            <w:pPr>
              <w:pStyle w:val="TableContents"/>
              <w:bidi w:val="0"/>
              <w:spacing w:before="0" w:after="0"/>
              <w:ind w:left="0" w:right="0" w:hanging="0"/>
              <w:jc w:val="left"/>
              <w:rPr/>
            </w:pPr>
            <w:r>
              <w:rPr/>
              <w:t>​</w:t>
            </w:r>
          </w:p>
        </w:tc>
      </w:tr>
      <w:tr>
        <w:trPr/>
        <w:tc>
          <w:tcPr>
            <w:tcW w:w="7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94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Department</w:t>
            </w:r>
          </w:p>
        </w:tc>
      </w:tr>
      <w:tr>
        <w:trPr/>
        <w:tc>
          <w:tcPr>
            <w:tcW w:w="708" w:type="dxa"/>
            <w:tcBorders/>
            <w:vAlign w:val="center"/>
          </w:tcPr>
          <w:p>
            <w:pPr>
              <w:pStyle w:val="TableContents"/>
              <w:bidi w:val="0"/>
              <w:spacing w:before="0" w:after="0"/>
              <w:ind w:left="0" w:right="0" w:hanging="0"/>
              <w:jc w:val="left"/>
              <w:rPr/>
            </w:pPr>
            <w:r>
              <w:rPr/>
              <w:t>​</w:t>
            </w:r>
          </w:p>
        </w:tc>
        <w:tc>
          <w:tcPr>
            <w:tcW w:w="9497" w:type="dxa"/>
            <w:gridSpan w:val="2"/>
            <w:tcBorders/>
            <w:vAlign w:val="center"/>
          </w:tcPr>
          <w:p>
            <w:pPr>
              <w:pStyle w:val="TableContents"/>
              <w:bidi w:val="0"/>
              <w:spacing w:before="0" w:after="0"/>
              <w:ind w:left="0" w:right="0" w:hanging="0"/>
              <w:jc w:val="left"/>
              <w:rPr/>
            </w:pPr>
            <w:r>
              <w:rPr/>
              <w:t>​</w:t>
            </w:r>
          </w:p>
        </w:tc>
      </w:tr>
      <w:tr>
        <w:trPr/>
        <w:tc>
          <w:tcPr>
            <w:tcW w:w="7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w:t>
            </w:r>
          </w:p>
        </w:tc>
        <w:tc>
          <w:tcPr>
            <w:tcW w:w="39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68" w:type="dxa"/>
            <w:tcBorders/>
            <w:vAlign w:val="center"/>
          </w:tcPr>
          <w:p>
            <w:pPr>
              <w:pStyle w:val="TableContents"/>
              <w:bidi w:val="0"/>
              <w:spacing w:before="0" w:after="0"/>
              <w:ind w:left="0" w:right="0" w:hanging="0"/>
              <w:jc w:val="left"/>
              <w:rPr/>
            </w:pPr>
            <w:r>
              <w:rPr/>
              <w:t>​</w:t>
            </w:r>
          </w:p>
        </w:tc>
      </w:tr>
      <w:tr>
        <w:trPr/>
        <w:tc>
          <w:tcPr>
            <w:tcW w:w="1020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08" w:type="dxa"/>
            <w:tcBorders/>
            <w:vAlign w:val="center"/>
          </w:tcPr>
          <w:p>
            <w:pPr>
              <w:pStyle w:val="TableContents"/>
              <w:bidi w:val="0"/>
              <w:spacing w:before="0" w:after="0"/>
              <w:ind w:left="0" w:right="0" w:hanging="0"/>
              <w:jc w:val="left"/>
              <w:rPr/>
            </w:pPr>
            <w:r>
              <w:rPr/>
              <w:t>​</w:t>
            </w:r>
          </w:p>
        </w:tc>
        <w:tc>
          <w:tcPr>
            <w:tcW w:w="9497" w:type="dxa"/>
            <w:gridSpan w:val="2"/>
            <w:tcBorders/>
            <w:vAlign w:val="center"/>
          </w:tcPr>
          <w:p>
            <w:pPr>
              <w:pStyle w:val="TableContents"/>
              <w:bidi w:val="0"/>
              <w:spacing w:before="0" w:after="0"/>
              <w:ind w:left="0" w:right="0" w:hanging="0"/>
              <w:jc w:val="left"/>
              <w:rPr/>
            </w:pPr>
            <w:r>
              <w:rPr/>
              <w:t>​</w:t>
            </w:r>
          </w:p>
        </w:tc>
      </w:tr>
      <w:tr>
        <w:trPr/>
        <w:tc>
          <w:tcPr>
            <w:tcW w:w="7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w:t>
            </w:r>
          </w:p>
        </w:tc>
        <w:tc>
          <w:tcPr>
            <w:tcW w:w="94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INTERNATIONAL HOLDING LIMITED </w:t>
            </w:r>
            <w:r>
              <w:rPr>
                <w:rFonts w:ascii="Times New Roman;Times;serif" w:hAnsi="Times New Roman;Times;serif"/>
                <w:caps/>
                <w:sz w:val="20"/>
              </w:rPr>
              <w:t>STATEMENT OF POLICIES OF GOVERNING MATERIAL, NON-PUBLIC INFORMATION AND THE PREVENTION OF INSIDER TRADING</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have received, reviewed, and understand the policies set forth in the referenced Statement of Policies (such policies, as from time to time amended, the “</w:t>
      </w:r>
      <w:r>
        <w:rPr>
          <w:rFonts w:ascii="Times New Roman;Times;serif" w:hAnsi="Times New Roman;Times;serif"/>
          <w:sz w:val="20"/>
          <w:u w:val="single"/>
        </w:rPr>
        <w:t>Policy</w:t>
      </w:r>
      <w:r>
        <w:rPr>
          <w:rFonts w:ascii="Times New Roman;Times;serif" w:hAnsi="Times New Roman;Times;serif"/>
          <w:sz w:val="20"/>
        </w:rPr>
        <w:t>”) and hereby undertake, as a condition to my present and continued employment at or association with Amber International Holding Limited, to comply fully with the Policies.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hereby certify that I have adhered to the Policy during the time period that I have been employed by or associated with Amber International Holding Limited or any of its subsidiaries or affiliated entities.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I agree to adhere to the Policy in the future.</w:t>
      </w:r>
    </w:p>
    <w:tbl>
      <w:tblPr>
        <w:tblW w:w="800" w:type="dxa"/>
        <w:jc w:val="center"/>
        <w:tblInd w:w="0" w:type="dxa"/>
        <w:tblLayout w:type="fixed"/>
        <w:tblCellMar>
          <w:top w:w="0" w:type="dxa"/>
          <w:left w:w="0" w:type="dxa"/>
          <w:bottom w:w="0" w:type="dxa"/>
          <w:right w:w="0" w:type="dxa"/>
        </w:tblCellMar>
      </w:tblPr>
      <w:tblGrid>
        <w:gridCol w:w="64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410210" cy="175260"/>
                      <wp:effectExtent l="0" t="0" r="0" b="0"/>
                      <wp:wrapNone/>
                      <wp:docPr id="711" name="Frame70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98425" cy="175260"/>
                      <wp:effectExtent l="0" t="0" r="0" b="0"/>
                      <wp:wrapNone/>
                      <wp:docPr id="712" name="Frame70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420"/>
        <w:jc w:val="left"/>
        <w:rPr>
          <w:rFonts w:ascii="Times New Roman;Times;serif" w:hAnsi="Times New Roman;Times;serif"/>
          <w:b/>
          <w:sz w:val="20"/>
        </w:rPr>
      </w:pPr>
      <w:r>
        <w:rPr>
          <w:rFonts w:ascii="Times New Roman;Times;serif" w:hAnsi="Times New Roman;Times;serif"/>
          <w:b/>
          <w:sz w:val="20"/>
        </w:rPr>
        <w:t>Attachment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Trading Clearance Application</w:t>
      </w:r>
    </w:p>
    <w:tbl>
      <w:tblPr>
        <w:tblW w:w="10205" w:type="dxa"/>
        <w:jc w:val="left"/>
        <w:tblInd w:w="0" w:type="dxa"/>
        <w:tblLayout w:type="fixed"/>
        <w:tblCellMar>
          <w:top w:w="0" w:type="dxa"/>
          <w:left w:w="0" w:type="dxa"/>
          <w:bottom w:w="0" w:type="dxa"/>
          <w:right w:w="0" w:type="dxa"/>
        </w:tblCellMar>
      </w:tblPr>
      <w:tblGrid>
        <w:gridCol w:w="10051"/>
        <w:gridCol w:w="154"/>
      </w:tblGrid>
      <w:tr>
        <w:trPr/>
        <w:tc>
          <w:tcPr>
            <w:tcW w:w="10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382385" cy="175260"/>
                      <wp:effectExtent l="0" t="0" r="0" b="0"/>
                      <wp:wrapNone/>
                      <wp:docPr id="713" name="Frame710"/>
                      <a:graphic xmlns:a="http://schemas.openxmlformats.org/drawingml/2006/main">
                        <a:graphicData uri="http://schemas.microsoft.com/office/word/2010/wordprocessingShape">
                          <wps:wsp>
                            <wps:cNvSpPr txBox="1"/>
                            <wps:spPr>
                              <a:xfrm>
                                <a:off x="0" y="0"/>
                                <a:ext cx="638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97790" cy="175260"/>
                      <wp:effectExtent l="0" t="0" r="0" b="0"/>
                      <wp:wrapNone/>
                      <wp:docPr id="714" name="Frame7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Proposed Transaction Date: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Security to be Traded:</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Transaction (Hedge / Pledge/ Purchase / Sale / Entry into 10b5-1 Plan or other non-Rule 10b5-1 plan (if plan, please attach) / Gift):</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r>
        <w:trPr/>
        <w:tc>
          <w:tcPr>
            <w:tcW w:w="10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Involved (if applicable):</w:t>
            </w:r>
          </w:p>
        </w:tc>
        <w:tc>
          <w:tcPr>
            <w:tcW w:w="154"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firstLine="800"/>
        <w:jc w:val="left"/>
        <w:rPr>
          <w:rFonts w:ascii="Times New Roman;Times;serif" w:hAnsi="Times New Roman;Times;serif"/>
          <w:sz w:val="20"/>
        </w:rPr>
      </w:pPr>
      <w:r>
        <w:rPr>
          <w:rFonts w:ascii="Times New Roman;Times;serif" w:hAnsi="Times New Roman;Times;serif"/>
          <w:sz w:val="20"/>
        </w:rPr>
        <w:t>I hereby certify that I am not in possession of any material non-public information about the Company and / or its subsidiaries.  I understand that material non-public information is information concerning the Company that (a) is not generally known to the public; and (b) if publicly known, would be likely to affect either the market price of Company Securities or a person’s decision to buy, sell or hold Company Securities. If entering into a Rule 10b5-1 Plan or other non-Rule 10b5-1 plan, I am adopting the plan in good faith and not as part of a plan or scheme to evade the prohibitions of Rule 10b-5. I understand that if I trade while in possession of material non-public information, I may be subject to severe civil or criminal penalties, and may be subject to discipline by the Company up to and including termination for cause.</w:t>
      </w:r>
    </w:p>
    <w:p>
      <w:pPr>
        <w:pStyle w:val="TextBody"/>
        <w:bidi w:val="0"/>
        <w:spacing w:before="0" w:after="0"/>
        <w:ind w:left="0" w:right="0" w:hanging="0"/>
        <w:jc w:val="left"/>
        <w:rPr/>
      </w:pPr>
      <w:r>
        <w:rPr/>
        <w:t>​</w:t>
      </w:r>
    </w:p>
    <w:tbl>
      <w:tblPr>
        <w:tblW w:w="800" w:type="dxa"/>
        <w:jc w:val="center"/>
        <w:tblInd w:w="0" w:type="dxa"/>
        <w:tblLayout w:type="fixed"/>
        <w:tblCellMar>
          <w:top w:w="0" w:type="dxa"/>
          <w:left w:w="0" w:type="dxa"/>
          <w:bottom w:w="0" w:type="dxa"/>
          <w:right w:w="0" w:type="dxa"/>
        </w:tblCellMar>
      </w:tblPr>
      <w:tblGrid>
        <w:gridCol w:w="64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10210" cy="175260"/>
                      <wp:effectExtent l="0" t="0" r="0" b="0"/>
                      <wp:wrapNone/>
                      <wp:docPr id="715" name="Frame71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98425" cy="175260"/>
                      <wp:effectExtent l="0" t="0" r="0" b="0"/>
                      <wp:wrapNone/>
                      <wp:docPr id="716" name="Frame7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Review and Decision</w:t>
      </w:r>
    </w:p>
    <w:p>
      <w:pPr>
        <w:pStyle w:val="TextBody"/>
        <w:bidi w:val="0"/>
        <w:spacing w:before="0" w:after="0"/>
        <w:ind w:left="0" w:right="0" w:firstLine="800"/>
        <w:jc w:val="left"/>
        <w:rPr>
          <w:rFonts w:ascii="Times New Roman;Times;serif" w:hAnsi="Times New Roman;Times;serif"/>
          <w:sz w:val="20"/>
        </w:rPr>
      </w:pPr>
      <w:r>
        <w:rPr>
          <w:rFonts w:ascii="Times New Roman;Times;serif" w:hAnsi="Times New Roman;Times;serif"/>
          <w:sz w:val="20"/>
        </w:rPr>
        <w:t>The undersigned has reviewed the foregoing application and approves / prohibits (circle one) the proposed trade(s).</w:t>
      </w:r>
    </w:p>
    <w:p>
      <w:pPr>
        <w:pStyle w:val="TextBody"/>
        <w:bidi w:val="0"/>
        <w:spacing w:before="0" w:after="0"/>
        <w:ind w:left="0" w:right="0" w:firstLine="800"/>
        <w:jc w:val="left"/>
        <w:rPr/>
      </w:pPr>
      <w:r>
        <w:rPr/>
        <w:t>​</w:t>
      </w:r>
    </w:p>
    <w:tbl>
      <w:tblPr>
        <w:tblW w:w="800" w:type="dxa"/>
        <w:jc w:val="center"/>
        <w:tblInd w:w="0" w:type="dxa"/>
        <w:tblLayout w:type="fixed"/>
        <w:tblCellMar>
          <w:top w:w="0" w:type="dxa"/>
          <w:left w:w="0" w:type="dxa"/>
          <w:bottom w:w="0" w:type="dxa"/>
          <w:right w:w="0" w:type="dxa"/>
        </w:tblCellMar>
      </w:tblPr>
      <w:tblGrid>
        <w:gridCol w:w="64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410210" cy="175260"/>
                      <wp:effectExtent l="0" t="0" r="0" b="0"/>
                      <wp:wrapNone/>
                      <wp:docPr id="717" name="Frame71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98425" cy="175260"/>
                      <wp:effectExtent l="0" t="0" r="0" b="0"/>
                      <wp:wrapNone/>
                      <wp:docPr id="718" name="Frame71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Acknowledgement</w:t>
      </w:r>
    </w:p>
    <w:p>
      <w:pPr>
        <w:pStyle w:val="TextBody"/>
        <w:bidi w:val="0"/>
        <w:spacing w:before="0" w:after="0"/>
        <w:ind w:left="0" w:right="0" w:firstLine="800"/>
        <w:jc w:val="left"/>
        <w:rPr>
          <w:rFonts w:ascii="Times New Roman;Times;serif" w:hAnsi="Times New Roman;Times;serif"/>
          <w:sz w:val="20"/>
        </w:rPr>
      </w:pPr>
      <w:r>
        <w:rPr>
          <w:rFonts w:ascii="Times New Roman;Times;serif" w:hAnsi="Times New Roman;Times;serif"/>
          <w:sz w:val="20"/>
        </w:rPr>
        <w:t>The undersigned hereby acknowledges that he/she has read and understands, and agrees to comply with, the Company’s Statement of Policies Governing Material Non-Public Information and the Prevention of Insider Trading.</w:t>
      </w:r>
    </w:p>
    <w:p>
      <w:pPr>
        <w:pStyle w:val="TextBody"/>
        <w:bidi w:val="0"/>
        <w:spacing w:before="0" w:after="0"/>
        <w:ind w:left="0" w:right="0" w:hanging="0"/>
        <w:jc w:val="center"/>
        <w:rPr/>
      </w:pPr>
      <w:r>
        <w:rPr/>
        <w:t>​</w:t>
      </w:r>
    </w:p>
    <w:tbl>
      <w:tblPr>
        <w:tblW w:w="1539" w:type="dxa"/>
        <w:jc w:val="center"/>
        <w:tblInd w:w="0" w:type="dxa"/>
        <w:tblLayout w:type="fixed"/>
        <w:tblCellMar>
          <w:top w:w="0" w:type="dxa"/>
          <w:left w:w="0" w:type="dxa"/>
          <w:bottom w:w="0" w:type="dxa"/>
          <w:right w:w="0" w:type="dxa"/>
        </w:tblCellMar>
      </w:tblPr>
      <w:tblGrid>
        <w:gridCol w:w="1276"/>
        <w:gridCol w:w="109"/>
        <w:gridCol w:w="154"/>
      </w:tblGrid>
      <w:tr>
        <w:trPr/>
        <w:tc>
          <w:tcPr>
            <w:tcW w:w="138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879475" cy="175260"/>
                      <wp:effectExtent l="0" t="0" r="0" b="0"/>
                      <wp:wrapNone/>
                      <wp:docPr id="719" name="Frame716"/>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97790" cy="175260"/>
                      <wp:effectExtent l="0" t="0" r="0" b="0"/>
                      <wp:wrapNone/>
                      <wp:docPr id="720" name="Frame7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Printed: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778" w:right="0" w:firstLine="1109"/>
        <w:jc w:val="right"/>
        <w:rPr>
          <w:rFonts w:ascii="Times New Roman;Times;serif" w:hAnsi="Times New Roman;Times;serif"/>
          <w:sz w:val="20"/>
        </w:rPr>
      </w:pPr>
      <w:bookmarkStart w:id="2943" w:name="ambr-20251231xex12d1.htm"/>
      <w:bookmarkStart w:id="2944" w:name="ksambr20251231xex12d1"/>
      <w:bookmarkEnd w:id="2943"/>
      <w:bookmarkEnd w:id="2944"/>
      <w:r>
        <w:rPr>
          <w:rFonts w:ascii="Times New Roman;Times;serif" w:hAnsi="Times New Roman;Times;serif"/>
          <w:sz w:val="20"/>
        </w:rPr>
        <w:t>Exhibit 12.1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Michael Wu, certify that:</w:t>
      </w:r>
    </w:p>
    <w:tbl>
      <w:tblPr>
        <w:tblW w:w="7435" w:type="dxa"/>
        <w:jc w:val="left"/>
        <w:tblInd w:w="0" w:type="dxa"/>
        <w:tblLayout w:type="fixed"/>
        <w:tblCellMar>
          <w:top w:w="0" w:type="dxa"/>
          <w:left w:w="0" w:type="dxa"/>
          <w:bottom w:w="0" w:type="dxa"/>
          <w:right w:w="0" w:type="dxa"/>
        </w:tblCellMar>
      </w:tblPr>
      <w:tblGrid>
        <w:gridCol w:w="170"/>
        <w:gridCol w:w="726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2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Amber International Holding Limited;</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2826" w:type="dxa"/>
        <w:jc w:val="left"/>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Wu</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2945" w:name="ambr-20251231xex12d2.htm"/>
      <w:bookmarkStart w:id="2946" w:name="ksambr20251231xex12d2"/>
      <w:bookmarkEnd w:id="2945"/>
      <w:bookmarkEnd w:id="2946"/>
      <w:r>
        <w:rPr>
          <w:rFonts w:ascii="Times New Roman;Times;serif" w:hAnsi="Times New Roman;Times;serif"/>
          <w:sz w:val="20"/>
        </w:rPr>
        <w:t>Exhibit 12.2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Josephine Ngai Yuk Chun, certify that:</w:t>
      </w:r>
    </w:p>
    <w:tbl>
      <w:tblPr>
        <w:tblW w:w="7435" w:type="dxa"/>
        <w:jc w:val="left"/>
        <w:tblInd w:w="0" w:type="dxa"/>
        <w:tblLayout w:type="fixed"/>
        <w:tblCellMar>
          <w:top w:w="0" w:type="dxa"/>
          <w:left w:w="0" w:type="dxa"/>
          <w:bottom w:w="0" w:type="dxa"/>
          <w:right w:w="0" w:type="dxa"/>
        </w:tblCellMar>
      </w:tblPr>
      <w:tblGrid>
        <w:gridCol w:w="170"/>
        <w:gridCol w:w="726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2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annual report on Form 20-F of Amber International Holding Limited;</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tbl>
      <w:tblPr>
        <w:tblW w:w="3276" w:type="dxa"/>
        <w:jc w:val="left"/>
        <w:tblInd w:w="0" w:type="dxa"/>
        <w:tblLayout w:type="fixed"/>
        <w:tblCellMar>
          <w:top w:w="0" w:type="dxa"/>
          <w:left w:w="0" w:type="dxa"/>
          <w:bottom w:w="0" w:type="dxa"/>
          <w:right w:w="0" w:type="dxa"/>
        </w:tblCellMar>
      </w:tblPr>
      <w:tblGrid>
        <w:gridCol w:w="646"/>
        <w:gridCol w:w="247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Josephine Ngai Yuk Chun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2947" w:name="ambr-20251231xex13d1.htm"/>
      <w:bookmarkStart w:id="2948" w:name="ksambr20251231xex13d1"/>
      <w:bookmarkEnd w:id="2947"/>
      <w:bookmarkEnd w:id="2948"/>
      <w:r>
        <w:rPr>
          <w:rFonts w:ascii="Times New Roman;Times;serif" w:hAnsi="Times New Roman;Times;serif"/>
          <w:sz w:val="20"/>
        </w:rPr>
        <w:t>Exhibit 13.1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Amber International Holding Limited (the “Company”) on Form 20-F for the fiscal year ended December 31, 2025 as filed with the Securities and Exchange Commission on the date hereof (the “Report”), I, Michael Wu, Chief Executive Officer of the Company, hereby certify, pursuant to 18 U.S.C. Section 1350, as adopted pursuant to Section 906 of the Sarbanes-Oxley Act of 2002, that to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2826" w:type="dxa"/>
        <w:jc w:val="left"/>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Wu</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Wu</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sz w:val="20"/>
        </w:rPr>
      </w:pPr>
      <w:bookmarkStart w:id="2949" w:name="ambr-20251231xex13d2.htm"/>
      <w:bookmarkStart w:id="2950" w:name="ksambr20251231xex13d2"/>
      <w:bookmarkEnd w:id="2949"/>
      <w:bookmarkEnd w:id="2950"/>
      <w:r>
        <w:rPr>
          <w:rFonts w:ascii="Times New Roman;Times;serif" w:hAnsi="Times New Roman;Times;serif"/>
          <w:sz w:val="20"/>
        </w:rPr>
        <w:t>Exhibit 13.2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Financial Officer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Amber International Holding Limited (the “Company”) on Form 20-F for the fiscal year ended December 31, 2025 as filed with the Securities and Exchange Commission on the date hereof (the “Report”), I, Josephine Ngai Yuk Chun, Chief Financial Officer of the Company, hereby certify, pursuant to 18 U.S.C. Section 1350, as adopted pursuant to Section 906 of the Sarbanes-Oxley Act of 2002, that to my knowledge:</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3276" w:type="dxa"/>
        <w:jc w:val="left"/>
        <w:tblInd w:w="0" w:type="dxa"/>
        <w:tblLayout w:type="fixed"/>
        <w:tblCellMar>
          <w:top w:w="0" w:type="dxa"/>
          <w:left w:w="0" w:type="dxa"/>
          <w:bottom w:w="0" w:type="dxa"/>
          <w:right w:w="0" w:type="dxa"/>
        </w:tblCellMar>
      </w:tblPr>
      <w:tblGrid>
        <w:gridCol w:w="646"/>
        <w:gridCol w:w="2476"/>
        <w:gridCol w:w="154"/>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Josephine Ngai Yuk Chun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Josephine Ngai Yuk Chun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35"/>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951" w:name="ambr-20251231xex15d1.htm"/>
      <w:bookmarkStart w:id="2952" w:name="ksambr20251231xex15d1"/>
      <w:bookmarkEnd w:id="2951"/>
      <w:bookmarkEnd w:id="2952"/>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15.1</w:t>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1554480" cy="940435"/>
            <wp:effectExtent l="0" t="0" r="0" b="0"/>
            <wp:docPr id="7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4" descr=""/>
                    <pic:cNvPicPr>
                      <a:picLocks noChangeAspect="1" noChangeArrowheads="1"/>
                    </pic:cNvPicPr>
                  </pic:nvPicPr>
                  <pic:blipFill>
                    <a:blip r:embed="rId18"/>
                    <a:stretch>
                      <a:fillRect/>
                    </a:stretch>
                  </pic:blipFill>
                  <pic:spPr bwMode="auto">
                    <a:xfrm>
                      <a:off x="0" y="0"/>
                      <a:ext cx="1554480" cy="940435"/>
                    </a:xfrm>
                    <a:prstGeom prst="rect">
                      <a:avLst/>
                    </a:prstGeom>
                  </pic:spPr>
                </pic:pic>
              </a:graphicData>
            </a:graphic>
          </wp:inline>
        </w:drawing>
      </w:r>
    </w:p>
    <w:p>
      <w:pPr>
        <w:pStyle w:val="TextBody"/>
        <w:bidi w:val="0"/>
        <w:spacing w:before="0" w:after="0"/>
        <w:ind w:left="0" w:right="0" w:hanging="0"/>
        <w:jc w:val="right"/>
        <w:rPr/>
      </w:pPr>
      <w:r>
        <w:rPr/>
        <w:t>​</w:t>
      </w:r>
    </w:p>
    <w:tbl>
      <w:tblPr>
        <w:tblW w:w="2511" w:type="dxa"/>
        <w:jc w:val="left"/>
        <w:tblInd w:w="0" w:type="dxa"/>
        <w:tblLayout w:type="fixed"/>
        <w:tblCellMar>
          <w:top w:w="0" w:type="dxa"/>
          <w:left w:w="0" w:type="dxa"/>
          <w:bottom w:w="0" w:type="dxa"/>
          <w:right w:w="0" w:type="dxa"/>
        </w:tblCellMar>
      </w:tblPr>
      <w:tblGrid>
        <w:gridCol w:w="781"/>
        <w:gridCol w:w="1576"/>
        <w:gridCol w:w="154"/>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495935" cy="175260"/>
                      <wp:effectExtent l="0" t="0" r="0" b="0"/>
                      <wp:wrapNone/>
                      <wp:docPr id="722" name="Frame7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000760" cy="175260"/>
                      <wp:effectExtent l="0" t="0" r="0" b="0"/>
                      <wp:wrapNone/>
                      <wp:docPr id="723" name="Frame71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97790" cy="175260"/>
                      <wp:effectExtent l="0" t="0" r="0" b="0"/>
                      <wp:wrapNone/>
                      <wp:docPr id="724" name="Frame7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Office:</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+852 2801 6066</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+852 9718 8740</w:t>
            </w:r>
          </w:p>
        </w:tc>
        <w:tc>
          <w:tcPr>
            <w:tcW w:w="154"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Email:</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rthorp@tta.lawyer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968" w:type="dxa"/>
        <w:jc w:val="left"/>
        <w:tblInd w:w="0" w:type="dxa"/>
        <w:tblLayout w:type="fixed"/>
        <w:tblCellMar>
          <w:top w:w="0" w:type="dxa"/>
          <w:left w:w="0" w:type="dxa"/>
          <w:bottom w:w="0" w:type="dxa"/>
          <w:right w:w="0" w:type="dxa"/>
        </w:tblCellMar>
      </w:tblPr>
      <w:tblGrid>
        <w:gridCol w:w="406"/>
        <w:gridCol w:w="3316"/>
        <w:gridCol w:w="1246"/>
      </w:tblGrid>
      <w:tr>
        <w:trPr/>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257810" cy="175260"/>
                      <wp:effectExtent l="0" t="0" r="0" b="0"/>
                      <wp:wrapNone/>
                      <wp:docPr id="725" name="Frame721"/>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105660" cy="175260"/>
                      <wp:effectExtent l="0" t="0" r="0" b="0"/>
                      <wp:wrapNone/>
                      <wp:docPr id="726" name="Frame72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791210" cy="175260"/>
                      <wp:effectExtent l="0" t="0" r="0" b="0"/>
                      <wp:wrapNone/>
                      <wp:docPr id="727" name="Frame72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33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tc>
        <w:tc>
          <w:tcPr>
            <w:tcW w:w="1246"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Wallich Street</w:t>
            </w:r>
          </w:p>
        </w:tc>
        <w:tc>
          <w:tcPr>
            <w:tcW w:w="1246"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tc>
        <w:tc>
          <w:tcPr>
            <w:tcW w:w="1246"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078881</w:t>
            </w:r>
          </w:p>
        </w:tc>
        <w:tc>
          <w:tcPr>
            <w:tcW w:w="1246"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 May 2026</w:t>
            </w:r>
          </w:p>
        </w:tc>
      </w:tr>
      <w:tr>
        <w:trPr/>
        <w:tc>
          <w:tcPr>
            <w:tcW w:w="40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37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Sirs</w:t>
            </w:r>
          </w:p>
        </w:tc>
        <w:tc>
          <w:tcPr>
            <w:tcW w:w="12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the Cayman Islands to Amber International Holding Limited, an exempted limited liability company incorporated in the Cayman Islands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2025 (“</w:t>
      </w:r>
      <w:r>
        <w:rPr>
          <w:rFonts w:ascii="Times New Roman;Times;serif" w:hAnsi="Times New Roman;Times;serif"/>
          <w:b/>
          <w:sz w:val="20"/>
        </w:rPr>
        <w:t>Form 20-F</w:t>
      </w:r>
      <w:r>
        <w:rPr>
          <w:rFonts w:ascii="Times New Roman;Times;serif" w:hAnsi="Times New Roman;Times;serif"/>
          <w:sz w:val="20"/>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“Enforceability of Civil Liabilities” and “Item 10. Additional Information—E. Taxation” in the Form 20-F, and further consent to the incorporation by reference of the summaries of our opinions under these captions into Amber International Holding Limited’s registration statements on Form S-8 (File No. 333-225568) that was filed on 12 June 2018, Form S-8 (File No. 333-227747) that was filed on 9 October 2018, Form S-8 (File No. 333-253596) that was filed on 26 February 2021, and Form S-8 (File No. 333-288385) that was filed on 27 June 2025. We also consent to the filing of this consent letter as an exhibit to the annual report on the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left"/>
        <w:rPr/>
      </w:pPr>
      <w:r>
        <w:rPr/>
        <w:t>​</w:t>
      </w:r>
    </w:p>
    <w:tbl>
      <w:tblPr>
        <w:tblW w:w="2930" w:type="dxa"/>
        <w:jc w:val="left"/>
        <w:tblInd w:w="0" w:type="dxa"/>
        <w:tblLayout w:type="fixed"/>
        <w:tblCellMar>
          <w:top w:w="0" w:type="dxa"/>
          <w:left w:w="0" w:type="dxa"/>
          <w:bottom w:w="28" w:type="dxa"/>
          <w:right w:w="0" w:type="dxa"/>
        </w:tblCellMar>
      </w:tblPr>
      <w:tblGrid>
        <w:gridCol w:w="2776"/>
        <w:gridCol w:w="154"/>
      </w:tblGrid>
      <w:tr>
        <w:trPr/>
        <w:tc>
          <w:tcPr>
            <w:tcW w:w="27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Travers Thorp Alberga</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7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TRAVERS THORP ALBERGA</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pPr>
      <w:r>
        <w:rPr/>
        <w:drawing>
          <wp:inline distT="0" distB="0" distL="0" distR="0">
            <wp:extent cx="2743200" cy="906145"/>
            <wp:effectExtent l="0" t="0" r="0" b="0"/>
            <wp:docPr id="7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5" descr=""/>
                    <pic:cNvPicPr>
                      <a:picLocks noChangeAspect="1" noChangeArrowheads="1"/>
                    </pic:cNvPicPr>
                  </pic:nvPicPr>
                  <pic:blipFill>
                    <a:blip r:embed="rId19"/>
                    <a:stretch>
                      <a:fillRect/>
                    </a:stretch>
                  </pic:blipFill>
                  <pic:spPr bwMode="auto">
                    <a:xfrm>
                      <a:off x="0" y="0"/>
                      <a:ext cx="2743200" cy="90614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953" w:name="ambr-20251231xex15d2.htm"/>
      <w:bookmarkStart w:id="2954" w:name="ksambr20251231xex15d2"/>
      <w:bookmarkEnd w:id="2953"/>
      <w:bookmarkEnd w:id="2954"/>
      <w:r>
        <w:rPr>
          <w:rFonts w:ascii="Times New Roman;Times;serif" w:hAnsi="Times New Roman;Times;serif"/>
          <w:b/>
          <w:sz w:val="20"/>
        </w:rPr>
        <w:t>Exhibit 15.2</w:t>
      </w:r>
      <w:r>
        <w:br w:type="page"/>
      </w:r>
    </w:p>
    <w:p>
      <w:pPr>
        <w:pStyle w:val="TextBody"/>
        <w:bidi w:val="0"/>
        <w:spacing w:before="0" w:after="240"/>
        <w:ind w:left="0" w:right="0" w:hanging="0"/>
        <w:jc w:val="center"/>
        <w:rPr/>
      </w:pPr>
      <w:r>
        <w:rPr/>
        <w:drawing>
          <wp:inline distT="0" distB="0" distL="0" distR="0">
            <wp:extent cx="3199765" cy="1238250"/>
            <wp:effectExtent l="0" t="0" r="0" b="0"/>
            <wp:docPr id="7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6" descr=""/>
                    <pic:cNvPicPr>
                      <a:picLocks noChangeAspect="1" noChangeArrowheads="1"/>
                    </pic:cNvPicPr>
                  </pic:nvPicPr>
                  <pic:blipFill>
                    <a:blip r:embed="rId20"/>
                    <a:stretch>
                      <a:fillRect/>
                    </a:stretch>
                  </pic:blipFill>
                  <pic:spPr bwMode="auto">
                    <a:xfrm>
                      <a:off x="0" y="0"/>
                      <a:ext cx="3199765" cy="123825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13,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Amber International Holding Limited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Wallich Street,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Singapore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hereby consent to the references to our firm’s name under the headings “Enforceability of Civil Liabilities—PRC”, “Item 3. Key Information—D. Risk Factors—Risks Related to our Business—We historically rely on the contractual arrangements that establish the structure for certain of our operations in Chinese Mainland”, “Item 3. Key Information—D. Risk Factors—Risks Related to our Business—We are subject to risks surrounding the evolving laws and regulations regarding cybersecurity, information security, privacy and data protection and other related laws and requirements in China”, and “Item 10. Additional Information—E. Taxation—PRC Taxation” in the Annual Report of Amber International Holding Limited on Form 20-F for the year ended December 31, 2025 (the “Annual Report), which is filed with the Securities and Exchange Commission on the date hereof, and further consent to the incorporation by reference of the Annual Report into any effective registration statements on Form S-8 of Amber International Holding Limited. For the avoidance of doubt, we express no opinion with respect to any registration statements on Form S-8 or other filings, except to the extent of the incorporation by reference of the Annual Report. We also consent to the filing of this consent letter with the SEC as an exhibit to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tbl>
      <w:tblPr>
        <w:tblW w:w="2360" w:type="dxa"/>
        <w:jc w:val="center"/>
        <w:tblInd w:w="0" w:type="dxa"/>
        <w:tblLayout w:type="fixed"/>
        <w:tblCellMar>
          <w:top w:w="0" w:type="dxa"/>
          <w:left w:w="0" w:type="dxa"/>
          <w:bottom w:w="0" w:type="dxa"/>
          <w:right w:w="0" w:type="dxa"/>
        </w:tblCellMar>
      </w:tblPr>
      <w:tblGrid>
        <w:gridCol w:w="2206"/>
        <w:gridCol w:w="154"/>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Jingtian &amp; Gongcheng</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Jingtian &amp; Gongcheng</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955" w:name="ambr-20251231xex15d3.htm"/>
      <w:bookmarkStart w:id="2956" w:name="ksambr20251231xex15d3"/>
      <w:bookmarkEnd w:id="2955"/>
      <w:bookmarkEnd w:id="2956"/>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15.3</w:t>
      </w:r>
    </w:p>
    <w:p>
      <w:pPr>
        <w:pStyle w:val="TextBody"/>
        <w:bidi w:val="0"/>
        <w:spacing w:before="0" w:after="0"/>
        <w:ind w:left="0" w:right="0" w:hanging="0"/>
        <w:jc w:val="right"/>
        <w:rPr/>
      </w:pPr>
      <w:r>
        <w:rPr/>
        <w:t>​</w:t>
      </w:r>
    </w:p>
    <w:tbl>
      <w:tblPr>
        <w:tblW w:w="7016" w:type="dxa"/>
        <w:jc w:val="left"/>
        <w:tblInd w:w="0" w:type="dxa"/>
        <w:tblLayout w:type="fixed"/>
        <w:tblCellMar>
          <w:top w:w="0" w:type="dxa"/>
          <w:left w:w="0" w:type="dxa"/>
          <w:bottom w:w="0" w:type="dxa"/>
          <w:right w:w="0" w:type="dxa"/>
        </w:tblCellMar>
      </w:tblPr>
      <w:tblGrid>
        <w:gridCol w:w="4360"/>
        <w:gridCol w:w="2656"/>
      </w:tblGrid>
      <w:tr>
        <w:trPr/>
        <w:tc>
          <w:tcPr>
            <w:tcW w:w="4360" w:type="dxa"/>
            <w:tcBorders/>
            <w:vAlign w:val="center"/>
          </w:tcPr>
          <w:p>
            <w:pPr>
              <w:pStyle w:val="TableContents"/>
              <w:bidi w:val="0"/>
              <w:spacing w:before="0" w:after="0"/>
              <w:ind w:left="0" w:right="0" w:hanging="0"/>
              <w:jc w:val="left"/>
              <w:rPr/>
            </w:pPr>
            <w:r>
              <w:rPr/>
              <w:drawing>
                <wp:inline distT="0" distB="0" distL="0" distR="0">
                  <wp:extent cx="2704465" cy="428625"/>
                  <wp:effectExtent l="0" t="0" r="0" b="0"/>
                  <wp:docPr id="7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7" descr=""/>
                          <pic:cNvPicPr>
                            <a:picLocks noChangeAspect="1" noChangeArrowheads="1"/>
                          </pic:cNvPicPr>
                        </pic:nvPicPr>
                        <pic:blipFill>
                          <a:blip r:embed="rId21"/>
                          <a:stretch>
                            <a:fillRect/>
                          </a:stretch>
                        </pic:blipFill>
                        <pic:spPr bwMode="auto">
                          <a:xfrm>
                            <a:off x="0" y="0"/>
                            <a:ext cx="2704465" cy="428625"/>
                          </a:xfrm>
                          <a:prstGeom prst="rect">
                            <a:avLst/>
                          </a:prstGeom>
                        </pic:spPr>
                      </pic:pic>
                    </a:graphicData>
                  </a:graphic>
                </wp:inline>
              </w:drawing>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olor w:val="75253A"/>
                <w:sz w:val="20"/>
              </w:rPr>
              <w:t>Harry Elias Partnership LLP</w:t>
            </w:r>
            <w:r>
              <w:rPr>
                <w:rFonts w:ascii="Times New Roman;Times;serif" w:hAnsi="Times New Roman;Times;serif"/>
                <w:sz w:val="20"/>
              </w:rPr>
              <w:br/>
              <w:t>4 Shenton Way</w:t>
              <w:br/>
              <w:t>#17-01 SGX Centre 2</w:t>
              <w:br/>
              <w:t>Singapore 068807</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pPr>
            <w:r>
              <w:rPr/>
              <w:t>​</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75253A"/>
                <w:sz w:val="20"/>
              </w:rPr>
              <w:t>E</w:t>
            </w:r>
            <w:r>
              <w:rPr>
                <w:rFonts w:ascii="Times New Roman;Times;serif" w:hAnsi="Times New Roman;Times;serif"/>
                <w:sz w:val="20"/>
              </w:rPr>
              <w:t>ask@harryelias.com</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8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75253A"/>
                <w:sz w:val="20"/>
              </w:rPr>
              <w:t>T</w:t>
            </w:r>
            <w:r>
              <w:rPr>
                <w:rFonts w:ascii="Times New Roman;Times;serif" w:hAnsi="Times New Roman;Times;serif"/>
                <w:sz w:val="20"/>
              </w:rPr>
              <w:t>+65 6535 0550</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75253A"/>
                <w:sz w:val="20"/>
              </w:rPr>
              <w:t>F</w:t>
            </w:r>
            <w:r>
              <w:rPr>
                <w:rFonts w:ascii="Times New Roman;Times;serif" w:hAnsi="Times New Roman;Times;serif"/>
                <w:sz w:val="20"/>
              </w:rPr>
              <w:t>+65 6438 0550</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We do not accept service of</w:t>
              <w:br/>
              <w:t>court documents by fax</w:t>
            </w:r>
          </w:p>
        </w:tc>
      </w:tr>
      <w:tr>
        <w:trPr/>
        <w:tc>
          <w:tcPr>
            <w:tcW w:w="4360"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75253A"/>
                <w:sz w:val="20"/>
              </w:rPr>
              <w:t>W</w:t>
            </w:r>
            <w:r>
              <w:rPr>
                <w:rFonts w:ascii="Times New Roman;Times;serif" w:hAnsi="Times New Roman;Times;serif"/>
                <w:sz w:val="20"/>
              </w:rPr>
              <w:t>www.harryelias.com</w:t>
            </w:r>
          </w:p>
        </w:tc>
      </w:tr>
    </w:tbl>
    <w:p>
      <w:pPr>
        <w:pStyle w:val="TextBody"/>
        <w:bidi w:val="0"/>
        <w:spacing w:before="0" w:after="0"/>
        <w:ind w:left="0" w:right="0" w:hanging="0"/>
        <w:jc w:val="left"/>
        <w:rPr/>
      </w:pPr>
      <w:r>
        <w:rPr/>
        <w:t>​</w:t>
      </w:r>
    </w:p>
    <w:p>
      <w:pPr>
        <w:pStyle w:val="HorizontalLine"/>
        <w:pBdr>
          <w:bottom w:val="single" w:sz="6" w:space="0" w:color="737373"/>
        </w:pBdr>
        <w:bidi w:val="0"/>
        <w:spacing w:before="0" w:after="0"/>
        <w:jc w:val="left"/>
        <w:rPr/>
      </w:pPr>
      <w:r>
        <w:rPr/>
      </w:r>
    </w:p>
    <w:p>
      <w:pPr>
        <w:pStyle w:val="TextBody"/>
        <w:bidi w:val="0"/>
        <w:spacing w:before="0" w:after="0"/>
        <w:ind w:left="0" w:right="0" w:hanging="0"/>
        <w:jc w:val="left"/>
        <w:rPr/>
      </w:pPr>
      <w:r>
        <w:rPr/>
        <w:t>​</w:t>
      </w:r>
    </w:p>
    <w:tbl>
      <w:tblPr>
        <w:tblW w:w="6633" w:type="dxa"/>
        <w:jc w:val="left"/>
        <w:tblInd w:w="0" w:type="dxa"/>
        <w:tblLayout w:type="fixed"/>
        <w:tblCellMar>
          <w:top w:w="0" w:type="dxa"/>
          <w:left w:w="0" w:type="dxa"/>
          <w:bottom w:w="0" w:type="dxa"/>
          <w:right w:w="0" w:type="dxa"/>
        </w:tblCellMar>
      </w:tblPr>
      <w:tblGrid>
        <w:gridCol w:w="3376"/>
        <w:gridCol w:w="886"/>
        <w:gridCol w:w="2371"/>
      </w:tblGrid>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attention of Board of Directors</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 May 2026</w:t>
            </w:r>
          </w:p>
        </w:tc>
      </w:tr>
      <w:tr>
        <w:trPr/>
        <w:tc>
          <w:tcPr>
            <w:tcW w:w="337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b/>
                <w:sz w:val="20"/>
              </w:rPr>
              <w:t>Your ref</w:t>
            </w:r>
            <w:r>
              <w:rPr>
                <w:rFonts w:ascii="Times New Roman;Times;serif" w:hAnsi="Times New Roman;Times;serif"/>
                <w:sz w:val="20"/>
              </w:rPr>
              <w:t>:</w:t>
            </w:r>
          </w:p>
        </w:tc>
        <w:tc>
          <w:tcPr>
            <w:tcW w:w="2371" w:type="dxa"/>
            <w:tcBorders/>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Our ref</w:t>
            </w:r>
            <w:r>
              <w:rPr>
                <w:rFonts w:ascii="Times New Roman;Times;serif" w:hAnsi="Times New Roman;Times;serif"/>
                <w:sz w:val="20"/>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2025.044314.CT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 1 Wallich Street </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Direct</w:t>
            </w:r>
            <w:r>
              <w:rPr>
                <w:rFonts w:ascii="Times New Roman;Times;serif" w:hAnsi="Times New Roman;Times;serif"/>
                <w:sz w:val="20"/>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 6361 9392 / 863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Email</w:t>
            </w:r>
            <w:r>
              <w:rPr>
                <w:rFonts w:ascii="Times New Roman;Times;serif" w:hAnsi="Times New Roman;Times;serif"/>
                <w:sz w:val="20"/>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claudiateo@harryelias.com</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078881</w:t>
            </w:r>
          </w:p>
        </w:tc>
        <w:tc>
          <w:tcPr>
            <w:tcW w:w="886" w:type="dxa"/>
            <w:tcBorders/>
            <w:vAlign w:val="center"/>
          </w:tcPr>
          <w:p>
            <w:pPr>
              <w:pStyle w:val="TableContents"/>
              <w:bidi w:val="0"/>
              <w:spacing w:before="0" w:after="0"/>
              <w:ind w:left="0" w:right="0" w:hanging="0"/>
              <w:jc w:val="left"/>
              <w:rPr/>
            </w:pPr>
            <w:r>
              <w:rPr/>
              <w:t>​</w:t>
            </w:r>
          </w:p>
        </w:tc>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tienweitan@harryelias.com</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By email only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AMBER INTERNATIONAL HOLDING LIMITED –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refer to the Form 20-F to be filed by Amber International Holding Limited </w:t>
      </w:r>
      <w:r>
        <w:rPr>
          <w:rFonts w:ascii="Times New Roman;Times;serif" w:hAnsi="Times New Roman;Times;serif"/>
          <w:b/>
          <w:sz w:val="20"/>
        </w:rPr>
        <w:t>(“Company”)</w:t>
      </w:r>
      <w:r>
        <w:rPr>
          <w:rFonts w:ascii="Times New Roman;Times;serif" w:hAnsi="Times New Roman;Times;serif"/>
          <w:sz w:val="20"/>
        </w:rPr>
        <w:t xml:space="preserve"> with the United States Securities and Exchange Commission on or around 13 May 2026 (or such other date as the Company may determine).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capitalised terms used in this letter shall have the same meaning as defined in the Form 20-F.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b/>
          <w:sz w:val="20"/>
        </w:rPr>
        <w:t>Harry Elias Partnership LLP</w:t>
      </w:r>
      <w:r>
        <w:rPr>
          <w:rFonts w:ascii="Times New Roman;Times;serif" w:hAnsi="Times New Roman;Times;serif"/>
          <w:sz w:val="20"/>
        </w:rPr>
        <w:t>, named as the legal adviser to the Company as to Singapore laws, do hereby consent to the reference of our name under the headings, “Enforceability of Civil Liabilities – Singapore”, “Item 4. Information on the Company – B. Business Overview – Regulation – Singapore”, “Item 5B. Liquidity and Capital Resources – Holding Company Structure” and “Item 10. Additional Information – E. Taxation – Singapore Taxation” in the Form 20-F and further consent to the incorporation by reference into the Registration Statements on Form S-8 (No. 333-225568, No. 333-227747, No. 333-253596 and No. 333-288385).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Save for the matters opined in the abovementioned headings in the Form 20-F only, we do not make, or purport to make, any statement in the Form 20-F and are not aware of any statement in the Form 20-F which purports to be based on a statement made by us, and we make no representation, express or implied, regarding, and to the extent permitted by law, take no responsibility for, any statement in or omission from the Form 20-F.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Yours faithfully</w:t>
      </w:r>
    </w:p>
    <w:p>
      <w:pPr>
        <w:pStyle w:val="TextBody"/>
        <w:bidi w:val="0"/>
        <w:spacing w:before="0" w:after="0"/>
        <w:ind w:left="0" w:right="0" w:hanging="0"/>
        <w:jc w:val="center"/>
        <w:rPr/>
      </w:pPr>
      <w:r>
        <w:rPr/>
        <w:t>​</w:t>
      </w:r>
    </w:p>
    <w:tbl>
      <w:tblPr>
        <w:tblW w:w="3020" w:type="dxa"/>
        <w:jc w:val="left"/>
        <w:tblInd w:w="0" w:type="dxa"/>
        <w:tblLayout w:type="fixed"/>
        <w:tblCellMar>
          <w:top w:w="0" w:type="dxa"/>
          <w:left w:w="0" w:type="dxa"/>
          <w:bottom w:w="28" w:type="dxa"/>
          <w:right w:w="0" w:type="dxa"/>
        </w:tblCellMar>
      </w:tblPr>
      <w:tblGrid>
        <w:gridCol w:w="1527"/>
        <w:gridCol w:w="228"/>
        <w:gridCol w:w="1111"/>
        <w:gridCol w:w="154"/>
      </w:tblGrid>
      <w:tr>
        <w:trPr/>
        <w:tc>
          <w:tcPr>
            <w:tcW w:w="2866" w:type="dxa"/>
            <w:gridSpan w:val="3"/>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Claudia Teo</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527"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28"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Claudia Teo</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5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Designation</w:t>
            </w:r>
          </w:p>
        </w:tc>
        <w:tc>
          <w:tcPr>
            <w:tcW w:w="2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Partner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1755"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and on behalf of</w:t>
            </w:r>
          </w:p>
        </w:tc>
        <w:tc>
          <w:tcPr>
            <w:tcW w:w="1111" w:type="dxa"/>
            <w:tcBorders/>
            <w:tcMar>
              <w:bottom w:w="0" w:type="dxa"/>
            </w:tcMar>
            <w:vAlign w:val="center"/>
          </w:tcPr>
          <w:p>
            <w:pPr>
              <w:pStyle w:val="TableContents"/>
              <w:bidi w:val="0"/>
              <w:spacing w:before="0" w:after="0"/>
              <w:ind w:left="0" w:right="0" w:hanging="0"/>
              <w:jc w:val="left"/>
              <w:rPr/>
            </w:pPr>
            <w:r>
              <w:rPr/>
              <w:t>​</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866" w:type="dxa"/>
            <w:gridSpan w:val="3"/>
            <w:tcBorders/>
            <w:tcMar>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Harry Elias Partnership LLP</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both"/>
        <w:rPr>
          <w:rFonts w:ascii="Times New Roman;Times;serif" w:hAnsi="Times New Roman;Times;serif"/>
          <w:sz w:val="16"/>
        </w:rPr>
      </w:pPr>
      <w:r>
        <w:rPr>
          <w:rFonts w:ascii="Times New Roman;Times;serif" w:hAnsi="Times New Roman;Times;serif"/>
          <w:sz w:val="16"/>
        </w:rPr>
        <w:t>Harry Elias Partnership LLP is a limited liability partnership registered in Singapore under the Limited Liability Partnerships Act 2005, UEN T10LL0175E and with our registered place of business at 4 Shenton Way #17-01, SGX Centre 2, Singapore 068807. We are regulated by the Law Society of Singapore and the Legal Services Regulatory Authority.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957" w:name="ambr-20251231xex15d4.htm"/>
      <w:bookmarkStart w:id="2958" w:name="ksambr20251231xex15d4"/>
      <w:bookmarkEnd w:id="2957"/>
      <w:bookmarkEnd w:id="2958"/>
      <w:r>
        <w:rPr>
          <w:rFonts w:ascii="Times New Roman;Times;serif" w:hAnsi="Times New Roman;Times;serif"/>
          <w:b/>
          <w:sz w:val="20"/>
        </w:rPr>
        <w:t>Exhibit 15.4</w:t>
      </w:r>
      <w:r>
        <w:br w:type="page"/>
      </w:r>
    </w:p>
    <w:p>
      <w:pPr>
        <w:pStyle w:val="TextBody"/>
        <w:bidi w:val="0"/>
        <w:spacing w:before="0" w:after="0"/>
        <w:ind w:left="0" w:right="0" w:hanging="0"/>
        <w:jc w:val="right"/>
        <w:rPr/>
      </w:pPr>
      <w:r>
        <w:rPr/>
        <w:t>​</w:t>
      </w:r>
    </w:p>
    <w:tbl>
      <w:tblPr>
        <w:tblW w:w="7316" w:type="dxa"/>
        <w:jc w:val="left"/>
        <w:tblInd w:w="0" w:type="dxa"/>
        <w:tblLayout w:type="fixed"/>
        <w:tblCellMar>
          <w:top w:w="0" w:type="dxa"/>
          <w:left w:w="0" w:type="dxa"/>
          <w:bottom w:w="0" w:type="dxa"/>
          <w:right w:w="0" w:type="dxa"/>
        </w:tblCellMar>
      </w:tblPr>
      <w:tblGrid>
        <w:gridCol w:w="3376"/>
        <w:gridCol w:w="3940"/>
      </w:tblGrid>
      <w:tr>
        <w:trPr/>
        <w:tc>
          <w:tcPr>
            <w:tcW w:w="3376" w:type="dxa"/>
            <w:tcBorders/>
            <w:vAlign w:val="center"/>
          </w:tcPr>
          <w:p>
            <w:pPr>
              <w:pStyle w:val="TableContents"/>
              <w:bidi w:val="0"/>
              <w:spacing w:before="0" w:after="0"/>
              <w:ind w:left="0" w:right="0" w:hanging="0"/>
              <w:jc w:val="left"/>
              <w:rPr/>
            </w:pPr>
            <w:r>
              <w:rPr/>
              <w:t>​</w:t>
            </w:r>
          </w:p>
        </w:tc>
        <w:tc>
          <w:tcPr>
            <w:tcW w:w="3940" w:type="dxa"/>
            <w:tcBorders/>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 May 2026</w:t>
            </w:r>
          </w:p>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Amber International Holding Limited</w:t>
            </w:r>
            <w:r>
              <w:rPr>
                <w:rFonts w:ascii="Times New Roman;Times;serif" w:hAnsi="Times New Roman;Times;serif"/>
                <w:color w:val="0000B4"/>
                <w:sz w:val="20"/>
              </w:rPr>
              <w:t xml:space="preserve">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Wallich Street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#30-02 Guoco Tower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 078881</w:t>
            </w:r>
          </w:p>
          <w:p>
            <w:pPr>
              <w:pStyle w:val="TableContents"/>
              <w:bidi w:val="0"/>
              <w:spacing w:before="0" w:after="0"/>
              <w:ind w:left="0" w:right="0" w:hanging="0"/>
              <w:jc w:val="left"/>
              <w:rPr/>
            </w:pPr>
            <w:r>
              <w:rPr/>
              <w:t>​</w:t>
            </w:r>
          </w:p>
        </w:tc>
        <w:tc>
          <w:tcPr>
            <w:tcW w:w="3940" w:type="dxa"/>
            <w:tcBorders/>
            <w:vAlign w:val="center"/>
          </w:tcPr>
          <w:p>
            <w:pPr>
              <w:pStyle w:val="TableContents"/>
              <w:bidi w:val="0"/>
              <w:spacing w:before="0" w:after="0"/>
              <w:ind w:left="0" w:right="0" w:hanging="0"/>
              <w:jc w:val="left"/>
              <w:rPr/>
            </w:pPr>
            <w:r>
              <w:rPr/>
              <w:drawing>
                <wp:inline distT="0" distB="0" distL="0" distR="0">
                  <wp:extent cx="2418715" cy="657225"/>
                  <wp:effectExtent l="0" t="0" r="0" b="0"/>
                  <wp:docPr id="7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Image8" descr=""/>
                          <pic:cNvPicPr>
                            <a:picLocks noChangeAspect="1" noChangeArrowheads="1"/>
                          </pic:cNvPicPr>
                        </pic:nvPicPr>
                        <pic:blipFill>
                          <a:blip r:embed="rId22"/>
                          <a:stretch>
                            <a:fillRect/>
                          </a:stretch>
                        </pic:blipFill>
                        <pic:spPr bwMode="auto">
                          <a:xfrm>
                            <a:off x="0" y="0"/>
                            <a:ext cx="2418715" cy="657225"/>
                          </a:xfrm>
                          <a:prstGeom prst="rect">
                            <a:avLst/>
                          </a:prstGeom>
                        </pic:spPr>
                      </pic:pic>
                    </a:graphicData>
                  </a:graphic>
                </wp:inline>
              </w:drawing>
            </w:r>
          </w:p>
          <w:p>
            <w:pPr>
              <w:pStyle w:val="TableContents"/>
              <w:bidi w:val="0"/>
              <w:spacing w:before="0" w:after="0"/>
              <w:ind w:left="0" w:right="0" w:hanging="0"/>
              <w:jc w:val="left"/>
              <w:rPr/>
            </w:pPr>
            <w:r>
              <w:rPr/>
              <w:t>​</w:t>
            </w:r>
          </w:p>
          <w:p>
            <w:pPr>
              <w:pStyle w:val="TableContents"/>
              <w:bidi w:val="0"/>
              <w:spacing w:before="0" w:after="0"/>
              <w:ind w:left="130" w:right="0" w:hanging="0"/>
              <w:jc w:val="left"/>
              <w:rPr>
                <w:rFonts w:ascii="Times New Roman;Times;serif" w:hAnsi="Times New Roman;Times;serif"/>
                <w:sz w:val="16"/>
              </w:rPr>
            </w:pPr>
            <w:r>
              <w:rPr>
                <w:rFonts w:ascii="Times New Roman;Times;serif" w:hAnsi="Times New Roman;Times;serif"/>
                <w:sz w:val="16"/>
              </w:rPr>
              <w:t>21/F, 8 Queen’s Road Central, Central, Hong Kong</w:t>
            </w:r>
          </w:p>
          <w:p>
            <w:pPr>
              <w:pStyle w:val="TableContents"/>
              <w:bidi w:val="0"/>
              <w:spacing w:before="0" w:after="0"/>
              <w:ind w:left="130" w:right="0" w:hanging="0"/>
              <w:jc w:val="left"/>
              <w:rPr/>
            </w:pPr>
            <w:r>
              <w:rPr/>
              <w:t>​</w:t>
            </w:r>
          </w:p>
          <w:p>
            <w:pPr>
              <w:pStyle w:val="TableContents"/>
              <w:bidi w:val="0"/>
              <w:spacing w:before="0" w:after="0"/>
              <w:ind w:left="130" w:right="0" w:hanging="0"/>
              <w:jc w:val="left"/>
              <w:rPr>
                <w:rFonts w:ascii="Times New Roman;Times;serif" w:hAnsi="Times New Roman;Times;serif"/>
                <w:sz w:val="16"/>
              </w:rPr>
            </w:pPr>
            <w:r>
              <w:rPr>
                <w:rFonts w:ascii="Times New Roman;Times;serif" w:hAnsi="Times New Roman;Times;serif"/>
                <w:sz w:val="16"/>
              </w:rPr>
              <w:t>Tel : +852 3700 4000 | Fax : +852 3700 4099</w:t>
            </w:r>
          </w:p>
          <w:p>
            <w:pPr>
              <w:pStyle w:val="TableContents"/>
              <w:bidi w:val="0"/>
              <w:spacing w:before="0" w:after="0"/>
              <w:ind w:left="130" w:right="0" w:hanging="0"/>
              <w:jc w:val="left"/>
              <w:rPr/>
            </w:pPr>
            <w:r>
              <w:rPr/>
              <w:t>​</w:t>
            </w:r>
          </w:p>
          <w:p>
            <w:pPr>
              <w:pStyle w:val="TableContents"/>
              <w:bidi w:val="0"/>
              <w:spacing w:before="0" w:after="0"/>
              <w:ind w:left="130" w:right="0" w:hanging="0"/>
              <w:jc w:val="left"/>
              <w:rPr>
                <w:rFonts w:ascii="Times New Roman;Times;serif" w:hAnsi="Times New Roman;Times;serif"/>
                <w:sz w:val="16"/>
              </w:rPr>
            </w:pPr>
            <w:r>
              <w:rPr>
                <w:rFonts w:ascii="Times New Roman;Times;serif" w:hAnsi="Times New Roman;Times;serif"/>
                <w:sz w:val="16"/>
              </w:rPr>
              <w:t xml:space="preserve">Partner </w:t>
            </w:r>
          </w:p>
          <w:p>
            <w:pPr>
              <w:pStyle w:val="TableContents"/>
              <w:bidi w:val="0"/>
              <w:spacing w:before="0" w:after="0"/>
              <w:ind w:left="130" w:right="0" w:hanging="0"/>
              <w:jc w:val="left"/>
              <w:rPr>
                <w:rFonts w:ascii="Times New Roman;Times;serif" w:hAnsi="Times New Roman;Times;serif"/>
                <w:b/>
                <w:sz w:val="16"/>
              </w:rPr>
            </w:pPr>
            <w:r>
              <w:rPr>
                <w:rFonts w:ascii="Times New Roman;Times;serif" w:hAnsi="Times New Roman;Times;serif"/>
                <w:b/>
                <w:sz w:val="16"/>
              </w:rPr>
              <w:t xml:space="preserve">Chan Ho Ming </w:t>
            </w:r>
          </w:p>
          <w:p>
            <w:pPr>
              <w:pStyle w:val="TableContents"/>
              <w:bidi w:val="0"/>
              <w:spacing w:before="0" w:after="0"/>
              <w:ind w:left="130" w:right="0" w:hanging="0"/>
              <w:jc w:val="left"/>
              <w:rPr>
                <w:rFonts w:ascii="Times New Roman;Times;serif" w:hAnsi="Times New Roman;Times;serif"/>
                <w:b/>
                <w:sz w:val="16"/>
              </w:rPr>
            </w:pPr>
            <w:r>
              <w:rPr>
                <w:rFonts w:ascii="Times New Roman;Times;serif" w:hAnsi="Times New Roman;Times;serif"/>
                <w:b/>
                <w:sz w:val="16"/>
              </w:rPr>
              <w:t xml:space="preserve">Lau Yeung Yeung </w:t>
            </w:r>
          </w:p>
          <w:p>
            <w:pPr>
              <w:pStyle w:val="TableContents"/>
              <w:bidi w:val="0"/>
              <w:spacing w:before="0" w:after="0"/>
              <w:ind w:left="130" w:right="0" w:hanging="0"/>
              <w:jc w:val="left"/>
              <w:rPr/>
            </w:pPr>
            <w:r>
              <w:rPr/>
              <w:t>​</w:t>
            </w:r>
          </w:p>
          <w:p>
            <w:pPr>
              <w:pStyle w:val="TableContents"/>
              <w:bidi w:val="0"/>
              <w:spacing w:before="0" w:after="0"/>
              <w:ind w:left="130" w:right="0" w:hanging="0"/>
              <w:jc w:val="left"/>
              <w:rPr>
                <w:rFonts w:ascii="Times New Roman;Times;serif" w:hAnsi="Times New Roman;Times;serif"/>
                <w:sz w:val="16"/>
              </w:rPr>
            </w:pPr>
            <w:r>
              <w:rPr>
                <w:rFonts w:ascii="Times New Roman;Times;serif" w:hAnsi="Times New Roman;Times;serif"/>
                <w:sz w:val="16"/>
              </w:rPr>
              <w:t xml:space="preserve">www.hmchan.com.hk </w:t>
            </w:r>
          </w:p>
          <w:p>
            <w:pPr>
              <w:pStyle w:val="TableContents"/>
              <w:bidi w:val="0"/>
              <w:spacing w:before="0" w:after="0"/>
              <w:ind w:left="130" w:right="0" w:hanging="0"/>
              <w:jc w:val="left"/>
              <w:rPr/>
            </w:pPr>
            <w:r>
              <w:rPr/>
              <w:t>​</w:t>
            </w:r>
          </w:p>
          <w:p>
            <w:pPr>
              <w:pStyle w:val="TableContents"/>
              <w:bidi w:val="0"/>
              <w:spacing w:before="0" w:after="0"/>
              <w:ind w:left="130" w:right="0" w:hanging="0"/>
              <w:jc w:val="left"/>
              <w:rPr>
                <w:rFonts w:ascii="Times New Roman;Times;serif" w:hAnsi="Times New Roman;Times;serif"/>
                <w:sz w:val="16"/>
              </w:rPr>
            </w:pPr>
            <w:r>
              <w:rPr>
                <w:rFonts w:ascii="Times New Roman;Times;serif" w:hAnsi="Times New Roman;Times;serif"/>
                <w:sz w:val="16"/>
              </w:rPr>
              <w:t>Our Ref: HMC102-036.AL</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Dear Sirs,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Form 20-F of Amber International Holding Limited for the year ended 31 December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acted as legal advisers as to the laws of Hong Kong to Amber International Holding Limited, a Cayman Islands exempted company incorporated with limited liability (the “</w:t>
      </w:r>
      <w:r>
        <w:rPr>
          <w:rFonts w:ascii="Times New Roman;Times;serif" w:hAnsi="Times New Roman;Times;serif"/>
          <w:b/>
          <w:sz w:val="20"/>
        </w:rPr>
        <w:t>Company</w:t>
      </w:r>
      <w:r>
        <w:rPr>
          <w:rFonts w:ascii="Times New Roman;Times;serif" w:hAnsi="Times New Roman;Times;serif"/>
          <w:sz w:val="20"/>
        </w:rPr>
        <w:t>”), in connection with the filing by the Company with the United States Securities and Exchange Commission (the “</w:t>
      </w:r>
      <w:r>
        <w:rPr>
          <w:rFonts w:ascii="Times New Roman;Times;serif" w:hAnsi="Times New Roman;Times;serif"/>
          <w:b/>
          <w:sz w:val="20"/>
        </w:rPr>
        <w:t>SEC</w:t>
      </w:r>
      <w:r>
        <w:rPr>
          <w:rFonts w:ascii="Times New Roman;Times;serif" w:hAnsi="Times New Roman;Times;serif"/>
          <w:sz w:val="20"/>
        </w:rPr>
        <w:t>”) of an annual report on Form 20-F for the year ended 31 December 2025 (“</w:t>
      </w:r>
      <w:r>
        <w:rPr>
          <w:rFonts w:ascii="Times New Roman;Times;serif" w:hAnsi="Times New Roman;Times;serif"/>
          <w:b/>
          <w:sz w:val="20"/>
        </w:rPr>
        <w:t>Form 20-F</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 “Enforceability of Civil Liabilities – Hong Kong”, “Item 4. Information on the Company – B. Business Overview – V. Regulation – Hong Kong,” “Item 5B. Liquidity and Capital Resources – Holding Company Structure” and “Item 10. Additional Information – E. Taxation – Hong Kong Taxation” in the Form 20-F, and further consent to the incorporation of our opinions in the statements set forth in the Company’s Form 20-F to the extent related to Hong Kong law under the captions “Enforceability of Civil Liabilities – Hong Kong”, “, “Item 4. Information on the Company – B. Business Overview – V. Regulation – Hong Kong,” “Item 5B. Liquidity and Capital Resources – Holding Company Structure” and “Item 10. Additional Information – E. Taxation – Hong Kong Taxation”, and further consent to the incorporation by reference into the Company’s registration statements on Form S-8 (File No. 333-225568) that was filed on 12 June 2018, Form S-8 (File No. 333-227747) that was filed on 9 October 2018, Form S-8 (File No. 333-253596) that was filed on 26 February 2021, and Form S-8 (File No. 333-288385) that was filed on 27 June 2025. Save for the above, our consent is not to be read as extending, by implication or otherwise, to any other matter.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Yours faithfully,</w:t>
      </w:r>
    </w:p>
    <w:tbl>
      <w:tblPr>
        <w:tblW w:w="1880" w:type="dxa"/>
        <w:jc w:val="left"/>
        <w:tblInd w:w="0" w:type="dxa"/>
        <w:tblLayout w:type="fixed"/>
        <w:tblCellMar>
          <w:top w:w="0" w:type="dxa"/>
          <w:left w:w="0" w:type="dxa"/>
          <w:bottom w:w="28" w:type="dxa"/>
          <w:right w:w="0" w:type="dxa"/>
        </w:tblCellMar>
      </w:tblPr>
      <w:tblGrid>
        <w:gridCol w:w="1726"/>
        <w:gridCol w:w="154"/>
      </w:tblGrid>
      <w:tr>
        <w:trPr/>
        <w:tc>
          <w:tcPr>
            <w:tcW w:w="172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H.M. Chan &amp; Co</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72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H.M. Chan &amp; Co</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left"/>
        <w:rPr>
          <w:rFonts w:ascii="Times New Roman;Times;serif" w:hAnsi="Times New Roman;Times;serif"/>
          <w:sz w:val="15"/>
        </w:rPr>
      </w:pPr>
      <w:r>
        <w:rPr>
          <w:rFonts w:ascii="Times New Roman;Times;serif" w:hAnsi="Times New Roman;Times;serif"/>
          <w:sz w:val="15"/>
        </w:rPr>
        <w:t>H.M. Chan &amp; Co is a firm of Hong Kong solicitors regulated by the Law Society of Hong Kong and practising Hong Kong law.</w:t>
      </w:r>
    </w:p>
    <w:p>
      <w:pPr>
        <w:pStyle w:val="TextBody"/>
        <w:bidi w:val="0"/>
        <w:spacing w:before="0" w:after="0"/>
        <w:ind w:left="0" w:right="0" w:hanging="0"/>
        <w:jc w:val="left"/>
        <w:rPr>
          <w:rFonts w:eastAsia="SimSun"/>
          <w:sz w:val="15"/>
        </w:rPr>
      </w:pPr>
      <w:r>
        <w:rPr>
          <w:rFonts w:eastAsia="SimSun"/>
          <w:sz w:val="15"/>
        </w:rPr>
        <w:t>陈浩铭律师事务所是一家由香港律师会监管的律师事务所，并于香港执业法律。</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959" w:name="ambr-20251231xex15d5.htm"/>
      <w:bookmarkStart w:id="2960" w:name="ksambr20251231xex15d5"/>
      <w:bookmarkEnd w:id="2959"/>
      <w:bookmarkEnd w:id="2960"/>
      <w:r>
        <w:rPr>
          <w:rFonts w:ascii="Times New Roman;Times;serif" w:hAnsi="Times New Roman;Times;serif"/>
          <w:b/>
          <w:sz w:val="20"/>
        </w:rPr>
        <w:t>Exhibit 15.5</w:t>
      </w:r>
      <w:r>
        <w:br w:type="page"/>
      </w:r>
    </w:p>
    <w:p>
      <w:pPr>
        <w:pStyle w:val="TextBody"/>
        <w:bidi w:val="0"/>
        <w:spacing w:before="0" w:after="0"/>
        <w:ind w:left="0" w:right="0" w:hanging="0"/>
        <w:jc w:val="center"/>
        <w:rPr/>
      </w:pPr>
      <w:r>
        <w:rPr/>
        <w:drawing>
          <wp:inline distT="0" distB="0" distL="0" distR="0">
            <wp:extent cx="6609715" cy="1104900"/>
            <wp:effectExtent l="0" t="0" r="0" b="0"/>
            <wp:docPr id="7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9" descr=""/>
                    <pic:cNvPicPr>
                      <a:picLocks noChangeAspect="1" noChangeArrowheads="1"/>
                    </pic:cNvPicPr>
                  </pic:nvPicPr>
                  <pic:blipFill>
                    <a:blip r:embed="rId23"/>
                    <a:stretch>
                      <a:fillRect/>
                    </a:stretch>
                  </pic:blipFill>
                  <pic:spPr bwMode="auto">
                    <a:xfrm>
                      <a:off x="0" y="0"/>
                      <a:ext cx="6609715" cy="11049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on Form S-8 (Registration No. 333-225568, 333-227747, 333-253596 and 333-288385) of Amber International Holding Limited and its subsidiaries (collectively the “Company”) of our report dated May 13, 2026, with respect to the audit of the consolidated statements of financial position of the Company as of December 31, 2023, 2024 and 2025, and the related consolidated statements of profit or loss, comprehensive loss, changes in shareholders’ equity, and cash flows in each of the years for the three-year period ended December 31, 2025, and the related notes, which are included in its Annual Report on Form 20-F of the Company for the year ended December 31, 2025.</w:t>
      </w:r>
    </w:p>
    <w:tbl>
      <w:tblPr>
        <w:tblW w:w="4904" w:type="dxa"/>
        <w:jc w:val="center"/>
        <w:tblInd w:w="0" w:type="dxa"/>
        <w:tblLayout w:type="fixed"/>
        <w:tblCellMar>
          <w:top w:w="0" w:type="dxa"/>
          <w:left w:w="0" w:type="dxa"/>
          <w:bottom w:w="0" w:type="dxa"/>
          <w:right w:w="0" w:type="dxa"/>
        </w:tblCellMar>
      </w:tblPr>
      <w:tblGrid>
        <w:gridCol w:w="1906"/>
        <w:gridCol w:w="346"/>
        <w:gridCol w:w="2461"/>
        <w:gridCol w:w="191"/>
      </w:tblGrid>
      <w:tr>
        <w:trPr/>
        <w:tc>
          <w:tcPr>
            <w:tcW w:w="190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WWC, P.C.</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346"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WWC, P.C.</w:t>
            </w:r>
          </w:p>
        </w:tc>
        <w:tc>
          <w:tcPr>
            <w:tcW w:w="19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 2026</w:t>
            </w:r>
          </w:p>
        </w:tc>
        <w:tc>
          <w:tcPr>
            <w:tcW w:w="346"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Certified Public Accountants</w:t>
            </w:r>
          </w:p>
        </w:tc>
        <w:tc>
          <w:tcPr>
            <w:tcW w:w="19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PCAOB ID: 1171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drawing>
          <wp:inline distT="0" distB="0" distL="0" distR="0">
            <wp:extent cx="5942965" cy="457200"/>
            <wp:effectExtent l="0" t="0" r="0" b="0"/>
            <wp:docPr id="7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10" descr=""/>
                    <pic:cNvPicPr>
                      <a:picLocks noChangeAspect="1" noChangeArrowheads="1"/>
                    </pic:cNvPicPr>
                  </pic:nvPicPr>
                  <pic:blipFill>
                    <a:blip r:embed="rId24"/>
                    <a:stretch>
                      <a:fillRect/>
                    </a:stretch>
                  </pic:blipFill>
                  <pic:spPr bwMode="auto">
                    <a:xfrm>
                      <a:off x="0" y="0"/>
                      <a:ext cx="5942965" cy="4572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961" w:name="ambr-20251231xex97d1.htm"/>
      <w:bookmarkStart w:id="2962" w:name="ksambr20251231xex97d1"/>
      <w:bookmarkEnd w:id="2961"/>
      <w:bookmarkEnd w:id="2962"/>
      <w:r>
        <w:rPr>
          <w:rFonts w:ascii="Times New Roman;Times;serif" w:hAnsi="Times New Roman;Times;serif"/>
          <w:b/>
          <w:sz w:val="20"/>
        </w:rPr>
        <w:t>Exhibit 97.1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POLICY FOR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RECOVERY OF ERRONEOUSLY AWARDED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w:t>
      </w:r>
      <w:r>
        <w:rPr>
          <w:rFonts w:ascii="Times New Roman;Times;serif" w:hAnsi="Times New Roman;Times;serif"/>
          <w:sz w:val="20"/>
          <w:u w:val="single"/>
        </w:rPr>
        <w:t>Purpose</w:t>
      </w:r>
      <w:r>
        <w:rPr>
          <w:rFonts w:ascii="Times New Roman;Times;serif" w:hAnsi="Times New Roman;Times;serif"/>
          <w:sz w:val="20"/>
        </w:rPr>
        <w:t>.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the Acknowledgement and Acceptance Form attached hereto as </w:t>
      </w:r>
      <w:r>
        <w:rPr>
          <w:rFonts w:ascii="Times New Roman;Times;serif" w:hAnsi="Times New Roman;Times;serif"/>
          <w:sz w:val="20"/>
          <w:u w:val="single"/>
        </w:rPr>
        <w:t>Exhibit A</w:t>
      </w:r>
      <w:r>
        <w:rPr>
          <w:rFonts w:ascii="Times New Roman;Times;serif" w:hAnsi="Times New Roman;Times;serif"/>
          <w:sz w:val="20"/>
        </w:rPr>
        <w:t> 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and Acceptance Form and regardless of whether or not such Executive Officer is aware of his or her status as such.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w:t>
      </w:r>
      <w:r>
        <w:rPr>
          <w:rFonts w:ascii="Times New Roman;Times;serif" w:hAnsi="Times New Roman;Times;serif"/>
          <w:sz w:val="20"/>
          <w:u w:val="single"/>
        </w:rPr>
        <w:t>Administration</w:t>
      </w:r>
      <w:r>
        <w:rPr>
          <w:rFonts w:ascii="Times New Roman;Times;serif" w:hAnsi="Times New Roman;Times;serif"/>
          <w:sz w:val="20"/>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w:t>
      </w:r>
      <w:r>
        <w:rPr>
          <w:rFonts w:ascii="Times New Roman;Times;serif" w:hAnsi="Times New Roman;Times;serif"/>
          <w:sz w:val="20"/>
          <w:u w:val="single"/>
        </w:rPr>
        <w:t>Definitions</w:t>
      </w:r>
      <w:r>
        <w:rPr>
          <w:rFonts w:ascii="Times New Roman;Times;serif" w:hAnsi="Times New Roman;Times;serif"/>
          <w:sz w:val="20"/>
        </w:rPr>
        <w:t>. For purposes of this Policy, the following capitalized terms shall have the meanings set forth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b/>
          <w:i/>
          <w:sz w:val="20"/>
        </w:rPr>
        <w:t>Accounting Restatement</w:t>
      </w:r>
      <w:r>
        <w:rPr>
          <w:rFonts w:ascii="Times New Roman;Times;serif" w:hAnsi="Times New Roman;Times;serif"/>
          <w:sz w:val="20"/>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b/>
          <w:i/>
          <w:sz w:val="20"/>
        </w:rPr>
        <w:t>Administrator</w:t>
      </w:r>
      <w:r>
        <w:rPr>
          <w:rFonts w:ascii="Times New Roman;Times;serif" w:hAnsi="Times New Roman;Times;serif"/>
          <w:sz w:val="20"/>
        </w:rPr>
        <w:t>” shall mean the Committee or any other committee designated by the Board to administer the Policy, and in the absence of such designation,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b/>
          <w:i/>
          <w:sz w:val="20"/>
        </w:rPr>
        <w:t>Board</w:t>
      </w:r>
      <w:r>
        <w:rPr>
          <w:rFonts w:ascii="Times New Roman;Times;serif" w:hAnsi="Times New Roman;Times;serif"/>
          <w:sz w:val="20"/>
        </w:rPr>
        <w:t>” shall mean the Board of Directors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b/>
          <w:i/>
          <w:sz w:val="20"/>
        </w:rPr>
        <w:t>Clawback Eligible Incentive Compensation</w:t>
      </w:r>
      <w:r>
        <w:rPr>
          <w:rFonts w:ascii="Times New Roman;Times;serif" w:hAnsi="Times New Roman;Times;serif"/>
          <w:sz w:val="20"/>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b/>
          <w:i/>
          <w:sz w:val="20"/>
        </w:rPr>
        <w:t>Clawback Period</w:t>
      </w:r>
      <w:r>
        <w:rPr>
          <w:rFonts w:ascii="Times New Roman;Times;serif" w:hAnsi="Times New Roman;Times;serif"/>
          <w:sz w:val="20"/>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w:t>
      </w:r>
      <w:r>
        <w:rPr>
          <w:rFonts w:ascii="Times New Roman;Times;serif" w:hAnsi="Times New Roman;Times;serif"/>
          <w:b/>
          <w:i/>
          <w:sz w:val="20"/>
        </w:rPr>
        <w:t>Clawback Rules</w:t>
      </w:r>
      <w:r>
        <w:rPr>
          <w:rFonts w:ascii="Times New Roman;Times;serif" w:hAnsi="Times New Roman;Times;serif"/>
          <w:sz w:val="20"/>
        </w:rPr>
        <w:t>” 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w:t>
      </w:r>
      <w:r>
        <w:rPr>
          <w:rFonts w:ascii="Times New Roman;Times;serif" w:hAnsi="Times New Roman;Times;serif"/>
          <w:b/>
          <w:i/>
          <w:sz w:val="20"/>
        </w:rPr>
        <w:t>Committee</w:t>
      </w:r>
      <w:r>
        <w:rPr>
          <w:rFonts w:ascii="Times New Roman;Times;serif" w:hAnsi="Times New Roman;Times;serif"/>
          <w:sz w:val="20"/>
        </w:rPr>
        <w:t>” shall mean the Compensation Committee of the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w:t>
      </w:r>
      <w:r>
        <w:rPr>
          <w:rFonts w:ascii="Times New Roman;Times;serif" w:hAnsi="Times New Roman;Times;serif"/>
          <w:b/>
          <w:i/>
          <w:sz w:val="20"/>
        </w:rPr>
        <w:t>Company</w:t>
      </w:r>
      <w:r>
        <w:rPr>
          <w:rFonts w:ascii="Times New Roman;Times;serif" w:hAnsi="Times New Roman;Times;serif"/>
          <w:sz w:val="20"/>
        </w:rPr>
        <w:t>” shall mean Amber International Holding Limited (and as the Administrator determines is applicable, together with each of its direct and indirect subsidiaries and other consolidated entities).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i/>
          <w:sz w:val="20"/>
        </w:rPr>
        <w:t>Effective Date</w:t>
      </w:r>
      <w:r>
        <w:rPr>
          <w:rFonts w:ascii="Times New Roman;Times;serif" w:hAnsi="Times New Roman;Times;serif"/>
          <w:sz w:val="20"/>
        </w:rPr>
        <w:t>” shall mean March 12,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(j)“</w:t>
      </w:r>
      <w:r>
        <w:rPr>
          <w:rFonts w:ascii="Times New Roman;Times;serif" w:hAnsi="Times New Roman;Times;serif"/>
          <w:b/>
          <w:i/>
          <w:sz w:val="20"/>
        </w:rPr>
        <w:t>Erroneously Awarded Compensation</w:t>
      </w:r>
      <w:r>
        <w:rPr>
          <w:rFonts w:ascii="Times New Roman;Times;serif" w:hAnsi="Times New Roman;Times;serif"/>
          <w:sz w:val="20"/>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(k)“</w:t>
      </w:r>
      <w:r>
        <w:rPr>
          <w:rFonts w:ascii="Times New Roman;Times;serif" w:hAnsi="Times New Roman;Times;serif"/>
          <w:b/>
          <w:i/>
          <w:sz w:val="20"/>
        </w:rPr>
        <w:t>Executive Officer</w:t>
      </w:r>
      <w:r>
        <w:rPr>
          <w:rFonts w:ascii="Times New Roman;Times;serif" w:hAnsi="Times New Roman;Times;serif"/>
          <w:sz w:val="20"/>
        </w:rPr>
        <w:t>” 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 A list of “Executive Officers” for purposes of this policy is set forth in </w:t>
      </w:r>
      <w:r>
        <w:rPr>
          <w:rFonts w:ascii="Times New Roman;Times;serif" w:hAnsi="Times New Roman;Times;serif"/>
          <w:sz w:val="20"/>
          <w:u w:val="single"/>
        </w:rPr>
        <w:t>Exhibit B</w:t>
      </w:r>
      <w:r>
        <w:rPr>
          <w:rFonts w:ascii="Times New Roman;Times;serif" w:hAnsi="Times New Roman;Times;serif"/>
          <w:sz w:val="20"/>
        </w:rPr>
        <w:t>, which may be revised from time to time at the sole discretion of the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w:t>
      </w:r>
      <w:r>
        <w:rPr>
          <w:rFonts w:ascii="Times New Roman;Times;serif" w:hAnsi="Times New Roman;Times;serif"/>
          <w:b/>
          <w:i/>
          <w:sz w:val="20"/>
        </w:rPr>
        <w:t>Exchange Act</w:t>
      </w:r>
      <w:r>
        <w:rPr>
          <w:rFonts w:ascii="Times New Roman;Times;serif" w:hAnsi="Times New Roman;Times;serif"/>
          <w:sz w:val="20"/>
        </w:rPr>
        <w:t>” shall mean the Securities Exchange Act of 1934, as amended, and the rules and regulations promulgated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w:t>
      </w:r>
      <w:r>
        <w:rPr>
          <w:rFonts w:ascii="Times New Roman;Times;serif" w:hAnsi="Times New Roman;Times;serif"/>
          <w:b/>
          <w:i/>
          <w:sz w:val="20"/>
        </w:rPr>
        <w:t>Financial Reporting Measures</w:t>
      </w:r>
      <w:r>
        <w:rPr>
          <w:rFonts w:ascii="Times New Roman;Times;serif" w:hAnsi="Times New Roman;Times;serif"/>
          <w:sz w:val="20"/>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w:t>
      </w:r>
      <w:r>
        <w:rPr>
          <w:rFonts w:ascii="Times New Roman;Times;serif" w:hAnsi="Times New Roman;Times;serif"/>
          <w:b/>
          <w:i/>
          <w:sz w:val="20"/>
        </w:rPr>
        <w:t>Incentive-based Compensation</w:t>
      </w:r>
      <w:r>
        <w:rPr>
          <w:rFonts w:ascii="Times New Roman;Times;serif" w:hAnsi="Times New Roman;Times;serif"/>
          <w:sz w:val="20"/>
        </w:rPr>
        <w:t>” shall mean any compensation that is granted, earned or vested based wholly or in part upon the attainment of a Financial Reporting Measure.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b/>
          <w:i/>
          <w:sz w:val="20"/>
        </w:rPr>
        <w:t>Impracticable</w:t>
      </w:r>
      <w:r>
        <w:rPr>
          <w:rFonts w:ascii="Times New Roman;Times;serif" w:hAnsi="Times New Roman;Times;serif"/>
          <w:sz w:val="20"/>
        </w:rPr>
        <w:t>” shall mean, in accordance with the good faith determination of the Committee, or if the Committee does not consist of independent directors, a majority of the independent directors serving on the Board, that either: (i) the direct expenses paid to a third party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Cayman Islands law where that law was adopted prior to November 28, 2022, provided that, before concluding that it would be Impracticable to recover any amount of Erroneously Awarded Compensation based on violation of Cayman Islands law, the Company has obtained an opinion of Cayman Islands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w:t>
      </w:r>
      <w:r>
        <w:rPr>
          <w:rFonts w:ascii="Times New Roman;Times;serif" w:hAnsi="Times New Roman;Times;serif"/>
          <w:b/>
          <w:i/>
          <w:sz w:val="20"/>
        </w:rPr>
        <w:t>Listing Exchange</w:t>
      </w:r>
      <w:r>
        <w:rPr>
          <w:rFonts w:ascii="Times New Roman;Times;serif" w:hAnsi="Times New Roman;Times;serif"/>
          <w:sz w:val="20"/>
        </w:rPr>
        <w:t>” shall mean the Nasdaq Stock Market or such other U.S. national securities exchange or national securities association on which the Company’s securities are listed.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(q)“</w:t>
      </w:r>
      <w:r>
        <w:rPr>
          <w:rFonts w:ascii="Times New Roman;Times;serif" w:hAnsi="Times New Roman;Times;serif"/>
          <w:b/>
          <w:i/>
          <w:sz w:val="20"/>
        </w:rPr>
        <w:t>Method of Recovery</w:t>
      </w:r>
      <w:r>
        <w:rPr>
          <w:rFonts w:ascii="Times New Roman;Times;serif" w:hAnsi="Times New Roman;Times;serif"/>
          <w:sz w:val="20"/>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b/>
          <w:i/>
          <w:sz w:val="20"/>
        </w:rPr>
        <w:t>Policy</w:t>
      </w:r>
      <w:r>
        <w:rPr>
          <w:rFonts w:ascii="Times New Roman;Times;serif" w:hAnsi="Times New Roman;Times;serif"/>
          <w:sz w:val="20"/>
        </w:rPr>
        <w:t>” shall mean this Policy for the Recovery of Erroneously Awarded Compensation, as the same may be amended and/or restated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b/>
          <w:i/>
          <w:sz w:val="20"/>
        </w:rPr>
        <w:t>Received</w:t>
      </w:r>
      <w:r>
        <w:rPr>
          <w:rFonts w:ascii="Times New Roman;Times;serif" w:hAnsi="Times New Roman;Times;serif"/>
          <w:sz w:val="20"/>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b/>
          <w:i/>
          <w:sz w:val="20"/>
        </w:rPr>
        <w:t>Restatement Date</w:t>
      </w:r>
      <w:r>
        <w:rPr>
          <w:rFonts w:ascii="Times New Roman;Times;serif" w:hAnsi="Times New Roman;Times;serif"/>
          <w:sz w:val="20"/>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w:t>
      </w:r>
      <w:r>
        <w:rPr>
          <w:rFonts w:ascii="Times New Roman;Times;serif" w:hAnsi="Times New Roman;Times;serif"/>
          <w:b/>
          <w:i/>
          <w:sz w:val="20"/>
        </w:rPr>
        <w:t>SEC</w:t>
      </w:r>
      <w:r>
        <w:rPr>
          <w:rFonts w:ascii="Times New Roman;Times;serif" w:hAnsi="Times New Roman;Times;serif"/>
          <w:sz w:val="20"/>
        </w:rPr>
        <w:t>” shall mean the U.S. Securities and Exchange Commission.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w:t>
      </w:r>
      <w:r>
        <w:rPr>
          <w:rFonts w:ascii="Times New Roman;Times;serif" w:hAnsi="Times New Roman;Times;serif"/>
          <w:sz w:val="20"/>
          <w:u w:val="single"/>
        </w:rPr>
        <w:t>Repayment of Erroneously Awarded Compensation</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recovery would be Impracticable. In implementing the actions contemplated in this Section ‎4(b), the Administrator will act in accordance with the listing standards and requirements of the Listing Exchange and with the applicable Clawback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(c)Subject to the discretion of the Administrator, an applicable Executive Officer may be required to reimburse the Company for any and all expenses reasonably incurred (including legal fees) by the Company in recovering Erroneously Awarded Compensation in accordance with Section ‎4(b).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5.</w:t>
      </w:r>
      <w:r>
        <w:rPr>
          <w:rFonts w:ascii="Times New Roman;Times;serif" w:hAnsi="Times New Roman;Times;serif"/>
          <w:sz w:val="20"/>
          <w:u w:val="single"/>
        </w:rPr>
        <w:t>Reporting and Disclosure</w:t>
      </w:r>
      <w:r>
        <w:rPr>
          <w:rFonts w:ascii="Times New Roman;Times;serif" w:hAnsi="Times New Roman;Times;serif"/>
          <w:sz w:val="20"/>
        </w:rPr>
        <w:t>. The Company shall file all disclosures with respect to this Policy in accordance with the requirements of U.S. federal securities laws, including any disclosure required by applicable SEC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w:t>
      </w:r>
      <w:r>
        <w:rPr>
          <w:rFonts w:ascii="Times New Roman;Times;serif" w:hAnsi="Times New Roman;Times;serif"/>
          <w:sz w:val="20"/>
          <w:u w:val="single"/>
        </w:rPr>
        <w:t>Indemnification Prohibition</w:t>
      </w:r>
      <w:r>
        <w:rPr>
          <w:rFonts w:ascii="Times New Roman;Times;serif" w:hAnsi="Times New Roman;Times;serif"/>
          <w:sz w:val="20"/>
        </w:rPr>
        <w:t>. The Company shall not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the Company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7.</w:t>
      </w:r>
      <w:r>
        <w:rPr>
          <w:rFonts w:ascii="Times New Roman;Times;serif" w:hAnsi="Times New Roman;Times;serif"/>
          <w:sz w:val="20"/>
          <w:u w:val="single"/>
        </w:rPr>
        <w:t>Interpretation</w:t>
      </w:r>
      <w:r>
        <w:rPr>
          <w:rFonts w:ascii="Times New Roman;Times;serif" w:hAnsi="Times New Roman;Times;serif"/>
          <w:sz w:val="20"/>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sz w:val="20"/>
          <w:u w:val="single"/>
        </w:rPr>
        <w:t>Effective Date</w:t>
      </w:r>
      <w:r>
        <w:rPr>
          <w:rFonts w:ascii="Times New Roman;Times;serif" w:hAnsi="Times New Roman;Times;serif"/>
          <w:sz w:val="20"/>
        </w:rPr>
        <w:t>. This Policy shall be effective as of the Effective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9.</w:t>
      </w:r>
      <w:r>
        <w:rPr>
          <w:rFonts w:ascii="Times New Roman;Times;serif" w:hAnsi="Times New Roman;Times;serif"/>
          <w:sz w:val="20"/>
          <w:u w:val="single"/>
        </w:rPr>
        <w:t>Amendment; Termination</w:t>
      </w:r>
      <w:r>
        <w:rPr>
          <w:rFonts w:ascii="Times New Roman;Times;serif" w:hAnsi="Times New Roman;Times;serif"/>
          <w:sz w:val="20"/>
        </w:rPr>
        <w:t>. The Administrator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or Listing Exchange rule. The Administrator may terminate this Policy at any time, and this Policy shall remain in effect only so long as the Clawback Rules apply to the Company.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sz w:val="20"/>
          <w:u w:val="single"/>
        </w:rPr>
        <w:t>Other Recoupment Rights; No Additional Payments</w:t>
      </w:r>
      <w:r>
        <w:rPr>
          <w:rFonts w:ascii="Times New Roman;Times;serif" w:hAnsi="Times New Roman;Times;serif"/>
          <w:sz w:val="20"/>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 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including termination of employment or institution of civil or criminal proceedings or any other remedies that may be available to the Company with respect to any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11.</w:t>
      </w:r>
      <w:r>
        <w:rPr>
          <w:rFonts w:ascii="Times New Roman;Times;serif" w:hAnsi="Times New Roman;Times;serif"/>
          <w:sz w:val="20"/>
          <w:u w:val="single"/>
        </w:rPr>
        <w:t>Successors</w:t>
      </w:r>
      <w:r>
        <w:rPr>
          <w:rFonts w:ascii="Times New Roman;Times;serif" w:hAnsi="Times New Roman;Times;serif"/>
          <w:sz w:val="20"/>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AMBER INTERNATIONAL HOLDING LIMITED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POLICY FOR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RECOVERY OF ERRONEOUSLY AWARDED COMPENSATION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ACKNOWLEDGEMENT AND ACCEPTANCE FORM</w:t>
      </w:r>
    </w:p>
    <w:p>
      <w:pPr>
        <w:pStyle w:val="TextBody"/>
        <w:bidi w:val="0"/>
        <w:spacing w:before="0" w:after="182"/>
        <w:ind w:left="0" w:right="0" w:hanging="0"/>
        <w:jc w:val="both"/>
        <w:rPr>
          <w:rFonts w:ascii="Times New Roman;Times;serif" w:hAnsi="Times New Roman;Times;serif"/>
          <w:sz w:val="20"/>
        </w:rPr>
      </w:pPr>
      <w:r>
        <w:rPr>
          <w:rFonts w:ascii="Times New Roman;Times;serif" w:hAnsi="Times New Roman;Times;serif"/>
          <w:sz w:val="20"/>
        </w:rPr>
        <w:t>Capitalized terms used but not otherwise defined in this Acknowledgement and Acceptance Form shall have the meanings ascribed to such terms in the Amber International Holding Limited Policy for the Recovery of Erroneously Awarded Compensation (the “</w:t>
      </w:r>
      <w:r>
        <w:rPr>
          <w:rFonts w:ascii="Times New Roman;Times;serif" w:hAnsi="Times New Roman;Times;serif"/>
          <w:b/>
          <w:i/>
          <w:sz w:val="20"/>
        </w:rPr>
        <w:t>Policy</w:t>
      </w:r>
      <w:r>
        <w:rPr>
          <w:rFonts w:ascii="Times New Roman;Times;serif" w:hAnsi="Times New Roman;Times;serif"/>
          <w:sz w:val="20"/>
        </w:rPr>
        <w:t>”). By signing below, the undersigned executive officer (the “</w:t>
      </w:r>
      <w:r>
        <w:rPr>
          <w:rFonts w:ascii="Times New Roman;Times;serif" w:hAnsi="Times New Roman;Times;serif"/>
          <w:b/>
          <w:i/>
          <w:sz w:val="20"/>
        </w:rPr>
        <w:t>Executive Officer</w:t>
      </w:r>
      <w:r>
        <w:rPr>
          <w:rFonts w:ascii="Times New Roman;Times;serif" w:hAnsi="Times New Roman;Times;serif"/>
          <w:sz w:val="20"/>
        </w:rPr>
        <w:t>”) acknowledges and confirms that the Executive Officer has received and reviewed a copy of the Policy and, in addition, the Executive Officer acknowledges and agrees as follows:</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(a)the Executive Officer is and will continue to be subject to the Policy and that the Policy will apply both during and after the Executive Officer’s employment with the Company;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(b)to the extent necessary to comply with the Policy, the Policy hereby amends any employment agreement, equity award agreement or similar agreement that the Executive Officer is a party to with the Company;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(c)the Executive Officer shall abide by the terms of the Policy, including, without limitation, by returning any Erroneously Awarded Compensation to the Company to the extent required by, and in a manner permitted by, the Policy;</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(d)any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pStyle w:val="TextBody"/>
        <w:bidi w:val="0"/>
        <w:spacing w:before="0" w:after="182"/>
        <w:ind w:left="0" w:right="0" w:firstLine="720"/>
        <w:jc w:val="both"/>
        <w:rPr>
          <w:rFonts w:ascii="Times New Roman;Times;serif" w:hAnsi="Times New Roman;Times;serif"/>
          <w:sz w:val="20"/>
        </w:rPr>
      </w:pPr>
      <w:r>
        <w:rPr>
          <w:rFonts w:ascii="Times New Roman;Times;serif" w:hAnsi="Times New Roman;Times;serif"/>
          <w:sz w:val="20"/>
        </w:rPr>
        <w:t>(e)the Company may recover compensation paid to the Executive Officer through any Method of Recovery the Administrator deems appropriate, and the Executive Officer agrees to comply with any request or demand for repayment by the Company in order to comply with the Policy; and</w:t>
      </w:r>
    </w:p>
    <w:p>
      <w:pPr>
        <w:pStyle w:val="TextBody"/>
        <w:bidi w:val="0"/>
        <w:spacing w:before="0" w:after="420"/>
        <w:ind w:left="0" w:right="0" w:firstLine="720"/>
        <w:jc w:val="both"/>
        <w:rPr>
          <w:rFonts w:ascii="Times New Roman;Times;serif" w:hAnsi="Times New Roman;Times;serif"/>
          <w:sz w:val="20"/>
        </w:rPr>
      </w:pPr>
      <w:r>
        <w:rPr>
          <w:rFonts w:ascii="Times New Roman;Times;serif" w:hAnsi="Times New Roman;Times;serif"/>
          <w:sz w:val="20"/>
        </w:rPr>
        <w:t>(f)the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w:t>
      </w:r>
    </w:p>
    <w:p>
      <w:pPr>
        <w:pStyle w:val="TextBody"/>
        <w:bidi w:val="0"/>
        <w:spacing w:before="0" w:after="182"/>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p>
      <w:pPr>
        <w:pStyle w:val="TextBody"/>
        <w:bidi w:val="0"/>
        <w:spacing w:before="0" w:after="0"/>
        <w:ind w:left="0" w:right="0" w:hanging="0"/>
        <w:jc w:val="left"/>
        <w:rPr/>
      </w:pPr>
      <w:r>
        <w:rPr/>
        <w:t>​</w:t>
      </w:r>
    </w:p>
    <w:tbl>
      <w:tblPr>
        <w:tblW w:w="1175" w:type="dxa"/>
        <w:jc w:val="left"/>
        <w:tblInd w:w="0" w:type="dxa"/>
        <w:tblLayout w:type="fixed"/>
        <w:tblCellMar>
          <w:top w:w="0" w:type="dxa"/>
          <w:left w:w="0" w:type="dxa"/>
          <w:bottom w:w="0" w:type="dxa"/>
          <w:right w:w="0" w:type="dxa"/>
        </w:tblCellMar>
      </w:tblPr>
      <w:tblGrid>
        <w:gridCol w:w="124"/>
        <w:gridCol w:w="105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48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MS Gothic">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697818/000141057825000996/ambr-20241231xex1d1.htm" TargetMode="External"/><Relationship Id="rId5" Type="http://schemas.openxmlformats.org/officeDocument/2006/relationships/hyperlink" Target="https://www.sec.gov/Archives/edgar/data/1474274/000119380525000933/e664653_ex99-a.htm" TargetMode="External"/><Relationship Id="rId6" Type="http://schemas.openxmlformats.org/officeDocument/2006/relationships/hyperlink" Target="https://www.sec.gov/Archives/edgar/data/1697818/000141057825000996/ambr-20241231xex2d2.htm" TargetMode="External"/><Relationship Id="rId7" Type="http://schemas.openxmlformats.org/officeDocument/2006/relationships/hyperlink" Target="https://www.sec.gov/Archives/edgar/data/1697818/000141057825000996/ambr-20241231xex2d3.htm" TargetMode="External"/><Relationship Id="rId8" Type="http://schemas.openxmlformats.org/officeDocument/2006/relationships/hyperlink" Target="https://www.sec.gov/Archives/edgar/data/1474274/000119380525000933/e664653_ex99-a.htm" TargetMode="External"/><Relationship Id="rId9" Type="http://schemas.openxmlformats.org/officeDocument/2006/relationships/hyperlink" Target="https://www.sec.gov/Archives/edgar/data/1474274/000119380525000933/e664653_f6ef-amber.htm" TargetMode="External"/><Relationship Id="rId10" Type="http://schemas.openxmlformats.org/officeDocument/2006/relationships/hyperlink" Target="https://www.sec.gov/Archives/edgar/data/1697818/000141057825000996/ambr-20241231xex4d7.htm" TargetMode="External"/><Relationship Id="rId11" Type="http://schemas.openxmlformats.org/officeDocument/2006/relationships/hyperlink" Target="https://www.sec.gov/Archives/edgar/data/1697818/000119312517315220/d347875dex1010.htm" TargetMode="External"/><Relationship Id="rId12" Type="http://schemas.openxmlformats.org/officeDocument/2006/relationships/hyperlink" Target="https://www.sec.gov/Archives/edgar/data/1697818/000110465925063621/tm2519299d1_10-1.htm" TargetMode="External"/><Relationship Id="rId13" Type="http://schemas.openxmlformats.org/officeDocument/2006/relationships/hyperlink" Target="https://www.sec.gov/Archives/edgar/data/1697818/000110465924124155/tm2429824d1_ex99-2.htm" TargetMode="External"/><Relationship Id="rId14" Type="http://schemas.openxmlformats.org/officeDocument/2006/relationships/hyperlink" Target="https://www.sec.gov/Archives/edgar/data/1697818/000110465925022786/tm258963d1_ex99-2.htm" TargetMode="External"/><Relationship Id="rId15" Type="http://schemas.openxmlformats.org/officeDocument/2006/relationships/hyperlink" Target="https://www.sec.gov/Archives/edgar/data/1697818/000110465925116238/tm2531719d1_ex99-1.htm" TargetMode="External"/><Relationship Id="rId16" Type="http://schemas.openxmlformats.org/officeDocument/2006/relationships/hyperlink" Target="https://www.sec.gov/Archives/edgar/data/1697818/000141057825000996/ambr-20241231xex11d1.htm" TargetMode="Externa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121376</Words>
  <Characters>670459</Characters>
  <CharactersWithSpaces>793796</CharactersWithSpaces>
  <Paragraphs>16772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