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157480</wp:posOffset>
            </wp:positionV>
            <wp:extent cx="71780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342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226060</wp:posOffset>
            </wp:positionV>
            <wp:extent cx="7178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8890"/>
                    </a:xfrm>
                    <a:prstGeom prst="rect">
                      <a:avLst/>
                    </a:prstGeom>
                    <a:noFill/>
                  </pic:spPr>
                </pic:pic>
              </a:graphicData>
            </a:graphic>
          </wp:anchor>
        </w:drawing>
        <w:t>UNITED STATES</w:t>
      </w:r>
    </w:p>
    <w:p>
      <w:pPr>
        <w:spacing w:after="0" w:line="33"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1120" w:right="21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87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87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 Form 20-F x Form 40-F 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540"/>
          </w:cols>
          <w:pgMar w:left="240" w:top="544" w:right="11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60" w:type="dxa"/>
            <w:vAlign w:val="bottom"/>
          </w:tcPr>
          <w:p>
            <w:pPr>
              <w:jc w:val="center"/>
              <w:ind w:right="1053"/>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60" w:type="dxa"/>
            <w:vAlign w:val="bottom"/>
          </w:tcPr>
          <w:p>
            <w:pPr>
              <w:ind w:left="436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tcPr>
          <w:p>
            <w:pPr>
              <w:spacing w:after="0"/>
              <w:rPr>
                <w:sz w:val="24"/>
                <w:szCs w:val="24"/>
                <w:color w:val="auto"/>
              </w:rPr>
            </w:pPr>
          </w:p>
        </w:tc>
      </w:tr>
      <w:tr>
        <w:trPr>
          <w:trHeight w:val="426"/>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c>
          <w:tcPr>
            <w:tcW w:w="4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Notice of Annual General Meeting</w:t>
            </w:r>
          </w:p>
        </w:tc>
        <w:tc>
          <w:tcPr>
            <w:tcW w:w="4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99.3</w:t>
            </w:r>
          </w:p>
        </w:tc>
        <w:tc>
          <w:tcPr>
            <w:tcW w:w="20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Proxy for the Annual General Meeting</w:t>
            </w:r>
          </w:p>
        </w:tc>
        <w:tc>
          <w:tcPr>
            <w:tcW w:w="4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tcPr>
          <w:p>
            <w:pPr>
              <w:jc w:val="right"/>
              <w:ind w:right="5573"/>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November 21,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169545</wp:posOffset>
            </wp:positionV>
            <wp:extent cx="131191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9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Schedules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Annual General Meeting for December 20, 2019</w:t>
      </w:r>
    </w:p>
    <w:p>
      <w:pPr>
        <w:spacing w:after="0" w:line="207" w:lineRule="exact"/>
        <w:rPr>
          <w:sz w:val="20"/>
          <w:szCs w:val="20"/>
          <w:color w:val="auto"/>
        </w:rPr>
      </w:pPr>
    </w:p>
    <w:p>
      <w:pPr>
        <w:jc w:val="both"/>
        <w:ind w:right="240"/>
        <w:spacing w:after="0" w:line="266" w:lineRule="auto"/>
        <w:rPr>
          <w:sz w:val="20"/>
          <w:szCs w:val="20"/>
          <w:color w:val="auto"/>
        </w:rPr>
      </w:pPr>
      <w:r>
        <w:rPr>
          <w:rFonts w:ascii="Arial" w:cs="Arial" w:eastAsia="Arial" w:hAnsi="Arial"/>
          <w:sz w:val="18"/>
          <w:szCs w:val="18"/>
          <w:b w:val="1"/>
          <w:bCs w:val="1"/>
          <w:color w:val="auto"/>
        </w:rPr>
        <w:t xml:space="preserve">HONG KONG </w:t>
      </w:r>
      <w:r>
        <w:rPr>
          <w:rFonts w:ascii="Arial" w:cs="Arial" w:eastAsia="Arial" w:hAnsi="Arial"/>
          <w:sz w:val="18"/>
          <w:szCs w:val="18"/>
          <w:color w:val="auto"/>
        </w:rPr>
        <w:t>—</w:t>
      </w:r>
      <w:r>
        <w:rPr>
          <w:rFonts w:ascii="Arial" w:cs="Arial" w:eastAsia="Arial" w:hAnsi="Arial"/>
          <w:sz w:val="18"/>
          <w:szCs w:val="18"/>
          <w:b w:val="1"/>
          <w:bCs w:val="1"/>
          <w:color w:val="auto"/>
        </w:rPr>
        <w:t xml:space="preserve"> November 20, 2019 </w:t>
      </w:r>
      <w:r>
        <w:rPr>
          <w:rFonts w:ascii="Arial" w:cs="Arial" w:eastAsia="Arial" w:hAnsi="Arial"/>
          <w:sz w:val="18"/>
          <w:szCs w:val="18"/>
          <w:color w:val="auto"/>
        </w:rPr>
        <w:t>— iClick Interactive Asia Group Limited (“iClick” or the “Company”) (NASDAQ: ICLK), an independent online</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and enterprise data solutions provider in China, today announced that it will hold its 2019 annual general meeting on December 20, 2019 at 9:00 a.m. (Hong Kong time) in Hong Kong, China.</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December 20, 2019</w:t>
      </w:r>
    </w:p>
    <w:p>
      <w:pPr>
        <w:spacing w:after="0" w:line="200" w:lineRule="exact"/>
        <w:rPr>
          <w:sz w:val="20"/>
          <w:szCs w:val="20"/>
          <w:color w:val="auto"/>
        </w:rPr>
      </w:pPr>
    </w:p>
    <w:p>
      <w:pPr>
        <w:sectPr>
          <w:pgSz w:w="11900" w:h="16838" w:orient="portrait"/>
          <w:cols w:equalWidth="0" w:num="2">
            <w:col w:w="720" w:space="720"/>
            <w:col w:w="998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09:00 a.m., Hong Kong time</w:t>
      </w:r>
    </w:p>
    <w:p>
      <w:pPr>
        <w:spacing w:after="0" w:line="211" w:lineRule="exact"/>
        <w:rPr>
          <w:sz w:val="20"/>
          <w:szCs w:val="20"/>
          <w:color w:val="auto"/>
        </w:rPr>
      </w:pPr>
    </w:p>
    <w:p>
      <w:pPr>
        <w:sectPr>
          <w:pgSz w:w="11900" w:h="16838" w:orient="portrait"/>
          <w:cols w:equalWidth="0" w:num="2">
            <w:col w:w="720" w:space="720"/>
            <w:col w:w="9980"/>
          </w:cols>
          <w:pgMar w:left="240" w:top="12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Location: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663 King’s Road, Quarry Bay, Hong Kong, China</w:t>
      </w:r>
    </w:p>
    <w:p>
      <w:pPr>
        <w:spacing w:after="0" w:line="200" w:lineRule="exact"/>
        <w:rPr>
          <w:sz w:val="20"/>
          <w:szCs w:val="20"/>
          <w:color w:val="auto"/>
        </w:rPr>
      </w:pPr>
    </w:p>
    <w:p>
      <w:pPr>
        <w:sectPr>
          <w:pgSz w:w="11900" w:h="16838" w:orient="portrait"/>
          <w:cols w:equalWidth="0" w:num="2">
            <w:col w:w="720" w:space="720"/>
            <w:col w:w="9980"/>
          </w:cols>
          <w:pgMar w:left="240" w:top="121"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The annual general meeting will be devoted to the following proposals:</w:t>
      </w:r>
    </w:p>
    <w:p>
      <w:pPr>
        <w:spacing w:after="0" w:line="22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and ratify the appointment of Mr. Lub Bun Chong as director of the Company;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and ratify the appointment of Mr. Terence Li as director of the Company;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Company’s annual general meeting or any adjournment or postponement thereof.</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Only shareholders of record at the close of business on November 20, 2019 (New York Time) are entitled to receive notice of and to vote at the Company’s annual general meeting or any adjournment or postponement thereof.</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notice of the Company’s annual general meeting and the Company’s 2018 Annual Report containing the complete audited financial statements and the report of auditors for the year ended December 31, 2018 is available on the Investor Relations Section of the Company’s website at http://ir.i-click.com.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Safe-Harbor Statement</w:t>
      </w:r>
    </w:p>
    <w:p>
      <w:pPr>
        <w:spacing w:after="0" w:line="229"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press release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720" w:type="dxa"/>
            <w:vAlign w:val="bottom"/>
          </w:tcPr>
          <w:p>
            <w:pPr>
              <w:spacing w:after="0"/>
              <w:rPr>
                <w:sz w:val="20"/>
                <w:szCs w:val="20"/>
                <w:color w:val="auto"/>
              </w:rPr>
            </w:pPr>
          </w:p>
        </w:tc>
      </w:tr>
      <w:tr>
        <w:trPr>
          <w:trHeight w:val="414"/>
        </w:trPr>
        <w:tc>
          <w:tcPr>
            <w:tcW w:w="474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Lisa Li</w:t>
            </w:r>
          </w:p>
        </w:tc>
        <w:tc>
          <w:tcPr>
            <w:tcW w:w="6720" w:type="dxa"/>
            <w:vAlign w:val="bottom"/>
          </w:tcPr>
          <w:p>
            <w:pPr>
              <w:ind w:left="980"/>
              <w:spacing w:after="0"/>
              <w:rPr>
                <w:sz w:val="20"/>
                <w:szCs w:val="20"/>
                <w:color w:val="auto"/>
              </w:rPr>
            </w:pPr>
            <w:r>
              <w:rPr>
                <w:rFonts w:ascii="Arial" w:cs="Arial" w:eastAsia="Arial" w:hAnsi="Arial"/>
                <w:sz w:val="18"/>
                <w:szCs w:val="18"/>
                <w:color w:val="auto"/>
              </w:rPr>
              <w:t>John Marco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Phone: +86-21-3230-3931 #892</w:t>
            </w:r>
          </w:p>
        </w:tc>
        <w:tc>
          <w:tcPr>
            <w:tcW w:w="6720" w:type="dxa"/>
            <w:vAlign w:val="bottom"/>
          </w:tcPr>
          <w:p>
            <w:pPr>
              <w:ind w:left="980"/>
              <w:spacing w:after="0"/>
              <w:rPr>
                <w:sz w:val="20"/>
                <w:szCs w:val="20"/>
                <w:color w:val="auto"/>
              </w:rPr>
            </w:pPr>
            <w:r>
              <w:rPr>
                <w:rFonts w:ascii="Arial" w:cs="Arial" w:eastAsia="Arial" w:hAnsi="Arial"/>
                <w:sz w:val="18"/>
                <w:szCs w:val="18"/>
                <w:color w:val="auto"/>
              </w:rPr>
              <w:t>Phone: +1-516-222-2560</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E-mail: ir@i-click.com</w:t>
            </w:r>
          </w:p>
        </w:tc>
        <w:tc>
          <w:tcPr>
            <w:tcW w:w="6720" w:type="dxa"/>
            <w:vAlign w:val="bottom"/>
          </w:tcPr>
          <w:p>
            <w:pPr>
              <w:ind w:left="980"/>
              <w:spacing w:after="0"/>
              <w:rPr>
                <w:sz w:val="20"/>
                <w:szCs w:val="20"/>
                <w:color w:val="auto"/>
              </w:rPr>
            </w:pPr>
            <w:r>
              <w:rPr>
                <w:rFonts w:ascii="Arial" w:cs="Arial" w:eastAsia="Arial" w:hAnsi="Arial"/>
                <w:sz w:val="18"/>
                <w:szCs w:val="18"/>
                <w:color w:val="auto"/>
              </w:rPr>
              <w:t>E-mail: johnm@coreir.com</w:t>
            </w:r>
          </w:p>
        </w:tc>
      </w:tr>
      <w:tr>
        <w:trPr>
          <w:trHeight w:val="348"/>
        </w:trPr>
        <w:tc>
          <w:tcPr>
            <w:tcW w:w="474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154940</wp:posOffset>
            </wp:positionV>
            <wp:extent cx="1303655"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NOTICE OF ANNUAL GENERAL MEETING TO BE HELD ON DECEMBER 20, 2019</w:t>
      </w:r>
    </w:p>
    <w:p>
      <w:pPr>
        <w:spacing w:after="0" w:line="225"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the annual general meeting of iClick Interactive Asia Group Limited (“iClick” or the “Company”) (NASDAQ:</w:t>
      </w:r>
      <w:r>
        <w:rPr>
          <w:rFonts w:ascii="Arial" w:cs="Arial" w:eastAsia="Arial" w:hAnsi="Arial"/>
          <w:sz w:val="18"/>
          <w:szCs w:val="18"/>
          <w:b w:val="1"/>
          <w:bCs w:val="1"/>
          <w:color w:val="auto"/>
        </w:rPr>
        <w:t xml:space="preserve"> </w:t>
      </w:r>
      <w:r>
        <w:rPr>
          <w:rFonts w:ascii="Arial" w:cs="Arial" w:eastAsia="Arial" w:hAnsi="Arial"/>
          <w:sz w:val="18"/>
          <w:szCs w:val="18"/>
          <w:color w:val="auto"/>
        </w:rPr>
        <w:t>ICLK) will be held on December 20, 2019 at 9:00 a.m. (Hong Kong time), or December 19, 2019 at 8:00 p.m. (New York time) at 15/F Prosperity Millennia Plaza, 663 King’s Road, Quarry Bay, Hong Kong, for the following purposes:</w:t>
      </w:r>
    </w:p>
    <w:p>
      <w:pPr>
        <w:spacing w:after="0" w:line="180" w:lineRule="exact"/>
        <w:rPr>
          <w:sz w:val="20"/>
          <w:szCs w:val="20"/>
          <w:color w:val="auto"/>
        </w:rPr>
      </w:pPr>
    </w:p>
    <w:p>
      <w:pPr>
        <w:ind w:left="660" w:hanging="65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and ratify the appointment of Mr. Lub Bun Chong as director of the Company;</w:t>
      </w:r>
    </w:p>
    <w:p>
      <w:pPr>
        <w:spacing w:after="0" w:line="225" w:lineRule="exact"/>
        <w:rPr>
          <w:rFonts w:ascii="Arial" w:cs="Arial" w:eastAsia="Arial" w:hAnsi="Arial"/>
          <w:sz w:val="18"/>
          <w:szCs w:val="18"/>
          <w:color w:val="auto"/>
        </w:rPr>
      </w:pPr>
    </w:p>
    <w:p>
      <w:pPr>
        <w:ind w:left="660" w:hanging="657"/>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and ratify the appointment of Mr. Terence Li as director of the Company; and</w:t>
      </w:r>
    </w:p>
    <w:p>
      <w:pPr>
        <w:spacing w:after="0" w:line="225" w:lineRule="exact"/>
        <w:rPr>
          <w:rFonts w:ascii="Arial" w:cs="Arial" w:eastAsia="Arial" w:hAnsi="Arial"/>
          <w:sz w:val="18"/>
          <w:szCs w:val="18"/>
          <w:color w:val="auto"/>
        </w:rPr>
      </w:pPr>
    </w:p>
    <w:p>
      <w:pPr>
        <w:ind w:left="640" w:hanging="636"/>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act upon such other matters as may properly come before the Company’s annual general meeting or any adjournment or postponement thereof.</w:t>
      </w:r>
    </w:p>
    <w:p>
      <w:pPr>
        <w:spacing w:after="0" w:line="248"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board of directors of the Company has fixed the close of business on November 20, 2019 (New York time) as the record date (the “Record Date”). Only holders of our ordinary shares, whether or not represented by American Depositary shares (the “ADS”), on the Record Date are entitled to receive notice of and to vote at the Company’s annual general meeting or any adjournment or postponement thereof.</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If you are a holder of our ordinary shares on the Record Date, you are cordially invited to attend the annual general meeting in person. Your vote is important. If you cannot attend the annual general meeting in person, you are urged to complete, sign, date and return the accompanying form of proxy by mail to the Company’s Hong Kong office at 15/F Prosperity Millennia Plaza, 663 King’s Road, Quarry Bay, Hong Kong, Attention: Terence Li, by email to terence.li@i-click.com as soon as possible and in any event no later than 9:00 a.m., December 18, 2019 (Hong Kong time), or 8:00 p.m., December 17, 2019 (New York time).</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If you are a registered holder of our ADSs as at the Record Date, the depositary, JPMORGAN CHASE BANK, N.A., (the “Depositary”) will forward to you the information of our annual general meeting and ask you to provide your voting instructions with respect to the shares represented by your ADSs. Holders of our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“ADS Voting Instructions Deadline”). Voting at any meeting of shareholders is by show of hands unless a poll is demanded. In the event voting takes place at a shareholders’ meeting by show of hands, the Depositary will instruct JPMorgan Chase Bank, N.A., Hong Kong Branch, (the “Custodian”)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spacing w:after="0" w:line="1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Wing Hong Sammy Hsieh</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3505835</wp:posOffset>
            </wp:positionH>
            <wp:positionV relativeFrom="paragraph">
              <wp:posOffset>-130810</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Date: November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218440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111760</wp:posOffset>
            </wp:positionV>
            <wp:extent cx="130365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Incorporated in the Cayman Islands with limited liability</w:t>
      </w:r>
      <w:r>
        <w:rPr>
          <w:rFonts w:ascii="Arial" w:cs="Arial" w:eastAsia="Arial" w:hAnsi="Arial"/>
          <w:sz w:val="18"/>
          <w:szCs w:val="18"/>
          <w:b w:val="1"/>
          <w:bCs w:val="1"/>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PROXY</w:t>
      </w:r>
    </w:p>
    <w:p>
      <w:pPr>
        <w:spacing w:after="0" w:line="15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FORM OF PROXY FOR USE BY SHAREHOLDERS OF ICLICK INTERACTIVE ASIA GROUP LIMITED (THE “COMPANY”) AT THE ANNUAL GENERAL MEETING OF THE COMPANY (THE “MEETING”) TO BE HELD AT 15/F PROSPERITY MILLENNIA PLAZA, 663 KING’S ROAD, QUARRY BAY, HONG KONG, ON DECEMBER 20, 2019 AT 9:00 A.M. (HONG KONG TIME), OR DECEMBER 19, 2019 AT 8:00 P.M. (NEW YORK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I/We (</w:t>
      </w:r>
      <w:r>
        <w:rPr>
          <w:rFonts w:ascii="Arial" w:cs="Arial" w:eastAsia="Arial" w:hAnsi="Arial"/>
          <w:sz w:val="18"/>
          <w:szCs w:val="18"/>
          <w:b w:val="1"/>
          <w:bCs w:val="1"/>
          <w:i w:val="1"/>
          <w:iCs w:val="1"/>
          <w:color w:val="auto"/>
        </w:rPr>
        <w:t>note (1)</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-130810</wp:posOffset>
            </wp:positionV>
            <wp:extent cx="60890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being the registered holder(s) of (</w:t>
      </w:r>
      <w:r>
        <w:rPr>
          <w:rFonts w:ascii="Arial" w:cs="Arial" w:eastAsia="Arial" w:hAnsi="Arial"/>
          <w:sz w:val="18"/>
          <w:szCs w:val="18"/>
          <w:b w:val="1"/>
          <w:bCs w:val="1"/>
          <w:i w:val="1"/>
          <w:iCs w:val="1"/>
          <w:color w:val="auto"/>
        </w:rPr>
        <w:t>note (2)</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68694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shares of US$0.001 each in the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-130810</wp:posOffset>
            </wp:positionV>
            <wp:extent cx="2229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ind w:right="4760"/>
        <w:spacing w:after="0" w:line="250" w:lineRule="auto"/>
        <w:rPr>
          <w:sz w:val="20"/>
          <w:szCs w:val="20"/>
          <w:color w:val="auto"/>
        </w:rPr>
      </w:pPr>
      <w:r>
        <w:rPr>
          <w:rFonts w:ascii="Arial" w:cs="Arial" w:eastAsia="Arial" w:hAnsi="Arial"/>
          <w:sz w:val="18"/>
          <w:szCs w:val="18"/>
          <w:b w:val="1"/>
          <w:bCs w:val="1"/>
          <w:color w:val="auto"/>
        </w:rPr>
        <w:t>of the Company (“Share(s)”), hereby appoint (</w:t>
      </w:r>
      <w:r>
        <w:rPr>
          <w:rFonts w:ascii="Arial" w:cs="Arial" w:eastAsia="Arial" w:hAnsi="Arial"/>
          <w:sz w:val="18"/>
          <w:szCs w:val="18"/>
          <w:b w:val="1"/>
          <w:bCs w:val="1"/>
          <w:i w:val="1"/>
          <w:iCs w:val="1"/>
          <w:color w:val="auto"/>
        </w:rPr>
        <w:t>note (3)</w:t>
      </w:r>
      <w:r>
        <w:rPr>
          <w:rFonts w:ascii="Arial" w:cs="Arial" w:eastAsia="Arial" w:hAnsi="Arial"/>
          <w:sz w:val="18"/>
          <w:szCs w:val="18"/>
          <w:b w:val="1"/>
          <w:bCs w:val="1"/>
          <w:color w:val="auto"/>
        </w:rPr>
        <w:t>) the chairman of the Meeting 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7208520</wp:posOffset>
            </wp:positionH>
            <wp:positionV relativeFrom="paragraph">
              <wp:posOffset>-135890</wp:posOffset>
            </wp:positionV>
            <wp:extent cx="431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ind w:right="180"/>
        <w:spacing w:after="0" w:line="255" w:lineRule="auto"/>
        <w:rPr>
          <w:sz w:val="20"/>
          <w:szCs w:val="20"/>
          <w:color w:val="auto"/>
        </w:rPr>
      </w:pPr>
      <w:r>
        <w:rPr>
          <w:rFonts w:ascii="Arial" w:cs="Arial" w:eastAsia="Arial" w:hAnsi="Arial"/>
          <w:sz w:val="18"/>
          <w:szCs w:val="18"/>
          <w:b w:val="1"/>
          <w:bCs w:val="1"/>
          <w:color w:val="auto"/>
        </w:rPr>
        <w:t>to act as my/our proxy for the Meeting to be held at 15/F Prosperity Millennia Plaza, 663 King’s Road, Quarry Bay, Hong Kong, on December 20, 2019 at 9:00 a.m. (Hong Kong time), or on December 19, 2019 at 8:00 p.m. (New York time) and at any adjournment thereof and to vote on my/our behalf as directed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-418465</wp:posOffset>
            </wp:positionV>
            <wp:extent cx="6869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with a “X” in the spaces provided how you wish the proxy to vote on your behalf.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w:t>
      </w:r>
    </w:p>
    <w:tbl>
      <w:tblPr>
        <w:tblLayout w:type="fixed"/>
        <w:tblInd w:w="0" w:type="dxa"/>
        <w:tblCellMar>
          <w:top w:w="0" w:type="dxa"/>
          <w:left w:w="0" w:type="dxa"/>
          <w:bottom w:w="0" w:type="dxa"/>
          <w:right w:w="0" w:type="dxa"/>
        </w:tblCellMar>
      </w:tblPr>
      <w:tr>
        <w:trPr>
          <w:trHeight w:val="158"/>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1.</w:t>
            </w:r>
          </w:p>
        </w:tc>
        <w:tc>
          <w:tcPr>
            <w:tcW w:w="8120" w:type="dxa"/>
            <w:vAlign w:val="bottom"/>
            <w:vMerge w:val="restart"/>
          </w:tcPr>
          <w:p>
            <w:pPr>
              <w:ind w:left="160"/>
              <w:spacing w:after="0"/>
              <w:rPr>
                <w:sz w:val="20"/>
                <w:szCs w:val="20"/>
                <w:color w:val="auto"/>
              </w:rPr>
            </w:pPr>
            <w:r>
              <w:rPr>
                <w:rFonts w:ascii="Arial" w:cs="Arial" w:eastAsia="Arial" w:hAnsi="Arial"/>
                <w:sz w:val="18"/>
                <w:szCs w:val="18"/>
                <w:b w:val="1"/>
                <w:bCs w:val="1"/>
                <w:color w:val="auto"/>
                <w:w w:val="99"/>
              </w:rPr>
              <w:t>AS AN ORDINARY RESOLUTION THAT, in accordance with the requirement in the Company’s</w:t>
            </w: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FOR</w:t>
            </w:r>
          </w:p>
        </w:tc>
        <w:tc>
          <w:tcPr>
            <w:tcW w:w="11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AGAINST</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178"/>
        </w:trPr>
        <w:tc>
          <w:tcPr>
            <w:tcW w:w="300" w:type="dxa"/>
            <w:vAlign w:val="bottom"/>
            <w:vMerge w:val="continue"/>
          </w:tcPr>
          <w:p>
            <w:pPr>
              <w:spacing w:after="0"/>
              <w:rPr>
                <w:sz w:val="15"/>
                <w:szCs w:val="15"/>
                <w:color w:val="auto"/>
              </w:rPr>
            </w:pPr>
          </w:p>
        </w:tc>
        <w:tc>
          <w:tcPr>
            <w:tcW w:w="8120" w:type="dxa"/>
            <w:vAlign w:val="bottom"/>
            <w:vMerge w:val="continue"/>
          </w:tcPr>
          <w:p>
            <w:pPr>
              <w:spacing w:after="0"/>
              <w:rPr>
                <w:sz w:val="15"/>
                <w:szCs w:val="15"/>
                <w:color w:val="auto"/>
              </w:rPr>
            </w:pPr>
          </w:p>
        </w:tc>
        <w:tc>
          <w:tcPr>
            <w:tcW w:w="660" w:type="dxa"/>
            <w:vAlign w:val="bottom"/>
            <w:tcBorders>
              <w:top w:val="single" w:sz="8" w:color="auto"/>
            </w:tcBorders>
          </w:tcPr>
          <w:p>
            <w:pPr>
              <w:jc w:val="center"/>
              <w:spacing w:after="0" w:line="177" w:lineRule="exact"/>
              <w:rPr>
                <w:sz w:val="20"/>
                <w:szCs w:val="20"/>
                <w:color w:val="auto"/>
              </w:rPr>
            </w:pPr>
            <w:r>
              <w:rPr>
                <w:rFonts w:ascii="MS PGothic" w:cs="MS PGothic" w:eastAsia="MS PGothic" w:hAnsi="MS PGothic"/>
                <w:sz w:val="18"/>
                <w:szCs w:val="18"/>
                <w:color w:val="auto"/>
                <w:highlight w:val="black"/>
                <w:w w:val="88"/>
              </w:rPr>
              <w:t>☐</w:t>
            </w:r>
          </w:p>
        </w:tc>
        <w:tc>
          <w:tcPr>
            <w:tcW w:w="240" w:type="dxa"/>
            <w:vAlign w:val="bottom"/>
          </w:tcPr>
          <w:p>
            <w:pPr>
              <w:spacing w:after="0"/>
              <w:rPr>
                <w:sz w:val="15"/>
                <w:szCs w:val="15"/>
                <w:color w:val="auto"/>
              </w:rPr>
            </w:pPr>
          </w:p>
        </w:tc>
        <w:tc>
          <w:tcPr>
            <w:tcW w:w="960" w:type="dxa"/>
            <w:vAlign w:val="bottom"/>
            <w:tcBorders>
              <w:top w:val="single" w:sz="8" w:color="auto"/>
            </w:tcBorders>
          </w:tcPr>
          <w:p>
            <w:pPr>
              <w:jc w:val="center"/>
              <w:spacing w:after="0" w:line="177" w:lineRule="exact"/>
              <w:rPr>
                <w:sz w:val="20"/>
                <w:szCs w:val="20"/>
                <w:color w:val="auto"/>
              </w:rPr>
            </w:pPr>
            <w:r>
              <w:rPr>
                <w:rFonts w:ascii="MS PGothic" w:cs="MS PGothic" w:eastAsia="MS PGothic" w:hAnsi="MS PGothic"/>
                <w:sz w:val="18"/>
                <w:szCs w:val="18"/>
                <w:color w:val="auto"/>
                <w:highlight w:val="black"/>
                <w:w w:val="88"/>
              </w:rPr>
              <w:t>☐</w:t>
            </w:r>
          </w:p>
        </w:tc>
        <w:tc>
          <w:tcPr>
            <w:tcW w:w="220" w:type="dxa"/>
            <w:vAlign w:val="bottom"/>
          </w:tcPr>
          <w:p>
            <w:pPr>
              <w:spacing w:after="0"/>
              <w:rPr>
                <w:sz w:val="15"/>
                <w:szCs w:val="15"/>
                <w:color w:val="auto"/>
              </w:rPr>
            </w:pPr>
          </w:p>
        </w:tc>
        <w:tc>
          <w:tcPr>
            <w:tcW w:w="920" w:type="dxa"/>
            <w:vAlign w:val="bottom"/>
            <w:tcBorders>
              <w:top w:val="single" w:sz="8" w:color="auto"/>
            </w:tcBorders>
          </w:tcPr>
          <w:p>
            <w:pPr>
              <w:jc w:val="center"/>
              <w:spacing w:after="0" w:line="177"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2"/>
              </w:rPr>
              <w:t>Articles of Association, the appointment of Mr. Lub Bun Chong as a director of the Company be and</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is hereby approved and ratified.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2.</w:t>
            </w: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9"/>
              </w:rPr>
              <w:t>AS AN ORDINARY RESOLUTION THAT, in accordance with the requirement in the Company’s</w:t>
            </w: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w w:val="95"/>
              </w:rPr>
              <w:t>Articles of Association, the appointment of Mr. Terence Li as a director of the Company be and is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hereby approved and ratified.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AS AN ORDINARY RESOLUTION THAT such other matters as may properly come before the</w:t>
            </w: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72"/>
              </w:rPr>
              <w:t>o</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b w:val="1"/>
                <w:bCs w:val="1"/>
                <w:color w:val="auto"/>
              </w:rPr>
              <w:t>Meeting or any adjournment or postponement thereof, be and are hereby approved.</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60"/>
        <w:spacing w:after="0" w:line="313" w:lineRule="auto"/>
        <w:rPr>
          <w:sz w:val="20"/>
          <w:szCs w:val="20"/>
          <w:color w:val="auto"/>
        </w:rPr>
      </w:pPr>
      <w:r>
        <w:rPr>
          <w:rFonts w:ascii="Arial" w:cs="Arial" w:eastAsia="Arial" w:hAnsi="Arial"/>
          <w:sz w:val="17"/>
          <w:szCs w:val="17"/>
          <w:b w:val="1"/>
          <w:bCs w:val="1"/>
          <w:color w:val="auto"/>
        </w:rPr>
        <w:t>I/we also hereby authorise/do not authorise* my/our said proxy to vote for me/us on my/our behalf in respect of any other resolutions and/or amended resolutions in his absolute discretion at the annual general meeting, or at any adjournment thereof.</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 this __________ day of __________________2019.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Signature: ____________________________ (</w:t>
      </w:r>
      <w:r>
        <w:rPr>
          <w:rFonts w:ascii="Arial" w:cs="Arial" w:eastAsia="Arial" w:hAnsi="Arial"/>
          <w:sz w:val="18"/>
          <w:szCs w:val="18"/>
          <w:b w:val="1"/>
          <w:bCs w:val="1"/>
          <w:i w:val="1"/>
          <w:iCs w:val="1"/>
          <w:color w:val="auto"/>
        </w:rPr>
        <w:t>notes (4) and (5)</w:t>
      </w:r>
      <w:r>
        <w:rPr>
          <w:rFonts w:ascii="Arial" w:cs="Arial" w:eastAsia="Arial" w:hAnsi="Arial"/>
          <w:sz w:val="18"/>
          <w:szCs w:val="18"/>
          <w:b w:val="1"/>
          <w:bCs w:val="1"/>
          <w:color w:val="auto"/>
        </w:rPr>
        <w:t>)</w:t>
      </w:r>
    </w:p>
    <w:p>
      <w:pPr>
        <w:sectPr>
          <w:pgSz w:w="11900" w:h="16838" w:orient="portrait"/>
          <w:cols w:equalWidth="0" w:num="1">
            <w:col w:w="11420"/>
          </w:cols>
          <w:pgMar w:left="240" w:top="121" w:right="239" w:bottom="1016" w:gutter="0" w:footer="0" w:header="0"/>
        </w:sectPr>
      </w:pPr>
    </w:p>
    <w:p>
      <w:pPr>
        <w:spacing w:after="0" w:line="12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Please tick here if you are appointing more than 1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194945</wp:posOffset>
            </wp:positionV>
            <wp:extent cx="18268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6350</wp:posOffset>
            </wp:positionV>
            <wp:extent cx="8572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proxy appointed over.</w:t>
      </w:r>
    </w:p>
    <w:p>
      <w:pPr>
        <w:spacing w:after="0" w:line="200" w:lineRule="exact"/>
        <w:rPr>
          <w:sz w:val="20"/>
          <w:szCs w:val="20"/>
          <w:color w:val="auto"/>
        </w:rPr>
      </w:pPr>
    </w:p>
    <w:p>
      <w:pPr>
        <w:sectPr>
          <w:pgSz w:w="11900" w:h="16838" w:orient="portrait"/>
          <w:cols w:equalWidth="0" w:num="3">
            <w:col w:w="160" w:space="60"/>
            <w:col w:w="5060" w:space="720"/>
            <w:col w:w="5420"/>
          </w:cols>
          <w:pgMar w:left="240" w:top="121" w:right="239" w:bottom="1016"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w:t>
      </w:r>
    </w:p>
    <w:p>
      <w:pPr>
        <w:spacing w:after="0" w:line="158" w:lineRule="exact"/>
        <w:rPr>
          <w:sz w:val="20"/>
          <w:szCs w:val="20"/>
          <w:color w:val="auto"/>
        </w:rPr>
      </w:pPr>
    </w:p>
    <w:p>
      <w:pPr>
        <w:ind w:left="620" w:hanging="612"/>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Full name(s) and address(es) to be inserted in BLOCK CAPITAL LETTERS.</w:t>
      </w:r>
    </w:p>
    <w:p>
      <w:pPr>
        <w:spacing w:after="0" w:line="23" w:lineRule="exact"/>
        <w:rPr>
          <w:rFonts w:ascii="Arial" w:cs="Arial" w:eastAsia="Arial" w:hAnsi="Arial"/>
          <w:sz w:val="18"/>
          <w:szCs w:val="18"/>
          <w:i w:val="1"/>
          <w:iCs w:val="1"/>
          <w:color w:val="auto"/>
        </w:rPr>
      </w:pPr>
    </w:p>
    <w:p>
      <w:pPr>
        <w:ind w:left="620" w:right="20" w:hanging="612"/>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Please insert the number of shares registered in your name(s) in each class; if no number is inserted, this form of proxy will be deemed to relate to all the Shares registered in your name(s).</w:t>
      </w:r>
    </w:p>
    <w:p>
      <w:pPr>
        <w:ind w:left="620" w:right="180" w:hanging="612"/>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proxy need not be a member of the Company. If a proxy other than the chairman of the Meeting is appointed, the appointor must delete the words “the chairman of the Meeting or” and insert the name and address of the proxy desired in the space provided.</w:t>
      </w:r>
    </w:p>
    <w:p>
      <w:pPr>
        <w:ind w:left="620" w:right="180" w:hanging="612"/>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 the case of joint registered holders, the vote of the senior who tenders a vote, whether in person or by proxy, shall be accepted to the exclusion of the votes of the other joint holder(s). For this purpose, seniority shall be determined by the order in which the names stated in the Register of Members of the Company in respect of such joint holding.</w:t>
      </w:r>
    </w:p>
    <w:p>
      <w:pPr>
        <w:spacing w:after="0" w:line="1" w:lineRule="exact"/>
        <w:rPr>
          <w:rFonts w:ascii="Arial" w:cs="Arial" w:eastAsia="Arial" w:hAnsi="Arial"/>
          <w:sz w:val="18"/>
          <w:szCs w:val="18"/>
          <w:i w:val="1"/>
          <w:iCs w:val="1"/>
          <w:color w:val="auto"/>
        </w:rPr>
      </w:pPr>
    </w:p>
    <w:p>
      <w:pPr>
        <w:ind w:left="620" w:right="120" w:hanging="612"/>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This form of proxy must be signed by the appointor, or his attorney duly authorised, in writing, or if such appointor is a corporation, either under its common seal, or under the hand of an officer or attorney so authorised.</w:t>
      </w:r>
    </w:p>
    <w:p>
      <w:pPr>
        <w:ind w:left="620" w:right="180" w:hanging="612"/>
        <w:spacing w:after="0" w:line="281" w:lineRule="auto"/>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If this form is returned duly signed but without a specific direction, the proxy will vote or abstain at his discretion. The proxy will also be entitled to vote at his discretion on any resolution properly put to the Meeting other than those referred to in the notice convening the Meeting.</w:t>
      </w:r>
    </w:p>
    <w:p>
      <w:pPr>
        <w:spacing w:after="0" w:line="1" w:lineRule="exact"/>
        <w:rPr>
          <w:rFonts w:ascii="Arial" w:cs="Arial" w:eastAsia="Arial" w:hAnsi="Arial"/>
          <w:sz w:val="16"/>
          <w:szCs w:val="16"/>
          <w:i w:val="1"/>
          <w:iCs w:val="1"/>
          <w:color w:val="auto"/>
        </w:rPr>
      </w:pPr>
    </w:p>
    <w:p>
      <w:pPr>
        <w:ind w:left="620" w:right="80" w:hanging="612"/>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The ‘Vote Abstain’ option is provided to enable you to abstain from voting on the resolutions. However, it should be noted that a ‘Vote Abstain’ is not a vote in law and will not be counted in the calculation of the proportion of the votes ‘For’ and ‘Against’ a resolution.</w:t>
      </w:r>
    </w:p>
    <w:p>
      <w:pPr>
        <w:ind w:left="620" w:right="320" w:hanging="612"/>
        <w:spacing w:after="0" w:line="250" w:lineRule="auto"/>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 order to be valid, this form of proxy together with a power of attorney or other authority, if any, under which it is signed, or a certified copy of such power or authority must be delivered to the Company’s Hong Kong office at 15/F Prosperity Millennia Plaza, 663 King’s Road, Quarry Bay, Hong Kong, Attention: Terence Li, by email to terence.li@i-click.com as soon as possible and in any event no later than 9:00 a.m. December 18, 2019 (Hong Kong time), or 8:00 p.m. December 17, 2019 (New York time).</w:t>
      </w:r>
    </w:p>
    <w:p>
      <w:pPr>
        <w:spacing w:after="0" w:line="1" w:lineRule="exact"/>
        <w:rPr>
          <w:rFonts w:ascii="Arial" w:cs="Arial" w:eastAsia="Arial" w:hAnsi="Arial"/>
          <w:sz w:val="18"/>
          <w:szCs w:val="18"/>
          <w:i w:val="1"/>
          <w:iCs w:val="1"/>
          <w:color w:val="auto"/>
        </w:rPr>
      </w:pPr>
    </w:p>
    <w:p>
      <w:pPr>
        <w:ind w:left="620" w:hanging="612"/>
        <w:spacing w:after="0"/>
        <w:tabs>
          <w:tab w:leader="none" w:pos="62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Any alterations made to this form should be initialled by the person who signs it.</w:t>
      </w:r>
    </w:p>
    <w:p>
      <w:pPr>
        <w:spacing w:after="0" w:line="9" w:lineRule="exact"/>
        <w:rPr>
          <w:rFonts w:ascii="Arial" w:cs="Arial" w:eastAsia="Arial" w:hAnsi="Arial"/>
          <w:sz w:val="18"/>
          <w:szCs w:val="18"/>
          <w:i w:val="1"/>
          <w:iCs w:val="1"/>
          <w:color w:val="auto"/>
        </w:rPr>
      </w:pPr>
    </w:p>
    <w:p>
      <w:pPr>
        <w:jc w:val="both"/>
        <w:ind w:left="620" w:right="80" w:hanging="612"/>
        <w:spacing w:after="0" w:line="302" w:lineRule="auto"/>
        <w:tabs>
          <w:tab w:leader="none" w:pos="62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To appoint more than one proxy you may photocopy this form. Please indicate the proxy holder’s name and the number of shares in relation to which they are authorised to act as your proxy (which, in aggregate, should not exceed the number of shares held by you). Please also indicate if the proxy instruction is one of multiple instructions being given. All forms must be signed and should be returned together in the same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0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2019-11-28T01:41:34Z</dcterms:created>
  <dcterms:modified xsi:type="dcterms:W3CDTF">2019-11-28T01:41:34Z</dcterms:modified>
</cp:coreProperties>
</file>