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28, 2019</w:t>
      </w:r>
    </w:p>
    <w:p>
      <w:pPr>
        <w:spacing w:after="0" w:line="4"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90805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F-3</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90805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4" w:lineRule="exact"/>
        <w:rPr>
          <w:sz w:val="24"/>
          <w:szCs w:val="24"/>
          <w:color w:val="auto"/>
        </w:rPr>
      </w:pPr>
    </w:p>
    <w:tbl>
      <w:tblPr>
        <w:tblLayout w:type="fixed"/>
        <w:tblInd w:w="19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Not Applicable</w:t>
            </w:r>
          </w:p>
        </w:tc>
        <w:tc>
          <w:tcPr>
            <w:tcW w:w="1360" w:type="dxa"/>
            <w:vAlign w:val="bottom"/>
          </w:tcPr>
          <w:p>
            <w:pPr>
              <w:spacing w:after="0"/>
              <w:rPr>
                <w:sz w:val="14"/>
                <w:szCs w:val="14"/>
                <w:color w:val="auto"/>
              </w:rPr>
            </w:pPr>
          </w:p>
        </w:tc>
      </w:tr>
      <w:tr>
        <w:trPr>
          <w:trHeight w:val="182"/>
        </w:trPr>
        <w:tc>
          <w:tcPr>
            <w:tcW w:w="2340" w:type="dxa"/>
            <w:vAlign w:val="bottom"/>
          </w:tcPr>
          <w:p>
            <w:pPr>
              <w:spacing w:after="0"/>
              <w:rPr>
                <w:sz w:val="15"/>
                <w:szCs w:val="15"/>
                <w:color w:val="auto"/>
              </w:rPr>
            </w:pPr>
          </w:p>
        </w:tc>
        <w:tc>
          <w:tcPr>
            <w:tcW w:w="3640" w:type="dxa"/>
            <w:vAlign w:val="bottom"/>
            <w:gridSpan w:val="2"/>
          </w:tcPr>
          <w:p>
            <w:pPr>
              <w:jc w:val="center"/>
              <w:ind w:right="780"/>
              <w:spacing w:after="0"/>
              <w:rPr>
                <w:sz w:val="20"/>
                <w:szCs w:val="20"/>
                <w:color w:val="auto"/>
              </w:rPr>
            </w:pPr>
            <w:r>
              <w:rPr>
                <w:rFonts w:ascii="Arial" w:cs="Arial" w:eastAsia="Arial" w:hAnsi="Arial"/>
                <w:sz w:val="14"/>
                <w:szCs w:val="14"/>
                <w:color w:val="auto"/>
                <w:w w:val="94"/>
              </w:rPr>
              <w:t>(Translation of Registrant’s name into English)</w:t>
            </w:r>
          </w:p>
        </w:tc>
        <w:tc>
          <w:tcPr>
            <w:tcW w:w="1360" w:type="dxa"/>
            <w:vAlign w:val="bottom"/>
          </w:tcPr>
          <w:p>
            <w:pPr>
              <w:spacing w:after="0"/>
              <w:rPr>
                <w:sz w:val="15"/>
                <w:szCs w:val="15"/>
                <w:color w:val="auto"/>
              </w:rPr>
            </w:pPr>
          </w:p>
        </w:tc>
      </w:tr>
      <w:tr>
        <w:trPr>
          <w:trHeight w:val="134"/>
        </w:trPr>
        <w:tc>
          <w:tcPr>
            <w:tcW w:w="2340" w:type="dxa"/>
            <w:vAlign w:val="bottom"/>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72"/>
        </w:trPr>
        <w:tc>
          <w:tcPr>
            <w:tcW w:w="5980" w:type="dxa"/>
            <w:vAlign w:val="bottom"/>
            <w:gridSpan w:val="3"/>
          </w:tcPr>
          <w:p>
            <w:pPr>
              <w:jc w:val="center"/>
              <w:ind w:right="4240"/>
              <w:spacing w:after="0"/>
              <w:rPr>
                <w:sz w:val="20"/>
                <w:szCs w:val="20"/>
                <w:color w:val="auto"/>
              </w:rPr>
            </w:pPr>
            <w:r>
              <w:rPr>
                <w:rFonts w:ascii="Arial" w:cs="Arial" w:eastAsia="Arial" w:hAnsi="Arial"/>
                <w:sz w:val="14"/>
                <w:szCs w:val="14"/>
                <w:b w:val="1"/>
                <w:bCs w:val="1"/>
                <w:color w:val="auto"/>
                <w:w w:val="91"/>
              </w:rPr>
              <w:t>Cayman Islands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Not Applicable</w:t>
            </w:r>
          </w:p>
        </w:tc>
      </w:tr>
      <w:tr>
        <w:trPr>
          <w:trHeight w:val="149"/>
        </w:trPr>
        <w:tc>
          <w:tcPr>
            <w:tcW w:w="5980" w:type="dxa"/>
            <w:vAlign w:val="bottom"/>
            <w:gridSpan w:val="3"/>
          </w:tcPr>
          <w:p>
            <w:pPr>
              <w:jc w:val="center"/>
              <w:ind w:right="424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5980" w:type="dxa"/>
            <w:vAlign w:val="bottom"/>
            <w:gridSpan w:val="3"/>
          </w:tcPr>
          <w:p>
            <w:pPr>
              <w:jc w:val="center"/>
              <w:ind w:right="4240"/>
              <w:spacing w:after="0"/>
              <w:rPr>
                <w:sz w:val="20"/>
                <w:szCs w:val="20"/>
                <w:color w:val="auto"/>
              </w:rPr>
            </w:pPr>
            <w:r>
              <w:rPr>
                <w:rFonts w:ascii="Arial" w:cs="Arial" w:eastAsia="Arial" w:hAnsi="Arial"/>
                <w:sz w:val="14"/>
                <w:szCs w:val="14"/>
                <w:color w:val="auto"/>
                <w:w w:val="95"/>
              </w:rPr>
              <w:t>incorporation or organization)</w:t>
            </w:r>
          </w:p>
        </w:tc>
        <w:tc>
          <w:tcPr>
            <w:tcW w:w="1360" w:type="dxa"/>
            <w:vAlign w:val="bottom"/>
          </w:tcPr>
          <w:p>
            <w:pPr>
              <w:jc w:val="center"/>
              <w:spacing w:after="0"/>
              <w:rPr>
                <w:sz w:val="20"/>
                <w:szCs w:val="20"/>
                <w:color w:val="auto"/>
              </w:rPr>
            </w:pPr>
            <w:r>
              <w:rPr>
                <w:rFonts w:ascii="Arial" w:cs="Arial" w:eastAsia="Arial" w:hAnsi="Arial"/>
                <w:sz w:val="14"/>
                <w:szCs w:val="14"/>
                <w:color w:val="auto"/>
                <w:w w:val="96"/>
              </w:rPr>
              <w:t>Identification Number)</w:t>
            </w:r>
          </w:p>
        </w:tc>
      </w:tr>
      <w:tr>
        <w:trPr>
          <w:trHeight w:val="151"/>
        </w:trPr>
        <w:tc>
          <w:tcPr>
            <w:tcW w:w="2340" w:type="dxa"/>
            <w:vAlign w:val="bottom"/>
          </w:tcPr>
          <w:p>
            <w:pPr>
              <w:spacing w:after="0"/>
              <w:rPr>
                <w:sz w:val="13"/>
                <w:szCs w:val="13"/>
                <w:color w:val="auto"/>
              </w:rPr>
            </w:pPr>
          </w:p>
        </w:tc>
        <w:tc>
          <w:tcPr>
            <w:tcW w:w="3640" w:type="dxa"/>
            <w:vAlign w:val="bottom"/>
            <w:gridSpan w:val="2"/>
          </w:tcPr>
          <w:p>
            <w:pPr>
              <w:jc w:val="center"/>
              <w:ind w:right="760"/>
              <w:spacing w:after="0" w:line="151" w:lineRule="exact"/>
              <w:rPr>
                <w:sz w:val="20"/>
                <w:szCs w:val="20"/>
                <w:color w:val="auto"/>
              </w:rPr>
            </w:pPr>
            <w:r>
              <w:rPr>
                <w:rFonts w:ascii="Arial" w:cs="Arial" w:eastAsia="Arial" w:hAnsi="Arial"/>
                <w:sz w:val="14"/>
                <w:szCs w:val="14"/>
                <w:b w:val="1"/>
                <w:bCs w:val="1"/>
                <w:color w:val="auto"/>
                <w:w w:val="99"/>
              </w:rPr>
              <w:t>15/F</w:t>
            </w:r>
          </w:p>
        </w:tc>
        <w:tc>
          <w:tcPr>
            <w:tcW w:w="1360" w:type="dxa"/>
            <w:vAlign w:val="bottom"/>
          </w:tcPr>
          <w:p>
            <w:pPr>
              <w:spacing w:after="0"/>
              <w:rPr>
                <w:sz w:val="13"/>
                <w:szCs w:val="13"/>
                <w:color w:val="auto"/>
              </w:rPr>
            </w:pPr>
          </w:p>
        </w:tc>
      </w:tr>
      <w:tr>
        <w:trPr>
          <w:trHeight w:val="149"/>
        </w:trPr>
        <w:tc>
          <w:tcPr>
            <w:tcW w:w="2340" w:type="dxa"/>
            <w:vAlign w:val="bottom"/>
          </w:tcPr>
          <w:p>
            <w:pPr>
              <w:spacing w:after="0"/>
              <w:rPr>
                <w:sz w:val="12"/>
                <w:szCs w:val="12"/>
                <w:color w:val="auto"/>
              </w:rPr>
            </w:pPr>
          </w:p>
        </w:tc>
        <w:tc>
          <w:tcPr>
            <w:tcW w:w="3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Prosperity Millennia Plaza</w:t>
            </w:r>
          </w:p>
        </w:tc>
        <w:tc>
          <w:tcPr>
            <w:tcW w:w="1360" w:type="dxa"/>
            <w:vAlign w:val="bottom"/>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3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663 King’s Road, Quarry Bay</w:t>
            </w:r>
          </w:p>
        </w:tc>
        <w:tc>
          <w:tcPr>
            <w:tcW w:w="1360" w:type="dxa"/>
            <w:vAlign w:val="bottom"/>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3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Hong Kong S.A.R., People’s Republic of China</w:t>
            </w:r>
          </w:p>
        </w:tc>
        <w:tc>
          <w:tcPr>
            <w:tcW w:w="1360" w:type="dxa"/>
            <w:vAlign w:val="bottom"/>
          </w:tcPr>
          <w:p>
            <w:pPr>
              <w:spacing w:after="0"/>
              <w:rPr>
                <w:sz w:val="12"/>
                <w:szCs w:val="12"/>
                <w:color w:val="auto"/>
              </w:rPr>
            </w:pPr>
          </w:p>
        </w:tc>
      </w:tr>
      <w:tr>
        <w:trPr>
          <w:trHeight w:val="153"/>
        </w:trPr>
        <w:tc>
          <w:tcPr>
            <w:tcW w:w="5220" w:type="dxa"/>
            <w:vAlign w:val="bottom"/>
            <w:gridSpan w:val="2"/>
          </w:tcPr>
          <w:p>
            <w:pPr>
              <w:jc w:val="center"/>
              <w:ind w:left="2248"/>
              <w:spacing w:after="0" w:line="153" w:lineRule="exact"/>
              <w:rPr>
                <w:sz w:val="20"/>
                <w:szCs w:val="20"/>
                <w:color w:val="auto"/>
              </w:rPr>
            </w:pPr>
            <w:r>
              <w:rPr>
                <w:rFonts w:ascii="Arial" w:cs="Arial" w:eastAsia="Arial" w:hAnsi="Arial"/>
                <w:sz w:val="14"/>
                <w:szCs w:val="14"/>
                <w:b w:val="1"/>
                <w:bCs w:val="1"/>
                <w:color w:val="auto"/>
                <w:w w:val="92"/>
              </w:rPr>
              <w:t>+852 3700 9000</w:t>
            </w:r>
          </w:p>
        </w:tc>
        <w:tc>
          <w:tcPr>
            <w:tcW w:w="7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2"/>
        </w:trPr>
        <w:tc>
          <w:tcPr>
            <w:tcW w:w="5980" w:type="dxa"/>
            <w:vAlign w:val="bottom"/>
            <w:gridSpan w:val="3"/>
          </w:tcPr>
          <w:p>
            <w:pPr>
              <w:jc w:val="center"/>
              <w:ind w:left="1508"/>
              <w:spacing w:after="0"/>
              <w:rPr>
                <w:sz w:val="20"/>
                <w:szCs w:val="20"/>
                <w:color w:val="auto"/>
              </w:rPr>
            </w:pPr>
            <w:r>
              <w:rPr>
                <w:rFonts w:ascii="Arial" w:cs="Arial" w:eastAsia="Arial" w:hAnsi="Arial"/>
                <w:sz w:val="14"/>
                <w:szCs w:val="14"/>
                <w:color w:val="auto"/>
                <w:w w:val="93"/>
              </w:rPr>
              <w:t>(Address and telephone number of Registrant’s principal executive offices)</w:t>
            </w:r>
          </w:p>
        </w:tc>
        <w:tc>
          <w:tcPr>
            <w:tcW w:w="1360" w:type="dxa"/>
            <w:vAlign w:val="bottom"/>
          </w:tcPr>
          <w:p>
            <w:pPr>
              <w:spacing w:after="0"/>
              <w:rPr>
                <w:sz w:val="15"/>
                <w:szCs w:val="15"/>
                <w:color w:val="auto"/>
              </w:rPr>
            </w:pPr>
          </w:p>
        </w:tc>
      </w:tr>
      <w:tr>
        <w:trPr>
          <w:trHeight w:val="134"/>
        </w:trPr>
        <w:tc>
          <w:tcPr>
            <w:tcW w:w="2340" w:type="dxa"/>
            <w:vAlign w:val="bottom"/>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68"/>
        </w:trPr>
        <w:tc>
          <w:tcPr>
            <w:tcW w:w="2340" w:type="dxa"/>
            <w:vAlign w:val="bottom"/>
          </w:tcPr>
          <w:p>
            <w:pPr>
              <w:spacing w:after="0"/>
              <w:rPr>
                <w:sz w:val="23"/>
                <w:szCs w:val="23"/>
                <w:color w:val="auto"/>
              </w:rPr>
            </w:pPr>
          </w:p>
        </w:tc>
        <w:tc>
          <w:tcPr>
            <w:tcW w:w="36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Cogency Global Inc.</w:t>
            </w:r>
          </w:p>
        </w:tc>
        <w:tc>
          <w:tcPr>
            <w:tcW w:w="1360" w:type="dxa"/>
            <w:vAlign w:val="bottom"/>
          </w:tcPr>
          <w:p>
            <w:pPr>
              <w:spacing w:after="0"/>
              <w:rPr>
                <w:sz w:val="23"/>
                <w:szCs w:val="23"/>
                <w:color w:val="auto"/>
              </w:rPr>
            </w:pPr>
          </w:p>
        </w:tc>
      </w:tr>
      <w:tr>
        <w:trPr>
          <w:trHeight w:val="149"/>
        </w:trPr>
        <w:tc>
          <w:tcPr>
            <w:tcW w:w="2340" w:type="dxa"/>
            <w:vAlign w:val="bottom"/>
          </w:tcPr>
          <w:p>
            <w:pPr>
              <w:spacing w:after="0"/>
              <w:rPr>
                <w:sz w:val="12"/>
                <w:szCs w:val="12"/>
                <w:color w:val="auto"/>
              </w:rPr>
            </w:pPr>
          </w:p>
        </w:tc>
        <w:tc>
          <w:tcPr>
            <w:tcW w:w="3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10 East 40th Street, 10th Floor</w:t>
            </w:r>
          </w:p>
        </w:tc>
        <w:tc>
          <w:tcPr>
            <w:tcW w:w="1360" w:type="dxa"/>
            <w:vAlign w:val="bottom"/>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3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New York, New York 10016</w:t>
            </w:r>
          </w:p>
        </w:tc>
        <w:tc>
          <w:tcPr>
            <w:tcW w:w="1360" w:type="dxa"/>
            <w:vAlign w:val="bottom"/>
          </w:tcPr>
          <w:p>
            <w:pPr>
              <w:spacing w:after="0"/>
              <w:rPr>
                <w:sz w:val="12"/>
                <w:szCs w:val="12"/>
                <w:color w:val="auto"/>
              </w:rPr>
            </w:pPr>
          </w:p>
        </w:tc>
      </w:tr>
      <w:tr>
        <w:trPr>
          <w:trHeight w:val="153"/>
        </w:trPr>
        <w:tc>
          <w:tcPr>
            <w:tcW w:w="5220" w:type="dxa"/>
            <w:vAlign w:val="bottom"/>
            <w:gridSpan w:val="2"/>
          </w:tcPr>
          <w:p>
            <w:pPr>
              <w:jc w:val="center"/>
              <w:ind w:left="2248"/>
              <w:spacing w:after="0" w:line="153" w:lineRule="exact"/>
              <w:rPr>
                <w:sz w:val="20"/>
                <w:szCs w:val="20"/>
                <w:color w:val="auto"/>
              </w:rPr>
            </w:pPr>
            <w:r>
              <w:rPr>
                <w:rFonts w:ascii="Arial" w:cs="Arial" w:eastAsia="Arial" w:hAnsi="Arial"/>
                <w:sz w:val="14"/>
                <w:szCs w:val="14"/>
                <w:b w:val="1"/>
                <w:bCs w:val="1"/>
                <w:color w:val="auto"/>
                <w:w w:val="95"/>
              </w:rPr>
              <w:t>+1 (800) 221-0102</w:t>
            </w:r>
          </w:p>
        </w:tc>
        <w:tc>
          <w:tcPr>
            <w:tcW w:w="7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2"/>
        </w:trPr>
        <w:tc>
          <w:tcPr>
            <w:tcW w:w="5980" w:type="dxa"/>
            <w:vAlign w:val="bottom"/>
            <w:gridSpan w:val="3"/>
          </w:tcPr>
          <w:p>
            <w:pPr>
              <w:jc w:val="center"/>
              <w:ind w:left="1508"/>
              <w:spacing w:after="0"/>
              <w:rPr>
                <w:sz w:val="20"/>
                <w:szCs w:val="20"/>
                <w:color w:val="auto"/>
              </w:rPr>
            </w:pPr>
            <w:r>
              <w:rPr>
                <w:rFonts w:ascii="Arial" w:cs="Arial" w:eastAsia="Arial" w:hAnsi="Arial"/>
                <w:sz w:val="14"/>
                <w:szCs w:val="14"/>
                <w:color w:val="auto"/>
                <w:w w:val="91"/>
              </w:rPr>
              <w:t>(Name, address, and telephone number of agent for service)</w:t>
            </w:r>
          </w:p>
        </w:tc>
        <w:tc>
          <w:tcPr>
            <w:tcW w:w="1360" w:type="dxa"/>
            <w:vAlign w:val="bottom"/>
          </w:tcPr>
          <w:p>
            <w:pPr>
              <w:spacing w:after="0"/>
              <w:rPr>
                <w:sz w:val="15"/>
                <w:szCs w:val="15"/>
                <w:color w:val="auto"/>
              </w:rPr>
            </w:pPr>
          </w:p>
        </w:tc>
      </w:tr>
      <w:tr>
        <w:trPr>
          <w:trHeight w:val="134"/>
        </w:trPr>
        <w:tc>
          <w:tcPr>
            <w:tcW w:w="2340" w:type="dxa"/>
            <w:vAlign w:val="bottom"/>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306"/>
        </w:trPr>
        <w:tc>
          <w:tcPr>
            <w:tcW w:w="2340" w:type="dxa"/>
            <w:vAlign w:val="bottom"/>
          </w:tcPr>
          <w:p>
            <w:pPr>
              <w:spacing w:after="0"/>
              <w:rPr>
                <w:sz w:val="24"/>
                <w:szCs w:val="24"/>
                <w:color w:val="auto"/>
              </w:rPr>
            </w:pPr>
          </w:p>
        </w:tc>
        <w:tc>
          <w:tcPr>
            <w:tcW w:w="3640" w:type="dxa"/>
            <w:vAlign w:val="bottom"/>
            <w:gridSpan w:val="2"/>
          </w:tcPr>
          <w:p>
            <w:pPr>
              <w:jc w:val="center"/>
              <w:ind w:right="780"/>
              <w:spacing w:after="0"/>
              <w:rPr>
                <w:sz w:val="20"/>
                <w:szCs w:val="20"/>
                <w:color w:val="auto"/>
              </w:rPr>
            </w:pPr>
            <w:r>
              <w:rPr>
                <w:rFonts w:ascii="Arial" w:cs="Arial" w:eastAsia="Arial" w:hAnsi="Arial"/>
                <w:sz w:val="14"/>
                <w:szCs w:val="14"/>
                <w:color w:val="auto"/>
                <w:w w:val="91"/>
              </w:rPr>
              <w:t>Copies to:</w:t>
            </w:r>
          </w:p>
        </w:tc>
        <w:tc>
          <w:tcPr>
            <w:tcW w:w="1360" w:type="dxa"/>
            <w:vAlign w:val="bottom"/>
          </w:tcPr>
          <w:p>
            <w:pPr>
              <w:spacing w:after="0"/>
              <w:rPr>
                <w:sz w:val="24"/>
                <w:szCs w:val="24"/>
                <w:color w:val="auto"/>
              </w:rPr>
            </w:pPr>
          </w:p>
        </w:tc>
      </w:tr>
      <w:tr>
        <w:trPr>
          <w:trHeight w:val="151"/>
        </w:trPr>
        <w:tc>
          <w:tcPr>
            <w:tcW w:w="2340" w:type="dxa"/>
            <w:vAlign w:val="bottom"/>
          </w:tcPr>
          <w:p>
            <w:pPr>
              <w:spacing w:after="0"/>
              <w:rPr>
                <w:sz w:val="13"/>
                <w:szCs w:val="13"/>
                <w:color w:val="auto"/>
              </w:rPr>
            </w:pPr>
          </w:p>
        </w:tc>
        <w:tc>
          <w:tcPr>
            <w:tcW w:w="3640" w:type="dxa"/>
            <w:vAlign w:val="bottom"/>
            <w:gridSpan w:val="2"/>
          </w:tcPr>
          <w:p>
            <w:pPr>
              <w:jc w:val="center"/>
              <w:ind w:right="820"/>
              <w:spacing w:after="0" w:line="151" w:lineRule="exact"/>
              <w:rPr>
                <w:sz w:val="20"/>
                <w:szCs w:val="20"/>
                <w:color w:val="auto"/>
              </w:rPr>
            </w:pPr>
            <w:r>
              <w:rPr>
                <w:rFonts w:ascii="Arial" w:cs="Arial" w:eastAsia="Arial" w:hAnsi="Arial"/>
                <w:sz w:val="14"/>
                <w:szCs w:val="14"/>
                <w:b w:val="1"/>
                <w:bCs w:val="1"/>
                <w:color w:val="auto"/>
                <w:w w:val="92"/>
              </w:rPr>
              <w:t>Shuang Zhao</w:t>
            </w:r>
          </w:p>
        </w:tc>
        <w:tc>
          <w:tcPr>
            <w:tcW w:w="1360" w:type="dxa"/>
            <w:vAlign w:val="bottom"/>
          </w:tcPr>
          <w:p>
            <w:pPr>
              <w:spacing w:after="0"/>
              <w:rPr>
                <w:sz w:val="13"/>
                <w:szCs w:val="13"/>
                <w:color w:val="auto"/>
              </w:rPr>
            </w:pPr>
          </w:p>
        </w:tc>
      </w:tr>
      <w:tr>
        <w:trPr>
          <w:trHeight w:val="149"/>
        </w:trPr>
        <w:tc>
          <w:tcPr>
            <w:tcW w:w="2340" w:type="dxa"/>
            <w:vAlign w:val="bottom"/>
          </w:tcPr>
          <w:p>
            <w:pPr>
              <w:spacing w:after="0"/>
              <w:rPr>
                <w:sz w:val="12"/>
                <w:szCs w:val="12"/>
                <w:color w:val="auto"/>
              </w:rPr>
            </w:pPr>
          </w:p>
        </w:tc>
        <w:tc>
          <w:tcPr>
            <w:tcW w:w="3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1360" w:type="dxa"/>
            <w:vAlign w:val="bottom"/>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3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c/o 37th Floor, Hysan Place</w:t>
            </w:r>
          </w:p>
        </w:tc>
        <w:tc>
          <w:tcPr>
            <w:tcW w:w="1360" w:type="dxa"/>
            <w:vAlign w:val="bottom"/>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36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500 Hennessy Road, Causeway Bay</w:t>
            </w:r>
          </w:p>
        </w:tc>
        <w:tc>
          <w:tcPr>
            <w:tcW w:w="1360" w:type="dxa"/>
            <w:vAlign w:val="bottom"/>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36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Hong Kong</w:t>
            </w:r>
          </w:p>
        </w:tc>
        <w:tc>
          <w:tcPr>
            <w:tcW w:w="1360" w:type="dxa"/>
            <w:vAlign w:val="bottom"/>
          </w:tcPr>
          <w:p>
            <w:pPr>
              <w:spacing w:after="0"/>
              <w:rPr>
                <w:sz w:val="12"/>
                <w:szCs w:val="12"/>
                <w:color w:val="auto"/>
              </w:rPr>
            </w:pPr>
          </w:p>
        </w:tc>
      </w:tr>
      <w:tr>
        <w:trPr>
          <w:trHeight w:val="186"/>
        </w:trPr>
        <w:tc>
          <w:tcPr>
            <w:tcW w:w="5220" w:type="dxa"/>
            <w:vAlign w:val="bottom"/>
            <w:gridSpan w:val="2"/>
          </w:tcPr>
          <w:p>
            <w:pPr>
              <w:jc w:val="center"/>
              <w:ind w:left="2248"/>
              <w:spacing w:after="0"/>
              <w:rPr>
                <w:sz w:val="20"/>
                <w:szCs w:val="20"/>
                <w:color w:val="auto"/>
              </w:rPr>
            </w:pPr>
            <w:r>
              <w:rPr>
                <w:rFonts w:ascii="Arial" w:cs="Arial" w:eastAsia="Arial" w:hAnsi="Arial"/>
                <w:sz w:val="14"/>
                <w:szCs w:val="14"/>
                <w:b w:val="1"/>
                <w:bCs w:val="1"/>
                <w:color w:val="auto"/>
                <w:w w:val="92"/>
              </w:rPr>
              <w:t>+852 2521 4122</w:t>
            </w: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85090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3" w:lineRule="exact"/>
        <w:rPr>
          <w:sz w:val="24"/>
          <w:szCs w:val="24"/>
          <w:color w:val="auto"/>
        </w:rPr>
      </w:pPr>
    </w:p>
    <w:p>
      <w:pPr>
        <w:ind w:right="220" w:firstLine="648"/>
        <w:spacing w:after="0" w:line="254" w:lineRule="auto"/>
        <w:rPr>
          <w:sz w:val="20"/>
          <w:szCs w:val="20"/>
          <w:color w:val="auto"/>
        </w:rPr>
      </w:pPr>
      <w:r>
        <w:rPr>
          <w:rFonts w:ascii="Arial" w:cs="Arial" w:eastAsia="Arial" w:hAnsi="Arial"/>
          <w:sz w:val="14"/>
          <w:szCs w:val="14"/>
          <w:color w:val="auto"/>
        </w:rPr>
        <w:t xml:space="preserve">Approximate date of commencement of proposed sale to the public: </w:t>
      </w:r>
      <w:r>
        <w:rPr>
          <w:rFonts w:ascii="Arial" w:cs="Arial" w:eastAsia="Arial" w:hAnsi="Arial"/>
          <w:sz w:val="14"/>
          <w:szCs w:val="14"/>
          <w:b w:val="1"/>
          <w:bCs w:val="1"/>
          <w:color w:val="auto"/>
        </w:rPr>
        <w:t>From time to time after the effective date of this registration statement, as determined by market conditions</w:t>
      </w:r>
      <w:r>
        <w:rPr>
          <w:rFonts w:ascii="Arial" w:cs="Arial" w:eastAsia="Arial" w:hAnsi="Arial"/>
          <w:sz w:val="14"/>
          <w:szCs w:val="14"/>
          <w:color w:val="auto"/>
        </w:rPr>
        <w:t xml:space="preserve"> </w:t>
      </w:r>
      <w:r>
        <w:rPr>
          <w:rFonts w:ascii="Arial" w:cs="Arial" w:eastAsia="Arial" w:hAnsi="Arial"/>
          <w:sz w:val="14"/>
          <w:szCs w:val="14"/>
          <w:b w:val="1"/>
          <w:bCs w:val="1"/>
          <w:color w:val="auto"/>
        </w:rPr>
        <w:t>and other factors.</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If only securities being registered on this Form are being offered pursuant to dividend or interest reinvestment plans, please check the following box. o</w:t>
      </w:r>
    </w:p>
    <w:p>
      <w:pPr>
        <w:spacing w:after="0" w:line="28"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x</w:t>
      </w:r>
    </w:p>
    <w:p>
      <w:pPr>
        <w:spacing w:after="0" w:line="40" w:lineRule="exact"/>
        <w:rPr>
          <w:sz w:val="24"/>
          <w:szCs w:val="24"/>
          <w:color w:val="auto"/>
        </w:rPr>
      </w:pPr>
    </w:p>
    <w:p>
      <w:pPr>
        <w:ind w:right="60" w:firstLine="648"/>
        <w:spacing w:after="0" w:line="251"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80" w:firstLine="648"/>
        <w:spacing w:after="0" w:line="251"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60" w:firstLine="648"/>
        <w:spacing w:after="0" w:line="251" w:lineRule="auto"/>
        <w:rPr>
          <w:sz w:val="20"/>
          <w:szCs w:val="20"/>
          <w:color w:val="auto"/>
        </w:rPr>
      </w:pPr>
      <w:r>
        <w:rPr>
          <w:rFonts w:ascii="Arial" w:cs="Arial" w:eastAsia="Arial" w:hAnsi="Arial"/>
          <w:sz w:val="14"/>
          <w:szCs w:val="14"/>
          <w:color w:val="auto"/>
        </w:rPr>
        <w:t>If this Form is a registration statement pursuant to General Instruction I.C. or a post-effective amendment thereto that shall become effective upon filing with the Commission pursuant to Rule 462(e) under the Securities Act, check the following box. o</w:t>
      </w:r>
    </w:p>
    <w:p>
      <w:pPr>
        <w:spacing w:after="0" w:line="1" w:lineRule="exact"/>
        <w:rPr>
          <w:sz w:val="24"/>
          <w:szCs w:val="24"/>
          <w:color w:val="auto"/>
        </w:rPr>
      </w:pPr>
    </w:p>
    <w:p>
      <w:pPr>
        <w:ind w:right="360" w:firstLine="648"/>
        <w:spacing w:after="0" w:line="251"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o</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3" w:lineRule="exact"/>
        <w:rPr>
          <w:sz w:val="24"/>
          <w:szCs w:val="24"/>
          <w:color w:val="auto"/>
        </w:rPr>
      </w:pPr>
    </w:p>
    <w:p>
      <w:pPr>
        <w:ind w:left="9740"/>
        <w:spacing w:after="0"/>
        <w:rPr>
          <w:sz w:val="20"/>
          <w:szCs w:val="20"/>
          <w:color w:val="auto"/>
        </w:rPr>
      </w:pPr>
      <w:r>
        <w:rPr>
          <w:rFonts w:ascii="Arial" w:cs="Arial" w:eastAsia="Arial" w:hAnsi="Arial"/>
          <w:sz w:val="13"/>
          <w:szCs w:val="13"/>
          <w:color w:val="auto"/>
        </w:rPr>
        <w:t>Emerging growth company x</w:t>
      </w:r>
    </w:p>
    <w:p>
      <w:pPr>
        <w:spacing w:after="0" w:line="28" w:lineRule="exact"/>
        <w:rPr>
          <w:sz w:val="24"/>
          <w:szCs w:val="24"/>
          <w:color w:val="auto"/>
        </w:rPr>
      </w:pPr>
    </w:p>
    <w:p>
      <w:pPr>
        <w:ind w:right="20" w:firstLine="648"/>
        <w:spacing w:after="0" w:line="253"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8" w:lineRule="exact"/>
        <w:rPr>
          <w:sz w:val="24"/>
          <w:szCs w:val="24"/>
          <w:color w:val="auto"/>
        </w:rPr>
      </w:pPr>
    </w:p>
    <w:p>
      <w:pPr>
        <w:ind w:right="480" w:firstLine="656"/>
        <w:spacing w:after="0" w:line="248" w:lineRule="auto"/>
        <w:tabs>
          <w:tab w:leader="none" w:pos="75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60" w:type="dxa"/>
            <w:vAlign w:val="bottom"/>
          </w:tcPr>
          <w:p>
            <w:pPr>
              <w:jc w:val="center"/>
              <w:ind w:right="349"/>
              <w:spacing w:after="0"/>
              <w:rPr>
                <w:sz w:val="20"/>
                <w:szCs w:val="20"/>
                <w:color w:val="auto"/>
              </w:rPr>
            </w:pPr>
            <w:r>
              <w:rPr>
                <w:rFonts w:ascii="Arial" w:cs="Arial" w:eastAsia="Arial" w:hAnsi="Arial"/>
                <w:sz w:val="11"/>
                <w:szCs w:val="11"/>
                <w:b w:val="1"/>
                <w:bCs w:val="1"/>
                <w:color w:val="auto"/>
                <w:w w:val="89"/>
              </w:rPr>
              <w:t>Proposed Maximum</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60" w:type="dxa"/>
            <w:vAlign w:val="bottom"/>
          </w:tcPr>
          <w:p>
            <w:pPr>
              <w:jc w:val="center"/>
              <w:ind w:right="349"/>
              <w:spacing w:after="0" w:line="122" w:lineRule="exact"/>
              <w:rPr>
                <w:sz w:val="20"/>
                <w:szCs w:val="20"/>
                <w:color w:val="auto"/>
              </w:rPr>
            </w:pPr>
            <w:r>
              <w:rPr>
                <w:rFonts w:ascii="Arial" w:cs="Arial" w:eastAsia="Arial" w:hAnsi="Arial"/>
                <w:sz w:val="11"/>
                <w:szCs w:val="11"/>
                <w:b w:val="1"/>
                <w:bCs w:val="1"/>
                <w:color w:val="auto"/>
                <w:w w:val="89"/>
              </w:rPr>
              <w:t>Aggregate Offering</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20" w:type="dxa"/>
            <w:vAlign w:val="bottom"/>
          </w:tcPr>
          <w:p>
            <w:pPr>
              <w:jc w:val="center"/>
              <w:ind w:right="380"/>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35"/>
        </w:trPr>
        <w:tc>
          <w:tcPr>
            <w:tcW w:w="20" w:type="dxa"/>
            <w:vAlign w:val="bottom"/>
          </w:tcPr>
          <w:p>
            <w:pPr>
              <w:spacing w:after="0"/>
              <w:rPr>
                <w:sz w:val="11"/>
                <w:szCs w:val="11"/>
                <w:color w:val="auto"/>
              </w:rPr>
            </w:pPr>
          </w:p>
        </w:tc>
        <w:tc>
          <w:tcPr>
            <w:tcW w:w="6960" w:type="dxa"/>
            <w:vAlign w:val="bottom"/>
            <w:gridSpan w:val="2"/>
          </w:tcPr>
          <w:p>
            <w:pPr>
              <w:ind w:left="2220"/>
              <w:spacing w:after="0"/>
              <w:rPr>
                <w:sz w:val="20"/>
                <w:szCs w:val="20"/>
                <w:color w:val="auto"/>
              </w:rPr>
            </w:pPr>
            <w:r>
              <w:rPr>
                <w:rFonts w:ascii="Arial" w:cs="Arial" w:eastAsia="Arial" w:hAnsi="Arial"/>
                <w:sz w:val="11"/>
                <w:szCs w:val="11"/>
                <w:b w:val="1"/>
                <w:bCs w:val="1"/>
                <w:color w:val="auto"/>
              </w:rPr>
              <w:t>Title of Each Class of Securities to be Registered</w:t>
            </w:r>
            <w:r>
              <w:rPr>
                <w:rFonts w:ascii="Arial" w:cs="Arial" w:eastAsia="Arial" w:hAnsi="Arial"/>
                <w:sz w:val="11"/>
                <w:szCs w:val="11"/>
                <w:b w:val="1"/>
                <w:bCs w:val="1"/>
                <w:color w:val="auto"/>
                <w:vertAlign w:val="superscript"/>
              </w:rPr>
              <w:t>(1)</w:t>
            </w:r>
          </w:p>
        </w:tc>
        <w:tc>
          <w:tcPr>
            <w:tcW w:w="400" w:type="dxa"/>
            <w:vAlign w:val="bottom"/>
          </w:tcPr>
          <w:p>
            <w:pPr>
              <w:spacing w:after="0"/>
              <w:rPr>
                <w:sz w:val="11"/>
                <w:szCs w:val="11"/>
                <w:color w:val="auto"/>
              </w:rPr>
            </w:pPr>
          </w:p>
        </w:tc>
        <w:tc>
          <w:tcPr>
            <w:tcW w:w="1660" w:type="dxa"/>
            <w:vAlign w:val="bottom"/>
          </w:tcPr>
          <w:p>
            <w:pPr>
              <w:jc w:val="center"/>
              <w:ind w:right="349"/>
              <w:spacing w:after="0" w:line="136" w:lineRule="exact"/>
              <w:rPr>
                <w:sz w:val="20"/>
                <w:szCs w:val="20"/>
                <w:color w:val="auto"/>
              </w:rPr>
            </w:pPr>
            <w:r>
              <w:rPr>
                <w:rFonts w:ascii="Arial" w:cs="Arial" w:eastAsia="Arial" w:hAnsi="Arial"/>
                <w:sz w:val="15"/>
                <w:szCs w:val="15"/>
                <w:b w:val="1"/>
                <w:bCs w:val="1"/>
                <w:color w:val="auto"/>
                <w:vertAlign w:val="subscript"/>
              </w:rPr>
              <w:t>Price</w:t>
            </w:r>
            <w:r>
              <w:rPr>
                <w:rFonts w:ascii="Arial" w:cs="Arial" w:eastAsia="Arial" w:hAnsi="Arial"/>
                <w:sz w:val="5"/>
                <w:szCs w:val="5"/>
                <w:b w:val="1"/>
                <w:bCs w:val="1"/>
                <w:color w:val="auto"/>
              </w:rPr>
              <w:t>(3)(4)</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20" w:type="dxa"/>
            <w:vAlign w:val="bottom"/>
          </w:tcPr>
          <w:p>
            <w:pPr>
              <w:jc w:val="center"/>
              <w:ind w:right="380"/>
              <w:spacing w:after="0"/>
              <w:rPr>
                <w:sz w:val="20"/>
                <w:szCs w:val="20"/>
                <w:color w:val="auto"/>
              </w:rPr>
            </w:pPr>
            <w:r>
              <w:rPr>
                <w:rFonts w:ascii="Arial" w:cs="Arial" w:eastAsia="Arial" w:hAnsi="Arial"/>
                <w:sz w:val="11"/>
                <w:szCs w:val="11"/>
                <w:b w:val="1"/>
                <w:bCs w:val="1"/>
                <w:color w:val="auto"/>
                <w:w w:val="86"/>
              </w:rPr>
              <w:t>Registration Fee</w:t>
            </w:r>
            <w:r>
              <w:rPr>
                <w:rFonts w:ascii="Arial" w:cs="Arial" w:eastAsia="Arial" w:hAnsi="Arial"/>
                <w:sz w:val="11"/>
                <w:szCs w:val="11"/>
                <w:b w:val="1"/>
                <w:bCs w:val="1"/>
                <w:color w:val="auto"/>
                <w:w w:val="86"/>
                <w:vertAlign w:val="superscript"/>
              </w:rPr>
              <w:t>(4)</w:t>
            </w:r>
          </w:p>
        </w:tc>
      </w:tr>
      <w:tr>
        <w:trPr>
          <w:trHeight w:val="123"/>
        </w:trPr>
        <w:tc>
          <w:tcPr>
            <w:tcW w:w="20" w:type="dxa"/>
            <w:vAlign w:val="bottom"/>
          </w:tcPr>
          <w:p>
            <w:pPr>
              <w:spacing w:after="0"/>
              <w:rPr>
                <w:sz w:val="10"/>
                <w:szCs w:val="10"/>
                <w:color w:val="auto"/>
              </w:rPr>
            </w:pPr>
          </w:p>
        </w:tc>
        <w:tc>
          <w:tcPr>
            <w:tcW w:w="672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color w:val="auto"/>
              </w:rPr>
              <w:t>Class A ordinary shares, par value US$0.001 per share</w:t>
            </w:r>
            <w:r>
              <w:rPr>
                <w:rFonts w:ascii="Arial" w:cs="Arial" w:eastAsia="Arial" w:hAnsi="Arial"/>
                <w:sz w:val="14"/>
                <w:szCs w:val="14"/>
                <w:color w:val="auto"/>
                <w:vertAlign w:val="superscript"/>
              </w:rPr>
              <w:t>(2)</w:t>
            </w:r>
          </w:p>
        </w:tc>
        <w:tc>
          <w:tcPr>
            <w:tcW w:w="2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r>
      <w:tr>
        <w:trPr>
          <w:trHeight w:val="149"/>
        </w:trPr>
        <w:tc>
          <w:tcPr>
            <w:tcW w:w="6980" w:type="dxa"/>
            <w:vAlign w:val="bottom"/>
            <w:gridSpan w:val="3"/>
          </w:tcPr>
          <w:p>
            <w:pPr>
              <w:spacing w:after="0" w:line="149" w:lineRule="exact"/>
              <w:rPr>
                <w:sz w:val="20"/>
                <w:szCs w:val="20"/>
                <w:color w:val="auto"/>
              </w:rPr>
            </w:pPr>
            <w:r>
              <w:rPr>
                <w:rFonts w:ascii="Arial" w:cs="Arial" w:eastAsia="Arial" w:hAnsi="Arial"/>
                <w:sz w:val="14"/>
                <w:szCs w:val="14"/>
                <w:color w:val="auto"/>
              </w:rPr>
              <w:t>Preferred shares</w:t>
            </w:r>
          </w:p>
        </w:tc>
        <w:tc>
          <w:tcPr>
            <w:tcW w:w="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9"/>
        </w:trPr>
        <w:tc>
          <w:tcPr>
            <w:tcW w:w="6980" w:type="dxa"/>
            <w:vAlign w:val="bottom"/>
            <w:gridSpan w:val="3"/>
          </w:tcPr>
          <w:p>
            <w:pPr>
              <w:spacing w:after="0" w:line="149" w:lineRule="exact"/>
              <w:rPr>
                <w:sz w:val="20"/>
                <w:szCs w:val="20"/>
                <w:color w:val="auto"/>
              </w:rPr>
            </w:pPr>
            <w:r>
              <w:rPr>
                <w:rFonts w:ascii="Arial" w:cs="Arial" w:eastAsia="Arial" w:hAnsi="Arial"/>
                <w:sz w:val="14"/>
                <w:szCs w:val="14"/>
                <w:color w:val="auto"/>
              </w:rPr>
              <w:t>Debt securities</w:t>
            </w:r>
          </w:p>
        </w:tc>
        <w:tc>
          <w:tcPr>
            <w:tcW w:w="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5"/>
        </w:trPr>
        <w:tc>
          <w:tcPr>
            <w:tcW w:w="6980" w:type="dxa"/>
            <w:vAlign w:val="bottom"/>
            <w:gridSpan w:val="3"/>
          </w:tcPr>
          <w:p>
            <w:pPr>
              <w:spacing w:after="0" w:line="145" w:lineRule="exact"/>
              <w:rPr>
                <w:sz w:val="20"/>
                <w:szCs w:val="20"/>
                <w:color w:val="auto"/>
              </w:rPr>
            </w:pPr>
            <w:r>
              <w:rPr>
                <w:rFonts w:ascii="Arial" w:cs="Arial" w:eastAsia="Arial" w:hAnsi="Arial"/>
                <w:sz w:val="14"/>
                <w:szCs w:val="14"/>
                <w:color w:val="auto"/>
              </w:rPr>
              <w:t>Warrants</w:t>
            </w:r>
          </w:p>
        </w:tc>
        <w:tc>
          <w:tcPr>
            <w:tcW w:w="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86"/>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20"/>
                <w:szCs w:val="20"/>
                <w:color w:val="auto"/>
              </w:rPr>
            </w:pPr>
            <w:r>
              <w:rPr>
                <w:rFonts w:ascii="Arial" w:cs="Arial" w:eastAsia="Arial" w:hAnsi="Arial"/>
                <w:sz w:val="14"/>
                <w:szCs w:val="14"/>
                <w:color w:val="auto"/>
              </w:rPr>
              <w:t>US$</w:t>
            </w:r>
          </w:p>
        </w:tc>
        <w:tc>
          <w:tcPr>
            <w:tcW w:w="1660" w:type="dxa"/>
            <w:vAlign w:val="bottom"/>
          </w:tcPr>
          <w:p>
            <w:pPr>
              <w:jc w:val="right"/>
              <w:spacing w:after="0"/>
              <w:rPr>
                <w:sz w:val="20"/>
                <w:szCs w:val="20"/>
                <w:color w:val="auto"/>
              </w:rPr>
            </w:pPr>
            <w:r>
              <w:rPr>
                <w:rFonts w:ascii="Arial" w:cs="Arial" w:eastAsia="Arial" w:hAnsi="Arial"/>
                <w:sz w:val="14"/>
                <w:szCs w:val="14"/>
                <w:color w:val="auto"/>
              </w:rPr>
              <w:t>150,000,000</w:t>
            </w: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US$</w:t>
            </w:r>
          </w:p>
        </w:tc>
        <w:tc>
          <w:tcPr>
            <w:tcW w:w="1620" w:type="dxa"/>
            <w:vAlign w:val="bottom"/>
          </w:tcPr>
          <w:p>
            <w:pPr>
              <w:jc w:val="right"/>
              <w:spacing w:after="0"/>
              <w:rPr>
                <w:sz w:val="20"/>
                <w:szCs w:val="20"/>
                <w:color w:val="auto"/>
              </w:rPr>
            </w:pPr>
            <w:r>
              <w:rPr>
                <w:rFonts w:ascii="Arial" w:cs="Arial" w:eastAsia="Arial" w:hAnsi="Arial"/>
                <w:sz w:val="14"/>
                <w:szCs w:val="14"/>
                <w:color w:val="auto"/>
              </w:rPr>
              <w:t>18,180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102235</wp:posOffset>
            </wp:positionV>
            <wp:extent cx="1724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43" w:lineRule="exact"/>
        <w:rPr>
          <w:sz w:val="24"/>
          <w:szCs w:val="24"/>
          <w:color w:val="auto"/>
        </w:rPr>
      </w:pPr>
    </w:p>
    <w:p>
      <w:pPr>
        <w:ind w:left="660" w:right="40" w:hanging="652"/>
        <w:spacing w:after="0" w:line="244" w:lineRule="auto"/>
        <w:tabs>
          <w:tab w:leader="none" w:pos="639"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(i) securities initially offered and sold outside the United States that may be resold from time to time in the United States either as part of their distribution or within 40 days after the later of the effective date of this registration statement and the date the securities are first bona fide offered to the public, and (ii) securities that are issuable upon the exercise of the underwriters’ over-allotment option to purchase additional shares. These securities are not being registered for the purposes of sales outside the United States.</w:t>
      </w:r>
    </w:p>
    <w:p>
      <w:pPr>
        <w:spacing w:after="0" w:line="1" w:lineRule="exact"/>
        <w:rPr>
          <w:rFonts w:ascii="Arial" w:cs="Arial" w:eastAsia="Arial" w:hAnsi="Arial"/>
          <w:sz w:val="13"/>
          <w:szCs w:val="13"/>
          <w:color w:val="auto"/>
        </w:rPr>
      </w:pPr>
    </w:p>
    <w:p>
      <w:pPr>
        <w:ind w:left="660" w:right="20" w:hanging="652"/>
        <w:spacing w:after="0" w:line="221" w:lineRule="auto"/>
        <w:tabs>
          <w:tab w:leader="none" w:pos="639"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Class A ordinary shares underlying American depositary shares, or ADSs, that may be offered by us or the selling shareholder to be referred to in a prospectus supplement. These Class A ordinary shares are represented by ADSs, each of which represents one-half (1/2) of one Class A ordinary share. The ADSs issuable upon deposit of the Class A ordinary shares registered hereby have been registered under a separate registration statement on Form F-6 (Registration No. 333-221860).</w:t>
      </w:r>
    </w:p>
    <w:p>
      <w:pPr>
        <w:ind w:left="660" w:right="100" w:hanging="652"/>
        <w:spacing w:after="0" w:line="238" w:lineRule="auto"/>
        <w:tabs>
          <w:tab w:leader="none" w:pos="639"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proposed maximum aggregate offering price for each class of securities will be determined from time to time by the registrant in connection with the issuance by the registrant of the securities registered hereunder and is not specified as to each class of securities pursuant to General Instruction II. C. of Form F-3 under the Securities Act of 1933, as amended.</w:t>
      </w:r>
    </w:p>
    <w:p>
      <w:pPr>
        <w:ind w:left="640" w:hanging="632"/>
        <w:spacing w:after="0"/>
        <w:tabs>
          <w:tab w:leader="none" w:pos="6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purposes of calculating the registration fee pursuant to Rule 457(o) of Regulation C under the Securities Act of 1933, as amended.</w:t>
      </w:r>
    </w:p>
    <w:p>
      <w:pPr>
        <w:spacing w:after="0" w:line="12" w:lineRule="exact"/>
        <w:rPr>
          <w:sz w:val="24"/>
          <w:szCs w:val="24"/>
          <w:color w:val="auto"/>
        </w:rPr>
      </w:pPr>
    </w:p>
    <w:p>
      <w:pPr>
        <w:jc w:val="both"/>
        <w:ind w:right="12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507"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FF404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FF4040"/>
        </w:rPr>
        <w:t>SUBJECT TO COMPLETION, DATED June 28,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154940</wp:posOffset>
            </wp:positionV>
            <wp:extent cx="139763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6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(incorporated in the Cayman Islands with limited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Class A Ordinary Shares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Preferred Shares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Debt Securities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We may offer and sell Class A ordinary shares, par value US$0.001 per share, including American depositary shares, or ADSs, each representing one-half (1/2) of one Class A ordinary share, preferred shares, debt securities or warrants in any combination from time to time in one or more offerings, at prices and on terms described in one or more supplements to this prospectus. The aggregate initial offering price of the securities that we may offer and sell under this prospectus will not exceed US$75,000,000.</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addition, from time to time, the selling shareholder to be named in a prospectus supplement may offer and sell up to an aggregate amount of US$75,000,000 of our Class A ordinary shares or ADSs held by it. The selling shareholder may sell shares of our Class A ordinary shares or ADSs through public or private transactions at prevailing market prices or at privately negotiated prices. We will not receive any proceeds from the sale of shares of our Class A ordinary shares by the selling shareholder.</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Each time we or any selling shareholder sell securities, we will provide a supplement to this prospectus that contains specific information about the offering and the terms of the securities. The supplement may also add, update or change information contained in this prospectus. We may also authorize one or more free writing prospectuses to be provided in connection with a specific offering. You should read this prospectus, any prospectus supplement and any free writing prospectus as well as documents incorporated or deemed to be incorporated by reference in this prospectus before you invest in any of our securities.</w:t>
      </w:r>
    </w:p>
    <w:p>
      <w:pPr>
        <w:spacing w:after="0" w:line="188"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or any selling shareholder may sell the securities independently or together with any other securities registered hereunder to or through one or more underwriters, dealers and agents, or directly to purchasers,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ADSs are listed on the NASDAQ Global Market and are traded under the ticker symbol “ICLK.”</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 See “Description of Share Capital.”</w:t>
      </w:r>
    </w:p>
    <w:p>
      <w:pPr>
        <w:spacing w:after="0" w:line="180" w:lineRule="exact"/>
        <w:rPr>
          <w:sz w:val="20"/>
          <w:szCs w:val="20"/>
          <w:color w:val="auto"/>
        </w:rPr>
      </w:pPr>
    </w:p>
    <w:p>
      <w:pPr>
        <w:ind w:right="520" w:firstLine="648"/>
        <w:spacing w:after="0" w:line="243" w:lineRule="auto"/>
        <w:rPr>
          <w:sz w:val="20"/>
          <w:szCs w:val="20"/>
          <w:color w:val="auto"/>
        </w:rPr>
      </w:pPr>
      <w:r>
        <w:rPr>
          <w:rFonts w:ascii="Arial" w:cs="Arial" w:eastAsia="Arial" w:hAnsi="Arial"/>
          <w:sz w:val="22"/>
          <w:szCs w:val="22"/>
          <w:b w:val="1"/>
          <w:bCs w:val="1"/>
          <w:color w:val="auto"/>
        </w:rPr>
        <w:t>Investing in our securities involves risks. You should read the “Risk Factors” section contained in the applicable prospectus supplement, any related free writing prospectus and the documents we incorporate by reference in this prospectus before investing in our securities.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completeness of this prospectus, including any prospectus supplement, free writing prospectus and documents incorporated by reference. Any representation to the contrary is a criminal offense.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3960"/>
              <w:spacing w:after="0"/>
              <w:rPr>
                <w:sz w:val="20"/>
                <w:szCs w:val="20"/>
                <w:color w:val="auto"/>
              </w:rPr>
            </w:pPr>
            <w:r>
              <w:rPr>
                <w:rFonts w:ascii="Arial" w:cs="Arial" w:eastAsia="Arial" w:hAnsi="Arial"/>
                <w:sz w:val="18"/>
                <w:szCs w:val="18"/>
                <w:b w:val="1"/>
                <w:bCs w:val="1"/>
                <w:color w:val="auto"/>
              </w:rPr>
              <w:t>The date of this prospectus is</w:t>
            </w:r>
          </w:p>
        </w:tc>
        <w:tc>
          <w:tcPr>
            <w:tcW w:w="4880" w:type="dxa"/>
            <w:vAlign w:val="bottom"/>
          </w:tcPr>
          <w:p>
            <w:pPr>
              <w:jc w:val="right"/>
              <w:ind w:right="3910"/>
              <w:spacing w:after="0"/>
              <w:rPr>
                <w:sz w:val="20"/>
                <w:szCs w:val="20"/>
                <w:color w:val="auto"/>
              </w:rPr>
            </w:pPr>
            <w:r>
              <w:rPr>
                <w:rFonts w:ascii="Arial" w:cs="Arial" w:eastAsia="Arial" w:hAnsi="Arial"/>
                <w:sz w:val="18"/>
                <w:szCs w:val="18"/>
                <w:b w:val="1"/>
                <w:bCs w:val="1"/>
                <w:color w:val="auto"/>
              </w:rPr>
              <w:t>, 2019.</w:t>
            </w:r>
          </w:p>
        </w:tc>
      </w:tr>
      <w:tr>
        <w:trPr>
          <w:trHeight w:val="348"/>
        </w:trPr>
        <w:tc>
          <w:tcPr>
            <w:tcW w:w="658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r>
      <w:tr>
        <w:trPr>
          <w:trHeight w:val="365"/>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18"/>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816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04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INCORPORATION OF DOCUMENTS BY REFERENCE</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9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FORWARD-LOOKING STATEMENTS</w:t>
              </w:r>
            </w:hyperlink>
          </w:p>
        </w:tc>
        <w:tc>
          <w:tcPr>
            <w:tcW w:w="1320" w:type="dxa"/>
            <w:vAlign w:val="bottom"/>
            <w:tcBorders>
              <w:top w:val="single" w:sz="8" w:color="0000EE"/>
            </w:tcBorders>
            <w:gridSpan w:val="2"/>
          </w:tcPr>
          <w:p>
            <w:pPr>
              <w:spacing w:after="0"/>
              <w:rPr>
                <w:sz w:val="17"/>
                <w:szCs w:val="17"/>
                <w:color w:val="auto"/>
              </w:rPr>
            </w:pPr>
          </w:p>
        </w:tc>
        <w:tc>
          <w:tcPr>
            <w:tcW w:w="614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OUR COMPANY</w:t>
              </w:r>
            </w:hyperlink>
          </w:p>
        </w:tc>
        <w:tc>
          <w:tcPr>
            <w:tcW w:w="9080" w:type="dxa"/>
            <w:vAlign w:val="bottom"/>
            <w:gridSpan w:val="1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RISK FACTORS</w:t>
              </w:r>
            </w:hyperlink>
          </w:p>
        </w:tc>
        <w:tc>
          <w:tcPr>
            <w:tcW w:w="914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40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DESCRIPTION OF THE SECURITIES</w:t>
              </w:r>
            </w:hyperlink>
          </w:p>
        </w:tc>
        <w:tc>
          <w:tcPr>
            <w:tcW w:w="7480" w:type="dxa"/>
            <w:vAlign w:val="bottom"/>
            <w:gridSpan w:val="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DESCRIPTION OF SHARE CAPITAL</w:t>
              </w:r>
            </w:hyperlink>
          </w:p>
        </w:tc>
        <w:tc>
          <w:tcPr>
            <w:tcW w:w="7520" w:type="dxa"/>
            <w:vAlign w:val="bottom"/>
            <w:gridSpan w:val="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3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DESCRIPTION OF AMERICAN DEPOSITARY SHARES</w:t>
              </w:r>
            </w:hyperlink>
          </w:p>
        </w:tc>
        <w:tc>
          <w:tcPr>
            <w:tcW w:w="606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40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SELLING SHAREHOLDER</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PLAN OF DISTRIBUTION</w:t>
              </w:r>
            </w:hyperlink>
          </w:p>
        </w:tc>
        <w:tc>
          <w:tcPr>
            <w:tcW w:w="60" w:type="dxa"/>
            <w:vAlign w:val="bottom"/>
            <w:tcBorders>
              <w:top w:val="single" w:sz="8" w:color="0000EE"/>
            </w:tcBorders>
          </w:tcPr>
          <w:p>
            <w:pPr>
              <w:spacing w:after="0"/>
              <w:rPr>
                <w:sz w:val="17"/>
                <w:szCs w:val="17"/>
                <w:color w:val="auto"/>
              </w:rPr>
            </w:pPr>
          </w:p>
        </w:tc>
        <w:tc>
          <w:tcPr>
            <w:tcW w:w="8280" w:type="dxa"/>
            <w:vAlign w:val="bottom"/>
            <w:gridSpan w:val="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40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TAXATION</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40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ENFORCEABILITY OF CIVIL LIABILITIES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4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698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8940" w:type="dxa"/>
            <w:vAlign w:val="bottom"/>
            <w:gridSpan w:val="1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40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 ABOUT US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Before you invest in any of our securities, you should carefully read this prospectus and any prospectus supplement, together with the additional information described in the sections entitled “Where You Can Find More Information About Us” and “Incorporation of Documents by Reference” in this prospectus.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prospectus, unless otherwise indicated or unless the context otherwise requires,</w:t>
      </w:r>
    </w:p>
    <w:p>
      <w:pPr>
        <w:spacing w:after="0" w:line="225" w:lineRule="exact"/>
        <w:rPr>
          <w:sz w:val="20"/>
          <w:szCs w:val="20"/>
          <w:color w:val="auto"/>
        </w:rPr>
      </w:pPr>
    </w:p>
    <w:p>
      <w:pPr>
        <w:ind w:left="1300" w:right="300" w:hanging="644"/>
        <w:spacing w:after="0" w:line="264"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181"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annual report only, Hong Kong, Macau and Taiwan;</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“end marketers,” or “marketers” refers to marketers that we serve, either directly or through marketing agencies, regardless if they have direct contractual relationship with us;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“enterprise solution,” was formerly referred to as our “business intelligence solution,” or “BI solution”;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225" w:lineRule="exact"/>
        <w:rPr>
          <w:rFonts w:ascii="Arial" w:cs="Arial" w:eastAsia="Arial" w:hAnsi="Arial"/>
          <w:sz w:val="18"/>
          <w:szCs w:val="18"/>
          <w:color w:val="auto"/>
        </w:rPr>
      </w:pPr>
    </w:p>
    <w:p>
      <w:pPr>
        <w:ind w:left="1300" w:hanging="644"/>
        <w:spacing w:after="0" w:line="27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(i) which are not owned by any group which owns online publishing resources, or (ii) which do not own any online publishing resources;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236" w:lineRule="exact"/>
        <w:rPr>
          <w:rFonts w:ascii="Arial" w:cs="Arial" w:eastAsia="Arial" w:hAnsi="Arial"/>
          <w:sz w:val="17"/>
          <w:szCs w:val="17"/>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“mobile marketing solution” was formerly referred to as our “mobile audience solution”;</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shares” refer to our Class A and Class B ordinary shares, par value US$0.001 per share;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marketing solution” was formerly referred as our “other solution”;</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“OTT” refers to over-the-top, a media distribution practice that allows a content provider to sell media directly to the customer over the internet;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clients” refers to entities which enter into sales contracts with us and incur spending during the relevant period;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prospectus is part of a registration statement on Form F-3 that we filed with the United States Securities and Exchange Commission, or SEC, utilizing a shelf registration process permitted under the Securities Act of 1933, as amended, or the Securities Act. By using a shelf registration statement, we or any selling shareholder may sell any of our securities from time to time and in one or more offerings. Each time we or any selling shareholder sell securities, we may provide a supplement to this prospectus that contains specific information about the securities being offered and the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You should rely only on the information contained or incorporated by reference in this prospectus, in any applicable prospectus supplement or any related free writing prospectus that we may authorize to be delivered to you.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the applicable supplement to this prospectus or in any related free writing prospectus is accurate as of its respective date,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should not create any implication that there has been no change in our affairs since such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the documents listed below:</w:t>
      </w:r>
    </w:p>
    <w:p>
      <w:pPr>
        <w:spacing w:after="0" w:line="225" w:lineRule="exact"/>
        <w:rPr>
          <w:sz w:val="20"/>
          <w:szCs w:val="20"/>
          <w:color w:val="auto"/>
        </w:rPr>
      </w:pPr>
    </w:p>
    <w:p>
      <w:pPr>
        <w:ind w:left="1260" w:hanging="604"/>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27">
        <w:r>
          <w:rPr>
            <w:rFonts w:ascii="Arial" w:cs="Arial" w:eastAsia="Arial" w:hAnsi="Arial"/>
            <w:sz w:val="17"/>
            <w:szCs w:val="17"/>
            <w:u w:val="single" w:color="auto"/>
            <w:color w:val="0000EE"/>
          </w:rPr>
          <w:t>Form 20-F</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2018 filed with the SEC on April 25, 2019, or the 2018 20-F;</w:t>
      </w:r>
    </w:p>
    <w:p>
      <w:pPr>
        <w:spacing w:after="0" w:line="236" w:lineRule="exact"/>
        <w:rPr>
          <w:rFonts w:ascii="Arial" w:cs="Arial" w:eastAsia="Arial" w:hAnsi="Arial"/>
          <w:sz w:val="17"/>
          <w:szCs w:val="17"/>
          <w:color w:val="auto"/>
        </w:rPr>
      </w:pPr>
    </w:p>
    <w:p>
      <w:pPr>
        <w:ind w:left="1300" w:hanging="644"/>
        <w:spacing w:after="0" w:line="277" w:lineRule="auto"/>
        <w:tabs>
          <w:tab w:leader="none" w:pos="1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description of the securities contained in our registration statement on </w:t>
      </w:r>
      <w:hyperlink r:id="rId2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December 1, 2017 pursuant to Section 12 of the Exchange Act, together with all amendments and reports filed for the purpose of updating that description;</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annual reports on Form 20-F filed with the SEC after the date of this prospectus and prior to the termination of the offering of the securities offered by this prospectus; and</w:t>
      </w:r>
    </w:p>
    <w:p>
      <w:pPr>
        <w:spacing w:after="0" w:line="170" w:lineRule="exact"/>
        <w:rPr>
          <w:rFonts w:ascii="Arial" w:cs="Arial" w:eastAsia="Arial" w:hAnsi="Arial"/>
          <w:sz w:val="18"/>
          <w:szCs w:val="18"/>
          <w:color w:val="auto"/>
        </w:rPr>
      </w:pPr>
    </w:p>
    <w:p>
      <w:pPr>
        <w:ind w:left="1300" w:right="560" w:hanging="644"/>
        <w:spacing w:after="0" w:line="277" w:lineRule="auto"/>
        <w:tabs>
          <w:tab w:leader="none" w:pos="1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reports on Form 6-K that we furnish to the SEC after the date of this prospectus that are identified in such reports as being incorporated by reference in this prospectus.</w:t>
      </w:r>
    </w:p>
    <w:p>
      <w:pPr>
        <w:spacing w:after="0" w:line="170" w:lineRule="exact"/>
        <w:rPr>
          <w:rFonts w:ascii="Arial" w:cs="Arial" w:eastAsia="Arial" w:hAnsi="Arial"/>
          <w:sz w:val="17"/>
          <w:szCs w:val="17"/>
          <w:color w:val="auto"/>
        </w:rPr>
      </w:pPr>
    </w:p>
    <w:p>
      <w:pPr>
        <w:ind w:right="60" w:firstLine="648"/>
        <w:spacing w:after="0" w:line="308" w:lineRule="auto"/>
        <w:rPr>
          <w:sz w:val="20"/>
          <w:szCs w:val="20"/>
          <w:color w:val="auto"/>
        </w:rPr>
      </w:pPr>
      <w:r>
        <w:rPr>
          <w:rFonts w:ascii="Arial" w:cs="Arial" w:eastAsia="Arial" w:hAnsi="Arial"/>
          <w:sz w:val="17"/>
          <w:szCs w:val="17"/>
          <w:color w:val="auto"/>
        </w:rPr>
        <w:t>Our 2018 20-F contains a description of our business and audited consolidated financial statements with a report by our independent auditors. These financial statements are prepared in accordance with accounting principles generally accepted in the United States, or U.S. GAAP.</w:t>
      </w:r>
    </w:p>
    <w:p>
      <w:pPr>
        <w:spacing w:after="0" w:line="147" w:lineRule="exact"/>
        <w:rPr>
          <w:rFonts w:ascii="Arial" w:cs="Arial" w:eastAsia="Arial" w:hAnsi="Arial"/>
          <w:sz w:val="17"/>
          <w:szCs w:val="17"/>
          <w:color w:val="auto"/>
        </w:rPr>
      </w:pPr>
    </w:p>
    <w:p>
      <w:pPr>
        <w:ind w:right="40" w:firstLine="648"/>
        <w:spacing w:after="0" w:line="276" w:lineRule="auto"/>
        <w:rPr>
          <w:sz w:val="20"/>
          <w:szCs w:val="20"/>
          <w:color w:val="auto"/>
        </w:rPr>
      </w:pPr>
      <w:r>
        <w:rPr>
          <w:rFonts w:ascii="Arial" w:cs="Arial" w:eastAsia="Arial" w:hAnsi="Arial"/>
          <w:sz w:val="17"/>
          <w:szCs w:val="17"/>
          <w:color w:val="auto"/>
        </w:rPr>
        <w:t>Unless expressly incorporated by reference, nothing in this prospectus shall be deemed to incorporate by reference information furnished to, but not filed with, the SEC. We will provide to you, upon your written or oral request, without charge, a copy of any or all of the documents we refer to above which we have incorporated in this prospectus by reference, other than exhibits to those documents unless such exhibits are specifically incorporated by reference in the documents. You should direct your requests to our principal executive office located at 15/F Prosperity Millennia Plaza, 663 King’s Road, Quarry Bay, Hong Kong S.A.R., People’s Republic of China. Our telephone number at this address is +852 3700 9000.</w:t>
      </w:r>
    </w:p>
    <w:p>
      <w:pPr>
        <w:spacing w:after="0" w:line="173"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This prospectus, any accompanying prospectus supplement and related free writing prospectus, and the information incorporated by reference herein and therein may contain “forward-looking statements” within the meaning of, and intended to qualify for the safe harbor from liability established by, the United States Private Securities Litigation Reform Act of 1995. These statements, which are not statements of historical fact, may contain estimates, assumptions, projections and/or expectations regarding future events, which may or may not occur. These statements involve known and unknown risks, uncertainties and other factors which may cause our actual results, performance or achievements to be materially different from those expressed or implied by the forward-looking statements. In some cases, you can identify these forward-looking statements by words or phrases such as “may,” “will,” “expect,” “anticipate,” “aim,” “estimate,” “intend,” “plan,” “believe,” “is/are likely to,” “potential,” “continue,” or similar expressions, including their negatives. We have based these forward looking statements largely on our current expectations and projections about future events and financial trends that we believe may affect our financial condition, results of operations, business strategy and financial needs. These forward-looking statements include:</w:t>
      </w:r>
    </w:p>
    <w:p>
      <w:pPr>
        <w:spacing w:after="0" w:line="167" w:lineRule="exact"/>
        <w:rPr>
          <w:sz w:val="20"/>
          <w:szCs w:val="20"/>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implementing our mobile and new retail strategies;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 including online marketing technology and enterprise solutions;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clients and other marketers and marketing agencies;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integrate and realize synergies from acquisitions and investments;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You should read thoroughly this prospectus, any accompanying prospectus supplement and the documents that we reference in this prospectus and any applicable prospectus supplement with the understanding that our actual future results may be materially different from and worse than what we expect. We qualify all of our forward-looking statements by these cautionary statements.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any projections, assumptions and estimates of our future performance and the future performance of the industry in which we operate is necessarily subject to a high degree of uncertainty and risk due to a variety of factors, including those discussed under the heading “Risk Factors” included in the applicable prospectus supplement or under similar headings in other documents which are incorporated by reference in this prospectus. You should not place undue reliance on these forward-looking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forward-looking statements and any related statements made in this prospectus and the documents incorporated by reference are made as of the date of the respective documents. The forward-looking statements obtained from third-party studies or reports are made as of the date of the corresponding study or report. We undertake no obligation, beyond that required by law, to update any forward-looking statement to reflect events or circumstances after the date on which the statement is made, even though circumstances may change in the future.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380" w:firstLine="648"/>
        <w:spacing w:after="0" w:line="297" w:lineRule="auto"/>
        <w:rPr>
          <w:sz w:val="20"/>
          <w:szCs w:val="20"/>
          <w:color w:val="auto"/>
        </w:rPr>
      </w:pPr>
      <w:r>
        <w:rPr>
          <w:rFonts w:ascii="Arial" w:cs="Arial" w:eastAsia="Arial" w:hAnsi="Arial"/>
          <w:sz w:val="16"/>
          <w:szCs w:val="16"/>
          <w:color w:val="auto"/>
        </w:rPr>
        <w:t>We are a leading independent online marketing and data technology platform in China. 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 We offer both mobile marketing solutions and other marketing solutions based on channels desired by our clients.</w:t>
      </w:r>
    </w:p>
    <w:p>
      <w:pPr>
        <w:spacing w:after="0" w:line="1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Leveraging our data analytics and experience and expertise in online marketing, in May 2018, we launched a strategic growth initiative beyond our core online marketing operation to provide SaaS-based enterprise solutions to help enterprise improve decision-making, operational and marketing efficiency. Our data-driven enterprise solutions help organizations maximize the value of their data to gain actionable insights to improve customer relationship management, decision-making and establishment of data-management platform. Through the enterprise solutions, we are able to foster deeper relationship with clients beyond digital marketing. In addition, as our clients increasingly adopt our enterprise solutions, we are able to continue to enhance the quantity, quality, and diversity of our data assets and refine our data analytics.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our online marketing solutions, we generate revenue primarily from clients’ marketing spend through our platform as they utilize our solutions in cost-plus and specified action marketing campaigns, and to a less extent from incentives granted by the publisher under our sales agency arrangement. For our enterprise solutions, we generate revenue primarily from the upfront and on-going subscription fees client pays, which was at a minimal level in 2018.</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Investing in our securities involves risk. You should carefully consider the risk factors and uncertainties described under the heading “Item 3. Key Information—D. Risk Factors” in our most recent annual report on Form 20-F, which is incorporated in this prospectus by reference, as updated by our subsequent filings under the Securities Exchange Act of 1934, as amended, or the Exchange Act, and any risk factors and other information described in the applicable prospectus supplement or relevant free writing prospectus before acquiring any of our securities. These risks and uncertainties could materially affect our business, results of operations or financial condition and cause the value of our securities to decline.</w:t>
      </w:r>
    </w:p>
    <w:p>
      <w:pPr>
        <w:spacing w:after="0" w:line="1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we plan to use the net proceeds from the sale of the securities for general corporate purposes. We will not receive proceeds from sales of securities by persons other than us except as may otherwise be stated in any applicable prospectus supplement.</w:t>
      </w:r>
    </w:p>
    <w:p>
      <w:pPr>
        <w:spacing w:after="0" w:line="18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240" w:top="125" w:right="7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25" w:lineRule="exact"/>
        <w:rPr>
          <w:sz w:val="20"/>
          <w:szCs w:val="20"/>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ordinary shares, including Class A ordinary shares represented by ADSs;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securities;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will set forth in the applicable prospectus supplement a description of the preferred shares, debt securities and warrants, and, in certain cases, the Class A ordinary shares (including Class A ordinary shares represented by ADSs) that may be offered under this prospectus. The terms of the offering of securities, the initial offering price and the net proceeds to us will be contained in the prospectus supplement, and other offering material, relating to such offer. The supplement may also add, update or change information contained in this prospectus. You should carefully read this prospectus and any supplement before you invest in any of our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Law (2018 Revision) of the Cayman Islands, which we refer to as the Companies Law below, and the common law of the Cayman Islands.</w:t>
      </w:r>
    </w:p>
    <w:p>
      <w:pPr>
        <w:spacing w:after="0" w:line="1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the date of this prospectus, we are authorized to issue 100,000,000 shares, which consist of 80,000,000 Class A ordinary shares and 20,000,000 Class B ordinary shares, with a par value of US$0.001 each. As of the date of this prospectus, there are 30,382,551 ordinary shares issued and outstanding, par value US$0.001 per share, being the sum of (i) 25,561,943 Class A ordinary shares, of which 1,555,760 Class A ordinary shares are held by Arda Holding Limited underlying the options granted but not yet exercised (whether or not they are vested) and the options reserved for issuance under our 2018 share incentive plan, and 309,816 Class A ordinary shares are held by JPMorgan Chase Bank N.A., our depositary, underlying the unvested restricted Class A ordinary share units under our post-IPO share incentive plan, and (ii) 4,820,608 Class B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229"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Law (2018 Revision) insofar as they relate to the material terms of our ordinary shares. You should read our current memorandum and articles of association, which was filed as an exhibit to our 2018 Form 20F filed on April 25, 2019. For information on how to obtain copies of our current memorandum and articles of association, see “Where You Can Find More Information About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Our ordinary shares are issued in registered form and are issued when registered in our register of members. Our shareholders who are non-residents of the Cayman Islands may freely hold and vote their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 of Members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Cayman Islands law, we must keep a register of members and there should be entered therein:</w:t>
      </w:r>
    </w:p>
    <w:p>
      <w:pPr>
        <w:spacing w:after="0" w:line="225" w:lineRule="exact"/>
        <w:rPr>
          <w:sz w:val="20"/>
          <w:szCs w:val="20"/>
          <w:color w:val="auto"/>
        </w:rPr>
      </w:pPr>
    </w:p>
    <w:p>
      <w:pPr>
        <w:ind w:left="980" w:right="160" w:hanging="324"/>
        <w:spacing w:after="0" w:line="277" w:lineRule="auto"/>
        <w:tabs>
          <w:tab w:leader="none" w:pos="9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689"/>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current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Class B ordinary shares are convertible into Class A ordinary shares. All Class B ordinary shares are subject to automatic conversion 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70" w:lineRule="exact"/>
        <w:rPr>
          <w:sz w:val="20"/>
          <w:szCs w:val="20"/>
          <w:color w:val="auto"/>
        </w:rPr>
      </w:pPr>
    </w:p>
    <w:p>
      <w:pPr>
        <w:ind w:left="1060" w:right="20" w:hanging="404"/>
        <w:spacing w:after="0" w:line="277" w:lineRule="auto"/>
        <w:tabs>
          <w:tab w:leader="none" w:pos="10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248" w:lineRule="exact"/>
        <w:rPr>
          <w:rFonts w:ascii="Arial" w:cs="Arial" w:eastAsia="Arial" w:hAnsi="Arial"/>
          <w:sz w:val="16"/>
          <w:szCs w:val="16"/>
          <w:color w:val="auto"/>
        </w:rPr>
      </w:pPr>
    </w:p>
    <w:p>
      <w:pPr>
        <w:ind w:left="1060" w:right="60" w:hanging="404"/>
        <w:spacing w:after="0" w:line="277" w:lineRule="auto"/>
        <w:tabs>
          <w:tab w:leader="none" w:pos="10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Calls on Shares and Forfeiture of Shares</w:t>
      </w:r>
    </w:p>
    <w:p>
      <w:pPr>
        <w:spacing w:after="0" w:line="225"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Repurchase and Surrender of Ordinary Shares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current amended and restated memorandum and articles of association authorizes our board of directors to issue additional ordinary shares from time to time as our board of directors shall determine, to the extent of available authorized but unissued shares.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Our current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124"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Holders of our ordinary shares will have no general right under Cayman Islands law to inspect or obtain copies of our list of shareholders or our corporate records. However, we will provide our shareholders with annual audited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Some provisions of our current amended and restated memorandum and articles of association may discourage, delay or prevent a change of control of our company or management that shareholders may consider favorable, including provisions that:</w:t>
      </w:r>
    </w:p>
    <w:p>
      <w:pPr>
        <w:spacing w:after="0" w:line="170" w:lineRule="exact"/>
        <w:rPr>
          <w:sz w:val="20"/>
          <w:szCs w:val="20"/>
          <w:color w:val="auto"/>
        </w:rPr>
      </w:pPr>
    </w:p>
    <w:p>
      <w:pPr>
        <w:ind w:left="980" w:right="34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current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Meetings of Shareholders and Shareholder Proposals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shareholders’ general meetings may be held in such place within or outside the Cayman Islands as our board of directors considers appropriate.</w:t>
      </w:r>
    </w:p>
    <w:p>
      <w:pPr>
        <w:spacing w:after="0" w:line="248"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current amended and restated memorandum and articles of association provide that we shall in each year hold a general meeting as our annual general meeting.</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Exempted Company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7"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Companies Law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6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78" w:lineRule="exact"/>
        <w:rPr>
          <w:sz w:val="20"/>
          <w:szCs w:val="20"/>
          <w:color w:val="auto"/>
        </w:rPr>
      </w:pPr>
    </w:p>
    <w:p>
      <w:pPr>
        <w:ind w:left="1060" w:hanging="287"/>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25" w:lineRule="exact"/>
        <w:rPr>
          <w:rFonts w:ascii="Arial" w:cs="Arial" w:eastAsia="Arial" w:hAnsi="Arial"/>
          <w:sz w:val="18"/>
          <w:szCs w:val="18"/>
          <w:color w:val="auto"/>
        </w:rPr>
      </w:pPr>
    </w:p>
    <w:p>
      <w:pPr>
        <w:ind w:left="1100" w:right="100" w:hanging="327"/>
        <w:spacing w:after="0" w:line="277" w:lineRule="auto"/>
        <w:tabs>
          <w:tab w:leader="none" w:pos="10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70" w:lineRule="exact"/>
        <w:rPr>
          <w:rFonts w:ascii="Arial" w:cs="Arial" w:eastAsia="Arial" w:hAnsi="Arial"/>
          <w:sz w:val="18"/>
          <w:szCs w:val="18"/>
          <w:color w:val="auto"/>
        </w:rPr>
      </w:pPr>
    </w:p>
    <w:p>
      <w:pPr>
        <w:ind w:left="1060" w:hanging="287"/>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48" w:lineRule="exact"/>
        <w:rPr>
          <w:rFonts w:ascii="Arial" w:cs="Arial" w:eastAsia="Arial" w:hAnsi="Arial"/>
          <w:sz w:val="16"/>
          <w:szCs w:val="16"/>
          <w:color w:val="auto"/>
        </w:rPr>
      </w:pPr>
    </w:p>
    <w:p>
      <w:pPr>
        <w:ind w:left="1060" w:hanging="287"/>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When a takeover offer is made and accepted by holders of 90% of the shares affected within four months, the offeror may, within a two-</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9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principle, we will normally be the proper plaintiff to sue for a wrong done to us as a company and a derivative action may 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188" w:lineRule="exact"/>
        <w:rPr>
          <w:sz w:val="20"/>
          <w:szCs w:val="20"/>
          <w:color w:val="auto"/>
        </w:rPr>
      </w:pPr>
    </w:p>
    <w:p>
      <w:pPr>
        <w:ind w:left="5620" w:right="2580" w:hanging="5288"/>
        <w:spacing w:after="0" w:line="528"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act which requires a resolution with a qualified (or special) majority (i.e. more than a simple majority) which has not been obtained.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225"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color w:val="auto"/>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w:t>
      </w:r>
      <w:r>
        <w:rPr>
          <w:rFonts w:ascii="Arial" w:cs="Arial" w:eastAsia="Arial" w:hAnsi="Arial"/>
          <w:sz w:val="17"/>
          <w:szCs w:val="17"/>
          <w:color w:val="auto"/>
        </w:rPr>
        <w:t>current</w:t>
      </w:r>
      <w:r>
        <w:rPr>
          <w:rFonts w:ascii="Arial" w:cs="Arial" w:eastAsia="Arial" w:hAnsi="Arial"/>
          <w:sz w:val="18"/>
          <w:szCs w:val="18"/>
          <w:color w:val="auto"/>
        </w:rPr>
        <w:t xml:space="preserve">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9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In addition, we will enter into indemnification agreements with our directors and executive officers that provide such persons with additional indemnification beyond that provided in our </w:t>
      </w:r>
      <w:r>
        <w:rPr>
          <w:rFonts w:ascii="Arial" w:cs="Arial" w:eastAsia="Arial" w:hAnsi="Arial"/>
          <w:sz w:val="17"/>
          <w:szCs w:val="17"/>
          <w:color w:val="auto"/>
        </w:rPr>
        <w:t>current</w:t>
      </w:r>
      <w:r>
        <w:rPr>
          <w:rFonts w:ascii="Arial" w:cs="Arial" w:eastAsia="Arial" w:hAnsi="Arial"/>
          <w:sz w:val="18"/>
          <w:szCs w:val="18"/>
          <w:color w:val="auto"/>
        </w:rPr>
        <w:t xml:space="preserve"> amended and restated memorandum and articles of association.</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Delaware General Corporation Law, a corporation may eliminate the right of shareholders to act by written consent by amendment to its certificate of incorporation. Cayman Islands law and our current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 amended and restated articles of association do not provide for cumulative voting. As a result, our shareholders are not afforded any less protections or rights on this issue than shareholders of a Delaware 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current amended and restated articles of association, directors may be removed with or without cause, by an ordinary resolution of our shareholders with or without cause or by our directors for cause.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Winding up</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current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current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 Under Cayman Islands law, our current amended and restated memorandum and articles of association may only be amended with a special resolution of our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are no limitations imposed by our current amended and restated memorandum and articles of association on the rights of non-resident or foreign shareholders to hold or exercise voting rights on our shares. In addition, there are no provisions in our current amended and restated memorandum and articles of association governing the ownership threshold above which shareholder ownership must be disclosed.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229"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depositary’s office is located at 383 Madison Avenue, Floor 11, New York, New York 10179.</w:t>
      </w:r>
    </w:p>
    <w:p>
      <w:pPr>
        <w:spacing w:after="0" w:line="225"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71"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78"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0330. You may also find the registration statement and the attached deposit agreement on the SEC’s website at http://www.sec.gov.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237" w:lineRule="exact"/>
        <w:rPr>
          <w:sz w:val="20"/>
          <w:szCs w:val="20"/>
          <w:color w:val="auto"/>
        </w:rPr>
      </w:pPr>
    </w:p>
    <w:p>
      <w:pPr>
        <w:ind w:left="780" w:right="140" w:hanging="331"/>
        <w:spacing w:after="0" w:line="288" w:lineRule="auto"/>
        <w:tabs>
          <w:tab w:leader="none" w:pos="744"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The depositary will distribute any U.S. dollars available to it resulting from a cash dividend or other cash distribution or the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w:t>
      </w:r>
    </w:p>
    <w:p>
      <w:pPr>
        <w:ind w:left="780" w:hanging="7"/>
        <w:spacing w:after="0" w:line="270" w:lineRule="auto"/>
        <w:tabs>
          <w:tab w:leader="none" w:pos="1095"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178" w:lineRule="exact"/>
        <w:rPr>
          <w:rFonts w:ascii="Arial" w:cs="Arial" w:eastAsia="Arial" w:hAnsi="Arial"/>
          <w:sz w:val="17"/>
          <w:szCs w:val="17"/>
          <w:color w:val="auto"/>
        </w:rPr>
      </w:pPr>
    </w:p>
    <w:p>
      <w:pPr>
        <w:ind w:left="780" w:right="80" w:hanging="331"/>
        <w:spacing w:after="0" w:line="264" w:lineRule="auto"/>
        <w:tabs>
          <w:tab w:leader="none" w:pos="7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Only whole ADSs will be issued. Any shares which would result in fractional ADSs will be sold and the net proceeds will be distributed in the same manner as cash to the ADR holders entitled thereto.</w:t>
      </w:r>
    </w:p>
    <w:p>
      <w:pPr>
        <w:spacing w:after="0" w:line="181" w:lineRule="exact"/>
        <w:rPr>
          <w:rFonts w:ascii="Arial" w:cs="Arial" w:eastAsia="Arial" w:hAnsi="Arial"/>
          <w:sz w:val="18"/>
          <w:szCs w:val="18"/>
          <w:color w:val="auto"/>
        </w:rPr>
      </w:pPr>
    </w:p>
    <w:p>
      <w:pPr>
        <w:ind w:left="780" w:right="60" w:hanging="331"/>
        <w:spacing w:after="0" w:line="286" w:lineRule="auto"/>
        <w:tabs>
          <w:tab w:leader="none" w:pos="744"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Rights to receive additional shares</w:t>
      </w:r>
      <w:r>
        <w:rPr>
          <w:rFonts w:ascii="Arial" w:cs="Arial" w:eastAsia="Arial" w:hAnsi="Arial"/>
          <w:sz w:val="17"/>
          <w:szCs w:val="17"/>
          <w:color w:val="auto"/>
        </w:rPr>
        <w:t>. In the case of a distribution of rights to subscribe for additional shares or other rights, if we timely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65" w:lineRule="exact"/>
        <w:rPr>
          <w:rFonts w:ascii="Arial" w:cs="Arial" w:eastAsia="Arial" w:hAnsi="Arial"/>
          <w:sz w:val="17"/>
          <w:szCs w:val="17"/>
          <w:color w:val="auto"/>
        </w:rPr>
      </w:pPr>
    </w:p>
    <w:p>
      <w:pPr>
        <w:ind w:left="1120" w:hanging="347"/>
        <w:spacing w:after="0"/>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sell such rights if practicable and distribute the net proceeds in the same manner as cash to the ADR holders entitled thereto; or</w:t>
      </w:r>
    </w:p>
    <w:p>
      <w:pPr>
        <w:spacing w:after="0" w:line="225" w:lineRule="exact"/>
        <w:rPr>
          <w:rFonts w:ascii="Arial" w:cs="Arial" w:eastAsia="Arial" w:hAnsi="Arial"/>
          <w:sz w:val="18"/>
          <w:szCs w:val="18"/>
          <w:color w:val="auto"/>
        </w:rPr>
      </w:pPr>
    </w:p>
    <w:p>
      <w:pPr>
        <w:ind w:left="1100" w:right="420" w:hanging="327"/>
        <w:spacing w:after="0" w:line="342" w:lineRule="auto"/>
        <w:tabs>
          <w:tab w:leader="none" w:pos="1131"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23" w:lineRule="exact"/>
        <w:rPr>
          <w:rFonts w:ascii="Arial" w:cs="Arial" w:eastAsia="Arial" w:hAnsi="Arial"/>
          <w:sz w:val="16"/>
          <w:szCs w:val="16"/>
          <w:color w:val="auto"/>
        </w:rPr>
      </w:pPr>
    </w:p>
    <w:p>
      <w:pPr>
        <w:ind w:left="780" w:hanging="331"/>
        <w:spacing w:after="0" w:line="312" w:lineRule="auto"/>
        <w:tabs>
          <w:tab w:leader="none" w:pos="744"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Other Distributions</w:t>
      </w:r>
      <w:r>
        <w:rPr>
          <w:rFonts w:ascii="Arial" w:cs="Arial" w:eastAsia="Arial" w:hAnsi="Arial"/>
          <w:sz w:val="16"/>
          <w:szCs w:val="16"/>
          <w:color w:val="auto"/>
        </w:rPr>
        <w:t>. In the case of a distribution of securities or property other than those described above, the depositary may either (i) distribute</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4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8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225"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1"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24"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7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22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225" w:lineRule="exact"/>
        <w:rPr>
          <w:sz w:val="20"/>
          <w:szCs w:val="20"/>
          <w:color w:val="auto"/>
        </w:rPr>
      </w:pPr>
    </w:p>
    <w:p>
      <w:pPr>
        <w:ind w:left="1100" w:right="660" w:hanging="327"/>
        <w:spacing w:after="0" w:line="277" w:lineRule="auto"/>
        <w:tabs>
          <w:tab w:leader="none" w:pos="10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170" w:lineRule="exact"/>
        <w:rPr>
          <w:rFonts w:ascii="Arial" w:cs="Arial" w:eastAsia="Arial" w:hAnsi="Arial"/>
          <w:sz w:val="18"/>
          <w:szCs w:val="18"/>
          <w:color w:val="auto"/>
        </w:rPr>
      </w:pPr>
    </w:p>
    <w:p>
      <w:pPr>
        <w:ind w:left="1060" w:hanging="287"/>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225" w:lineRule="exact"/>
        <w:rPr>
          <w:rFonts w:ascii="Arial" w:cs="Arial" w:eastAsia="Arial" w:hAnsi="Arial"/>
          <w:sz w:val="18"/>
          <w:szCs w:val="18"/>
          <w:color w:val="auto"/>
        </w:rPr>
      </w:pPr>
    </w:p>
    <w:p>
      <w:pPr>
        <w:ind w:left="5620" w:right="540" w:hanging="4847"/>
        <w:spacing w:after="0" w:line="528" w:lineRule="auto"/>
        <w:tabs>
          <w:tab w:leader="none" w:pos="10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any U.S. or foreign laws or governmental regulations relating to the ADRs or to the withdrawal of deposited securities.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229"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124" w:lineRule="exact"/>
        <w:rPr>
          <w:sz w:val="20"/>
          <w:szCs w:val="20"/>
          <w:color w:val="auto"/>
        </w:rPr>
      </w:pPr>
    </w:p>
    <w:p>
      <w:pPr>
        <w:ind w:left="1060" w:hanging="287"/>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236" w:lineRule="exact"/>
        <w:rPr>
          <w:rFonts w:ascii="Arial" w:cs="Arial" w:eastAsia="Arial" w:hAnsi="Arial"/>
          <w:sz w:val="17"/>
          <w:szCs w:val="17"/>
          <w:color w:val="auto"/>
        </w:rPr>
      </w:pPr>
    </w:p>
    <w:p>
      <w:pPr>
        <w:ind w:left="1060" w:hanging="287"/>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subject to the provisions of the deposit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25"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w:t>
      </w:r>
    </w:p>
    <w:p>
      <w:pPr>
        <w:spacing w:after="0" w:line="4" w:lineRule="exact"/>
        <w:rPr>
          <w:sz w:val="20"/>
          <w:szCs w:val="20"/>
          <w:color w:val="auto"/>
        </w:rPr>
      </w:pPr>
    </w:p>
    <w:p>
      <w:pPr>
        <w:ind w:firstLine="8"/>
        <w:spacing w:after="0" w:line="252"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94"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78"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22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78"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81" w:lineRule="exact"/>
        <w:rPr>
          <w:sz w:val="20"/>
          <w:szCs w:val="20"/>
          <w:color w:val="auto"/>
        </w:rPr>
      </w:pPr>
    </w:p>
    <w:p>
      <w:pPr>
        <w:ind w:left="740" w:hanging="291"/>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225" w:lineRule="exact"/>
        <w:rPr>
          <w:rFonts w:ascii="Arial" w:cs="Arial" w:eastAsia="Arial" w:hAnsi="Arial"/>
          <w:sz w:val="18"/>
          <w:szCs w:val="18"/>
          <w:color w:val="auto"/>
        </w:rPr>
      </w:pPr>
    </w:p>
    <w:p>
      <w:pPr>
        <w:ind w:left="740" w:hanging="291"/>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225" w:lineRule="exact"/>
        <w:rPr>
          <w:rFonts w:ascii="Arial" w:cs="Arial" w:eastAsia="Arial" w:hAnsi="Arial"/>
          <w:sz w:val="18"/>
          <w:szCs w:val="18"/>
          <w:color w:val="auto"/>
        </w:rPr>
      </w:pPr>
    </w:p>
    <w:p>
      <w:pPr>
        <w:ind w:left="780" w:right="40" w:hanging="331"/>
        <w:spacing w:after="0" w:line="312" w:lineRule="auto"/>
        <w:tabs>
          <w:tab w:leader="none" w:pos="7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80" w:right="40" w:hanging="331"/>
        <w:spacing w:after="0" w:line="272" w:lineRule="auto"/>
        <w:tabs>
          <w:tab w:leader="none" w:pos="74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77" w:lineRule="exact"/>
        <w:rPr>
          <w:rFonts w:ascii="Arial" w:cs="Arial" w:eastAsia="Arial" w:hAnsi="Arial"/>
          <w:sz w:val="17"/>
          <w:szCs w:val="17"/>
          <w:color w:val="auto"/>
        </w:rPr>
      </w:pPr>
    </w:p>
    <w:p>
      <w:pPr>
        <w:ind w:left="780" w:right="20" w:hanging="331"/>
        <w:spacing w:after="0" w:line="259" w:lineRule="auto"/>
        <w:tabs>
          <w:tab w:leader="none" w:pos="7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186" w:lineRule="exact"/>
        <w:rPr>
          <w:rFonts w:ascii="Arial" w:cs="Arial" w:eastAsia="Arial" w:hAnsi="Arial"/>
          <w:sz w:val="18"/>
          <w:szCs w:val="18"/>
          <w:color w:val="auto"/>
        </w:rPr>
      </w:pPr>
    </w:p>
    <w:p>
      <w:pPr>
        <w:ind w:left="740" w:hanging="291"/>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225" w:lineRule="exact"/>
        <w:rPr>
          <w:rFonts w:ascii="Arial" w:cs="Arial" w:eastAsia="Arial" w:hAnsi="Arial"/>
          <w:sz w:val="18"/>
          <w:szCs w:val="18"/>
          <w:color w:val="auto"/>
        </w:rPr>
      </w:pPr>
    </w:p>
    <w:p>
      <w:pPr>
        <w:ind w:left="780" w:right="120" w:hanging="331"/>
        <w:spacing w:after="0" w:line="277" w:lineRule="auto"/>
        <w:tabs>
          <w:tab w:leader="none" w:pos="7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170" w:lineRule="exact"/>
        <w:rPr>
          <w:rFonts w:ascii="Arial" w:cs="Arial" w:eastAsia="Arial" w:hAnsi="Arial"/>
          <w:sz w:val="18"/>
          <w:szCs w:val="18"/>
          <w:color w:val="auto"/>
        </w:rPr>
      </w:pPr>
    </w:p>
    <w:p>
      <w:pPr>
        <w:ind w:left="780" w:right="580" w:hanging="331"/>
        <w:spacing w:after="0" w:line="277" w:lineRule="auto"/>
        <w:tabs>
          <w:tab w:leader="none" w:pos="7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170" w:lineRule="exact"/>
        <w:rPr>
          <w:rFonts w:ascii="Arial" w:cs="Arial" w:eastAsia="Arial" w:hAnsi="Arial"/>
          <w:sz w:val="18"/>
          <w:szCs w:val="18"/>
          <w:color w:val="auto"/>
        </w:rPr>
      </w:pPr>
    </w:p>
    <w:p>
      <w:pPr>
        <w:ind w:left="780" w:hanging="331"/>
        <w:spacing w:after="0" w:line="264" w:lineRule="auto"/>
        <w:tabs>
          <w:tab w:leader="none" w:pos="7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JPMorgan and/or its agent may act as principal for such conversion of foreign currency. For further details see https://www.adr.com.</w:t>
      </w:r>
    </w:p>
    <w:p>
      <w:pPr>
        <w:spacing w:after="0" w:line="225"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24"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29"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75"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22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187" w:lineRule="exact"/>
        <w:rPr>
          <w:sz w:val="20"/>
          <w:szCs w:val="20"/>
          <w:color w:val="auto"/>
        </w:rPr>
      </w:pPr>
    </w:p>
    <w:p>
      <w:pPr>
        <w:ind w:left="800" w:hanging="35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225" w:lineRule="exact"/>
        <w:rPr>
          <w:rFonts w:ascii="Arial" w:cs="Arial" w:eastAsia="Arial" w:hAnsi="Arial"/>
          <w:sz w:val="18"/>
          <w:szCs w:val="18"/>
          <w:color w:val="auto"/>
        </w:rPr>
      </w:pPr>
    </w:p>
    <w:p>
      <w:pPr>
        <w:ind w:left="800" w:hanging="35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225" w:lineRule="exact"/>
        <w:rPr>
          <w:rFonts w:ascii="Arial" w:cs="Arial" w:eastAsia="Arial" w:hAnsi="Arial"/>
          <w:sz w:val="18"/>
          <w:szCs w:val="18"/>
          <w:color w:val="auto"/>
        </w:rPr>
      </w:pPr>
    </w:p>
    <w:p>
      <w:pPr>
        <w:ind w:left="800" w:hanging="35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225" w:lineRule="exact"/>
        <w:rPr>
          <w:rFonts w:ascii="Arial" w:cs="Arial" w:eastAsia="Arial" w:hAnsi="Arial"/>
          <w:sz w:val="18"/>
          <w:szCs w:val="18"/>
          <w:color w:val="auto"/>
        </w:rPr>
      </w:pPr>
    </w:p>
    <w:p>
      <w:pPr>
        <w:ind w:left="800" w:hanging="35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225" w:lineRule="exact"/>
        <w:rPr>
          <w:rFonts w:ascii="Arial" w:cs="Arial" w:eastAsia="Arial" w:hAnsi="Arial"/>
          <w:sz w:val="18"/>
          <w:szCs w:val="18"/>
          <w:color w:val="auto"/>
        </w:rPr>
      </w:pPr>
    </w:p>
    <w:p>
      <w:pPr>
        <w:ind w:left="800" w:hanging="35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right="220" w:firstLine="441"/>
        <w:spacing w:after="0" w:line="291"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w:t>
      </w:r>
    </w:p>
    <w:p>
      <w:pPr>
        <w:ind w:right="20" w:firstLine="8"/>
        <w:spacing w:after="0" w:line="281" w:lineRule="auto"/>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w:t>
      </w:r>
    </w:p>
    <w:p>
      <w:pPr>
        <w:spacing w:after="0" w:line="4" w:lineRule="exact"/>
        <w:rPr>
          <w:rFonts w:ascii="Arial" w:cs="Arial" w:eastAsia="Arial" w:hAnsi="Arial"/>
          <w:sz w:val="16"/>
          <w:szCs w:val="16"/>
          <w:color w:val="auto"/>
        </w:rPr>
      </w:pPr>
    </w:p>
    <w:p>
      <w:pPr>
        <w:ind w:firstLine="8"/>
        <w:spacing w:after="0" w:line="281" w:lineRule="auto"/>
        <w:tabs>
          <w:tab w:leader="none" w:pos="3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w:t>
      </w:r>
    </w:p>
    <w:p>
      <w:pPr>
        <w:spacing w:after="0" w:line="4" w:lineRule="exact"/>
        <w:rPr>
          <w:rFonts w:ascii="Arial" w:cs="Arial" w:eastAsia="Arial" w:hAnsi="Arial"/>
          <w:sz w:val="16"/>
          <w:szCs w:val="16"/>
          <w:color w:val="auto"/>
        </w:rPr>
      </w:pPr>
    </w:p>
    <w:p>
      <w:pPr>
        <w:ind w:right="80"/>
        <w:spacing w:after="0" w:line="252" w:lineRule="auto"/>
        <w:rPr>
          <w:rFonts w:ascii="Arial" w:cs="Arial" w:eastAsia="Arial" w:hAnsi="Arial"/>
          <w:sz w:val="16"/>
          <w:szCs w:val="16"/>
          <w:color w:val="auto"/>
        </w:rPr>
      </w:pPr>
      <w:r>
        <w:rPr>
          <w:rFonts w:ascii="Arial" w:cs="Arial" w:eastAsia="Arial" w:hAnsi="Arial"/>
          <w:sz w:val="18"/>
          <w:szCs w:val="18"/>
          <w:color w:val="auto"/>
        </w:rPr>
        <w:t>(b) 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225"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147" w:lineRule="exact"/>
        <w:rPr>
          <w:sz w:val="20"/>
          <w:szCs w:val="20"/>
          <w:color w:val="auto"/>
        </w:rPr>
      </w:pPr>
    </w:p>
    <w:p>
      <w:pPr>
        <w:ind w:left="780" w:right="160" w:hanging="331"/>
        <w:spacing w:after="0" w:line="264" w:lineRule="auto"/>
        <w:tabs>
          <w:tab w:leader="none" w:pos="7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181" w:lineRule="exact"/>
        <w:rPr>
          <w:rFonts w:ascii="Arial" w:cs="Arial" w:eastAsia="Arial" w:hAnsi="Arial"/>
          <w:sz w:val="18"/>
          <w:szCs w:val="18"/>
          <w:color w:val="auto"/>
        </w:rPr>
      </w:pPr>
    </w:p>
    <w:p>
      <w:pPr>
        <w:ind w:left="780" w:hanging="331"/>
        <w:spacing w:after="0" w:line="259" w:lineRule="auto"/>
        <w:tabs>
          <w:tab w:leader="none" w:pos="7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186" w:lineRule="exact"/>
        <w:rPr>
          <w:rFonts w:ascii="Arial" w:cs="Arial" w:eastAsia="Arial" w:hAnsi="Arial"/>
          <w:sz w:val="18"/>
          <w:szCs w:val="18"/>
          <w:color w:val="auto"/>
        </w:rPr>
      </w:pPr>
    </w:p>
    <w:p>
      <w:pPr>
        <w:ind w:left="740" w:hanging="291"/>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ind w:right="180" w:firstLine="8"/>
        <w:spacing w:after="0" w:line="255"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181" w:lineRule="exact"/>
        <w:rPr>
          <w:sz w:val="20"/>
          <w:szCs w:val="20"/>
          <w:color w:val="auto"/>
        </w:rPr>
      </w:pPr>
    </w:p>
    <w:p>
      <w:pPr>
        <w:ind w:left="780" w:right="60" w:hanging="331"/>
        <w:spacing w:after="0" w:line="254" w:lineRule="auto"/>
        <w:tabs>
          <w:tab w:leader="none" w:pos="7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92" w:lineRule="exact"/>
        <w:rPr>
          <w:rFonts w:ascii="Arial" w:cs="Arial" w:eastAsia="Arial" w:hAnsi="Arial"/>
          <w:sz w:val="18"/>
          <w:szCs w:val="18"/>
          <w:color w:val="auto"/>
        </w:rPr>
      </w:pPr>
    </w:p>
    <w:p>
      <w:pPr>
        <w:ind w:left="780" w:right="180" w:hanging="331"/>
        <w:spacing w:after="0" w:line="277" w:lineRule="auto"/>
        <w:tabs>
          <w:tab w:leader="none" w:pos="7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170" w:lineRule="exact"/>
        <w:rPr>
          <w:rFonts w:ascii="Arial" w:cs="Arial" w:eastAsia="Arial" w:hAnsi="Arial"/>
          <w:sz w:val="18"/>
          <w:szCs w:val="18"/>
          <w:color w:val="auto"/>
        </w:rPr>
      </w:pPr>
    </w:p>
    <w:p>
      <w:pPr>
        <w:ind w:left="740" w:hanging="291"/>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225" w:lineRule="exact"/>
        <w:rPr>
          <w:rFonts w:ascii="Arial" w:cs="Arial" w:eastAsia="Arial" w:hAnsi="Arial"/>
          <w:sz w:val="18"/>
          <w:szCs w:val="18"/>
          <w:color w:val="auto"/>
        </w:rPr>
      </w:pPr>
    </w:p>
    <w:p>
      <w:pPr>
        <w:ind w:left="780" w:right="440" w:hanging="331"/>
        <w:spacing w:after="0" w:line="264" w:lineRule="auto"/>
        <w:tabs>
          <w:tab w:leader="none" w:pos="7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181" w:lineRule="exact"/>
        <w:rPr>
          <w:rFonts w:ascii="Arial" w:cs="Arial" w:eastAsia="Arial" w:hAnsi="Arial"/>
          <w:sz w:val="18"/>
          <w:szCs w:val="18"/>
          <w:color w:val="auto"/>
        </w:rPr>
      </w:pPr>
    </w:p>
    <w:p>
      <w:pPr>
        <w:ind w:left="780" w:right="20" w:hanging="331"/>
        <w:spacing w:after="0" w:line="277" w:lineRule="auto"/>
        <w:tabs>
          <w:tab w:leader="none" w:pos="7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Neither the depositary nor its agents have any obligation to appear in, prosecute or defend any action, suit or other proceeding in respect of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deposited securities or the ADRs. We and our agents shall only be obligated to appear in, prosecute or defend any action, suit or other proceeding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deposited securities or the ADRs, which in our opinion may involve us in expense or liability, if indemnity satisfactory to us against all expense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fees and disbursements of counsel) and liability is furnished as often as may be required. The depositary and its agents may fully respond to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all demands or requests for information maintained by or on its behalf in connection with the deposit agreement, any registered holder or holders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ADRs, any ADRs or otherwise related to the deposit agreement or ADRs to the extent such information is requested or required by or pursuant to any lawful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including without limitation laws, rules, regulations, administrative or judicial process, banking, securities or other regulators. The depositary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be liable for the acts or omissions made by, or the insolvency of, any securities depository, clearing agency or settlement system. Furthermore,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depositary shall not be responsible for, and shall incur no liability in connection with or arising from, the insolvency of any custodian that is not a branch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 of JPMorgan Chase Bank, N.A. Notwithstanding anything to the contrary contained in the deposit agreement or any ADRs, the depositary shall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responsible for, and shall incur no liability in connection with or arising from, any act or omission to act on the part of the custodian except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custodian has (i) committed fraud or willful misconduct in the provision of custodial services to the depositary or (ii) failed to use reasonable care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provision of custodial services to the depositary as determined in accordance with the standards prevailing in the jurisdiction in which the custodian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located. The depositary and the custodian(s) may use third party delivery services and providers of information regarding matters such as pricing,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voting, corporate actions, class action litigation and other services in connection with the ADRs and the deposit agreement, and use local agents to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extraordinary services such as attendance at annual meetings of issuers of securities. Although the depositary and the custodian will use reasonable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cause their agents to use reasonable care) in the selection and retention of such third party providers and local agents, they will not be responsible for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errors or omissions made by them in providing the relevant information or services. The depositary shall not have any liability for the price received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sale of securities, the timing thereof or any delay in action or omission to act nor shall it be responsible for any error or delay in 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omission to act, default or negligence on the part of the party so retained in connection with any such sale or proposed sale.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87" w:lineRule="exact"/>
        <w:rPr>
          <w:sz w:val="20"/>
          <w:szCs w:val="20"/>
          <w:color w:val="auto"/>
        </w:rPr>
      </w:pPr>
    </w:p>
    <w:p>
      <w:pPr>
        <w:ind w:right="160" w:firstLine="441"/>
        <w:spacing w:after="0" w:line="269" w:lineRule="auto"/>
        <w:rPr>
          <w:sz w:val="20"/>
          <w:szCs w:val="20"/>
          <w:color w:val="auto"/>
        </w:rPr>
      </w:pPr>
      <w:r>
        <w:rPr>
          <w:rFonts w:ascii="Arial" w:cs="Arial" w:eastAsia="Arial" w:hAnsi="Arial"/>
          <w:sz w:val="17"/>
          <w:szCs w:val="17"/>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83"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229"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229"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170" w:lineRule="exact"/>
        <w:rPr>
          <w:sz w:val="20"/>
          <w:szCs w:val="20"/>
          <w:color w:val="auto"/>
        </w:rPr>
      </w:pPr>
    </w:p>
    <w:p>
      <w:pPr>
        <w:ind w:left="740" w:hanging="291"/>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225" w:lineRule="exact"/>
        <w:rPr>
          <w:rFonts w:ascii="Arial" w:cs="Arial" w:eastAsia="Arial" w:hAnsi="Arial"/>
          <w:sz w:val="18"/>
          <w:szCs w:val="18"/>
          <w:color w:val="auto"/>
        </w:rPr>
      </w:pPr>
    </w:p>
    <w:p>
      <w:pPr>
        <w:ind w:left="780" w:hanging="331"/>
        <w:spacing w:after="0" w:line="264" w:lineRule="auto"/>
        <w:tabs>
          <w:tab w:leader="none" w:pos="7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88"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Selling shareholders to be named in a prospectus supplement may, from time to time, offer and sell up to an aggregate amount of US$75,000,000 of our Class A ordinary shares or ADSs pursuant to this prospectus and the applicable prospectus supplement. These Class A ordinary shares were originally issued in private placements prior to our initial public offering. In connection with our pre-IPO private placements, we granted registration rights to certain shareholders, including piggy-back registration rights that if we propose to register for our own account or the account of any other person any of our equity securities, we shall use our reasonable best efforts to also register their registrable securities in the registration.</w:t>
      </w:r>
    </w:p>
    <w:p>
      <w:pPr>
        <w:spacing w:after="0" w:line="15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Such selling shareholders may sell shares of our Class A ordinary shares or ADSs held by them to or through underwriters, dealers or agents or directly to purchasers or as otherwise set forth in the applicable prospectus supplement. See “Plan of Distribution.” Such selling shareholders may also sell, transfer or otherwise dispose of some or all of our Class A ordinary shares held by them in transactions exempt from the registration requirements of the Securities Act.</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will provide you with a prospectus supplement, which will set forth the name of each selling shareholder, the number of shares of our ordinary shares beneficially owned by such selling shareholder and the number of our Class A ordinary shares or ADSs they are offering.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or any selling shareholder may sell or distribute the securities offered by this prospectus, from time to time, in one or more offerings, as follows:</w:t>
      </w:r>
    </w:p>
    <w:p>
      <w:pPr>
        <w:spacing w:after="0" w:line="248" w:lineRule="exact"/>
        <w:rPr>
          <w:sz w:val="20"/>
          <w:szCs w:val="20"/>
          <w:color w:val="auto"/>
        </w:rPr>
      </w:pPr>
    </w:p>
    <w:p>
      <w:pPr>
        <w:ind w:left="1260" w:hanging="60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dealers or underwriters for resale;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shareholders. In some cases, we or any selling shareholder or any dealers acting for us or on our behalf or a selling shareholder may also repurchase the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securities distributed by any of these methods may be sold to the public, in one or more transactions, either:</w:t>
      </w:r>
    </w:p>
    <w:p>
      <w:pPr>
        <w:spacing w:after="0" w:line="225" w:lineRule="exact"/>
        <w:rPr>
          <w:sz w:val="20"/>
          <w:szCs w:val="20"/>
          <w:color w:val="auto"/>
        </w:rPr>
      </w:pPr>
    </w:p>
    <w:p>
      <w:pPr>
        <w:ind w:left="1260" w:hanging="604"/>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any offering will identify or describe:</w:t>
      </w:r>
    </w:p>
    <w:p>
      <w:pPr>
        <w:spacing w:after="0" w:line="225" w:lineRule="exact"/>
        <w:rPr>
          <w:sz w:val="20"/>
          <w:szCs w:val="20"/>
          <w:color w:val="auto"/>
        </w:rPr>
      </w:pPr>
    </w:p>
    <w:p>
      <w:pPr>
        <w:ind w:left="1260" w:hanging="604"/>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underwriter, dealers or agents;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compensation;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exchange on which the securities will be listed.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If dealers are used in the sale of the securities offered through this prospectus, we or any selling shareholder will sell the securities to them as principals, unless we otherwise indicate in the prospectus supplement. The dealers may then resell those securities to the public at varying prices determined by the dealers at the time of resale. The applicable prospectus supplement will include the names of the dealers and the terms of the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or any selling shareholder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is acting on a best efforts basis for the period of its appointment.</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or any selling shareholder may sell the securities directly to institutional investors or others who may be deemed to be underwriters within the meaning of the Securities Act with respect to any sale of those securities. The terms of any such sales will be described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Investors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we indicate in the prospectus supplement, we will authorize, underwriters, dealers or agents to solicit offers from various institutional investors to purchase securities. In this case, payment and delivery will be made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w:t>
      </w:r>
    </w:p>
    <w:p>
      <w:pPr>
        <w:spacing w:after="0" w:line="187" w:lineRule="exact"/>
        <w:rPr>
          <w:sz w:val="20"/>
          <w:szCs w:val="20"/>
          <w:color w:val="auto"/>
        </w:rPr>
      </w:pPr>
    </w:p>
    <w:p>
      <w:pPr>
        <w:ind w:left="1260" w:hanging="604"/>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companies; educational and charitable institutions;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similar institutions as we may approve.</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w:t>
      </w:r>
    </w:p>
    <w:p>
      <w:pPr>
        <w:spacing w:after="0" w:line="181" w:lineRule="exact"/>
        <w:rPr>
          <w:sz w:val="20"/>
          <w:szCs w:val="20"/>
          <w:color w:val="auto"/>
        </w:rPr>
      </w:pPr>
    </w:p>
    <w:p>
      <w:pPr>
        <w:ind w:left="1260" w:hanging="604"/>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validity of the arrangements; or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performance by us or the institutional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any selling shareholder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or any selling shareholder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of Securities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or any selling shareholder may loan or pledge securities to a financial institution or other third party that in turn may sell the securities using this prospectus and an applicable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Agents, underwriters, and dealers may be entitled, under agreements entered into with us or any selling shareholders,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7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jc w:val="both"/>
        <w:ind w:right="280" w:firstLine="441"/>
        <w:spacing w:after="0" w:line="312" w:lineRule="auto"/>
        <w:rPr>
          <w:sz w:val="20"/>
          <w:szCs w:val="20"/>
          <w:color w:val="auto"/>
        </w:rPr>
      </w:pPr>
      <w:r>
        <w:rPr>
          <w:rFonts w:ascii="Arial" w:cs="Arial" w:eastAsia="Arial" w:hAnsi="Arial"/>
          <w:sz w:val="16"/>
          <w:szCs w:val="16"/>
          <w:color w:val="auto"/>
        </w:rPr>
        <w:t>We have appointed Cogency Global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47"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71"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6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 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Except as otherwise set forth in the applicable prospectus supplement, certain legal matters in connection with the securities offered pursuant to this prospectus will be passed upon for us by Cleary Gottlieb Steen &amp; Hamilton LLP, our special United States counsel, to the extent governed by the laws of the State of New York, and by Travers Thorp Alberga, Attorneys at Law, our special legal counsel as to Cayman Islands law, to the extent governed by the laws of the Cayman Islands. Legal matters as to PRC law will be passed upon for us by Jingtian &amp; Gongcheng, our counsel as to PRC law. If legal matters in connection with offerings made pursuant to this prospectus are passed upon by counsel to underwriters, dealers or agents, such counsel will be named in the applicable prospectus supplement relating to any such offering.</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consolidated financial statements incorporated in this prospectus by reference to the annual report on Form 20-F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have been so incorporated in reliance on the report of PricewaterhouseCoopers, an independent registered public accounting firm, given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authority of said firm as experts in auditing and accounting.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We are currently subject to periodic reporting and other informational requirements of the Exchange Act as applicable to foreign private issuers. Accordingly, we are required to file with or furnish to the SEC reports, including annual reports on Form 20-F and other information. All information filed with or furnished to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Additional information may also be obtained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We also maintain a website at</w:t>
      </w:r>
      <w:r>
        <w:rPr>
          <w:rFonts w:ascii="Arial" w:cs="Arial" w:eastAsia="Arial" w:hAnsi="Arial"/>
          <w:sz w:val="16"/>
          <w:szCs w:val="16"/>
          <w:i w:val="1"/>
          <w:iCs w:val="1"/>
          <w:color w:val="auto"/>
        </w:rPr>
        <w:t xml:space="preserve"> www.i-click.com</w:t>
      </w:r>
      <w:r>
        <w:rPr>
          <w:rFonts w:ascii="Arial" w:cs="Arial" w:eastAsia="Arial" w:hAnsi="Arial"/>
          <w:sz w:val="16"/>
          <w:szCs w:val="16"/>
          <w:color w:val="auto"/>
        </w:rPr>
        <w:t>, but information contained on our website is not incorporated by reference in this prospectus or</w:t>
      </w:r>
      <w:r>
        <w:rPr>
          <w:rFonts w:ascii="Arial" w:cs="Arial" w:eastAsia="Arial" w:hAnsi="Arial"/>
          <w:sz w:val="16"/>
          <w:szCs w:val="16"/>
          <w:i w:val="1"/>
          <w:iCs w:val="1"/>
          <w:color w:val="auto"/>
        </w:rPr>
        <w:t xml:space="preserve"> </w:t>
      </w:r>
      <w:r>
        <w:rPr>
          <w:rFonts w:ascii="Arial" w:cs="Arial" w:eastAsia="Arial" w:hAnsi="Arial"/>
          <w:sz w:val="16"/>
          <w:szCs w:val="16"/>
          <w:color w:val="auto"/>
        </w:rPr>
        <w:t>any prospectus supplement. You should not regard any information on our website as a part of this prospectus or any prospectus supplement.</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our ADSs and, upon our request, will mail to all record holders of our ADSs the information contained in any notice of a shareholders’ meeting received by the depositary from us.</w:t>
      </w:r>
    </w:p>
    <w:p>
      <w:pPr>
        <w:spacing w:after="0" w:line="16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have filed with the SEC a registration statement on Form F-3 relating to the securities covered by this prospectus. This prospectus and any accompanying prospectus supplement are part of the registration statement and do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at the SEC’s Public Reference Room in Washington, D.C., as well as through the SEC’s website.</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8. Indemnification of Directors and Officers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 The registrant has agreed to indemnify its directors and officers against certain liabilities and expenses incurred by such persons in connection with claims made by reason of their being such a director or officer.</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indemnification agreements with our directors and executive officers, the form of which was filed as Exhibit 10.9 to our registration statement on Form F-1 originally filed with the SEC on October 20, 2017, as amended (File No. 333-221034), we have agreed to indemnify our directors and executive officers against certain liabilities and expenses incurred by them in connection with claims made by reason of their being a director or officer of our company.</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for indemnification of the registrant and its officers and directors.</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beginning on page II-4 of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10. Undertakings.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320" w:hanging="66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960" w:hanging="655"/>
        <w:spacing w:after="0" w:line="291" w:lineRule="auto"/>
        <w:tabs>
          <w:tab w:leader="none" w:pos="1991"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7" w:lineRule="exact"/>
        <w:rPr>
          <w:rFonts w:ascii="Arial" w:cs="Arial" w:eastAsia="Arial" w:hAnsi="Arial"/>
          <w:sz w:val="16"/>
          <w:szCs w:val="16"/>
          <w:color w:val="auto"/>
        </w:rPr>
      </w:pPr>
    </w:p>
    <w:p>
      <w:pPr>
        <w:ind w:left="1960" w:right="160" w:hanging="655"/>
        <w:spacing w:after="0" w:line="277" w:lineRule="auto"/>
        <w:tabs>
          <w:tab w:leader="none" w:pos="2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(i), (ii) and (iii) do not apply if the information required to be included in a post-effective amendment by those paragraphs</w:t>
      </w:r>
      <w:r>
        <w:rPr>
          <w:rFonts w:ascii="Arial" w:cs="Arial" w:eastAsia="Arial" w:hAnsi="Arial"/>
          <w:sz w:val="16"/>
          <w:szCs w:val="16"/>
          <w:i w:val="1"/>
          <w:iCs w:val="1"/>
          <w:color w:val="auto"/>
        </w:rPr>
        <w:t xml:space="preserve"> </w:t>
      </w:r>
      <w:r>
        <w:rPr>
          <w:rFonts w:ascii="Arial" w:cs="Arial" w:eastAsia="Arial" w:hAnsi="Arial"/>
          <w:sz w:val="16"/>
          <w:szCs w:val="16"/>
          <w:color w:val="auto"/>
        </w:rPr>
        <w:t>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47" w:lineRule="exact"/>
        <w:rPr>
          <w:sz w:val="20"/>
          <w:szCs w:val="20"/>
          <w:color w:val="auto"/>
        </w:rPr>
      </w:pPr>
    </w:p>
    <w:p>
      <w:pPr>
        <w:ind w:left="1300" w:hanging="644"/>
        <w:spacing w:after="0" w:line="264"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1300" w:right="400" w:hanging="644"/>
        <w:spacing w:after="0" w:line="277"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00" w:hanging="644"/>
        <w:spacing w:after="0" w:line="290" w:lineRule="auto"/>
        <w:tabs>
          <w:tab w:leader="none" w:pos="13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66" w:lineRule="exact"/>
        <w:rPr>
          <w:rFonts w:ascii="Arial" w:cs="Arial" w:eastAsia="Arial" w:hAnsi="Arial"/>
          <w:sz w:val="16"/>
          <w:szCs w:val="16"/>
          <w:color w:val="auto"/>
        </w:rPr>
      </w:pPr>
    </w:p>
    <w:p>
      <w:pPr>
        <w:ind w:left="1320" w:hanging="66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960" w:right="40" w:hanging="655"/>
        <w:spacing w:after="0" w:line="277" w:lineRule="auto"/>
        <w:tabs>
          <w:tab w:leader="none" w:pos="1981"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960" w:right="20" w:hanging="655"/>
        <w:spacing w:after="0" w:line="287" w:lineRule="auto"/>
        <w:tabs>
          <w:tab w:leader="none" w:pos="199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8" w:lineRule="exact"/>
        <w:rPr>
          <w:rFonts w:ascii="Arial" w:cs="Arial" w:eastAsia="Arial" w:hAnsi="Arial"/>
          <w:sz w:val="16"/>
          <w:szCs w:val="16"/>
          <w:color w:val="auto"/>
        </w:rPr>
      </w:pPr>
    </w:p>
    <w:p>
      <w:pPr>
        <w:ind w:left="1300" w:right="60" w:hanging="644"/>
        <w:spacing w:after="0" w:line="257"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960" w:right="340" w:hanging="655"/>
        <w:spacing w:after="0" w:line="277" w:lineRule="auto"/>
        <w:tabs>
          <w:tab w:leader="none" w:pos="198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960" w:hanging="655"/>
        <w:spacing w:after="0" w:line="277" w:lineRule="auto"/>
        <w:tabs>
          <w:tab w:leader="none" w:pos="19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960" w:right="280" w:hanging="655"/>
        <w:spacing w:after="0" w:line="277" w:lineRule="auto"/>
        <w:tabs>
          <w:tab w:leader="none" w:pos="2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300" w:right="40" w:hanging="644"/>
        <w:spacing w:after="0" w:line="257" w:lineRule="auto"/>
        <w:tabs>
          <w:tab w:leader="none" w:pos="1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1300" w:hanging="644"/>
        <w:spacing w:after="0" w:line="290" w:lineRule="auto"/>
        <w:tabs>
          <w:tab w:leader="none" w:pos="13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6" w:lineRule="exact"/>
        <w:rPr>
          <w:rFonts w:ascii="Arial" w:cs="Arial" w:eastAsia="Arial" w:hAnsi="Arial"/>
          <w:sz w:val="16"/>
          <w:szCs w:val="16"/>
          <w:color w:val="auto"/>
        </w:rPr>
      </w:pPr>
    </w:p>
    <w:p>
      <w:pPr>
        <w:jc w:val="both"/>
        <w:ind w:left="1300" w:right="120" w:hanging="644"/>
        <w:spacing w:after="0" w:line="264" w:lineRule="auto"/>
        <w:tabs>
          <w:tab w:leader="none" w:pos="1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of 1939, as amended, or the Trust Indenture Act, in accordance with the rules and regulations prescribed by the SEC under Section 305(b)(2) of the Trust Indenture Act.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2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20" w:type="dxa"/>
            <w:vAlign w:val="bottom"/>
            <w:gridSpan w:val="9"/>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32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026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77"/>
        </w:trPr>
        <w:tc>
          <w:tcPr>
            <w:tcW w:w="920" w:type="dxa"/>
            <w:vAlign w:val="bottom"/>
            <w:gridSpan w:val="2"/>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gridSpan w:val="14"/>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Registrant’s Specimen Certificate for Class A Ordinary Shares, incorporated herein by reference to Exhibit 4.2 to our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Form F-1, as amended, filed with the SEC (File No. 333-221034) on October 20, 2017</w:t>
              </w:r>
            </w:hyperlink>
          </w:p>
        </w:tc>
        <w:tc>
          <w:tcPr>
            <w:tcW w:w="40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gridSpan w:val="14"/>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Form of Deposit Agreement, incorporated herein by reference to Exhibit 99.(A) to our registration statement on Form F-6 filed with the SEC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(File No. 333-221860) on December 1, 2017</w:t>
              </w:r>
            </w:hyperlink>
          </w:p>
        </w:tc>
        <w:tc>
          <w:tcPr>
            <w:tcW w:w="6920" w:type="dxa"/>
            <w:vAlign w:val="bottom"/>
            <w:tcBorders>
              <w:top w:val="single" w:sz="8" w:color="0000EE"/>
            </w:tcBorders>
            <w:gridSpan w:val="9"/>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5680" w:type="dxa"/>
            <w:vAlign w:val="bottom"/>
            <w:tcBorders>
              <w:bottom w:val="single" w:sz="8" w:color="0000EE"/>
            </w:tcBorders>
            <w:gridSpan w:val="8"/>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Registrant’s Specimen American Depositary Receipt (included in Exhibits 4.2)</w:t>
              </w:r>
            </w:hyperlink>
          </w:p>
        </w:tc>
        <w:tc>
          <w:tcPr>
            <w:tcW w:w="45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260" w:type="dxa"/>
            <w:vAlign w:val="bottom"/>
            <w:gridSpan w:val="14"/>
          </w:tcPr>
          <w:p>
            <w:pPr>
              <w:spacing w:after="0"/>
              <w:rPr>
                <w:sz w:val="20"/>
                <w:szCs w:val="20"/>
                <w:color w:val="auto"/>
              </w:rPr>
            </w:pPr>
            <w:r>
              <w:rPr>
                <w:rFonts w:ascii="Arial" w:cs="Arial" w:eastAsia="Arial" w:hAnsi="Arial"/>
                <w:sz w:val="18"/>
                <w:szCs w:val="18"/>
                <w:color w:val="auto"/>
              </w:rPr>
              <w:t>Specimen Preferred Share Certificate and Form of Certificate of Designations of Preferred Shares</w:t>
            </w:r>
          </w:p>
        </w:tc>
        <w:tc>
          <w:tcPr>
            <w:tcW w:w="0" w:type="dxa"/>
            <w:vAlign w:val="bottom"/>
          </w:tcPr>
          <w:p>
            <w:pPr>
              <w:spacing w:after="0"/>
              <w:rPr>
                <w:sz w:val="1"/>
                <w:szCs w:val="1"/>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320" w:type="dxa"/>
            <w:vAlign w:val="bottom"/>
            <w:tcBorders>
              <w:bottom w:val="single" w:sz="8" w:color="0000EE"/>
            </w:tcBorders>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Form of Indenture</w:t>
              </w:r>
            </w:hyperlink>
          </w:p>
        </w:tc>
        <w:tc>
          <w:tcPr>
            <w:tcW w:w="8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260" w:type="dxa"/>
            <w:vAlign w:val="bottom"/>
            <w:gridSpan w:val="14"/>
          </w:tcPr>
          <w:p>
            <w:pPr>
              <w:spacing w:after="0"/>
              <w:rPr>
                <w:sz w:val="20"/>
                <w:szCs w:val="20"/>
                <w:color w:val="auto"/>
              </w:rPr>
            </w:pPr>
            <w:r>
              <w:rPr>
                <w:rFonts w:ascii="Arial" w:cs="Arial" w:eastAsia="Arial" w:hAnsi="Arial"/>
                <w:sz w:val="18"/>
                <w:szCs w:val="18"/>
                <w:color w:val="auto"/>
              </w:rPr>
              <w:t>Form of Debt Security</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260" w:type="dxa"/>
            <w:vAlign w:val="bottom"/>
            <w:gridSpan w:val="14"/>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0260" w:type="dxa"/>
            <w:vAlign w:val="bottom"/>
            <w:gridSpan w:val="14"/>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3820" w:type="dxa"/>
            <w:vAlign w:val="bottom"/>
            <w:tcBorders>
              <w:bottom w:val="single" w:sz="8" w:color="0000EE"/>
            </w:tcBorders>
            <w:gridSpan w:val="4"/>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Opinion of Travers Thorp Alberga, Attorneys at Law</w:t>
              </w:r>
            </w:hyperlink>
          </w:p>
        </w:tc>
        <w:tc>
          <w:tcPr>
            <w:tcW w:w="6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6440" w:type="dxa"/>
            <w:vAlign w:val="bottom"/>
            <w:tcBorders>
              <w:bottom w:val="single" w:sz="8" w:color="0000EE"/>
            </w:tcBorders>
            <w:gridSpan w:val="11"/>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Opinion of Cleary Gottlieb Steen &amp; Hamilton LLP regarding the validity of the securities</w:t>
              </w:r>
            </w:hyperlink>
          </w:p>
        </w:tc>
        <w:tc>
          <w:tcPr>
            <w:tcW w:w="38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gridSpan w:val="14"/>
          </w:tcPr>
          <w:p>
            <w:pPr>
              <w:spacing w:after="0"/>
              <w:rPr>
                <w:rFonts w:ascii="Arial" w:cs="Arial" w:eastAsia="Arial" w:hAnsi="Arial"/>
                <w:sz w:val="18"/>
                <w:szCs w:val="18"/>
                <w:color w:val="0000EE"/>
              </w:rPr>
            </w:pPr>
            <w:hyperlink r:id="rId74">
              <w:r>
                <w:rPr>
                  <w:rFonts w:ascii="Arial" w:cs="Arial" w:eastAsia="Arial" w:hAnsi="Arial"/>
                  <w:sz w:val="18"/>
                  <w:szCs w:val="18"/>
                  <w:color w:val="0000EE"/>
                </w:rPr>
                <w:t>Consent of PricewaterhouseCoopers, independent registered public accounting firm</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6020" w:type="dxa"/>
            <w:vAlign w:val="bottom"/>
            <w:tcBorders>
              <w:top w:val="single" w:sz="8" w:color="0000EE"/>
            </w:tcBorders>
            <w:gridSpan w:val="9"/>
          </w:tcPr>
          <w:p>
            <w:pPr>
              <w:spacing w:after="0"/>
              <w:rPr>
                <w:rFonts w:ascii="Arial" w:cs="Arial" w:eastAsia="Arial" w:hAnsi="Arial"/>
                <w:sz w:val="18"/>
                <w:szCs w:val="18"/>
                <w:color w:val="0000EE"/>
                <w:w w:val="98"/>
              </w:rPr>
            </w:pPr>
            <w:hyperlink r:id="rId72">
              <w:r>
                <w:rPr>
                  <w:rFonts w:ascii="Arial" w:cs="Arial" w:eastAsia="Arial" w:hAnsi="Arial"/>
                  <w:sz w:val="18"/>
                  <w:szCs w:val="18"/>
                  <w:color w:val="0000EE"/>
                  <w:w w:val="98"/>
                </w:rPr>
                <w:t>Consent of Travers Thorp Alberga, Attorneys at Law (included in Exhibit 5.1)</w:t>
              </w:r>
            </w:hyperlink>
          </w:p>
        </w:tc>
        <w:tc>
          <w:tcPr>
            <w:tcW w:w="4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24"/>
                <w:szCs w:val="24"/>
                <w:color w:val="auto"/>
              </w:rPr>
            </w:pPr>
          </w:p>
        </w:tc>
        <w:tc>
          <w:tcPr>
            <w:tcW w:w="5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r:id="rId73">
              <w:r>
                <w:rPr>
                  <w:rFonts w:ascii="Arial" w:cs="Arial" w:eastAsia="Arial" w:hAnsi="Arial"/>
                  <w:sz w:val="18"/>
                  <w:szCs w:val="18"/>
                  <w:color w:val="0000EE"/>
                  <w:w w:val="93"/>
                </w:rPr>
                <w:t>Consent of Cleary Gottlieb Steen &amp; Hamilton LLP (included in Exhibit 5.2)</w:t>
              </w:r>
            </w:hyperlink>
          </w:p>
        </w:tc>
        <w:tc>
          <w:tcPr>
            <w:tcW w:w="140" w:type="dxa"/>
            <w:vAlign w:val="bottom"/>
            <w:tcBorders>
              <w:top w:val="single" w:sz="8" w:color="0000EE"/>
            </w:tcBorders>
          </w:tcPr>
          <w:p>
            <w:pPr>
              <w:spacing w:after="0"/>
              <w:rPr>
                <w:sz w:val="24"/>
                <w:szCs w:val="24"/>
                <w:color w:val="auto"/>
              </w:rPr>
            </w:pPr>
          </w:p>
        </w:tc>
        <w:tc>
          <w:tcPr>
            <w:tcW w:w="4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24"/>
                <w:szCs w:val="24"/>
                <w:color w:val="auto"/>
              </w:rPr>
            </w:pPr>
          </w:p>
        </w:tc>
        <w:tc>
          <w:tcPr>
            <w:tcW w:w="2460" w:type="dxa"/>
            <w:vAlign w:val="bottom"/>
            <w:tcBorders>
              <w:bottom w:val="single" w:sz="8" w:color="0000EE"/>
            </w:tcBorders>
            <w:gridSpan w:val="2"/>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Consent of Jingtian &amp; Gongcheng</w:t>
              </w:r>
            </w:hyperlink>
          </w:p>
        </w:tc>
        <w:tc>
          <w:tcPr>
            <w:tcW w:w="7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39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Power of Attorney (included on signature page hereof)</w:t>
              </w:r>
            </w:hyperlink>
          </w:p>
        </w:tc>
        <w:tc>
          <w:tcPr>
            <w:tcW w:w="6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24"/>
                <w:szCs w:val="24"/>
                <w:color w:val="auto"/>
              </w:rPr>
            </w:pPr>
          </w:p>
        </w:tc>
        <w:tc>
          <w:tcPr>
            <w:tcW w:w="10260" w:type="dxa"/>
            <w:vAlign w:val="bottom"/>
            <w:gridSpan w:val="14"/>
          </w:tcPr>
          <w:p>
            <w:pPr>
              <w:spacing w:after="0"/>
              <w:rPr>
                <w:sz w:val="20"/>
                <w:szCs w:val="20"/>
                <w:color w:val="auto"/>
              </w:rPr>
            </w:pPr>
            <w:r>
              <w:rPr>
                <w:rFonts w:ascii="Arial" w:cs="Arial" w:eastAsia="Arial" w:hAnsi="Arial"/>
                <w:sz w:val="18"/>
                <w:szCs w:val="18"/>
                <w:color w:val="auto"/>
                <w:w w:val="93"/>
              </w:rPr>
              <w:t>Form T-1 Statement of Eligibility and Qualification under the Trust Indenture Act of 1939, as amended, of the Trustee under the Indenture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800" w:firstLine="8"/>
        <w:spacing w:after="0" w:line="277" w:lineRule="auto"/>
        <w:tabs>
          <w:tab w:leader="none" w:pos="1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be filed as an exhibit to a post-effective amendment to this registration statement or as an exhibit to a report filed under the Exchange Act and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the City of Hong Kong, People’s Republic of China, on June 28, 2019.</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Wing Hong Sammy Hsieh</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Chairman and Chief Executive Officer</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Mr. Wing Hong Sammy Hsieh and Mr. Terence Li, and each of them, as his true and lawful attorneys-in-fact and agents, each with full power of substitution and resubstitution, for him and in his name, place and stead, in any and all capacities, to sign any and all amendments (including post-effective amendments) and supplements to this registration statement on Form F-3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each such person might or could do in person, hereby ratifying and confirming all that said attorneys-in-fact and agents, or any of them, or their or his substitute or substitutes, may lawfully do or cause to be done by virtue hereof.</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the 28th day of June, 2019.</w:t>
      </w:r>
    </w:p>
    <w:p>
      <w:pPr>
        <w:sectPr>
          <w:pgSz w:w="11900" w:h="16838" w:orient="portrait"/>
          <w:cols w:equalWidth="0" w:num="1">
            <w:col w:w="11420"/>
          </w:cols>
          <w:pgMar w:left="240" w:top="125" w:right="239" w:bottom="1440" w:gutter="0" w:footer="0" w:header="0"/>
        </w:sectPr>
      </w:pPr>
    </w:p>
    <w:p>
      <w:pPr>
        <w:spacing w:after="0" w:line="162" w:lineRule="exact"/>
        <w:rPr>
          <w:sz w:val="20"/>
          <w:szCs w:val="20"/>
          <w:color w:val="auto"/>
        </w:rPr>
      </w:pPr>
    </w:p>
    <w:p>
      <w:pPr>
        <w:jc w:val="center"/>
        <w:ind w:left="540"/>
        <w:spacing w:after="0"/>
        <w:rPr>
          <w:sz w:val="20"/>
          <w:szCs w:val="20"/>
          <w:color w:val="auto"/>
        </w:rPr>
      </w:pPr>
      <w:r>
        <w:rPr>
          <w:rFonts w:ascii="Arial" w:cs="Arial" w:eastAsia="Arial" w:hAnsi="Arial"/>
          <w:sz w:val="12"/>
          <w:szCs w:val="12"/>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22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Wing Hong Sammy Hsieh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22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Terence 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Terence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220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Jian Tang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220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Scott Moore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22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Dylan Huang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Dylan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220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Honnus Cheung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Honnus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220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James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220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27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6350</wp:posOffset>
            </wp:positionV>
            <wp:extent cx="36360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6" w:lineRule="exact"/>
        <w:rPr>
          <w:sz w:val="20"/>
          <w:szCs w:val="20"/>
          <w:color w:val="auto"/>
        </w:rPr>
      </w:pPr>
    </w:p>
    <w:p>
      <w:pPr>
        <w:jc w:val="center"/>
        <w:ind w:right="28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860" w:space="720"/>
            <w:col w:w="584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 OF AUTHORIZED REPRESENTATIVE OF THE REGISTRANT</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undersigned, the duly authorized representative in the United States of iClick Interactive Asia Group Limited, has signed this registration statement or amendment thereto in New York, on June 28, 2019.</w:t>
      </w:r>
    </w:p>
    <w:p>
      <w:pPr>
        <w:spacing w:after="0" w:line="14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COGENCY GLOBAL INC.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Chiang Sheung Lin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Chiang Sheung Lin,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50" w:lineRule="exact"/>
        <w:rPr>
          <w:sz w:val="20"/>
          <w:szCs w:val="20"/>
          <w:color w:val="auto"/>
        </w:rPr>
      </w:pPr>
    </w:p>
    <w:p>
      <w:pPr>
        <w:ind w:left="6200"/>
        <w:spacing w:after="0"/>
        <w:tabs>
          <w:tab w:leader="none" w:pos="6800" w:val="left"/>
        </w:tabs>
        <w:rPr>
          <w:sz w:val="20"/>
          <w:szCs w:val="20"/>
          <w:color w:val="auto"/>
        </w:rPr>
      </w:pPr>
      <w:r>
        <w:rPr>
          <w:rFonts w:ascii="Arial" w:cs="Arial" w:eastAsia="Arial" w:hAnsi="Arial"/>
          <w:sz w:val="18"/>
          <w:szCs w:val="18"/>
          <w:color w:val="auto"/>
        </w:rPr>
        <w:t>Title:</w:t>
        <w:tab/>
        <w:t>Assistant Secretary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4.5</w:t>
      </w:r>
    </w:p>
    <w:p>
      <w:pPr>
        <w:spacing w:after="0" w:line="22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iClick Interactive Asia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220980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900"/>
        <w:spacing w:after="0"/>
        <w:tabs>
          <w:tab w:leader="none" w:pos="5040" w:val="left"/>
        </w:tabs>
        <w:rPr>
          <w:sz w:val="20"/>
          <w:szCs w:val="20"/>
          <w:color w:val="auto"/>
        </w:rPr>
      </w:pPr>
      <w:r>
        <w:rPr>
          <w:rFonts w:ascii="Arial" w:cs="Arial" w:eastAsia="Arial" w:hAnsi="Arial"/>
          <w:sz w:val="18"/>
          <w:szCs w:val="18"/>
          <w:color w:val="auto"/>
        </w:rPr>
        <w:t>Dated as of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220980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80" w:hanging="383"/>
        <w:spacing w:after="0"/>
        <w:tabs>
          <w:tab w:leader="none" w:pos="4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6625590</wp:posOffset>
            </wp:positionH>
            <wp:positionV relativeFrom="paragraph">
              <wp:posOffset>6350</wp:posOffset>
            </wp:positionV>
            <wp:extent cx="6261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0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w:t>
            </w:r>
          </w:p>
        </w:tc>
        <w:tc>
          <w:tcPr>
            <w:tcW w:w="398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6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w:t>
            </w:r>
          </w:p>
        </w:tc>
        <w:tc>
          <w:tcPr>
            <w:tcW w:w="3980" w:type="dxa"/>
            <w:vAlign w:val="bottom"/>
          </w:tcPr>
          <w:p>
            <w:pPr>
              <w:ind w:left="260"/>
              <w:spacing w:after="0"/>
              <w:rPr>
                <w:sz w:val="20"/>
                <w:szCs w:val="20"/>
                <w:color w:val="auto"/>
              </w:rPr>
            </w:pPr>
            <w:r>
              <w:rPr>
                <w:rFonts w:ascii="Arial" w:cs="Arial" w:eastAsia="Arial" w:hAnsi="Arial"/>
                <w:sz w:val="18"/>
                <w:szCs w:val="18"/>
                <w:color w:val="auto"/>
              </w:rPr>
              <w:t>Other Definitions</w:t>
            </w:r>
          </w:p>
        </w:tc>
        <w:tc>
          <w:tcPr>
            <w:tcW w:w="6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w:t>
            </w:r>
          </w:p>
        </w:tc>
        <w:tc>
          <w:tcPr>
            <w:tcW w:w="3980" w:type="dxa"/>
            <w:vAlign w:val="bottom"/>
          </w:tcPr>
          <w:p>
            <w:pPr>
              <w:ind w:left="260"/>
              <w:spacing w:after="0"/>
              <w:rPr>
                <w:sz w:val="20"/>
                <w:szCs w:val="20"/>
                <w:color w:val="auto"/>
              </w:rPr>
            </w:pPr>
            <w:r>
              <w:rPr>
                <w:rFonts w:ascii="Arial" w:cs="Arial" w:eastAsia="Arial" w:hAnsi="Arial"/>
                <w:sz w:val="18"/>
                <w:szCs w:val="18"/>
                <w:color w:val="auto"/>
                <w:w w:val="93"/>
              </w:rPr>
              <w:t>Incorporation by Reference of Trust Indenture Act</w:t>
            </w:r>
          </w:p>
        </w:tc>
        <w:tc>
          <w:tcPr>
            <w:tcW w:w="6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1.4</w:t>
            </w:r>
          </w:p>
        </w:tc>
        <w:tc>
          <w:tcPr>
            <w:tcW w:w="3980" w:type="dxa"/>
            <w:vAlign w:val="bottom"/>
          </w:tcPr>
          <w:p>
            <w:pPr>
              <w:ind w:left="260"/>
              <w:spacing w:after="0"/>
              <w:rPr>
                <w:sz w:val="20"/>
                <w:szCs w:val="20"/>
                <w:color w:val="auto"/>
              </w:rPr>
            </w:pPr>
            <w:r>
              <w:rPr>
                <w:rFonts w:ascii="Arial" w:cs="Arial" w:eastAsia="Arial" w:hAnsi="Arial"/>
                <w:sz w:val="18"/>
                <w:szCs w:val="18"/>
                <w:color w:val="auto"/>
              </w:rPr>
              <w:t>Rules of Construction</w:t>
            </w:r>
          </w:p>
        </w:tc>
        <w:tc>
          <w:tcPr>
            <w:tcW w:w="6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1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260" w:type="dxa"/>
            <w:vAlign w:val="bottom"/>
          </w:tcPr>
          <w:p>
            <w:pPr>
              <w:jc w:val="center"/>
              <w:ind w:right="4610"/>
              <w:spacing w:after="0"/>
              <w:rPr>
                <w:sz w:val="20"/>
                <w:szCs w:val="20"/>
                <w:color w:val="auto"/>
              </w:rPr>
            </w:pPr>
            <w:r>
              <w:rPr>
                <w:rFonts w:ascii="Arial" w:cs="Arial" w:eastAsia="Arial" w:hAnsi="Arial"/>
                <w:sz w:val="18"/>
                <w:szCs w:val="18"/>
                <w:color w:val="auto"/>
              </w:rPr>
              <w:t>ARTICLE II</w:t>
            </w:r>
          </w:p>
        </w:tc>
      </w:tr>
      <w:tr>
        <w:trPr>
          <w:trHeight w:val="230"/>
        </w:trPr>
        <w:tc>
          <w:tcPr>
            <w:tcW w:w="1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260" w:type="dxa"/>
            <w:vAlign w:val="bottom"/>
          </w:tcPr>
          <w:p>
            <w:pPr>
              <w:jc w:val="center"/>
              <w:ind w:right="4610"/>
              <w:spacing w:after="0"/>
              <w:rPr>
                <w:sz w:val="20"/>
                <w:szCs w:val="20"/>
                <w:color w:val="auto"/>
              </w:rPr>
            </w:pPr>
            <w:r>
              <w:rPr>
                <w:rFonts w:ascii="Arial" w:cs="Arial" w:eastAsia="Arial" w:hAnsi="Arial"/>
                <w:sz w:val="18"/>
                <w:szCs w:val="18"/>
                <w:color w:val="auto"/>
                <w:w w:val="93"/>
              </w:rPr>
              <w:t>THE SECURITIES</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2.1</w:t>
            </w:r>
          </w:p>
        </w:tc>
        <w:tc>
          <w:tcPr>
            <w:tcW w:w="3980" w:type="dxa"/>
            <w:vAlign w:val="bottom"/>
          </w:tcPr>
          <w:p>
            <w:pPr>
              <w:ind w:left="260"/>
              <w:spacing w:after="0"/>
              <w:rPr>
                <w:sz w:val="20"/>
                <w:szCs w:val="20"/>
                <w:color w:val="auto"/>
              </w:rPr>
            </w:pPr>
            <w:r>
              <w:rPr>
                <w:rFonts w:ascii="Arial" w:cs="Arial" w:eastAsia="Arial" w:hAnsi="Arial"/>
                <w:sz w:val="18"/>
                <w:szCs w:val="18"/>
                <w:color w:val="auto"/>
              </w:rPr>
              <w:t>Issuable in Series</w:t>
            </w:r>
          </w:p>
        </w:tc>
        <w:tc>
          <w:tcPr>
            <w:tcW w:w="6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2.2</w:t>
            </w:r>
          </w:p>
        </w:tc>
        <w:tc>
          <w:tcPr>
            <w:tcW w:w="3980" w:type="dxa"/>
            <w:vAlign w:val="bottom"/>
          </w:tcPr>
          <w:p>
            <w:pPr>
              <w:ind w:left="260"/>
              <w:spacing w:after="0"/>
              <w:rPr>
                <w:sz w:val="20"/>
                <w:szCs w:val="20"/>
                <w:color w:val="auto"/>
              </w:rPr>
            </w:pPr>
            <w:r>
              <w:rPr>
                <w:rFonts w:ascii="Arial" w:cs="Arial" w:eastAsia="Arial" w:hAnsi="Arial"/>
                <w:sz w:val="18"/>
                <w:szCs w:val="18"/>
                <w:color w:val="auto"/>
              </w:rPr>
              <w:t>Establishment of Terms of Series of Securities</w:t>
            </w:r>
          </w:p>
        </w:tc>
        <w:tc>
          <w:tcPr>
            <w:tcW w:w="6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2.3</w:t>
            </w:r>
          </w:p>
        </w:tc>
        <w:tc>
          <w:tcPr>
            <w:tcW w:w="3980" w:type="dxa"/>
            <w:vAlign w:val="bottom"/>
          </w:tcPr>
          <w:p>
            <w:pPr>
              <w:ind w:left="260"/>
              <w:spacing w:after="0"/>
              <w:rPr>
                <w:sz w:val="20"/>
                <w:szCs w:val="20"/>
                <w:color w:val="auto"/>
              </w:rPr>
            </w:pPr>
            <w:r>
              <w:rPr>
                <w:rFonts w:ascii="Arial" w:cs="Arial" w:eastAsia="Arial" w:hAnsi="Arial"/>
                <w:sz w:val="18"/>
                <w:szCs w:val="18"/>
                <w:color w:val="auto"/>
              </w:rPr>
              <w:t>Execution and Authentication</w:t>
            </w:r>
          </w:p>
        </w:tc>
        <w:tc>
          <w:tcPr>
            <w:tcW w:w="6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2.4</w:t>
            </w:r>
          </w:p>
        </w:tc>
        <w:tc>
          <w:tcPr>
            <w:tcW w:w="3980" w:type="dxa"/>
            <w:vAlign w:val="bottom"/>
          </w:tcPr>
          <w:p>
            <w:pPr>
              <w:ind w:left="260"/>
              <w:spacing w:after="0"/>
              <w:rPr>
                <w:sz w:val="20"/>
                <w:szCs w:val="20"/>
                <w:color w:val="auto"/>
              </w:rPr>
            </w:pPr>
            <w:r>
              <w:rPr>
                <w:rFonts w:ascii="Arial" w:cs="Arial" w:eastAsia="Arial" w:hAnsi="Arial"/>
                <w:sz w:val="18"/>
                <w:szCs w:val="18"/>
                <w:color w:val="auto"/>
              </w:rPr>
              <w:t>Registrar and Paying Agent</w:t>
            </w:r>
          </w:p>
        </w:tc>
        <w:tc>
          <w:tcPr>
            <w:tcW w:w="6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2.5</w:t>
            </w:r>
          </w:p>
        </w:tc>
        <w:tc>
          <w:tcPr>
            <w:tcW w:w="3980" w:type="dxa"/>
            <w:vAlign w:val="bottom"/>
          </w:tcPr>
          <w:p>
            <w:pPr>
              <w:ind w:left="260"/>
              <w:spacing w:after="0"/>
              <w:rPr>
                <w:sz w:val="20"/>
                <w:szCs w:val="20"/>
                <w:color w:val="auto"/>
              </w:rPr>
            </w:pPr>
            <w:r>
              <w:rPr>
                <w:rFonts w:ascii="Arial" w:cs="Arial" w:eastAsia="Arial" w:hAnsi="Arial"/>
                <w:sz w:val="18"/>
                <w:szCs w:val="18"/>
                <w:color w:val="auto"/>
              </w:rPr>
              <w:t>Paying Agent to Hold Money in Trust</w:t>
            </w:r>
          </w:p>
        </w:tc>
        <w:tc>
          <w:tcPr>
            <w:tcW w:w="6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2.6</w:t>
            </w:r>
          </w:p>
        </w:tc>
        <w:tc>
          <w:tcPr>
            <w:tcW w:w="3980" w:type="dxa"/>
            <w:vAlign w:val="bottom"/>
          </w:tcPr>
          <w:p>
            <w:pPr>
              <w:ind w:left="260"/>
              <w:spacing w:after="0"/>
              <w:rPr>
                <w:sz w:val="20"/>
                <w:szCs w:val="20"/>
                <w:color w:val="auto"/>
              </w:rPr>
            </w:pPr>
            <w:r>
              <w:rPr>
                <w:rFonts w:ascii="Arial" w:cs="Arial" w:eastAsia="Arial" w:hAnsi="Arial"/>
                <w:sz w:val="18"/>
                <w:szCs w:val="18"/>
                <w:color w:val="auto"/>
              </w:rPr>
              <w:t>Security Holder Lists</w:t>
            </w:r>
          </w:p>
        </w:tc>
        <w:tc>
          <w:tcPr>
            <w:tcW w:w="6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2.7</w:t>
            </w:r>
          </w:p>
        </w:tc>
        <w:tc>
          <w:tcPr>
            <w:tcW w:w="3980" w:type="dxa"/>
            <w:vAlign w:val="bottom"/>
          </w:tcPr>
          <w:p>
            <w:pPr>
              <w:ind w:left="260"/>
              <w:spacing w:after="0"/>
              <w:rPr>
                <w:sz w:val="20"/>
                <w:szCs w:val="20"/>
                <w:color w:val="auto"/>
              </w:rPr>
            </w:pPr>
            <w:r>
              <w:rPr>
                <w:rFonts w:ascii="Arial" w:cs="Arial" w:eastAsia="Arial" w:hAnsi="Arial"/>
                <w:sz w:val="18"/>
                <w:szCs w:val="18"/>
                <w:color w:val="auto"/>
              </w:rPr>
              <w:t>Transfer and Exchange</w:t>
            </w:r>
          </w:p>
        </w:tc>
        <w:tc>
          <w:tcPr>
            <w:tcW w:w="6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2.8</w:t>
            </w:r>
          </w:p>
        </w:tc>
        <w:tc>
          <w:tcPr>
            <w:tcW w:w="3980" w:type="dxa"/>
            <w:vAlign w:val="bottom"/>
          </w:tcPr>
          <w:p>
            <w:pPr>
              <w:ind w:left="260"/>
              <w:spacing w:after="0"/>
              <w:rPr>
                <w:sz w:val="20"/>
                <w:szCs w:val="20"/>
                <w:color w:val="auto"/>
              </w:rPr>
            </w:pPr>
            <w:r>
              <w:rPr>
                <w:rFonts w:ascii="Arial" w:cs="Arial" w:eastAsia="Arial" w:hAnsi="Arial"/>
                <w:sz w:val="18"/>
                <w:szCs w:val="18"/>
                <w:color w:val="auto"/>
                <w:w w:val="96"/>
              </w:rPr>
              <w:t>Mutilated, Destroyed, Lost and Stolen Securities</w:t>
            </w:r>
          </w:p>
        </w:tc>
        <w:tc>
          <w:tcPr>
            <w:tcW w:w="6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2.9</w:t>
            </w:r>
          </w:p>
        </w:tc>
        <w:tc>
          <w:tcPr>
            <w:tcW w:w="3980" w:type="dxa"/>
            <w:vAlign w:val="bottom"/>
          </w:tcPr>
          <w:p>
            <w:pPr>
              <w:ind w:left="260"/>
              <w:spacing w:after="0"/>
              <w:rPr>
                <w:sz w:val="20"/>
                <w:szCs w:val="20"/>
                <w:color w:val="auto"/>
              </w:rPr>
            </w:pPr>
            <w:r>
              <w:rPr>
                <w:rFonts w:ascii="Arial" w:cs="Arial" w:eastAsia="Arial" w:hAnsi="Arial"/>
                <w:sz w:val="18"/>
                <w:szCs w:val="18"/>
                <w:color w:val="auto"/>
              </w:rPr>
              <w:t>Outstanding Securities</w:t>
            </w:r>
          </w:p>
        </w:tc>
        <w:tc>
          <w:tcPr>
            <w:tcW w:w="6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2.10</w:t>
            </w:r>
          </w:p>
        </w:tc>
        <w:tc>
          <w:tcPr>
            <w:tcW w:w="3980" w:type="dxa"/>
            <w:vAlign w:val="bottom"/>
          </w:tcPr>
          <w:p>
            <w:pPr>
              <w:ind w:left="260"/>
              <w:spacing w:after="0"/>
              <w:rPr>
                <w:sz w:val="20"/>
                <w:szCs w:val="20"/>
                <w:color w:val="auto"/>
              </w:rPr>
            </w:pPr>
            <w:r>
              <w:rPr>
                <w:rFonts w:ascii="Arial" w:cs="Arial" w:eastAsia="Arial" w:hAnsi="Arial"/>
                <w:sz w:val="18"/>
                <w:szCs w:val="18"/>
                <w:color w:val="auto"/>
              </w:rPr>
              <w:t>Treasury Securities</w:t>
            </w:r>
          </w:p>
        </w:tc>
        <w:tc>
          <w:tcPr>
            <w:tcW w:w="6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2.11</w:t>
            </w:r>
          </w:p>
        </w:tc>
        <w:tc>
          <w:tcPr>
            <w:tcW w:w="3980" w:type="dxa"/>
            <w:vAlign w:val="bottom"/>
          </w:tcPr>
          <w:p>
            <w:pPr>
              <w:ind w:left="260"/>
              <w:spacing w:after="0"/>
              <w:rPr>
                <w:sz w:val="20"/>
                <w:szCs w:val="20"/>
                <w:color w:val="auto"/>
              </w:rPr>
            </w:pPr>
            <w:r>
              <w:rPr>
                <w:rFonts w:ascii="Arial" w:cs="Arial" w:eastAsia="Arial" w:hAnsi="Arial"/>
                <w:sz w:val="18"/>
                <w:szCs w:val="18"/>
                <w:color w:val="auto"/>
              </w:rPr>
              <w:t>Temporary Securities</w:t>
            </w:r>
          </w:p>
        </w:tc>
        <w:tc>
          <w:tcPr>
            <w:tcW w:w="6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2.12</w:t>
            </w:r>
          </w:p>
        </w:tc>
        <w:tc>
          <w:tcPr>
            <w:tcW w:w="3980" w:type="dxa"/>
            <w:vAlign w:val="bottom"/>
          </w:tcPr>
          <w:p>
            <w:pPr>
              <w:ind w:left="260"/>
              <w:spacing w:after="0"/>
              <w:rPr>
                <w:sz w:val="20"/>
                <w:szCs w:val="20"/>
                <w:color w:val="auto"/>
              </w:rPr>
            </w:pPr>
            <w:r>
              <w:rPr>
                <w:rFonts w:ascii="Arial" w:cs="Arial" w:eastAsia="Arial" w:hAnsi="Arial"/>
                <w:sz w:val="18"/>
                <w:szCs w:val="18"/>
                <w:color w:val="auto"/>
              </w:rPr>
              <w:t>Cancellation</w:t>
            </w:r>
          </w:p>
        </w:tc>
        <w:tc>
          <w:tcPr>
            <w:tcW w:w="6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2.13</w:t>
            </w:r>
          </w:p>
        </w:tc>
        <w:tc>
          <w:tcPr>
            <w:tcW w:w="3980" w:type="dxa"/>
            <w:vAlign w:val="bottom"/>
          </w:tcPr>
          <w:p>
            <w:pPr>
              <w:ind w:left="260"/>
              <w:spacing w:after="0"/>
              <w:rPr>
                <w:sz w:val="20"/>
                <w:szCs w:val="20"/>
                <w:color w:val="auto"/>
              </w:rPr>
            </w:pPr>
            <w:r>
              <w:rPr>
                <w:rFonts w:ascii="Arial" w:cs="Arial" w:eastAsia="Arial" w:hAnsi="Arial"/>
                <w:sz w:val="18"/>
                <w:szCs w:val="18"/>
                <w:color w:val="auto"/>
              </w:rPr>
              <w:t>Defaulted Interest</w:t>
            </w:r>
          </w:p>
        </w:tc>
        <w:tc>
          <w:tcPr>
            <w:tcW w:w="6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2.14</w:t>
            </w:r>
          </w:p>
        </w:tc>
        <w:tc>
          <w:tcPr>
            <w:tcW w:w="3980" w:type="dxa"/>
            <w:vAlign w:val="bottom"/>
          </w:tcPr>
          <w:p>
            <w:pPr>
              <w:ind w:left="260"/>
              <w:spacing w:after="0"/>
              <w:rPr>
                <w:sz w:val="20"/>
                <w:szCs w:val="20"/>
                <w:color w:val="auto"/>
              </w:rPr>
            </w:pPr>
            <w:r>
              <w:rPr>
                <w:rFonts w:ascii="Arial" w:cs="Arial" w:eastAsia="Arial" w:hAnsi="Arial"/>
                <w:sz w:val="18"/>
                <w:szCs w:val="18"/>
                <w:color w:val="auto"/>
              </w:rPr>
              <w:t>Global Securities</w:t>
            </w:r>
          </w:p>
        </w:tc>
        <w:tc>
          <w:tcPr>
            <w:tcW w:w="6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2.15</w:t>
            </w:r>
          </w:p>
        </w:tc>
        <w:tc>
          <w:tcPr>
            <w:tcW w:w="3980" w:type="dxa"/>
            <w:vAlign w:val="bottom"/>
          </w:tcPr>
          <w:p>
            <w:pPr>
              <w:ind w:left="260"/>
              <w:spacing w:after="0"/>
              <w:rPr>
                <w:sz w:val="20"/>
                <w:szCs w:val="20"/>
                <w:color w:val="auto"/>
              </w:rPr>
            </w:pPr>
            <w:r>
              <w:rPr>
                <w:rFonts w:ascii="Arial" w:cs="Arial" w:eastAsia="Arial" w:hAnsi="Arial"/>
                <w:sz w:val="18"/>
                <w:szCs w:val="18"/>
                <w:color w:val="auto"/>
              </w:rPr>
              <w:t>CUSIP Numbers</w:t>
            </w:r>
          </w:p>
        </w:tc>
        <w:tc>
          <w:tcPr>
            <w:tcW w:w="6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1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260" w:type="dxa"/>
            <w:vAlign w:val="bottom"/>
          </w:tcPr>
          <w:p>
            <w:pPr>
              <w:jc w:val="center"/>
              <w:ind w:right="4610"/>
              <w:spacing w:after="0"/>
              <w:rPr>
                <w:sz w:val="20"/>
                <w:szCs w:val="20"/>
                <w:color w:val="auto"/>
              </w:rPr>
            </w:pPr>
            <w:r>
              <w:rPr>
                <w:rFonts w:ascii="Arial" w:cs="Arial" w:eastAsia="Arial" w:hAnsi="Arial"/>
                <w:sz w:val="18"/>
                <w:szCs w:val="18"/>
                <w:color w:val="auto"/>
                <w:w w:val="99"/>
              </w:rPr>
              <w:t>ARTICLE III</w:t>
            </w:r>
          </w:p>
        </w:tc>
      </w:tr>
      <w:tr>
        <w:trPr>
          <w:trHeight w:val="230"/>
        </w:trPr>
        <w:tc>
          <w:tcPr>
            <w:tcW w:w="1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260" w:type="dxa"/>
            <w:vAlign w:val="bottom"/>
          </w:tcPr>
          <w:p>
            <w:pPr>
              <w:jc w:val="center"/>
              <w:ind w:right="4610"/>
              <w:spacing w:after="0"/>
              <w:rPr>
                <w:sz w:val="20"/>
                <w:szCs w:val="20"/>
                <w:color w:val="auto"/>
              </w:rPr>
            </w:pPr>
            <w:r>
              <w:rPr>
                <w:rFonts w:ascii="Arial" w:cs="Arial" w:eastAsia="Arial" w:hAnsi="Arial"/>
                <w:sz w:val="18"/>
                <w:szCs w:val="18"/>
                <w:color w:val="auto"/>
                <w:w w:val="96"/>
              </w:rPr>
              <w:t>REDEMPTION</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3.1</w:t>
            </w:r>
          </w:p>
        </w:tc>
        <w:tc>
          <w:tcPr>
            <w:tcW w:w="3980" w:type="dxa"/>
            <w:vAlign w:val="bottom"/>
          </w:tcPr>
          <w:p>
            <w:pPr>
              <w:ind w:left="260"/>
              <w:spacing w:after="0"/>
              <w:rPr>
                <w:sz w:val="20"/>
                <w:szCs w:val="20"/>
                <w:color w:val="auto"/>
              </w:rPr>
            </w:pPr>
            <w:r>
              <w:rPr>
                <w:rFonts w:ascii="Arial" w:cs="Arial" w:eastAsia="Arial" w:hAnsi="Arial"/>
                <w:sz w:val="18"/>
                <w:szCs w:val="18"/>
                <w:color w:val="auto"/>
              </w:rPr>
              <w:t>Notice to Trustee</w:t>
            </w:r>
          </w:p>
        </w:tc>
        <w:tc>
          <w:tcPr>
            <w:tcW w:w="6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3.2</w:t>
            </w:r>
          </w:p>
        </w:tc>
        <w:tc>
          <w:tcPr>
            <w:tcW w:w="3980" w:type="dxa"/>
            <w:vAlign w:val="bottom"/>
          </w:tcPr>
          <w:p>
            <w:pPr>
              <w:ind w:left="260"/>
              <w:spacing w:after="0"/>
              <w:rPr>
                <w:sz w:val="20"/>
                <w:szCs w:val="20"/>
                <w:color w:val="auto"/>
              </w:rPr>
            </w:pPr>
            <w:r>
              <w:rPr>
                <w:rFonts w:ascii="Arial" w:cs="Arial" w:eastAsia="Arial" w:hAnsi="Arial"/>
                <w:sz w:val="18"/>
                <w:szCs w:val="18"/>
                <w:color w:val="auto"/>
              </w:rPr>
              <w:t>Selection of Securities to be Redeemed</w:t>
            </w:r>
          </w:p>
        </w:tc>
        <w:tc>
          <w:tcPr>
            <w:tcW w:w="6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3.3</w:t>
            </w:r>
          </w:p>
        </w:tc>
        <w:tc>
          <w:tcPr>
            <w:tcW w:w="3980" w:type="dxa"/>
            <w:vAlign w:val="bottom"/>
          </w:tcPr>
          <w:p>
            <w:pPr>
              <w:ind w:left="260"/>
              <w:spacing w:after="0"/>
              <w:rPr>
                <w:sz w:val="20"/>
                <w:szCs w:val="20"/>
                <w:color w:val="auto"/>
              </w:rPr>
            </w:pPr>
            <w:r>
              <w:rPr>
                <w:rFonts w:ascii="Arial" w:cs="Arial" w:eastAsia="Arial" w:hAnsi="Arial"/>
                <w:sz w:val="18"/>
                <w:szCs w:val="18"/>
                <w:color w:val="auto"/>
              </w:rPr>
              <w:t>Notice of Redemption</w:t>
            </w:r>
          </w:p>
        </w:tc>
        <w:tc>
          <w:tcPr>
            <w:tcW w:w="6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3.4</w:t>
            </w:r>
          </w:p>
        </w:tc>
        <w:tc>
          <w:tcPr>
            <w:tcW w:w="3980" w:type="dxa"/>
            <w:vAlign w:val="bottom"/>
          </w:tcPr>
          <w:p>
            <w:pPr>
              <w:ind w:left="260"/>
              <w:spacing w:after="0"/>
              <w:rPr>
                <w:sz w:val="20"/>
                <w:szCs w:val="20"/>
                <w:color w:val="auto"/>
              </w:rPr>
            </w:pPr>
            <w:r>
              <w:rPr>
                <w:rFonts w:ascii="Arial" w:cs="Arial" w:eastAsia="Arial" w:hAnsi="Arial"/>
                <w:sz w:val="18"/>
                <w:szCs w:val="18"/>
                <w:color w:val="auto"/>
              </w:rPr>
              <w:t>Effect of Notice of Redemption</w:t>
            </w:r>
          </w:p>
        </w:tc>
        <w:tc>
          <w:tcPr>
            <w:tcW w:w="6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3.5</w:t>
            </w:r>
          </w:p>
        </w:tc>
        <w:tc>
          <w:tcPr>
            <w:tcW w:w="3980" w:type="dxa"/>
            <w:vAlign w:val="bottom"/>
          </w:tcPr>
          <w:p>
            <w:pPr>
              <w:ind w:left="260"/>
              <w:spacing w:after="0"/>
              <w:rPr>
                <w:sz w:val="20"/>
                <w:szCs w:val="20"/>
                <w:color w:val="auto"/>
              </w:rPr>
            </w:pPr>
            <w:r>
              <w:rPr>
                <w:rFonts w:ascii="Arial" w:cs="Arial" w:eastAsia="Arial" w:hAnsi="Arial"/>
                <w:sz w:val="18"/>
                <w:szCs w:val="18"/>
                <w:color w:val="auto"/>
              </w:rPr>
              <w:t>Deposit of Redemption Price</w:t>
            </w:r>
          </w:p>
        </w:tc>
        <w:tc>
          <w:tcPr>
            <w:tcW w:w="6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3.6</w:t>
            </w:r>
          </w:p>
        </w:tc>
        <w:tc>
          <w:tcPr>
            <w:tcW w:w="3980" w:type="dxa"/>
            <w:vAlign w:val="bottom"/>
          </w:tcPr>
          <w:p>
            <w:pPr>
              <w:ind w:left="260"/>
              <w:spacing w:after="0"/>
              <w:rPr>
                <w:sz w:val="20"/>
                <w:szCs w:val="20"/>
                <w:color w:val="auto"/>
              </w:rPr>
            </w:pPr>
            <w:r>
              <w:rPr>
                <w:rFonts w:ascii="Arial" w:cs="Arial" w:eastAsia="Arial" w:hAnsi="Arial"/>
                <w:sz w:val="18"/>
                <w:szCs w:val="18"/>
                <w:color w:val="auto"/>
              </w:rPr>
              <w:t>Securities Redeemed in Part</w:t>
            </w:r>
          </w:p>
        </w:tc>
        <w:tc>
          <w:tcPr>
            <w:tcW w:w="62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0"/>
        </w:trPr>
        <w:tc>
          <w:tcPr>
            <w:tcW w:w="1180" w:type="dxa"/>
            <w:vAlign w:val="bottom"/>
          </w:tcPr>
          <w:p>
            <w:pPr>
              <w:spacing w:after="0"/>
              <w:rPr>
                <w:sz w:val="19"/>
                <w:szCs w:val="19"/>
                <w:color w:val="auto"/>
              </w:rPr>
            </w:pPr>
          </w:p>
        </w:tc>
        <w:tc>
          <w:tcPr>
            <w:tcW w:w="926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19"/>
                <w:szCs w:val="19"/>
                <w:color w:val="auto"/>
              </w:rPr>
            </w:pPr>
          </w:p>
        </w:tc>
      </w:tr>
      <w:tr>
        <w:trPr>
          <w:trHeight w:val="230"/>
        </w:trPr>
        <w:tc>
          <w:tcPr>
            <w:tcW w:w="1180" w:type="dxa"/>
            <w:vAlign w:val="bottom"/>
          </w:tcPr>
          <w:p>
            <w:pPr>
              <w:spacing w:after="0"/>
              <w:rPr>
                <w:sz w:val="20"/>
                <w:szCs w:val="20"/>
                <w:color w:val="auto"/>
              </w:rPr>
            </w:pPr>
          </w:p>
        </w:tc>
        <w:tc>
          <w:tcPr>
            <w:tcW w:w="9260" w:type="dxa"/>
            <w:vAlign w:val="bottom"/>
          </w:tcPr>
          <w:p>
            <w:pPr>
              <w:ind w:left="4120"/>
              <w:spacing w:after="0"/>
              <w:rPr>
                <w:sz w:val="20"/>
                <w:szCs w:val="20"/>
                <w:color w:val="auto"/>
              </w:rPr>
            </w:pPr>
            <w:r>
              <w:rPr>
                <w:rFonts w:ascii="Arial" w:cs="Arial" w:eastAsia="Arial" w:hAnsi="Arial"/>
                <w:sz w:val="18"/>
                <w:szCs w:val="18"/>
                <w:color w:val="auto"/>
              </w:rPr>
              <w:t>(continued)</w:t>
            </w:r>
          </w:p>
        </w:tc>
        <w:tc>
          <w:tcPr>
            <w:tcW w:w="980" w:type="dxa"/>
            <w:vAlign w:val="bottom"/>
          </w:tcPr>
          <w:p>
            <w:pPr>
              <w:spacing w:after="0"/>
              <w:rPr>
                <w:sz w:val="20"/>
                <w:szCs w:val="20"/>
                <w:color w:val="auto"/>
              </w:rPr>
            </w:pPr>
          </w:p>
        </w:tc>
      </w:tr>
      <w:tr>
        <w:trPr>
          <w:trHeight w:val="365"/>
        </w:trPr>
        <w:tc>
          <w:tcPr>
            <w:tcW w:w="118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411"/>
        </w:trPr>
        <w:tc>
          <w:tcPr>
            <w:tcW w:w="1180" w:type="dxa"/>
            <w:vAlign w:val="bottom"/>
          </w:tcPr>
          <w:p>
            <w:pPr>
              <w:spacing w:after="0"/>
              <w:rPr>
                <w:sz w:val="24"/>
                <w:szCs w:val="24"/>
                <w:color w:val="auto"/>
              </w:rPr>
            </w:pPr>
          </w:p>
        </w:tc>
        <w:tc>
          <w:tcPr>
            <w:tcW w:w="9260" w:type="dxa"/>
            <w:vAlign w:val="bottom"/>
          </w:tcPr>
          <w:p>
            <w:pPr>
              <w:jc w:val="center"/>
              <w:ind w:left="150"/>
              <w:spacing w:after="0"/>
              <w:rPr>
                <w:sz w:val="20"/>
                <w:szCs w:val="20"/>
                <w:color w:val="auto"/>
              </w:rPr>
            </w:pPr>
            <w:r>
              <w:rPr>
                <w:rFonts w:ascii="Arial" w:cs="Arial" w:eastAsia="Arial" w:hAnsi="Arial"/>
                <w:sz w:val="18"/>
                <w:szCs w:val="18"/>
                <w:color w:val="auto"/>
                <w:w w:val="99"/>
              </w:rPr>
              <w:t>ARTICLE IV</w:t>
            </w:r>
          </w:p>
        </w:tc>
        <w:tc>
          <w:tcPr>
            <w:tcW w:w="98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9260" w:type="dxa"/>
            <w:vAlign w:val="bottom"/>
          </w:tcPr>
          <w:p>
            <w:pPr>
              <w:jc w:val="center"/>
              <w:ind w:left="170"/>
              <w:spacing w:after="0"/>
              <w:rPr>
                <w:sz w:val="20"/>
                <w:szCs w:val="20"/>
                <w:color w:val="auto"/>
              </w:rPr>
            </w:pPr>
            <w:r>
              <w:rPr>
                <w:rFonts w:ascii="Arial" w:cs="Arial" w:eastAsia="Arial" w:hAnsi="Arial"/>
                <w:sz w:val="18"/>
                <w:szCs w:val="18"/>
                <w:color w:val="auto"/>
                <w:w w:val="96"/>
              </w:rPr>
              <w:t>COVENANTS</w:t>
            </w:r>
          </w:p>
        </w:tc>
        <w:tc>
          <w:tcPr>
            <w:tcW w:w="98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4.1</w:t>
            </w:r>
          </w:p>
        </w:tc>
        <w:tc>
          <w:tcPr>
            <w:tcW w:w="9260" w:type="dxa"/>
            <w:vAlign w:val="bottom"/>
          </w:tcPr>
          <w:p>
            <w:pPr>
              <w:ind w:left="260"/>
              <w:spacing w:after="0"/>
              <w:rPr>
                <w:sz w:val="20"/>
                <w:szCs w:val="20"/>
                <w:color w:val="auto"/>
              </w:rPr>
            </w:pPr>
            <w:r>
              <w:rPr>
                <w:rFonts w:ascii="Arial" w:cs="Arial" w:eastAsia="Arial" w:hAnsi="Arial"/>
                <w:sz w:val="18"/>
                <w:szCs w:val="18"/>
                <w:color w:val="auto"/>
              </w:rPr>
              <w:t>Payment of Principal and Interest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4.2</w:t>
            </w:r>
          </w:p>
        </w:tc>
        <w:tc>
          <w:tcPr>
            <w:tcW w:w="9260" w:type="dxa"/>
            <w:vAlign w:val="bottom"/>
          </w:tcPr>
          <w:p>
            <w:pPr>
              <w:ind w:left="260"/>
              <w:spacing w:after="0"/>
              <w:rPr>
                <w:sz w:val="20"/>
                <w:szCs w:val="20"/>
                <w:color w:val="auto"/>
              </w:rPr>
            </w:pPr>
            <w:r>
              <w:rPr>
                <w:rFonts w:ascii="Arial" w:cs="Arial" w:eastAsia="Arial" w:hAnsi="Arial"/>
                <w:sz w:val="18"/>
                <w:szCs w:val="18"/>
                <w:color w:val="auto"/>
              </w:rPr>
              <w:t>SEC Reports</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4.3</w:t>
            </w:r>
          </w:p>
        </w:tc>
        <w:tc>
          <w:tcPr>
            <w:tcW w:w="9260" w:type="dxa"/>
            <w:vAlign w:val="bottom"/>
          </w:tcPr>
          <w:p>
            <w:pPr>
              <w:ind w:left="260"/>
              <w:spacing w:after="0"/>
              <w:rPr>
                <w:sz w:val="20"/>
                <w:szCs w:val="20"/>
                <w:color w:val="auto"/>
              </w:rPr>
            </w:pPr>
            <w:r>
              <w:rPr>
                <w:rFonts w:ascii="Arial" w:cs="Arial" w:eastAsia="Arial" w:hAnsi="Arial"/>
                <w:sz w:val="18"/>
                <w:szCs w:val="18"/>
                <w:color w:val="auto"/>
              </w:rPr>
              <w:t>Compliance Certificate</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4.4</w:t>
            </w:r>
          </w:p>
        </w:tc>
        <w:tc>
          <w:tcPr>
            <w:tcW w:w="9260" w:type="dxa"/>
            <w:vAlign w:val="bottom"/>
          </w:tcPr>
          <w:p>
            <w:pPr>
              <w:ind w:left="260"/>
              <w:spacing w:after="0"/>
              <w:rPr>
                <w:sz w:val="20"/>
                <w:szCs w:val="20"/>
                <w:color w:val="auto"/>
              </w:rPr>
            </w:pPr>
            <w:r>
              <w:rPr>
                <w:rFonts w:ascii="Arial" w:cs="Arial" w:eastAsia="Arial" w:hAnsi="Arial"/>
                <w:sz w:val="18"/>
                <w:szCs w:val="18"/>
                <w:color w:val="auto"/>
              </w:rPr>
              <w:t>Stay, Extension and Usury Laws</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4.5</w:t>
            </w:r>
          </w:p>
        </w:tc>
        <w:tc>
          <w:tcPr>
            <w:tcW w:w="9260" w:type="dxa"/>
            <w:vAlign w:val="bottom"/>
          </w:tcPr>
          <w:p>
            <w:pPr>
              <w:ind w:left="260"/>
              <w:spacing w:after="0"/>
              <w:rPr>
                <w:sz w:val="20"/>
                <w:szCs w:val="20"/>
                <w:color w:val="auto"/>
              </w:rPr>
            </w:pPr>
            <w:r>
              <w:rPr>
                <w:rFonts w:ascii="Arial" w:cs="Arial" w:eastAsia="Arial" w:hAnsi="Arial"/>
                <w:sz w:val="18"/>
                <w:szCs w:val="18"/>
                <w:color w:val="auto"/>
              </w:rPr>
              <w:t>Corporate Existence</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180" w:type="dxa"/>
            <w:vAlign w:val="bottom"/>
          </w:tcPr>
          <w:p>
            <w:pPr>
              <w:spacing w:after="0"/>
              <w:rPr>
                <w:sz w:val="24"/>
                <w:szCs w:val="24"/>
                <w:color w:val="auto"/>
              </w:rPr>
            </w:pPr>
          </w:p>
        </w:tc>
        <w:tc>
          <w:tcPr>
            <w:tcW w:w="9260" w:type="dxa"/>
            <w:vAlign w:val="bottom"/>
          </w:tcPr>
          <w:p>
            <w:pPr>
              <w:jc w:val="center"/>
              <w:ind w:left="170"/>
              <w:spacing w:after="0"/>
              <w:rPr>
                <w:sz w:val="20"/>
                <w:szCs w:val="20"/>
                <w:color w:val="auto"/>
              </w:rPr>
            </w:pPr>
            <w:r>
              <w:rPr>
                <w:rFonts w:ascii="Arial" w:cs="Arial" w:eastAsia="Arial" w:hAnsi="Arial"/>
                <w:sz w:val="18"/>
                <w:szCs w:val="18"/>
                <w:color w:val="auto"/>
                <w:w w:val="98"/>
              </w:rPr>
              <w:t>ARTICLE V</w:t>
            </w:r>
          </w:p>
        </w:tc>
        <w:tc>
          <w:tcPr>
            <w:tcW w:w="98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9260" w:type="dxa"/>
            <w:vAlign w:val="bottom"/>
          </w:tcPr>
          <w:p>
            <w:pPr>
              <w:jc w:val="center"/>
              <w:ind w:left="170"/>
              <w:spacing w:after="0"/>
              <w:rPr>
                <w:sz w:val="20"/>
                <w:szCs w:val="20"/>
                <w:color w:val="auto"/>
              </w:rPr>
            </w:pPr>
            <w:r>
              <w:rPr>
                <w:rFonts w:ascii="Arial" w:cs="Arial" w:eastAsia="Arial" w:hAnsi="Arial"/>
                <w:sz w:val="18"/>
                <w:szCs w:val="18"/>
                <w:color w:val="auto"/>
                <w:w w:val="88"/>
              </w:rPr>
              <w:t>SUCCESSORS</w:t>
            </w:r>
          </w:p>
        </w:tc>
        <w:tc>
          <w:tcPr>
            <w:tcW w:w="98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5.1</w:t>
            </w:r>
          </w:p>
        </w:tc>
        <w:tc>
          <w:tcPr>
            <w:tcW w:w="9260" w:type="dxa"/>
            <w:vAlign w:val="bottom"/>
          </w:tcPr>
          <w:p>
            <w:pPr>
              <w:ind w:left="260"/>
              <w:spacing w:after="0"/>
              <w:rPr>
                <w:sz w:val="20"/>
                <w:szCs w:val="20"/>
                <w:color w:val="auto"/>
              </w:rPr>
            </w:pPr>
            <w:r>
              <w:rPr>
                <w:rFonts w:ascii="Arial" w:cs="Arial" w:eastAsia="Arial" w:hAnsi="Arial"/>
                <w:sz w:val="18"/>
                <w:szCs w:val="18"/>
                <w:color w:val="auto"/>
              </w:rPr>
              <w:t>When Company May Merge, Etc.</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5.2</w:t>
            </w:r>
          </w:p>
        </w:tc>
        <w:tc>
          <w:tcPr>
            <w:tcW w:w="9260" w:type="dxa"/>
            <w:vAlign w:val="bottom"/>
          </w:tcPr>
          <w:p>
            <w:pPr>
              <w:ind w:left="260"/>
              <w:spacing w:after="0"/>
              <w:rPr>
                <w:sz w:val="20"/>
                <w:szCs w:val="20"/>
                <w:color w:val="auto"/>
              </w:rPr>
            </w:pPr>
            <w:r>
              <w:rPr>
                <w:rFonts w:ascii="Arial" w:cs="Arial" w:eastAsia="Arial" w:hAnsi="Arial"/>
                <w:sz w:val="18"/>
                <w:szCs w:val="18"/>
                <w:color w:val="auto"/>
              </w:rPr>
              <w:t>Successor Corporation Substituted</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180" w:type="dxa"/>
            <w:vAlign w:val="bottom"/>
          </w:tcPr>
          <w:p>
            <w:pPr>
              <w:spacing w:after="0"/>
              <w:rPr>
                <w:sz w:val="24"/>
                <w:szCs w:val="24"/>
                <w:color w:val="auto"/>
              </w:rPr>
            </w:pPr>
          </w:p>
        </w:tc>
        <w:tc>
          <w:tcPr>
            <w:tcW w:w="9260" w:type="dxa"/>
            <w:vAlign w:val="bottom"/>
          </w:tcPr>
          <w:p>
            <w:pPr>
              <w:jc w:val="center"/>
              <w:ind w:left="150"/>
              <w:spacing w:after="0"/>
              <w:rPr>
                <w:sz w:val="20"/>
                <w:szCs w:val="20"/>
                <w:color w:val="auto"/>
              </w:rPr>
            </w:pPr>
            <w:r>
              <w:rPr>
                <w:rFonts w:ascii="Arial" w:cs="Arial" w:eastAsia="Arial" w:hAnsi="Arial"/>
                <w:sz w:val="18"/>
                <w:szCs w:val="18"/>
                <w:color w:val="auto"/>
                <w:w w:val="99"/>
              </w:rPr>
              <w:t>ARTICLE VI</w:t>
            </w:r>
          </w:p>
        </w:tc>
        <w:tc>
          <w:tcPr>
            <w:tcW w:w="98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9260" w:type="dxa"/>
            <w:vAlign w:val="bottom"/>
          </w:tcPr>
          <w:p>
            <w:pPr>
              <w:jc w:val="center"/>
              <w:ind w:left="170"/>
              <w:spacing w:after="0"/>
              <w:rPr>
                <w:sz w:val="20"/>
                <w:szCs w:val="20"/>
                <w:color w:val="auto"/>
              </w:rPr>
            </w:pPr>
            <w:r>
              <w:rPr>
                <w:rFonts w:ascii="Arial" w:cs="Arial" w:eastAsia="Arial" w:hAnsi="Arial"/>
                <w:sz w:val="18"/>
                <w:szCs w:val="18"/>
                <w:color w:val="auto"/>
                <w:w w:val="96"/>
              </w:rPr>
              <w:t>DEFAULTS AND REMEDIES</w:t>
            </w:r>
          </w:p>
        </w:tc>
        <w:tc>
          <w:tcPr>
            <w:tcW w:w="98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6.1</w:t>
            </w:r>
          </w:p>
        </w:tc>
        <w:tc>
          <w:tcPr>
            <w:tcW w:w="9260" w:type="dxa"/>
            <w:vAlign w:val="bottom"/>
          </w:tcPr>
          <w:p>
            <w:pPr>
              <w:ind w:left="260"/>
              <w:spacing w:after="0"/>
              <w:rPr>
                <w:sz w:val="20"/>
                <w:szCs w:val="20"/>
                <w:color w:val="auto"/>
              </w:rPr>
            </w:pPr>
            <w:r>
              <w:rPr>
                <w:rFonts w:ascii="Arial" w:cs="Arial" w:eastAsia="Arial" w:hAnsi="Arial"/>
                <w:sz w:val="18"/>
                <w:szCs w:val="18"/>
                <w:color w:val="auto"/>
              </w:rPr>
              <w:t>Events of Default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6.2</w:t>
            </w:r>
          </w:p>
        </w:tc>
        <w:tc>
          <w:tcPr>
            <w:tcW w:w="9260" w:type="dxa"/>
            <w:vAlign w:val="bottom"/>
          </w:tcPr>
          <w:p>
            <w:pPr>
              <w:ind w:left="260"/>
              <w:spacing w:after="0"/>
              <w:rPr>
                <w:sz w:val="20"/>
                <w:szCs w:val="20"/>
                <w:color w:val="auto"/>
              </w:rPr>
            </w:pPr>
            <w:r>
              <w:rPr>
                <w:rFonts w:ascii="Arial" w:cs="Arial" w:eastAsia="Arial" w:hAnsi="Arial"/>
                <w:sz w:val="18"/>
                <w:szCs w:val="18"/>
                <w:color w:val="auto"/>
              </w:rPr>
              <w:t>Acceleration of Maturity; Rescission and Annulment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6.3</w:t>
            </w:r>
          </w:p>
        </w:tc>
        <w:tc>
          <w:tcPr>
            <w:tcW w:w="9260" w:type="dxa"/>
            <w:vAlign w:val="bottom"/>
          </w:tcPr>
          <w:p>
            <w:pPr>
              <w:ind w:left="260"/>
              <w:spacing w:after="0"/>
              <w:rPr>
                <w:sz w:val="20"/>
                <w:szCs w:val="20"/>
                <w:color w:val="auto"/>
              </w:rPr>
            </w:pPr>
            <w:r>
              <w:rPr>
                <w:rFonts w:ascii="Arial" w:cs="Arial" w:eastAsia="Arial" w:hAnsi="Arial"/>
                <w:sz w:val="18"/>
                <w:szCs w:val="18"/>
                <w:color w:val="auto"/>
              </w:rPr>
              <w:t>Collection of Indebtedness and Suits for Enforcement by Trustee</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6.4</w:t>
            </w:r>
          </w:p>
        </w:tc>
        <w:tc>
          <w:tcPr>
            <w:tcW w:w="9260" w:type="dxa"/>
            <w:vAlign w:val="bottom"/>
          </w:tcPr>
          <w:p>
            <w:pPr>
              <w:ind w:left="260"/>
              <w:spacing w:after="0"/>
              <w:rPr>
                <w:sz w:val="20"/>
                <w:szCs w:val="20"/>
                <w:color w:val="auto"/>
              </w:rPr>
            </w:pPr>
            <w:r>
              <w:rPr>
                <w:rFonts w:ascii="Arial" w:cs="Arial" w:eastAsia="Arial" w:hAnsi="Arial"/>
                <w:sz w:val="18"/>
                <w:szCs w:val="18"/>
                <w:color w:val="auto"/>
              </w:rPr>
              <w:t>Trustee May File Proofs of Claim</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6.5</w:t>
            </w:r>
          </w:p>
        </w:tc>
        <w:tc>
          <w:tcPr>
            <w:tcW w:w="9260" w:type="dxa"/>
            <w:vAlign w:val="bottom"/>
          </w:tcPr>
          <w:p>
            <w:pPr>
              <w:ind w:left="260"/>
              <w:spacing w:after="0"/>
              <w:rPr>
                <w:sz w:val="20"/>
                <w:szCs w:val="20"/>
                <w:color w:val="auto"/>
              </w:rPr>
            </w:pPr>
            <w:r>
              <w:rPr>
                <w:rFonts w:ascii="Arial" w:cs="Arial" w:eastAsia="Arial" w:hAnsi="Arial"/>
                <w:sz w:val="18"/>
                <w:szCs w:val="18"/>
                <w:color w:val="auto"/>
              </w:rPr>
              <w:t>Trustee May Enforce Claims Without Possession of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6.6</w:t>
            </w:r>
          </w:p>
        </w:tc>
        <w:tc>
          <w:tcPr>
            <w:tcW w:w="9260" w:type="dxa"/>
            <w:vAlign w:val="bottom"/>
          </w:tcPr>
          <w:p>
            <w:pPr>
              <w:ind w:left="260"/>
              <w:spacing w:after="0"/>
              <w:rPr>
                <w:sz w:val="20"/>
                <w:szCs w:val="20"/>
                <w:color w:val="auto"/>
              </w:rPr>
            </w:pPr>
            <w:r>
              <w:rPr>
                <w:rFonts w:ascii="Arial" w:cs="Arial" w:eastAsia="Arial" w:hAnsi="Arial"/>
                <w:sz w:val="18"/>
                <w:szCs w:val="18"/>
                <w:color w:val="auto"/>
              </w:rPr>
              <w:t>Application of Money Collected</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6.7</w:t>
            </w:r>
          </w:p>
        </w:tc>
        <w:tc>
          <w:tcPr>
            <w:tcW w:w="9260" w:type="dxa"/>
            <w:vAlign w:val="bottom"/>
          </w:tcPr>
          <w:p>
            <w:pPr>
              <w:ind w:left="260"/>
              <w:spacing w:after="0"/>
              <w:rPr>
                <w:sz w:val="20"/>
                <w:szCs w:val="20"/>
                <w:color w:val="auto"/>
              </w:rPr>
            </w:pPr>
            <w:r>
              <w:rPr>
                <w:rFonts w:ascii="Arial" w:cs="Arial" w:eastAsia="Arial" w:hAnsi="Arial"/>
                <w:sz w:val="18"/>
                <w:szCs w:val="18"/>
                <w:color w:val="auto"/>
              </w:rPr>
              <w:t>Limitation on Suits</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6.8</w:t>
            </w:r>
          </w:p>
        </w:tc>
        <w:tc>
          <w:tcPr>
            <w:tcW w:w="9260" w:type="dxa"/>
            <w:vAlign w:val="bottom"/>
          </w:tcPr>
          <w:p>
            <w:pPr>
              <w:ind w:left="260"/>
              <w:spacing w:after="0"/>
              <w:rPr>
                <w:sz w:val="20"/>
                <w:szCs w:val="20"/>
                <w:color w:val="auto"/>
              </w:rPr>
            </w:pPr>
            <w:r>
              <w:rPr>
                <w:rFonts w:ascii="Arial" w:cs="Arial" w:eastAsia="Arial" w:hAnsi="Arial"/>
                <w:sz w:val="18"/>
                <w:szCs w:val="18"/>
                <w:color w:val="auto"/>
              </w:rPr>
              <w:t>Unconditional Right of Holders to Receive Principal and Interest</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6.9</w:t>
            </w:r>
          </w:p>
        </w:tc>
        <w:tc>
          <w:tcPr>
            <w:tcW w:w="9260" w:type="dxa"/>
            <w:vAlign w:val="bottom"/>
          </w:tcPr>
          <w:p>
            <w:pPr>
              <w:ind w:left="260"/>
              <w:spacing w:after="0"/>
              <w:rPr>
                <w:sz w:val="20"/>
                <w:szCs w:val="20"/>
                <w:color w:val="auto"/>
              </w:rPr>
            </w:pPr>
            <w:r>
              <w:rPr>
                <w:rFonts w:ascii="Arial" w:cs="Arial" w:eastAsia="Arial" w:hAnsi="Arial"/>
                <w:sz w:val="18"/>
                <w:szCs w:val="18"/>
                <w:color w:val="auto"/>
              </w:rPr>
              <w:t>Restoration of Rights and Remedies</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6.10</w:t>
            </w:r>
          </w:p>
        </w:tc>
        <w:tc>
          <w:tcPr>
            <w:tcW w:w="9260" w:type="dxa"/>
            <w:vAlign w:val="bottom"/>
          </w:tcPr>
          <w:p>
            <w:pPr>
              <w:ind w:left="260"/>
              <w:spacing w:after="0"/>
              <w:rPr>
                <w:sz w:val="20"/>
                <w:szCs w:val="20"/>
                <w:color w:val="auto"/>
              </w:rPr>
            </w:pPr>
            <w:r>
              <w:rPr>
                <w:rFonts w:ascii="Arial" w:cs="Arial" w:eastAsia="Arial" w:hAnsi="Arial"/>
                <w:sz w:val="18"/>
                <w:szCs w:val="18"/>
                <w:color w:val="auto"/>
              </w:rPr>
              <w:t>Rights and Remedies Cumulative</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6.11</w:t>
            </w:r>
          </w:p>
        </w:tc>
        <w:tc>
          <w:tcPr>
            <w:tcW w:w="9260" w:type="dxa"/>
            <w:vAlign w:val="bottom"/>
          </w:tcPr>
          <w:p>
            <w:pPr>
              <w:ind w:left="260"/>
              <w:spacing w:after="0"/>
              <w:rPr>
                <w:sz w:val="20"/>
                <w:szCs w:val="20"/>
                <w:color w:val="auto"/>
              </w:rPr>
            </w:pPr>
            <w:r>
              <w:rPr>
                <w:rFonts w:ascii="Arial" w:cs="Arial" w:eastAsia="Arial" w:hAnsi="Arial"/>
                <w:sz w:val="18"/>
                <w:szCs w:val="18"/>
                <w:color w:val="auto"/>
              </w:rPr>
              <w:t>Delay or Omission Not Waiver</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6.12</w:t>
            </w:r>
          </w:p>
        </w:tc>
        <w:tc>
          <w:tcPr>
            <w:tcW w:w="9260" w:type="dxa"/>
            <w:vAlign w:val="bottom"/>
          </w:tcPr>
          <w:p>
            <w:pPr>
              <w:ind w:left="260"/>
              <w:spacing w:after="0"/>
              <w:rPr>
                <w:sz w:val="20"/>
                <w:szCs w:val="20"/>
                <w:color w:val="auto"/>
              </w:rPr>
            </w:pPr>
            <w:r>
              <w:rPr>
                <w:rFonts w:ascii="Arial" w:cs="Arial" w:eastAsia="Arial" w:hAnsi="Arial"/>
                <w:sz w:val="18"/>
                <w:szCs w:val="18"/>
                <w:color w:val="auto"/>
              </w:rPr>
              <w:t>Control by 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6.13</w:t>
            </w:r>
          </w:p>
        </w:tc>
        <w:tc>
          <w:tcPr>
            <w:tcW w:w="9260" w:type="dxa"/>
            <w:vAlign w:val="bottom"/>
          </w:tcPr>
          <w:p>
            <w:pPr>
              <w:ind w:left="260"/>
              <w:spacing w:after="0"/>
              <w:rPr>
                <w:sz w:val="20"/>
                <w:szCs w:val="20"/>
                <w:color w:val="auto"/>
              </w:rPr>
            </w:pPr>
            <w:r>
              <w:rPr>
                <w:rFonts w:ascii="Arial" w:cs="Arial" w:eastAsia="Arial" w:hAnsi="Arial"/>
                <w:sz w:val="18"/>
                <w:szCs w:val="18"/>
                <w:color w:val="auto"/>
              </w:rPr>
              <w:t>Waiver of Past Defaults</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6.14</w:t>
            </w:r>
          </w:p>
        </w:tc>
        <w:tc>
          <w:tcPr>
            <w:tcW w:w="9260" w:type="dxa"/>
            <w:vAlign w:val="bottom"/>
          </w:tcPr>
          <w:p>
            <w:pPr>
              <w:ind w:left="260"/>
              <w:spacing w:after="0"/>
              <w:rPr>
                <w:sz w:val="20"/>
                <w:szCs w:val="20"/>
                <w:color w:val="auto"/>
              </w:rPr>
            </w:pPr>
            <w:r>
              <w:rPr>
                <w:rFonts w:ascii="Arial" w:cs="Arial" w:eastAsia="Arial" w:hAnsi="Arial"/>
                <w:sz w:val="18"/>
                <w:szCs w:val="18"/>
                <w:color w:val="auto"/>
              </w:rPr>
              <w:t>Undertaking for Costs</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180" w:type="dxa"/>
            <w:vAlign w:val="bottom"/>
          </w:tcPr>
          <w:p>
            <w:pPr>
              <w:spacing w:after="0"/>
              <w:rPr>
                <w:sz w:val="24"/>
                <w:szCs w:val="24"/>
                <w:color w:val="auto"/>
              </w:rPr>
            </w:pPr>
          </w:p>
        </w:tc>
        <w:tc>
          <w:tcPr>
            <w:tcW w:w="9260" w:type="dxa"/>
            <w:vAlign w:val="bottom"/>
          </w:tcPr>
          <w:p>
            <w:pPr>
              <w:jc w:val="center"/>
              <w:ind w:left="170"/>
              <w:spacing w:after="0"/>
              <w:rPr>
                <w:sz w:val="20"/>
                <w:szCs w:val="20"/>
                <w:color w:val="auto"/>
              </w:rPr>
            </w:pPr>
            <w:r>
              <w:rPr>
                <w:rFonts w:ascii="Arial" w:cs="Arial" w:eastAsia="Arial" w:hAnsi="Arial"/>
                <w:sz w:val="18"/>
                <w:szCs w:val="18"/>
                <w:color w:val="auto"/>
              </w:rPr>
              <w:t>ARTICLE VII</w:t>
            </w:r>
          </w:p>
        </w:tc>
        <w:tc>
          <w:tcPr>
            <w:tcW w:w="98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p>
        </w:tc>
        <w:tc>
          <w:tcPr>
            <w:tcW w:w="9260" w:type="dxa"/>
            <w:vAlign w:val="bottom"/>
          </w:tcPr>
          <w:p>
            <w:pPr>
              <w:jc w:val="center"/>
              <w:ind w:left="170"/>
              <w:spacing w:after="0"/>
              <w:rPr>
                <w:sz w:val="20"/>
                <w:szCs w:val="20"/>
                <w:color w:val="auto"/>
              </w:rPr>
            </w:pPr>
            <w:r>
              <w:rPr>
                <w:rFonts w:ascii="Arial" w:cs="Arial" w:eastAsia="Arial" w:hAnsi="Arial"/>
                <w:sz w:val="18"/>
                <w:szCs w:val="18"/>
                <w:color w:val="auto"/>
                <w:w w:val="95"/>
              </w:rPr>
              <w:t>TRUSTEE</w:t>
            </w:r>
          </w:p>
        </w:tc>
        <w:tc>
          <w:tcPr>
            <w:tcW w:w="980" w:type="dxa"/>
            <w:vAlign w:val="bottom"/>
          </w:tcPr>
          <w:p>
            <w:pPr>
              <w:spacing w:after="0"/>
              <w:rPr>
                <w:sz w:val="20"/>
                <w:szCs w:val="20"/>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7.1</w:t>
            </w:r>
          </w:p>
        </w:tc>
        <w:tc>
          <w:tcPr>
            <w:tcW w:w="9260" w:type="dxa"/>
            <w:vAlign w:val="bottom"/>
          </w:tcPr>
          <w:p>
            <w:pPr>
              <w:ind w:left="260"/>
              <w:spacing w:after="0"/>
              <w:rPr>
                <w:sz w:val="20"/>
                <w:szCs w:val="20"/>
                <w:color w:val="auto"/>
              </w:rPr>
            </w:pPr>
            <w:r>
              <w:rPr>
                <w:rFonts w:ascii="Arial" w:cs="Arial" w:eastAsia="Arial" w:hAnsi="Arial"/>
                <w:sz w:val="18"/>
                <w:szCs w:val="18"/>
                <w:color w:val="auto"/>
              </w:rPr>
              <w:t>Duties of Trustee</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7.2</w:t>
            </w:r>
          </w:p>
        </w:tc>
        <w:tc>
          <w:tcPr>
            <w:tcW w:w="9260" w:type="dxa"/>
            <w:vAlign w:val="bottom"/>
          </w:tcPr>
          <w:p>
            <w:pPr>
              <w:ind w:left="260"/>
              <w:spacing w:after="0"/>
              <w:rPr>
                <w:sz w:val="20"/>
                <w:szCs w:val="20"/>
                <w:color w:val="auto"/>
              </w:rPr>
            </w:pPr>
            <w:r>
              <w:rPr>
                <w:rFonts w:ascii="Arial" w:cs="Arial" w:eastAsia="Arial" w:hAnsi="Arial"/>
                <w:sz w:val="18"/>
                <w:szCs w:val="18"/>
                <w:color w:val="auto"/>
              </w:rPr>
              <w:t>Rights of Trustee</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7.3</w:t>
            </w:r>
          </w:p>
        </w:tc>
        <w:tc>
          <w:tcPr>
            <w:tcW w:w="9260" w:type="dxa"/>
            <w:vAlign w:val="bottom"/>
          </w:tcPr>
          <w:p>
            <w:pPr>
              <w:ind w:left="260"/>
              <w:spacing w:after="0"/>
              <w:rPr>
                <w:sz w:val="20"/>
                <w:szCs w:val="20"/>
                <w:color w:val="auto"/>
              </w:rPr>
            </w:pPr>
            <w:r>
              <w:rPr>
                <w:rFonts w:ascii="Arial" w:cs="Arial" w:eastAsia="Arial" w:hAnsi="Arial"/>
                <w:sz w:val="18"/>
                <w:szCs w:val="18"/>
                <w:color w:val="auto"/>
              </w:rPr>
              <w:t>Force Majeure</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7.4</w:t>
            </w:r>
          </w:p>
        </w:tc>
        <w:tc>
          <w:tcPr>
            <w:tcW w:w="9260" w:type="dxa"/>
            <w:vAlign w:val="bottom"/>
          </w:tcPr>
          <w:p>
            <w:pPr>
              <w:ind w:left="260"/>
              <w:spacing w:after="0"/>
              <w:rPr>
                <w:sz w:val="20"/>
                <w:szCs w:val="20"/>
                <w:color w:val="auto"/>
              </w:rPr>
            </w:pPr>
            <w:r>
              <w:rPr>
                <w:rFonts w:ascii="Arial" w:cs="Arial" w:eastAsia="Arial" w:hAnsi="Arial"/>
                <w:sz w:val="18"/>
                <w:szCs w:val="18"/>
                <w:color w:val="auto"/>
              </w:rPr>
              <w:t>Individual Rights of Trustee</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7.5</w:t>
            </w:r>
          </w:p>
        </w:tc>
        <w:tc>
          <w:tcPr>
            <w:tcW w:w="9260" w:type="dxa"/>
            <w:vAlign w:val="bottom"/>
          </w:tcPr>
          <w:p>
            <w:pPr>
              <w:ind w:left="260"/>
              <w:spacing w:after="0"/>
              <w:rPr>
                <w:sz w:val="20"/>
                <w:szCs w:val="20"/>
                <w:color w:val="auto"/>
              </w:rPr>
            </w:pPr>
            <w:r>
              <w:rPr>
                <w:rFonts w:ascii="Arial" w:cs="Arial" w:eastAsia="Arial" w:hAnsi="Arial"/>
                <w:sz w:val="18"/>
                <w:szCs w:val="18"/>
                <w:color w:val="auto"/>
              </w:rPr>
              <w:t>Trustee’s Disclaimer</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7.6</w:t>
            </w:r>
          </w:p>
        </w:tc>
        <w:tc>
          <w:tcPr>
            <w:tcW w:w="9260" w:type="dxa"/>
            <w:vAlign w:val="bottom"/>
          </w:tcPr>
          <w:p>
            <w:pPr>
              <w:ind w:left="260"/>
              <w:spacing w:after="0"/>
              <w:rPr>
                <w:sz w:val="20"/>
                <w:szCs w:val="20"/>
                <w:color w:val="auto"/>
              </w:rPr>
            </w:pPr>
            <w:r>
              <w:rPr>
                <w:rFonts w:ascii="Arial" w:cs="Arial" w:eastAsia="Arial" w:hAnsi="Arial"/>
                <w:sz w:val="18"/>
                <w:szCs w:val="18"/>
                <w:color w:val="auto"/>
              </w:rPr>
              <w:t>Notice of Defaults</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7.7</w:t>
            </w:r>
          </w:p>
        </w:tc>
        <w:tc>
          <w:tcPr>
            <w:tcW w:w="9260" w:type="dxa"/>
            <w:vAlign w:val="bottom"/>
          </w:tcPr>
          <w:p>
            <w:pPr>
              <w:ind w:left="260"/>
              <w:spacing w:after="0"/>
              <w:rPr>
                <w:sz w:val="20"/>
                <w:szCs w:val="20"/>
                <w:color w:val="auto"/>
              </w:rPr>
            </w:pPr>
            <w:r>
              <w:rPr>
                <w:rFonts w:ascii="Arial" w:cs="Arial" w:eastAsia="Arial" w:hAnsi="Arial"/>
                <w:sz w:val="18"/>
                <w:szCs w:val="18"/>
                <w:color w:val="auto"/>
              </w:rPr>
              <w:t>Reports by Trustee to 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0"/>
        </w:trPr>
        <w:tc>
          <w:tcPr>
            <w:tcW w:w="1220" w:type="dxa"/>
            <w:vAlign w:val="bottom"/>
          </w:tcPr>
          <w:p>
            <w:pPr>
              <w:spacing w:after="0"/>
              <w:rPr>
                <w:sz w:val="19"/>
                <w:szCs w:val="19"/>
                <w:color w:val="auto"/>
              </w:rPr>
            </w:pPr>
          </w:p>
        </w:tc>
        <w:tc>
          <w:tcPr>
            <w:tcW w:w="922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p>
        </w:tc>
        <w:tc>
          <w:tcPr>
            <w:tcW w:w="9220" w:type="dxa"/>
            <w:vAlign w:val="bottom"/>
          </w:tcPr>
          <w:p>
            <w:pPr>
              <w:ind w:left="4080"/>
              <w:spacing w:after="0"/>
              <w:rPr>
                <w:sz w:val="20"/>
                <w:szCs w:val="20"/>
                <w:color w:val="auto"/>
              </w:rPr>
            </w:pPr>
            <w:r>
              <w:rPr>
                <w:rFonts w:ascii="Arial" w:cs="Arial" w:eastAsia="Arial" w:hAnsi="Arial"/>
                <w:sz w:val="18"/>
                <w:szCs w:val="18"/>
                <w:color w:val="auto"/>
              </w:rPr>
              <w:t>(continued)</w:t>
            </w:r>
          </w:p>
        </w:tc>
        <w:tc>
          <w:tcPr>
            <w:tcW w:w="980" w:type="dxa"/>
            <w:vAlign w:val="bottom"/>
          </w:tcPr>
          <w:p>
            <w:pPr>
              <w:spacing w:after="0"/>
              <w:rPr>
                <w:sz w:val="20"/>
                <w:szCs w:val="20"/>
                <w:color w:val="auto"/>
              </w:rPr>
            </w:pPr>
          </w:p>
        </w:tc>
      </w:tr>
      <w:tr>
        <w:trPr>
          <w:trHeight w:val="365"/>
        </w:trPr>
        <w:tc>
          <w:tcPr>
            <w:tcW w:w="12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411"/>
        </w:trPr>
        <w:tc>
          <w:tcPr>
            <w:tcW w:w="1220" w:type="dxa"/>
            <w:vAlign w:val="bottom"/>
          </w:tcPr>
          <w:p>
            <w:pPr>
              <w:spacing w:after="0"/>
              <w:rPr>
                <w:sz w:val="20"/>
                <w:szCs w:val="20"/>
                <w:color w:val="auto"/>
              </w:rPr>
            </w:pPr>
            <w:r>
              <w:rPr>
                <w:rFonts w:ascii="Arial" w:cs="Arial" w:eastAsia="Arial" w:hAnsi="Arial"/>
                <w:sz w:val="18"/>
                <w:szCs w:val="18"/>
                <w:color w:val="auto"/>
              </w:rPr>
              <w:t>Section 7.8</w:t>
            </w:r>
          </w:p>
        </w:tc>
        <w:tc>
          <w:tcPr>
            <w:tcW w:w="9220" w:type="dxa"/>
            <w:vAlign w:val="bottom"/>
          </w:tcPr>
          <w:p>
            <w:pPr>
              <w:ind w:left="220"/>
              <w:spacing w:after="0"/>
              <w:rPr>
                <w:sz w:val="20"/>
                <w:szCs w:val="20"/>
                <w:color w:val="auto"/>
              </w:rPr>
            </w:pPr>
            <w:r>
              <w:rPr>
                <w:rFonts w:ascii="Arial" w:cs="Arial" w:eastAsia="Arial" w:hAnsi="Arial"/>
                <w:sz w:val="18"/>
                <w:szCs w:val="18"/>
                <w:color w:val="auto"/>
              </w:rPr>
              <w:t>Compensation and Indemnity</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7.9</w:t>
            </w:r>
          </w:p>
        </w:tc>
        <w:tc>
          <w:tcPr>
            <w:tcW w:w="9220" w:type="dxa"/>
            <w:vAlign w:val="bottom"/>
          </w:tcPr>
          <w:p>
            <w:pPr>
              <w:ind w:left="220"/>
              <w:spacing w:after="0"/>
              <w:rPr>
                <w:sz w:val="20"/>
                <w:szCs w:val="20"/>
                <w:color w:val="auto"/>
              </w:rPr>
            </w:pPr>
            <w:r>
              <w:rPr>
                <w:rFonts w:ascii="Arial" w:cs="Arial" w:eastAsia="Arial" w:hAnsi="Arial"/>
                <w:sz w:val="18"/>
                <w:szCs w:val="18"/>
                <w:color w:val="auto"/>
              </w:rPr>
              <w:t>Replacement of Trustee</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7.10</w:t>
            </w:r>
          </w:p>
        </w:tc>
        <w:tc>
          <w:tcPr>
            <w:tcW w:w="9220" w:type="dxa"/>
            <w:vAlign w:val="bottom"/>
          </w:tcPr>
          <w:p>
            <w:pPr>
              <w:ind w:left="220"/>
              <w:spacing w:after="0"/>
              <w:rPr>
                <w:sz w:val="20"/>
                <w:szCs w:val="20"/>
                <w:color w:val="auto"/>
              </w:rPr>
            </w:pPr>
            <w:r>
              <w:rPr>
                <w:rFonts w:ascii="Arial" w:cs="Arial" w:eastAsia="Arial" w:hAnsi="Arial"/>
                <w:sz w:val="18"/>
                <w:szCs w:val="18"/>
                <w:color w:val="auto"/>
              </w:rPr>
              <w:t>Successor Trustee by Merger, etc.</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7.11</w:t>
            </w:r>
          </w:p>
        </w:tc>
        <w:tc>
          <w:tcPr>
            <w:tcW w:w="9220" w:type="dxa"/>
            <w:vAlign w:val="bottom"/>
          </w:tcPr>
          <w:p>
            <w:pPr>
              <w:ind w:left="220"/>
              <w:spacing w:after="0"/>
              <w:rPr>
                <w:sz w:val="20"/>
                <w:szCs w:val="20"/>
                <w:color w:val="auto"/>
              </w:rPr>
            </w:pPr>
            <w:r>
              <w:rPr>
                <w:rFonts w:ascii="Arial" w:cs="Arial" w:eastAsia="Arial" w:hAnsi="Arial"/>
                <w:sz w:val="18"/>
                <w:szCs w:val="18"/>
                <w:color w:val="auto"/>
              </w:rPr>
              <w:t>Eligibility; Disqualification</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7.12</w:t>
            </w:r>
          </w:p>
        </w:tc>
        <w:tc>
          <w:tcPr>
            <w:tcW w:w="9220" w:type="dxa"/>
            <w:vAlign w:val="bottom"/>
          </w:tcPr>
          <w:p>
            <w:pPr>
              <w:ind w:left="220"/>
              <w:spacing w:after="0"/>
              <w:rPr>
                <w:sz w:val="20"/>
                <w:szCs w:val="20"/>
                <w:color w:val="auto"/>
              </w:rPr>
            </w:pPr>
            <w:r>
              <w:rPr>
                <w:rFonts w:ascii="Arial" w:cs="Arial" w:eastAsia="Arial" w:hAnsi="Arial"/>
                <w:sz w:val="18"/>
                <w:szCs w:val="18"/>
                <w:color w:val="auto"/>
              </w:rPr>
              <w:t>Preferential Collection of Claims Against Company</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1220" w:type="dxa"/>
            <w:vAlign w:val="bottom"/>
          </w:tcPr>
          <w:p>
            <w:pPr>
              <w:spacing w:after="0"/>
              <w:rPr>
                <w:sz w:val="24"/>
                <w:szCs w:val="24"/>
                <w:color w:val="auto"/>
              </w:rPr>
            </w:pPr>
          </w:p>
        </w:tc>
        <w:tc>
          <w:tcPr>
            <w:tcW w:w="9220" w:type="dxa"/>
            <w:vAlign w:val="bottom"/>
          </w:tcPr>
          <w:p>
            <w:pPr>
              <w:jc w:val="center"/>
              <w:ind w:left="110"/>
              <w:spacing w:after="0"/>
              <w:rPr>
                <w:sz w:val="20"/>
                <w:szCs w:val="20"/>
                <w:color w:val="auto"/>
              </w:rPr>
            </w:pPr>
            <w:r>
              <w:rPr>
                <w:rFonts w:ascii="Arial" w:cs="Arial" w:eastAsia="Arial" w:hAnsi="Arial"/>
                <w:sz w:val="18"/>
                <w:szCs w:val="18"/>
                <w:color w:val="auto"/>
              </w:rPr>
              <w:t>ARTICLE VIII</w:t>
            </w:r>
          </w:p>
        </w:tc>
        <w:tc>
          <w:tcPr>
            <w:tcW w:w="98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9220" w:type="dxa"/>
            <w:vAlign w:val="bottom"/>
          </w:tcPr>
          <w:p>
            <w:pPr>
              <w:jc w:val="center"/>
              <w:ind w:left="110"/>
              <w:spacing w:after="0"/>
              <w:rPr>
                <w:sz w:val="20"/>
                <w:szCs w:val="20"/>
                <w:color w:val="auto"/>
              </w:rPr>
            </w:pPr>
            <w:r>
              <w:rPr>
                <w:rFonts w:ascii="Arial" w:cs="Arial" w:eastAsia="Arial" w:hAnsi="Arial"/>
                <w:sz w:val="18"/>
                <w:szCs w:val="18"/>
                <w:color w:val="auto"/>
                <w:w w:val="96"/>
              </w:rPr>
              <w:t>SATISFACTION AND DISCHARGE; DEFEASANCE</w:t>
            </w:r>
          </w:p>
        </w:tc>
        <w:tc>
          <w:tcPr>
            <w:tcW w:w="980" w:type="dxa"/>
            <w:vAlign w:val="bottom"/>
          </w:tcPr>
          <w:p>
            <w:pPr>
              <w:spacing w:after="0"/>
              <w:rPr>
                <w:sz w:val="20"/>
                <w:szCs w:val="20"/>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8.1</w:t>
            </w:r>
          </w:p>
        </w:tc>
        <w:tc>
          <w:tcPr>
            <w:tcW w:w="9220" w:type="dxa"/>
            <w:vAlign w:val="bottom"/>
          </w:tcPr>
          <w:p>
            <w:pPr>
              <w:ind w:left="220"/>
              <w:spacing w:after="0"/>
              <w:rPr>
                <w:sz w:val="20"/>
                <w:szCs w:val="20"/>
                <w:color w:val="auto"/>
              </w:rPr>
            </w:pPr>
            <w:r>
              <w:rPr>
                <w:rFonts w:ascii="Arial" w:cs="Arial" w:eastAsia="Arial" w:hAnsi="Arial"/>
                <w:sz w:val="18"/>
                <w:szCs w:val="18"/>
                <w:color w:val="auto"/>
              </w:rPr>
              <w:t>Satisfaction and Discharge of Indenture</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8.2</w:t>
            </w:r>
          </w:p>
        </w:tc>
        <w:tc>
          <w:tcPr>
            <w:tcW w:w="9220" w:type="dxa"/>
            <w:vAlign w:val="bottom"/>
          </w:tcPr>
          <w:p>
            <w:pPr>
              <w:ind w:left="220"/>
              <w:spacing w:after="0"/>
              <w:rPr>
                <w:sz w:val="20"/>
                <w:szCs w:val="20"/>
                <w:color w:val="auto"/>
              </w:rPr>
            </w:pPr>
            <w:r>
              <w:rPr>
                <w:rFonts w:ascii="Arial" w:cs="Arial" w:eastAsia="Arial" w:hAnsi="Arial"/>
                <w:sz w:val="18"/>
                <w:szCs w:val="18"/>
                <w:color w:val="auto"/>
              </w:rPr>
              <w:t>Application of Trust Funds; Indemnification</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8.3</w:t>
            </w:r>
          </w:p>
        </w:tc>
        <w:tc>
          <w:tcPr>
            <w:tcW w:w="9220" w:type="dxa"/>
            <w:vAlign w:val="bottom"/>
          </w:tcPr>
          <w:p>
            <w:pPr>
              <w:ind w:left="220"/>
              <w:spacing w:after="0"/>
              <w:rPr>
                <w:sz w:val="20"/>
                <w:szCs w:val="20"/>
                <w:color w:val="auto"/>
              </w:rPr>
            </w:pPr>
            <w:r>
              <w:rPr>
                <w:rFonts w:ascii="Arial" w:cs="Arial" w:eastAsia="Arial" w:hAnsi="Arial"/>
                <w:sz w:val="18"/>
                <w:szCs w:val="18"/>
                <w:color w:val="auto"/>
              </w:rPr>
              <w:t>Legal Defeasance of Securities of any Series</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8.4</w:t>
            </w:r>
          </w:p>
        </w:tc>
        <w:tc>
          <w:tcPr>
            <w:tcW w:w="9220" w:type="dxa"/>
            <w:vAlign w:val="bottom"/>
          </w:tcPr>
          <w:p>
            <w:pPr>
              <w:ind w:left="220"/>
              <w:spacing w:after="0"/>
              <w:rPr>
                <w:sz w:val="20"/>
                <w:szCs w:val="20"/>
                <w:color w:val="auto"/>
              </w:rPr>
            </w:pPr>
            <w:r>
              <w:rPr>
                <w:rFonts w:ascii="Arial" w:cs="Arial" w:eastAsia="Arial" w:hAnsi="Arial"/>
                <w:sz w:val="18"/>
                <w:szCs w:val="18"/>
                <w:color w:val="auto"/>
              </w:rPr>
              <w:t>Covenant Defeasance</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8.5</w:t>
            </w:r>
          </w:p>
        </w:tc>
        <w:tc>
          <w:tcPr>
            <w:tcW w:w="9220" w:type="dxa"/>
            <w:vAlign w:val="bottom"/>
          </w:tcPr>
          <w:p>
            <w:pPr>
              <w:ind w:left="220"/>
              <w:spacing w:after="0"/>
              <w:rPr>
                <w:sz w:val="20"/>
                <w:szCs w:val="20"/>
                <w:color w:val="auto"/>
              </w:rPr>
            </w:pPr>
            <w:r>
              <w:rPr>
                <w:rFonts w:ascii="Arial" w:cs="Arial" w:eastAsia="Arial" w:hAnsi="Arial"/>
                <w:sz w:val="18"/>
                <w:szCs w:val="18"/>
                <w:color w:val="auto"/>
              </w:rPr>
              <w:t>Repayment to Company</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1220" w:type="dxa"/>
            <w:vAlign w:val="bottom"/>
          </w:tcPr>
          <w:p>
            <w:pPr>
              <w:spacing w:after="0"/>
              <w:rPr>
                <w:sz w:val="24"/>
                <w:szCs w:val="24"/>
                <w:color w:val="auto"/>
              </w:rPr>
            </w:pPr>
          </w:p>
        </w:tc>
        <w:tc>
          <w:tcPr>
            <w:tcW w:w="9220" w:type="dxa"/>
            <w:vAlign w:val="bottom"/>
          </w:tcPr>
          <w:p>
            <w:pPr>
              <w:jc w:val="center"/>
              <w:ind w:left="110"/>
              <w:spacing w:after="0"/>
              <w:rPr>
                <w:sz w:val="20"/>
                <w:szCs w:val="20"/>
                <w:color w:val="auto"/>
              </w:rPr>
            </w:pPr>
            <w:r>
              <w:rPr>
                <w:rFonts w:ascii="Arial" w:cs="Arial" w:eastAsia="Arial" w:hAnsi="Arial"/>
                <w:sz w:val="18"/>
                <w:szCs w:val="18"/>
                <w:color w:val="auto"/>
                <w:w w:val="99"/>
              </w:rPr>
              <w:t>ARTICLE IX</w:t>
            </w:r>
          </w:p>
        </w:tc>
        <w:tc>
          <w:tcPr>
            <w:tcW w:w="98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9220" w:type="dxa"/>
            <w:vAlign w:val="bottom"/>
          </w:tcPr>
          <w:p>
            <w:pPr>
              <w:jc w:val="center"/>
              <w:ind w:left="130"/>
              <w:spacing w:after="0"/>
              <w:rPr>
                <w:sz w:val="20"/>
                <w:szCs w:val="20"/>
                <w:color w:val="auto"/>
              </w:rPr>
            </w:pPr>
            <w:r>
              <w:rPr>
                <w:rFonts w:ascii="Arial" w:cs="Arial" w:eastAsia="Arial" w:hAnsi="Arial"/>
                <w:sz w:val="18"/>
                <w:szCs w:val="18"/>
                <w:color w:val="auto"/>
                <w:w w:val="97"/>
              </w:rPr>
              <w:t>SUPPLEMENTAL INDENTURES, AMENDMENTS AND WAIVERS</w:t>
            </w:r>
          </w:p>
        </w:tc>
        <w:tc>
          <w:tcPr>
            <w:tcW w:w="980" w:type="dxa"/>
            <w:vAlign w:val="bottom"/>
          </w:tcPr>
          <w:p>
            <w:pPr>
              <w:spacing w:after="0"/>
              <w:rPr>
                <w:sz w:val="20"/>
                <w:szCs w:val="20"/>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9.1</w:t>
            </w:r>
          </w:p>
        </w:tc>
        <w:tc>
          <w:tcPr>
            <w:tcW w:w="9220" w:type="dxa"/>
            <w:vAlign w:val="bottom"/>
          </w:tcPr>
          <w:p>
            <w:pPr>
              <w:ind w:left="220"/>
              <w:spacing w:after="0"/>
              <w:rPr>
                <w:sz w:val="20"/>
                <w:szCs w:val="20"/>
                <w:color w:val="auto"/>
              </w:rPr>
            </w:pPr>
            <w:r>
              <w:rPr>
                <w:rFonts w:ascii="Arial" w:cs="Arial" w:eastAsia="Arial" w:hAnsi="Arial"/>
                <w:sz w:val="18"/>
                <w:szCs w:val="18"/>
                <w:color w:val="auto"/>
              </w:rPr>
              <w:t>Without Consent of 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9.2</w:t>
            </w:r>
          </w:p>
        </w:tc>
        <w:tc>
          <w:tcPr>
            <w:tcW w:w="9220" w:type="dxa"/>
            <w:vAlign w:val="bottom"/>
          </w:tcPr>
          <w:p>
            <w:pPr>
              <w:ind w:left="220"/>
              <w:spacing w:after="0"/>
              <w:rPr>
                <w:sz w:val="20"/>
                <w:szCs w:val="20"/>
                <w:color w:val="auto"/>
              </w:rPr>
            </w:pPr>
            <w:r>
              <w:rPr>
                <w:rFonts w:ascii="Arial" w:cs="Arial" w:eastAsia="Arial" w:hAnsi="Arial"/>
                <w:sz w:val="18"/>
                <w:szCs w:val="18"/>
                <w:color w:val="auto"/>
              </w:rPr>
              <w:t>With Consent of 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9.3</w:t>
            </w:r>
          </w:p>
        </w:tc>
        <w:tc>
          <w:tcPr>
            <w:tcW w:w="9220" w:type="dxa"/>
            <w:vAlign w:val="bottom"/>
          </w:tcPr>
          <w:p>
            <w:pPr>
              <w:ind w:left="220"/>
              <w:spacing w:after="0"/>
              <w:rPr>
                <w:sz w:val="20"/>
                <w:szCs w:val="20"/>
                <w:color w:val="auto"/>
              </w:rPr>
            </w:pPr>
            <w:r>
              <w:rPr>
                <w:rFonts w:ascii="Arial" w:cs="Arial" w:eastAsia="Arial" w:hAnsi="Arial"/>
                <w:sz w:val="18"/>
                <w:szCs w:val="18"/>
                <w:color w:val="auto"/>
              </w:rPr>
              <w:t>Limitations</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9.4</w:t>
            </w:r>
          </w:p>
        </w:tc>
        <w:tc>
          <w:tcPr>
            <w:tcW w:w="9220" w:type="dxa"/>
            <w:vAlign w:val="bottom"/>
          </w:tcPr>
          <w:p>
            <w:pPr>
              <w:ind w:left="220"/>
              <w:spacing w:after="0"/>
              <w:rPr>
                <w:sz w:val="20"/>
                <w:szCs w:val="20"/>
                <w:color w:val="auto"/>
              </w:rPr>
            </w:pPr>
            <w:r>
              <w:rPr>
                <w:rFonts w:ascii="Arial" w:cs="Arial" w:eastAsia="Arial" w:hAnsi="Arial"/>
                <w:sz w:val="18"/>
                <w:szCs w:val="18"/>
                <w:color w:val="auto"/>
              </w:rPr>
              <w:t>Compliance with Trust Indenture Act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9.5</w:t>
            </w:r>
          </w:p>
        </w:tc>
        <w:tc>
          <w:tcPr>
            <w:tcW w:w="9220" w:type="dxa"/>
            <w:vAlign w:val="bottom"/>
          </w:tcPr>
          <w:p>
            <w:pPr>
              <w:ind w:left="220"/>
              <w:spacing w:after="0"/>
              <w:rPr>
                <w:sz w:val="20"/>
                <w:szCs w:val="20"/>
                <w:color w:val="auto"/>
              </w:rPr>
            </w:pPr>
            <w:r>
              <w:rPr>
                <w:rFonts w:ascii="Arial" w:cs="Arial" w:eastAsia="Arial" w:hAnsi="Arial"/>
                <w:sz w:val="18"/>
                <w:szCs w:val="18"/>
                <w:color w:val="auto"/>
              </w:rPr>
              <w:t>Revocation and Effect of Consents</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9.6</w:t>
            </w:r>
          </w:p>
        </w:tc>
        <w:tc>
          <w:tcPr>
            <w:tcW w:w="9220" w:type="dxa"/>
            <w:vAlign w:val="bottom"/>
          </w:tcPr>
          <w:p>
            <w:pPr>
              <w:ind w:left="220"/>
              <w:spacing w:after="0"/>
              <w:rPr>
                <w:sz w:val="20"/>
                <w:szCs w:val="20"/>
                <w:color w:val="auto"/>
              </w:rPr>
            </w:pPr>
            <w:r>
              <w:rPr>
                <w:rFonts w:ascii="Arial" w:cs="Arial" w:eastAsia="Arial" w:hAnsi="Arial"/>
                <w:sz w:val="18"/>
                <w:szCs w:val="18"/>
                <w:color w:val="auto"/>
              </w:rPr>
              <w:t>Notation on or Exchange of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9.7</w:t>
            </w:r>
          </w:p>
        </w:tc>
        <w:tc>
          <w:tcPr>
            <w:tcW w:w="9220" w:type="dxa"/>
            <w:vAlign w:val="bottom"/>
          </w:tcPr>
          <w:p>
            <w:pPr>
              <w:ind w:left="220"/>
              <w:spacing w:after="0"/>
              <w:rPr>
                <w:sz w:val="20"/>
                <w:szCs w:val="20"/>
                <w:color w:val="auto"/>
              </w:rPr>
            </w:pPr>
            <w:r>
              <w:rPr>
                <w:rFonts w:ascii="Arial" w:cs="Arial" w:eastAsia="Arial" w:hAnsi="Arial"/>
                <w:sz w:val="18"/>
                <w:szCs w:val="18"/>
                <w:color w:val="auto"/>
              </w:rPr>
              <w:t>Trustee Protected</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1220" w:type="dxa"/>
            <w:vAlign w:val="bottom"/>
          </w:tcPr>
          <w:p>
            <w:pPr>
              <w:spacing w:after="0"/>
              <w:rPr>
                <w:sz w:val="24"/>
                <w:szCs w:val="24"/>
                <w:color w:val="auto"/>
              </w:rPr>
            </w:pPr>
          </w:p>
        </w:tc>
        <w:tc>
          <w:tcPr>
            <w:tcW w:w="9220" w:type="dxa"/>
            <w:vAlign w:val="bottom"/>
          </w:tcPr>
          <w:p>
            <w:pPr>
              <w:jc w:val="center"/>
              <w:ind w:left="130"/>
              <w:spacing w:after="0"/>
              <w:rPr>
                <w:sz w:val="20"/>
                <w:szCs w:val="20"/>
                <w:color w:val="auto"/>
              </w:rPr>
            </w:pPr>
            <w:r>
              <w:rPr>
                <w:rFonts w:ascii="Arial" w:cs="Arial" w:eastAsia="Arial" w:hAnsi="Arial"/>
                <w:sz w:val="18"/>
                <w:szCs w:val="18"/>
                <w:color w:val="auto"/>
                <w:w w:val="98"/>
              </w:rPr>
              <w:t>ARTICLE X</w:t>
            </w:r>
          </w:p>
        </w:tc>
        <w:tc>
          <w:tcPr>
            <w:tcW w:w="98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9220" w:type="dxa"/>
            <w:vAlign w:val="bottom"/>
          </w:tcPr>
          <w:p>
            <w:pPr>
              <w:jc w:val="center"/>
              <w:ind w:left="110"/>
              <w:spacing w:after="0"/>
              <w:rPr>
                <w:sz w:val="20"/>
                <w:szCs w:val="20"/>
                <w:color w:val="auto"/>
              </w:rPr>
            </w:pPr>
            <w:r>
              <w:rPr>
                <w:rFonts w:ascii="Arial" w:cs="Arial" w:eastAsia="Arial" w:hAnsi="Arial"/>
                <w:sz w:val="18"/>
                <w:szCs w:val="18"/>
                <w:color w:val="auto"/>
                <w:w w:val="97"/>
              </w:rPr>
              <w:t>MISCELLANEOUS</w:t>
            </w:r>
          </w:p>
        </w:tc>
        <w:tc>
          <w:tcPr>
            <w:tcW w:w="980" w:type="dxa"/>
            <w:vAlign w:val="bottom"/>
          </w:tcPr>
          <w:p>
            <w:pPr>
              <w:spacing w:after="0"/>
              <w:rPr>
                <w:sz w:val="20"/>
                <w:szCs w:val="20"/>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10.1</w:t>
            </w:r>
          </w:p>
        </w:tc>
        <w:tc>
          <w:tcPr>
            <w:tcW w:w="9220" w:type="dxa"/>
            <w:vAlign w:val="bottom"/>
          </w:tcPr>
          <w:p>
            <w:pPr>
              <w:ind w:left="220"/>
              <w:spacing w:after="0"/>
              <w:rPr>
                <w:sz w:val="20"/>
                <w:szCs w:val="20"/>
                <w:color w:val="auto"/>
              </w:rPr>
            </w:pPr>
            <w:r>
              <w:rPr>
                <w:rFonts w:ascii="Arial" w:cs="Arial" w:eastAsia="Arial" w:hAnsi="Arial"/>
                <w:sz w:val="18"/>
                <w:szCs w:val="18"/>
                <w:color w:val="auto"/>
              </w:rPr>
              <w:t>Trust Indenture Act Controls</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10.2</w:t>
            </w:r>
          </w:p>
        </w:tc>
        <w:tc>
          <w:tcPr>
            <w:tcW w:w="9220" w:type="dxa"/>
            <w:vAlign w:val="bottom"/>
          </w:tcPr>
          <w:p>
            <w:pPr>
              <w:ind w:left="220"/>
              <w:spacing w:after="0"/>
              <w:rPr>
                <w:sz w:val="20"/>
                <w:szCs w:val="20"/>
                <w:color w:val="auto"/>
              </w:rPr>
            </w:pPr>
            <w:r>
              <w:rPr>
                <w:rFonts w:ascii="Arial" w:cs="Arial" w:eastAsia="Arial" w:hAnsi="Arial"/>
                <w:sz w:val="18"/>
                <w:szCs w:val="18"/>
                <w:color w:val="auto"/>
              </w:rPr>
              <w:t>Notices</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10.3</w:t>
            </w:r>
          </w:p>
        </w:tc>
        <w:tc>
          <w:tcPr>
            <w:tcW w:w="9220" w:type="dxa"/>
            <w:vAlign w:val="bottom"/>
          </w:tcPr>
          <w:p>
            <w:pPr>
              <w:ind w:left="220"/>
              <w:spacing w:after="0"/>
              <w:rPr>
                <w:sz w:val="20"/>
                <w:szCs w:val="20"/>
                <w:color w:val="auto"/>
              </w:rPr>
            </w:pPr>
            <w:r>
              <w:rPr>
                <w:rFonts w:ascii="Arial" w:cs="Arial" w:eastAsia="Arial" w:hAnsi="Arial"/>
                <w:sz w:val="18"/>
                <w:szCs w:val="18"/>
                <w:color w:val="auto"/>
              </w:rPr>
              <w:t>Communication by Holders with Other 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10.4</w:t>
            </w:r>
          </w:p>
        </w:tc>
        <w:tc>
          <w:tcPr>
            <w:tcW w:w="9220" w:type="dxa"/>
            <w:vAlign w:val="bottom"/>
          </w:tcPr>
          <w:p>
            <w:pPr>
              <w:ind w:left="220"/>
              <w:spacing w:after="0"/>
              <w:rPr>
                <w:sz w:val="20"/>
                <w:szCs w:val="20"/>
                <w:color w:val="auto"/>
              </w:rPr>
            </w:pPr>
            <w:r>
              <w:rPr>
                <w:rFonts w:ascii="Arial" w:cs="Arial" w:eastAsia="Arial" w:hAnsi="Arial"/>
                <w:sz w:val="18"/>
                <w:szCs w:val="18"/>
                <w:color w:val="auto"/>
              </w:rPr>
              <w:t>Certificate and Opinion as to Conditions Precedent</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10.5</w:t>
            </w:r>
          </w:p>
        </w:tc>
        <w:tc>
          <w:tcPr>
            <w:tcW w:w="9220" w:type="dxa"/>
            <w:vAlign w:val="bottom"/>
          </w:tcPr>
          <w:p>
            <w:pPr>
              <w:ind w:left="220"/>
              <w:spacing w:after="0"/>
              <w:rPr>
                <w:sz w:val="20"/>
                <w:szCs w:val="20"/>
                <w:color w:val="auto"/>
              </w:rPr>
            </w:pPr>
            <w:r>
              <w:rPr>
                <w:rFonts w:ascii="Arial" w:cs="Arial" w:eastAsia="Arial" w:hAnsi="Arial"/>
                <w:sz w:val="18"/>
                <w:szCs w:val="18"/>
                <w:color w:val="auto"/>
              </w:rPr>
              <w:t>Statements Required in Certificate or Opinion</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10.6</w:t>
            </w:r>
          </w:p>
        </w:tc>
        <w:tc>
          <w:tcPr>
            <w:tcW w:w="9220" w:type="dxa"/>
            <w:vAlign w:val="bottom"/>
          </w:tcPr>
          <w:p>
            <w:pPr>
              <w:ind w:left="220"/>
              <w:spacing w:after="0"/>
              <w:rPr>
                <w:sz w:val="20"/>
                <w:szCs w:val="20"/>
                <w:color w:val="auto"/>
              </w:rPr>
            </w:pPr>
            <w:r>
              <w:rPr>
                <w:rFonts w:ascii="Arial" w:cs="Arial" w:eastAsia="Arial" w:hAnsi="Arial"/>
                <w:sz w:val="18"/>
                <w:szCs w:val="18"/>
                <w:color w:val="auto"/>
              </w:rPr>
              <w:t>Rules by Trustee and Agents</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10.7</w:t>
            </w:r>
          </w:p>
        </w:tc>
        <w:tc>
          <w:tcPr>
            <w:tcW w:w="9220" w:type="dxa"/>
            <w:vAlign w:val="bottom"/>
          </w:tcPr>
          <w:p>
            <w:pPr>
              <w:ind w:left="220"/>
              <w:spacing w:after="0"/>
              <w:rPr>
                <w:sz w:val="20"/>
                <w:szCs w:val="20"/>
                <w:color w:val="auto"/>
              </w:rPr>
            </w:pPr>
            <w:r>
              <w:rPr>
                <w:rFonts w:ascii="Arial" w:cs="Arial" w:eastAsia="Arial" w:hAnsi="Arial"/>
                <w:sz w:val="18"/>
                <w:szCs w:val="18"/>
                <w:color w:val="auto"/>
              </w:rPr>
              <w:t>Legal Holidays</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10.8</w:t>
            </w:r>
          </w:p>
        </w:tc>
        <w:tc>
          <w:tcPr>
            <w:tcW w:w="9220" w:type="dxa"/>
            <w:vAlign w:val="bottom"/>
          </w:tcPr>
          <w:p>
            <w:pPr>
              <w:ind w:left="220"/>
              <w:spacing w:after="0"/>
              <w:rPr>
                <w:sz w:val="20"/>
                <w:szCs w:val="20"/>
                <w:color w:val="auto"/>
              </w:rPr>
            </w:pPr>
            <w:r>
              <w:rPr>
                <w:rFonts w:ascii="Arial" w:cs="Arial" w:eastAsia="Arial" w:hAnsi="Arial"/>
                <w:sz w:val="18"/>
                <w:szCs w:val="18"/>
                <w:color w:val="auto"/>
              </w:rPr>
              <w:t>No Recourse Against Others</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10.9</w:t>
            </w:r>
          </w:p>
        </w:tc>
        <w:tc>
          <w:tcPr>
            <w:tcW w:w="922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10.10</w:t>
            </w:r>
          </w:p>
        </w:tc>
        <w:tc>
          <w:tcPr>
            <w:tcW w:w="9220" w:type="dxa"/>
            <w:vAlign w:val="bottom"/>
          </w:tcPr>
          <w:p>
            <w:pPr>
              <w:ind w:left="220"/>
              <w:spacing w:after="0"/>
              <w:rPr>
                <w:sz w:val="20"/>
                <w:szCs w:val="20"/>
                <w:color w:val="auto"/>
              </w:rPr>
            </w:pPr>
            <w:r>
              <w:rPr>
                <w:rFonts w:ascii="Arial" w:cs="Arial" w:eastAsia="Arial" w:hAnsi="Arial"/>
                <w:sz w:val="18"/>
                <w:szCs w:val="18"/>
                <w:color w:val="auto"/>
              </w:rPr>
              <w:t>Governing Laws</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10.11</w:t>
            </w:r>
          </w:p>
        </w:tc>
        <w:tc>
          <w:tcPr>
            <w:tcW w:w="9220" w:type="dxa"/>
            <w:vAlign w:val="bottom"/>
          </w:tcPr>
          <w:p>
            <w:pPr>
              <w:ind w:left="220"/>
              <w:spacing w:after="0"/>
              <w:rPr>
                <w:sz w:val="20"/>
                <w:szCs w:val="20"/>
                <w:color w:val="auto"/>
              </w:rPr>
            </w:pPr>
            <w:r>
              <w:rPr>
                <w:rFonts w:ascii="Arial" w:cs="Arial" w:eastAsia="Arial" w:hAnsi="Arial"/>
                <w:sz w:val="18"/>
                <w:szCs w:val="18"/>
                <w:color w:val="auto"/>
              </w:rPr>
              <w:t>No Adverse Interpretation of Other Agreements</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0"/>
        </w:trPr>
        <w:tc>
          <w:tcPr>
            <w:tcW w:w="1220" w:type="dxa"/>
            <w:vAlign w:val="bottom"/>
          </w:tcPr>
          <w:p>
            <w:pPr>
              <w:spacing w:after="0"/>
              <w:rPr>
                <w:sz w:val="19"/>
                <w:szCs w:val="19"/>
                <w:color w:val="auto"/>
              </w:rPr>
            </w:pPr>
          </w:p>
        </w:tc>
        <w:tc>
          <w:tcPr>
            <w:tcW w:w="922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p>
        </w:tc>
        <w:tc>
          <w:tcPr>
            <w:tcW w:w="9220" w:type="dxa"/>
            <w:vAlign w:val="bottom"/>
          </w:tcPr>
          <w:p>
            <w:pPr>
              <w:ind w:left="4080"/>
              <w:spacing w:after="0"/>
              <w:rPr>
                <w:sz w:val="20"/>
                <w:szCs w:val="20"/>
                <w:color w:val="auto"/>
              </w:rPr>
            </w:pPr>
            <w:r>
              <w:rPr>
                <w:rFonts w:ascii="Arial" w:cs="Arial" w:eastAsia="Arial" w:hAnsi="Arial"/>
                <w:sz w:val="18"/>
                <w:szCs w:val="18"/>
                <w:color w:val="auto"/>
              </w:rPr>
              <w:t>(continued)</w:t>
            </w:r>
          </w:p>
        </w:tc>
        <w:tc>
          <w:tcPr>
            <w:tcW w:w="980" w:type="dxa"/>
            <w:vAlign w:val="bottom"/>
          </w:tcPr>
          <w:p>
            <w:pPr>
              <w:spacing w:after="0"/>
              <w:rPr>
                <w:sz w:val="20"/>
                <w:szCs w:val="20"/>
                <w:color w:val="auto"/>
              </w:rPr>
            </w:pPr>
          </w:p>
        </w:tc>
      </w:tr>
      <w:tr>
        <w:trPr>
          <w:trHeight w:val="365"/>
        </w:trPr>
        <w:tc>
          <w:tcPr>
            <w:tcW w:w="12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Page</w:t>
            </w:r>
          </w:p>
        </w:tc>
      </w:tr>
      <w:tr>
        <w:trPr>
          <w:trHeight w:val="411"/>
        </w:trPr>
        <w:tc>
          <w:tcPr>
            <w:tcW w:w="1220" w:type="dxa"/>
            <w:vAlign w:val="bottom"/>
          </w:tcPr>
          <w:p>
            <w:pPr>
              <w:spacing w:after="0"/>
              <w:rPr>
                <w:sz w:val="20"/>
                <w:szCs w:val="20"/>
                <w:color w:val="auto"/>
              </w:rPr>
            </w:pPr>
            <w:r>
              <w:rPr>
                <w:rFonts w:ascii="Arial" w:cs="Arial" w:eastAsia="Arial" w:hAnsi="Arial"/>
                <w:sz w:val="18"/>
                <w:szCs w:val="18"/>
                <w:color w:val="auto"/>
              </w:rPr>
              <w:t>Section 10.12</w:t>
            </w:r>
          </w:p>
        </w:tc>
        <w:tc>
          <w:tcPr>
            <w:tcW w:w="9220" w:type="dxa"/>
            <w:vAlign w:val="bottom"/>
          </w:tcPr>
          <w:p>
            <w:pPr>
              <w:ind w:left="220"/>
              <w:spacing w:after="0"/>
              <w:rPr>
                <w:sz w:val="20"/>
                <w:szCs w:val="20"/>
                <w:color w:val="auto"/>
              </w:rPr>
            </w:pPr>
            <w:r>
              <w:rPr>
                <w:rFonts w:ascii="Arial" w:cs="Arial" w:eastAsia="Arial" w:hAnsi="Arial"/>
                <w:sz w:val="18"/>
                <w:szCs w:val="18"/>
                <w:color w:val="auto"/>
              </w:rPr>
              <w:t>Successors</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10.13</w:t>
            </w:r>
          </w:p>
        </w:tc>
        <w:tc>
          <w:tcPr>
            <w:tcW w:w="922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10.14</w:t>
            </w:r>
          </w:p>
        </w:tc>
        <w:tc>
          <w:tcPr>
            <w:tcW w:w="9220" w:type="dxa"/>
            <w:vAlign w:val="bottom"/>
          </w:tcPr>
          <w:p>
            <w:pPr>
              <w:ind w:left="220"/>
              <w:spacing w:after="0"/>
              <w:rPr>
                <w:sz w:val="20"/>
                <w:szCs w:val="20"/>
                <w:color w:val="auto"/>
              </w:rPr>
            </w:pPr>
            <w:r>
              <w:rPr>
                <w:rFonts w:ascii="Arial" w:cs="Arial" w:eastAsia="Arial" w:hAnsi="Arial"/>
                <w:sz w:val="18"/>
                <w:szCs w:val="18"/>
                <w:color w:val="auto"/>
              </w:rPr>
              <w:t>Table of Contents, Headings, Etc.</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10.15</w:t>
            </w:r>
          </w:p>
        </w:tc>
        <w:tc>
          <w:tcPr>
            <w:tcW w:w="9220" w:type="dxa"/>
            <w:vAlign w:val="bottom"/>
          </w:tcPr>
          <w:p>
            <w:pPr>
              <w:ind w:left="220"/>
              <w:spacing w:after="0"/>
              <w:rPr>
                <w:sz w:val="20"/>
                <w:szCs w:val="20"/>
                <w:color w:val="auto"/>
              </w:rPr>
            </w:pPr>
            <w:r>
              <w:rPr>
                <w:rFonts w:ascii="Arial" w:cs="Arial" w:eastAsia="Arial" w:hAnsi="Arial"/>
                <w:sz w:val="18"/>
                <w:szCs w:val="18"/>
                <w:color w:val="auto"/>
              </w:rPr>
              <w:t>Securities in a Foreign Currency or in ECU</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10.16</w:t>
            </w:r>
          </w:p>
        </w:tc>
        <w:tc>
          <w:tcPr>
            <w:tcW w:w="9220" w:type="dxa"/>
            <w:vAlign w:val="bottom"/>
          </w:tcPr>
          <w:p>
            <w:pPr>
              <w:ind w:left="220"/>
              <w:spacing w:after="0"/>
              <w:rPr>
                <w:sz w:val="20"/>
                <w:szCs w:val="20"/>
                <w:color w:val="auto"/>
              </w:rPr>
            </w:pPr>
            <w:r>
              <w:rPr>
                <w:rFonts w:ascii="Arial" w:cs="Arial" w:eastAsia="Arial" w:hAnsi="Arial"/>
                <w:sz w:val="18"/>
                <w:szCs w:val="18"/>
                <w:color w:val="auto"/>
              </w:rPr>
              <w:t>Judgment Currency</w:t>
            </w: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220" w:type="dxa"/>
            <w:vAlign w:val="bottom"/>
          </w:tcPr>
          <w:p>
            <w:pPr>
              <w:spacing w:after="0"/>
              <w:rPr>
                <w:sz w:val="24"/>
                <w:szCs w:val="24"/>
                <w:color w:val="auto"/>
              </w:rPr>
            </w:pPr>
          </w:p>
        </w:tc>
        <w:tc>
          <w:tcPr>
            <w:tcW w:w="9220" w:type="dxa"/>
            <w:vAlign w:val="bottom"/>
          </w:tcPr>
          <w:p>
            <w:pPr>
              <w:ind w:left="4220"/>
              <w:spacing w:after="0"/>
              <w:rPr>
                <w:sz w:val="20"/>
                <w:szCs w:val="20"/>
                <w:color w:val="auto"/>
              </w:rPr>
            </w:pPr>
            <w:r>
              <w:rPr>
                <w:rFonts w:ascii="Arial" w:cs="Arial" w:eastAsia="Arial" w:hAnsi="Arial"/>
                <w:sz w:val="18"/>
                <w:szCs w:val="18"/>
                <w:color w:val="auto"/>
              </w:rPr>
              <w:t>ARTICLE XI</w:t>
            </w:r>
          </w:p>
        </w:tc>
        <w:tc>
          <w:tcPr>
            <w:tcW w:w="98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9220" w:type="dxa"/>
            <w:vAlign w:val="bottom"/>
          </w:tcPr>
          <w:p>
            <w:pPr>
              <w:ind w:left="4040"/>
              <w:spacing w:after="0"/>
              <w:rPr>
                <w:sz w:val="20"/>
                <w:szCs w:val="20"/>
                <w:color w:val="auto"/>
              </w:rPr>
            </w:pPr>
            <w:r>
              <w:rPr>
                <w:rFonts w:ascii="Arial" w:cs="Arial" w:eastAsia="Arial" w:hAnsi="Arial"/>
                <w:sz w:val="18"/>
                <w:szCs w:val="18"/>
                <w:color w:val="auto"/>
              </w:rPr>
              <w:t>SINKING FUNDS</w:t>
            </w:r>
          </w:p>
        </w:tc>
        <w:tc>
          <w:tcPr>
            <w:tcW w:w="980" w:type="dxa"/>
            <w:vAlign w:val="bottom"/>
          </w:tcPr>
          <w:p>
            <w:pPr>
              <w:spacing w:after="0"/>
              <w:rPr>
                <w:sz w:val="20"/>
                <w:szCs w:val="20"/>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11.1</w:t>
            </w:r>
          </w:p>
        </w:tc>
        <w:tc>
          <w:tcPr>
            <w:tcW w:w="9220" w:type="dxa"/>
            <w:vAlign w:val="bottom"/>
          </w:tcPr>
          <w:p>
            <w:pPr>
              <w:ind w:left="220"/>
              <w:spacing w:after="0"/>
              <w:rPr>
                <w:sz w:val="20"/>
                <w:szCs w:val="20"/>
                <w:color w:val="auto"/>
              </w:rPr>
            </w:pPr>
            <w:r>
              <w:rPr>
                <w:rFonts w:ascii="Arial" w:cs="Arial" w:eastAsia="Arial" w:hAnsi="Arial"/>
                <w:sz w:val="18"/>
                <w:szCs w:val="18"/>
                <w:color w:val="auto"/>
              </w:rPr>
              <w:t>Applicability of Article</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11.2</w:t>
            </w:r>
          </w:p>
        </w:tc>
        <w:tc>
          <w:tcPr>
            <w:tcW w:w="9220" w:type="dxa"/>
            <w:vAlign w:val="bottom"/>
          </w:tcPr>
          <w:p>
            <w:pPr>
              <w:ind w:left="220"/>
              <w:spacing w:after="0"/>
              <w:rPr>
                <w:sz w:val="20"/>
                <w:szCs w:val="20"/>
                <w:color w:val="auto"/>
              </w:rPr>
            </w:pPr>
            <w:r>
              <w:rPr>
                <w:rFonts w:ascii="Arial" w:cs="Arial" w:eastAsia="Arial" w:hAnsi="Arial"/>
                <w:sz w:val="18"/>
                <w:szCs w:val="18"/>
                <w:color w:val="auto"/>
              </w:rPr>
              <w:t>Satisfaction of Sinking Fund Payments with Securities</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11.3</w:t>
            </w:r>
          </w:p>
        </w:tc>
        <w:tc>
          <w:tcPr>
            <w:tcW w:w="9220" w:type="dxa"/>
            <w:vAlign w:val="bottom"/>
          </w:tcPr>
          <w:p>
            <w:pPr>
              <w:ind w:left="220"/>
              <w:spacing w:after="0"/>
              <w:rPr>
                <w:sz w:val="20"/>
                <w:szCs w:val="20"/>
                <w:color w:val="auto"/>
              </w:rPr>
            </w:pPr>
            <w:r>
              <w:rPr>
                <w:rFonts w:ascii="Arial" w:cs="Arial" w:eastAsia="Arial" w:hAnsi="Arial"/>
                <w:sz w:val="18"/>
                <w:szCs w:val="18"/>
                <w:color w:val="auto"/>
              </w:rPr>
              <w:t>Redemption of Securities for Sinking Fund</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left="434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spacing w:after="0"/>
        <w:tabs>
          <w:tab w:leader="none" w:pos="6500" w:val="left"/>
        </w:tabs>
        <w:rPr>
          <w:sz w:val="20"/>
          <w:szCs w:val="20"/>
          <w:color w:val="auto"/>
        </w:rPr>
      </w:pPr>
      <w:r>
        <w:rPr>
          <w:rFonts w:ascii="Arial" w:cs="Arial" w:eastAsia="Arial" w:hAnsi="Arial"/>
          <w:sz w:val="17"/>
          <w:szCs w:val="17"/>
          <w:color w:val="auto"/>
        </w:rPr>
        <w:t>Reconciliation and tie between Trust Indenture Act of 1939 and Indenture, dated as of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310(a)(1)</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7.11</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(a)(2)</w:t>
            </w:r>
          </w:p>
        </w:tc>
        <w:tc>
          <w:tcPr>
            <w:tcW w:w="8180" w:type="dxa"/>
            <w:vAlign w:val="bottom"/>
          </w:tcPr>
          <w:p>
            <w:pPr>
              <w:ind w:left="4840"/>
              <w:spacing w:after="0"/>
              <w:rPr>
                <w:sz w:val="20"/>
                <w:szCs w:val="20"/>
                <w:color w:val="auto"/>
              </w:rPr>
            </w:pPr>
            <w:r>
              <w:rPr>
                <w:rFonts w:ascii="Arial" w:cs="Arial" w:eastAsia="Arial" w:hAnsi="Arial"/>
                <w:sz w:val="18"/>
                <w:szCs w:val="18"/>
                <w:color w:val="auto"/>
              </w:rPr>
              <w:t>7.11</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(a)(4)</w:t>
            </w:r>
          </w:p>
        </w:tc>
        <w:tc>
          <w:tcPr>
            <w:tcW w:w="8180" w:type="dxa"/>
            <w:vAlign w:val="bottom"/>
          </w:tcPr>
          <w:p>
            <w:pPr>
              <w:ind w:left="484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(a)(5)</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7.11</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w:t>
            </w:r>
          </w:p>
        </w:tc>
        <w:tc>
          <w:tcPr>
            <w:tcW w:w="8180" w:type="dxa"/>
            <w:vAlign w:val="bottom"/>
          </w:tcPr>
          <w:p>
            <w:pPr>
              <w:ind w:left="4840"/>
              <w:spacing w:after="0"/>
              <w:rPr>
                <w:sz w:val="20"/>
                <w:szCs w:val="20"/>
                <w:color w:val="auto"/>
              </w:rPr>
            </w:pPr>
            <w:r>
              <w:rPr>
                <w:rFonts w:ascii="Arial" w:cs="Arial" w:eastAsia="Arial" w:hAnsi="Arial"/>
                <w:sz w:val="18"/>
                <w:szCs w:val="18"/>
                <w:color w:val="auto"/>
              </w:rPr>
              <w:t>7.11</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311(a)</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7.12</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w:t>
            </w:r>
          </w:p>
        </w:tc>
        <w:tc>
          <w:tcPr>
            <w:tcW w:w="8180" w:type="dxa"/>
            <w:vAlign w:val="bottom"/>
          </w:tcPr>
          <w:p>
            <w:pPr>
              <w:ind w:left="4840"/>
              <w:spacing w:after="0"/>
              <w:rPr>
                <w:sz w:val="20"/>
                <w:szCs w:val="20"/>
                <w:color w:val="auto"/>
              </w:rPr>
            </w:pPr>
            <w:r>
              <w:rPr>
                <w:rFonts w:ascii="Arial" w:cs="Arial" w:eastAsia="Arial" w:hAnsi="Arial"/>
                <w:sz w:val="18"/>
                <w:szCs w:val="18"/>
                <w:color w:val="auto"/>
              </w:rPr>
              <w:t>7.12</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312(a)</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w:t>
            </w:r>
          </w:p>
        </w:tc>
        <w:tc>
          <w:tcPr>
            <w:tcW w:w="8180" w:type="dxa"/>
            <w:vAlign w:val="bottom"/>
          </w:tcPr>
          <w:p>
            <w:pPr>
              <w:ind w:left="484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 313(a)</w:t>
            </w:r>
          </w:p>
        </w:tc>
        <w:tc>
          <w:tcPr>
            <w:tcW w:w="8180" w:type="dxa"/>
            <w:vAlign w:val="bottom"/>
          </w:tcPr>
          <w:p>
            <w:pPr>
              <w:ind w:left="484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(b)(1)</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(b)(2)</w:t>
            </w:r>
          </w:p>
        </w:tc>
        <w:tc>
          <w:tcPr>
            <w:tcW w:w="8180" w:type="dxa"/>
            <w:vAlign w:val="bottom"/>
          </w:tcPr>
          <w:p>
            <w:pPr>
              <w:ind w:left="484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w:t>
            </w:r>
          </w:p>
        </w:tc>
        <w:tc>
          <w:tcPr>
            <w:tcW w:w="8180" w:type="dxa"/>
            <w:vAlign w:val="bottom"/>
          </w:tcPr>
          <w:p>
            <w:pPr>
              <w:ind w:left="484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314(a)</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4.2, 10.5</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w:t>
            </w:r>
          </w:p>
        </w:tc>
        <w:tc>
          <w:tcPr>
            <w:tcW w:w="8180" w:type="dxa"/>
            <w:vAlign w:val="bottom"/>
          </w:tcPr>
          <w:p>
            <w:pPr>
              <w:ind w:left="484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(c)(1)</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(c)(2)</w:t>
            </w:r>
          </w:p>
        </w:tc>
        <w:tc>
          <w:tcPr>
            <w:tcW w:w="8180" w:type="dxa"/>
            <w:vAlign w:val="bottom"/>
          </w:tcPr>
          <w:p>
            <w:pPr>
              <w:ind w:left="484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(c)(3)</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w:t>
            </w:r>
          </w:p>
        </w:tc>
        <w:tc>
          <w:tcPr>
            <w:tcW w:w="8180" w:type="dxa"/>
            <w:vAlign w:val="bottom"/>
          </w:tcPr>
          <w:p>
            <w:pPr>
              <w:ind w:left="484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w:t>
            </w:r>
          </w:p>
        </w:tc>
        <w:tc>
          <w:tcPr>
            <w:tcW w:w="8180" w:type="dxa"/>
            <w:vAlign w:val="bottom"/>
          </w:tcPr>
          <w:p>
            <w:pPr>
              <w:ind w:left="484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315(a)</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w:t>
            </w:r>
          </w:p>
        </w:tc>
        <w:tc>
          <w:tcPr>
            <w:tcW w:w="8180" w:type="dxa"/>
            <w:vAlign w:val="bottom"/>
          </w:tcPr>
          <w:p>
            <w:pPr>
              <w:ind w:left="484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w:t>
            </w:r>
          </w:p>
        </w:tc>
        <w:tc>
          <w:tcPr>
            <w:tcW w:w="8180" w:type="dxa"/>
            <w:vAlign w:val="bottom"/>
          </w:tcPr>
          <w:p>
            <w:pPr>
              <w:ind w:left="484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6.14</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 316(a)</w:t>
            </w:r>
          </w:p>
        </w:tc>
        <w:tc>
          <w:tcPr>
            <w:tcW w:w="8180" w:type="dxa"/>
            <w:vAlign w:val="bottom"/>
          </w:tcPr>
          <w:p>
            <w:pPr>
              <w:ind w:left="484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(a)(1)(A)</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6.12</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(a)(1)(B)</w:t>
            </w:r>
          </w:p>
        </w:tc>
        <w:tc>
          <w:tcPr>
            <w:tcW w:w="8180" w:type="dxa"/>
            <w:vAlign w:val="bottom"/>
          </w:tcPr>
          <w:p>
            <w:pPr>
              <w:ind w:left="4840"/>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 317(a)(1)</w:t>
            </w:r>
          </w:p>
        </w:tc>
        <w:tc>
          <w:tcPr>
            <w:tcW w:w="8180" w:type="dxa"/>
            <w:vAlign w:val="bottom"/>
          </w:tcPr>
          <w:p>
            <w:pPr>
              <w:ind w:left="484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w:t>
            </w:r>
          </w:p>
        </w:tc>
        <w:tc>
          <w:tcPr>
            <w:tcW w:w="8180" w:type="dxa"/>
            <w:vAlign w:val="bottom"/>
          </w:tcPr>
          <w:p>
            <w:pPr>
              <w:ind w:left="48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318(a)</w:t>
            </w:r>
          </w:p>
        </w:tc>
        <w:tc>
          <w:tcPr>
            <w:tcW w:w="8180" w:type="dxa"/>
            <w:vAlign w:val="bottom"/>
            <w:shd w:val="clear" w:color="auto" w:fill="CCEEFF"/>
          </w:tcPr>
          <w:p>
            <w:pPr>
              <w:ind w:left="48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r>
      <w:tr>
        <w:trPr>
          <w:trHeight w:val="432"/>
        </w:trPr>
        <w:tc>
          <w:tcPr>
            <w:tcW w:w="3240" w:type="dxa"/>
            <w:vAlign w:val="bottom"/>
          </w:tcPr>
          <w:p>
            <w:pPr>
              <w:spacing w:after="0"/>
              <w:rPr>
                <w:sz w:val="24"/>
                <w:szCs w:val="24"/>
                <w:color w:val="auto"/>
              </w:rPr>
            </w:pPr>
          </w:p>
        </w:tc>
        <w:tc>
          <w:tcPr>
            <w:tcW w:w="8180" w:type="dxa"/>
            <w:vAlign w:val="bottom"/>
          </w:tcPr>
          <w:p>
            <w:pPr>
              <w:ind w:left="24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r>
      <w:tr>
        <w:trPr>
          <w:trHeight w:val="132"/>
        </w:trPr>
        <w:tc>
          <w:tcPr>
            <w:tcW w:w="3240" w:type="dxa"/>
            <w:vAlign w:val="bottom"/>
            <w:tcBorders>
              <w:bottom w:val="single" w:sz="8" w:color="808080"/>
            </w:tcBorders>
          </w:tcPr>
          <w:p>
            <w:pPr>
              <w:spacing w:after="0"/>
              <w:rPr>
                <w:sz w:val="11"/>
                <w:szCs w:val="11"/>
                <w:color w:val="auto"/>
              </w:rPr>
            </w:pPr>
          </w:p>
        </w:tc>
        <w:tc>
          <w:tcPr>
            <w:tcW w:w="8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5" w:name="page56"/>
    <w:bookmarkEnd w:id="55"/>
    <w:p>
      <w:pPr>
        <w:ind w:right="1000" w:firstLine="648"/>
        <w:spacing w:after="0" w:line="277" w:lineRule="auto"/>
        <w:rPr>
          <w:sz w:val="20"/>
          <w:szCs w:val="20"/>
          <w:color w:val="auto"/>
        </w:rPr>
      </w:pPr>
      <w:r>
        <w:rPr>
          <w:rFonts w:ascii="Arial" w:cs="Arial" w:eastAsia="Arial" w:hAnsi="Arial"/>
          <w:sz w:val="18"/>
          <w:szCs w:val="18"/>
          <w:color w:val="auto"/>
        </w:rPr>
        <w:t>Indenture dated as of [ ] between iClick Interactive Asia Group Limited, an exempted company incorporated in the Cayman Islands (“Company”), and [ ] (“Trustee”).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Additional Amounts</w:t>
      </w:r>
      <w:r>
        <w:rPr>
          <w:rFonts w:ascii="Arial" w:cs="Arial" w:eastAsia="Arial" w:hAnsi="Arial"/>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 or a day the Corporate Trust Office is closed.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Request</w:t>
      </w:r>
      <w:r>
        <w:rPr>
          <w:rFonts w:ascii="Arial" w:cs="Arial" w:eastAsia="Arial" w:hAnsi="Arial"/>
          <w:sz w:val="18"/>
          <w:szCs w:val="18"/>
          <w:color w:val="auto"/>
        </w:rPr>
        <w:t>” means a written request signed in the name of the Company by its Chairman, its Chief Executive Officer, or any Vice President and by its Chief Financial Officer and delivered to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ECU</w:t>
      </w:r>
      <w:r>
        <w:rPr>
          <w:rFonts w:ascii="Arial" w:cs="Arial" w:eastAsia="Arial" w:hAnsi="Arial"/>
          <w:sz w:val="18"/>
          <w:szCs w:val="18"/>
          <w:color w:val="auto"/>
        </w:rPr>
        <w:t>” means the European Currency Unit as determined by the Commission of the European Union.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Currency</w:t>
      </w:r>
      <w:r>
        <w:rPr>
          <w:rFonts w:ascii="Arial" w:cs="Arial" w:eastAsia="Arial" w:hAnsi="Arial"/>
          <w:sz w:val="17"/>
          <w:szCs w:val="17"/>
          <w:color w:val="auto"/>
        </w:rPr>
        <w:t>” means any currency or currency unit issued by a government other than the government of The United States of America.</w:t>
      </w:r>
    </w:p>
    <w:p>
      <w:pPr>
        <w:spacing w:after="0" w:line="2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w:t>
      </w:r>
      <w:r>
        <w:rPr>
          <w:rFonts w:ascii="Arial" w:cs="Arial" w:eastAsia="Arial" w:hAnsi="Arial"/>
          <w:sz w:val="18"/>
          <w:szCs w:val="18"/>
          <w:color w:val="auto"/>
        </w:rPr>
        <w:t xml:space="preserve"> Obligations”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8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w:t>
      </w:r>
      <w:r>
        <w:rPr>
          <w:rFonts w:ascii="Arial" w:cs="Arial" w:eastAsia="Arial" w:hAnsi="Arial"/>
          <w:sz w:val="18"/>
          <w:szCs w:val="18"/>
          <w:color w:val="auto"/>
        </w:rPr>
        <w:t>r” or “</w:t>
      </w:r>
      <w:r>
        <w:rPr>
          <w:rFonts w:ascii="Arial" w:cs="Arial" w:eastAsia="Arial" w:hAnsi="Arial"/>
          <w:sz w:val="18"/>
          <w:szCs w:val="18"/>
          <w:i w:val="1"/>
          <w:iCs w:val="1"/>
          <w:color w:val="auto"/>
        </w:rPr>
        <w:t>Security 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7" w:name="page58"/>
    <w:bookmarkEnd w:id="57"/>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the Chief Executive Officer, any Vice President, or the Chief Financial Officer of the Company.</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two Officers, one of whom must be the Company’s principal executive officer, principal financial officer or principal accounting officer.</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which opinion, is acceptable to the Trustee. The counsel may be an employee of or counsel to the Company.</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 and who shall in each case have direct responsibility for the administration of this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8" w:name="page59"/>
    <w:bookmarkEnd w:id="58"/>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24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w:t>
      </w:r>
    </w:p>
    <w:p>
      <w:pPr>
        <w:ind w:right="260" w:firstLine="8"/>
        <w:spacing w:after="0" w:line="253" w:lineRule="auto"/>
        <w:tabs>
          <w:tab w:leader="none" w:pos="2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80" w:type="dxa"/>
            <w:vAlign w:val="bottom"/>
          </w:tcPr>
          <w:p>
            <w:pPr>
              <w:ind w:left="640"/>
              <w:spacing w:after="0"/>
              <w:rPr>
                <w:sz w:val="20"/>
                <w:szCs w:val="20"/>
                <w:color w:val="auto"/>
              </w:rPr>
            </w:pPr>
            <w:r>
              <w:rPr>
                <w:rFonts w:ascii="Arial" w:cs="Arial" w:eastAsia="Arial" w:hAnsi="Arial"/>
                <w:sz w:val="18"/>
                <w:szCs w:val="18"/>
                <w:color w:val="auto"/>
              </w:rPr>
              <w:t>Section 1.2</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Other Definitions.</w:t>
            </w: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TERM</w:t>
            </w:r>
          </w:p>
        </w:tc>
        <w:tc>
          <w:tcPr>
            <w:tcW w:w="220" w:type="dxa"/>
            <w:vAlign w:val="bottom"/>
            <w:tcBorders>
              <w:bottom w:val="single" w:sz="8" w:color="CCEEFF"/>
            </w:tcBorders>
          </w:tcPr>
          <w:p>
            <w:pPr>
              <w:spacing w:after="0"/>
              <w:rPr>
                <w:sz w:val="24"/>
                <w:szCs w:val="24"/>
                <w:color w:val="auto"/>
              </w:rPr>
            </w:pPr>
          </w:p>
        </w:tc>
        <w:tc>
          <w:tcPr>
            <w:tcW w:w="558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DEFINED IN SECTION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“Bankruptcy Law”</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“Custodian”</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“Journal”</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“Judgment Currency”</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“Legal Holiday”</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“mandatory sinking fund payment”</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“Market Exchange Rate”</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9"/>
              </w:rPr>
              <w:t>“New York Banking Day”</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“Notice Agent”</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“optional sinking fund payment”</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“Paying Agent”</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“Registrar”</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“Required Currency”</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“successor person”</w:t>
            </w:r>
          </w:p>
        </w:tc>
        <w:tc>
          <w:tcPr>
            <w:tcW w:w="1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9" w:name="page60"/>
    <w:bookmarkEnd w:id="59"/>
    <w:p>
      <w:pPr>
        <w:ind w:left="660"/>
        <w:spacing w:after="0"/>
        <w:tabs>
          <w:tab w:leader="none" w:pos="19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Incorporation by Reference of Trust Indenture Act.</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 means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“indenture securities” 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“indenture security holder” means a Security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“obligor” on the indenture securities means the Company and any successor obligor upon the Securities.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Rules of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Issuable in Series.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Establishment of Terms of Series of Securities.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2.2(a) and either as to such Securities within the Series or as to the Series generally in the case of Subsections 2.2(a) through 2.2(u)) by or pursuant to a Board Resolution, and set forth or determined in the manner provided in a Board Resolution or Officers’ Certificate, and associated supplemental indenture:</w:t>
      </w:r>
    </w:p>
    <w:p>
      <w:pPr>
        <w:spacing w:after="0" w:line="147" w:lineRule="exact"/>
        <w:rPr>
          <w:sz w:val="20"/>
          <w:szCs w:val="20"/>
          <w:color w:val="auto"/>
        </w:rPr>
      </w:pPr>
    </w:p>
    <w:p>
      <w:pPr>
        <w:ind w:left="1360" w:hanging="704"/>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title of the Series (which shall distinguish the Securities of that particular Series from the Securities of any other Series);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price or prices (expressed as a percentage of the principal amount thereof) at which the Securities of the Series will be issued;</w:t>
      </w:r>
    </w:p>
    <w:p>
      <w:pPr>
        <w:spacing w:after="0" w:line="236" w:lineRule="exact"/>
        <w:rPr>
          <w:rFonts w:ascii="Arial" w:cs="Arial" w:eastAsia="Arial" w:hAnsi="Arial"/>
          <w:sz w:val="17"/>
          <w:szCs w:val="17"/>
          <w:color w:val="auto"/>
        </w:rPr>
      </w:pPr>
    </w:p>
    <w:p>
      <w:pPr>
        <w:ind w:firstLine="656"/>
        <w:spacing w:after="0" w:line="264" w:lineRule="auto"/>
        <w:tabs>
          <w:tab w:leader="none" w:pos="13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firstLine="656"/>
        <w:spacing w:after="0" w:line="259" w:lineRule="auto"/>
        <w:tabs>
          <w:tab w:leader="none" w:pos="13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6" w:lineRule="exact"/>
        <w:rPr>
          <w:rFonts w:ascii="Arial" w:cs="Arial" w:eastAsia="Arial" w:hAnsi="Arial"/>
          <w:sz w:val="18"/>
          <w:szCs w:val="18"/>
          <w:color w:val="auto"/>
        </w:rPr>
      </w:pPr>
    </w:p>
    <w:p>
      <w:pPr>
        <w:ind w:right="20" w:firstLine="656"/>
        <w:spacing w:after="0" w:line="286" w:lineRule="auto"/>
        <w:tabs>
          <w:tab w:leader="none" w:pos="136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ind w:right="100" w:firstLine="656"/>
        <w:spacing w:after="0" w:line="277" w:lineRule="auto"/>
        <w:tabs>
          <w:tab w:leader="none" w:pos="13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ind w:right="220" w:firstLine="656"/>
        <w:spacing w:after="0" w:line="264"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1" w:lineRule="exact"/>
        <w:rPr>
          <w:rFonts w:ascii="Arial" w:cs="Arial" w:eastAsia="Arial" w:hAnsi="Arial"/>
          <w:sz w:val="18"/>
          <w:szCs w:val="18"/>
          <w:color w:val="auto"/>
        </w:rPr>
      </w:pPr>
    </w:p>
    <w:p>
      <w:pPr>
        <w:ind w:right="120" w:firstLine="656"/>
        <w:spacing w:after="0" w:line="277" w:lineRule="auto"/>
        <w:tabs>
          <w:tab w:leader="none" w:pos="13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forms of the Securities of the Series and whether the Securities will be issuable as Global Securities;</w:t>
      </w:r>
    </w:p>
    <w:p>
      <w:pPr>
        <w:spacing w:after="0" w:line="225" w:lineRule="exact"/>
        <w:rPr>
          <w:rFonts w:ascii="Arial" w:cs="Arial" w:eastAsia="Arial" w:hAnsi="Arial"/>
          <w:sz w:val="18"/>
          <w:szCs w:val="18"/>
          <w:color w:val="auto"/>
        </w:rPr>
      </w:pPr>
    </w:p>
    <w:p>
      <w:pPr>
        <w:ind w:right="440" w:firstLine="656"/>
        <w:spacing w:after="0" w:line="277" w:lineRule="auto"/>
        <w:tabs>
          <w:tab w:leader="none" w:pos="13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170" w:lineRule="exact"/>
        <w:rPr>
          <w:rFonts w:ascii="Arial" w:cs="Arial" w:eastAsia="Arial" w:hAnsi="Arial"/>
          <w:sz w:val="18"/>
          <w:szCs w:val="18"/>
          <w:color w:val="auto"/>
        </w:rPr>
      </w:pPr>
    </w:p>
    <w:p>
      <w:pPr>
        <w:ind w:right="200" w:firstLine="656"/>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of denomination of the Securities of the Series, which may be Dollars or any Foreign Currency, including, but not limited to, the ECU, and if such currency of denomination is a composite currency other than the ECU, the agency or organization, if any, responsible for overseeing such composite currency;</w:t>
      </w:r>
    </w:p>
    <w:p>
      <w:pPr>
        <w:spacing w:after="0" w:line="181" w:lineRule="exact"/>
        <w:rPr>
          <w:rFonts w:ascii="Arial" w:cs="Arial" w:eastAsia="Arial" w:hAnsi="Arial"/>
          <w:sz w:val="18"/>
          <w:szCs w:val="18"/>
          <w:color w:val="auto"/>
        </w:rPr>
      </w:pPr>
    </w:p>
    <w:p>
      <w:pPr>
        <w:ind w:firstLine="656"/>
        <w:spacing w:after="0" w:line="277"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170" w:lineRule="exact"/>
        <w:rPr>
          <w:rFonts w:ascii="Arial" w:cs="Arial" w:eastAsia="Arial" w:hAnsi="Arial"/>
          <w:sz w:val="18"/>
          <w:szCs w:val="18"/>
          <w:color w:val="auto"/>
        </w:rPr>
      </w:pPr>
    </w:p>
    <w:p>
      <w:pPr>
        <w:ind w:right="20" w:firstLine="656"/>
        <w:spacing w:after="0" w:line="342" w:lineRule="auto"/>
        <w:tabs>
          <w:tab w:leader="none" w:pos="13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23" w:lineRule="exact"/>
        <w:rPr>
          <w:rFonts w:ascii="Arial" w:cs="Arial" w:eastAsia="Arial" w:hAnsi="Arial"/>
          <w:sz w:val="16"/>
          <w:szCs w:val="16"/>
          <w:color w:val="auto"/>
        </w:rPr>
      </w:pPr>
    </w:p>
    <w:p>
      <w:pPr>
        <w:jc w:val="both"/>
        <w:ind w:right="280" w:firstLine="656"/>
        <w:spacing w:after="0" w:line="264"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Securities of the Series;</w:t>
      </w:r>
    </w:p>
    <w:p>
      <w:pPr>
        <w:spacing w:after="0" w:line="225" w:lineRule="exact"/>
        <w:rPr>
          <w:rFonts w:ascii="Arial" w:cs="Arial" w:eastAsia="Arial" w:hAnsi="Arial"/>
          <w:sz w:val="18"/>
          <w:szCs w:val="18"/>
          <w:color w:val="auto"/>
        </w:rPr>
      </w:pPr>
    </w:p>
    <w:p>
      <w:pPr>
        <w:ind w:right="40" w:firstLine="656"/>
        <w:spacing w:after="0" w:line="277" w:lineRule="auto"/>
        <w:tabs>
          <w:tab w:leader="none" w:pos="13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Articles IV or V which applies to Securities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40" w:firstLine="656"/>
        <w:spacing w:after="0" w:line="277"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may supplement, modify or delete any provision of this Indenture insofar as it applies to such Series);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Officers shall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Security shall not be valid until authenticated by the manual or facsimile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 on:</w:t>
      </w:r>
    </w:p>
    <w:p>
      <w:pPr>
        <w:spacing w:after="0" w:line="46" w:lineRule="exact"/>
        <w:rPr>
          <w:sz w:val="20"/>
          <w:szCs w:val="20"/>
          <w:color w:val="auto"/>
        </w:rPr>
      </w:pPr>
    </w:p>
    <w:p>
      <w:pPr>
        <w:ind w:firstLine="8"/>
        <w:spacing w:after="0" w:line="255"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9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shall determine that such action would expose the Trustee to personal liability to Holders of any then outstanding Series of Securities.</w:t>
      </w:r>
    </w:p>
    <w:p>
      <w:pPr>
        <w:spacing w:after="0" w:line="187"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3" w:name="page64"/>
    <w:bookmarkEnd w:id="63"/>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Registrar and Paying Agent.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delivered (“Notice Agent”). The Trustee or Notice Agent, as applicable, shall deliver such notices and demands to the Company in accordance with Section 10.2 hereof.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delivered at the Corporate Trust Office of the Trustee, and the Company hereby appoints the Trustee as its agent to receive all such presentations, surrenders, notices and demands.</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may also from time to time designate one or more co-registrars, additional paying agents or notice agents and may from time to time rescind such designations; provided, however,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notice agent. The term “Registrar” includes any co-registrar; the term “Paying Agent” includes any additional paying agent; and the term “Notice Agent” includes any additional notice agent.</w:t>
      </w:r>
    </w:p>
    <w:p>
      <w:pPr>
        <w:spacing w:after="0" w:line="19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appoints The Depository Trust Company to act as Depositary with respect to the Securities.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Paying Agent to Hold Money in Trust.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 Holders of any Series of Securities all money held by it as Paying Agent.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Security Holder Lists.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Trustee shall preserve in as current a form as is reasonably practicable the most recent list available to it of the names and addresses of Security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 Holders of each Series of Securities.</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Transfer and Exchange.</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upon receipt of a Company Order.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Mutilated, Destroyed, Lost and Stolen Securities.</w:t>
      </w:r>
    </w:p>
    <w:p>
      <w:pPr>
        <w:spacing w:after="0" w:line="225" w:lineRule="exact"/>
        <w:rPr>
          <w:sz w:val="20"/>
          <w:szCs w:val="20"/>
          <w:color w:val="auto"/>
        </w:rPr>
      </w:pPr>
    </w:p>
    <w:p>
      <w:pPr>
        <w:ind w:right="760" w:firstLine="648"/>
        <w:spacing w:after="0" w:line="264" w:lineRule="auto"/>
        <w:rPr>
          <w:sz w:val="20"/>
          <w:szCs w:val="20"/>
          <w:color w:val="auto"/>
        </w:rPr>
      </w:pPr>
      <w:r>
        <w:rPr>
          <w:rFonts w:ascii="Arial" w:cs="Arial" w:eastAsia="Arial" w:hAnsi="Arial"/>
          <w:sz w:val="18"/>
          <w:szCs w:val="18"/>
          <w:color w:val="auto"/>
        </w:rPr>
        <w:t>If any mutilated Security is surrendered to the Trustee, the Company shall execute and the Trustee, upon receipt of a Company Order, shall authenticate and deliver in exchange therefor a new Security of the same Series and of like tenor and principal amount and bearing a number not contemporaneously outstanding.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w:t>
      </w:r>
    </w:p>
    <w:p>
      <w:pPr>
        <w:spacing w:after="0" w:line="35" w:lineRule="exact"/>
        <w:rPr>
          <w:sz w:val="20"/>
          <w:szCs w:val="20"/>
          <w:color w:val="auto"/>
        </w:rPr>
      </w:pPr>
    </w:p>
    <w:p>
      <w:pPr>
        <w:ind w:right="60" w:firstLine="8"/>
        <w:spacing w:after="0" w:line="281" w:lineRule="auto"/>
        <w:tabs>
          <w:tab w:leader="none" w:pos="2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upon receipt of a Company Order, shall authenticate and make available for delivery, in lieu of any such destroyed, lost or stolen Security, a new Security of the same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 and of like tenor and principal amount and bearing a number not contemporaneously outstanding.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ind w:right="100"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Outstanding Securities.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Treasury Securities.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left="660"/>
        <w:spacing w:after="0"/>
        <w:tabs>
          <w:tab w:leader="none" w:pos="19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Temporary Securities.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Until definitive Securities are ready for delivery, the Company may prepare and the Trustee, upon receipt of a Company Order,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Cancellation.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at any time may deliver Securities to the Trustee for cancellation. The Registrar and the Paying Agent shall forward to the Trustee any Securities surrendered to them for registration of transfer, exchange or payment. Upon receipt of written instruction from the Company, the Trustee shall cancel all Securities surrendered for transfer, exchange, payment, replacement or cancellation and shall destroy such canceled Securities and deliver a certificate of such destruction to the Company, unless the Company otherwise directs. The Company may not issue new Securities to replace Securities that it has paid or delivered to the Trustee for cancellation.</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Defaulted Interest.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If the Company defaults in a payment of interest on a Series of Securities, it shall pay the defaulted interest, plus, to the extent permitted by law, any interest payable on the defaulted interest, to the persons who are Security Holders of the Series on a subsequent special record date. The Company shall fix the record date and payment date. At least 10 days before the record date, the Company shall mail to the Trustee and to each Security Holder of the Series a notice that states the record date, the payment date and the amount of interest to be paid. The Company may pay defaulted interest in any other lawful manner.</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Global Securities.</w:t>
      </w:r>
    </w:p>
    <w:p>
      <w:pPr>
        <w:spacing w:after="0" w:line="225" w:lineRule="exact"/>
        <w:rPr>
          <w:sz w:val="20"/>
          <w:szCs w:val="20"/>
          <w:color w:val="auto"/>
        </w:rPr>
      </w:pPr>
    </w:p>
    <w:p>
      <w:pPr>
        <w:ind w:right="140" w:firstLine="656"/>
        <w:spacing w:after="0" w:line="342" w:lineRule="auto"/>
        <w:tabs>
          <w:tab w:leader="none" w:pos="1294"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Terms of Securities</w:t>
      </w:r>
      <w:r>
        <w:rPr>
          <w:rFonts w:ascii="Arial" w:cs="Arial" w:eastAsia="Arial" w:hAnsi="Arial"/>
          <w:sz w:val="16"/>
          <w:szCs w:val="16"/>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23" w:lineRule="exact"/>
        <w:rPr>
          <w:rFonts w:ascii="Arial" w:cs="Arial" w:eastAsia="Arial" w:hAnsi="Arial"/>
          <w:sz w:val="16"/>
          <w:szCs w:val="16"/>
          <w:color w:val="auto"/>
        </w:rPr>
      </w:pPr>
    </w:p>
    <w:p>
      <w:pPr>
        <w:ind w:right="60" w:firstLine="656"/>
        <w:spacing w:after="0" w:line="271" w:lineRule="auto"/>
        <w:tabs>
          <w:tab w:leader="none" w:pos="1304"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jc w:val="both"/>
        <w:ind w:right="20" w:firstLine="648"/>
        <w:spacing w:after="0" w:line="264" w:lineRule="auto"/>
        <w:rPr>
          <w:sz w:val="20"/>
          <w:szCs w:val="20"/>
          <w:color w:val="auto"/>
        </w:rPr>
      </w:pPr>
      <w:r>
        <w:rPr>
          <w:rFonts w:ascii="Arial" w:cs="Arial" w:eastAsia="Arial" w:hAnsi="Arial"/>
          <w:sz w:val="18"/>
          <w:szCs w:val="18"/>
          <w:color w:val="auto"/>
        </w:rPr>
        <w:t>Except as provided in this Section 2.14(b),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7" w:lineRule="exact"/>
        <w:rPr>
          <w:sz w:val="20"/>
          <w:szCs w:val="20"/>
          <w:color w:val="auto"/>
        </w:rPr>
      </w:pPr>
    </w:p>
    <w:p>
      <w:pPr>
        <w:ind w:left="1320" w:hanging="66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8" w:lineRule="exact"/>
        <w:rPr>
          <w:sz w:val="20"/>
          <w:szCs w:val="20"/>
          <w:color w:val="auto"/>
        </w:rPr>
      </w:pPr>
    </w:p>
    <w:p>
      <w:pPr>
        <w:ind w:right="80" w:firstLine="656"/>
        <w:spacing w:after="0" w:line="277" w:lineRule="auto"/>
        <w:tabs>
          <w:tab w:leader="none" w:pos="130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Acts of Holders</w:t>
      </w:r>
      <w:r>
        <w:rPr>
          <w:rFonts w:ascii="Arial" w:cs="Arial" w:eastAsia="Arial" w:hAnsi="Arial"/>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70" w:lineRule="exact"/>
        <w:rPr>
          <w:rFonts w:ascii="Arial" w:cs="Arial" w:eastAsia="Arial" w:hAnsi="Arial"/>
          <w:sz w:val="18"/>
          <w:szCs w:val="18"/>
          <w:color w:val="auto"/>
        </w:rPr>
      </w:pPr>
    </w:p>
    <w:p>
      <w:pPr>
        <w:ind w:right="240" w:firstLine="656"/>
        <w:spacing w:after="0" w:line="277" w:lineRule="auto"/>
        <w:tabs>
          <w:tab w:leader="none" w:pos="130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rFonts w:ascii="Arial" w:cs="Arial" w:eastAsia="Arial" w:hAnsi="Arial"/>
          <w:sz w:val="18"/>
          <w:szCs w:val="18"/>
          <w:color w:val="auto"/>
        </w:rPr>
      </w:pPr>
    </w:p>
    <w:p>
      <w:pPr>
        <w:ind w:firstLine="656"/>
        <w:spacing w:after="0" w:line="259" w:lineRule="auto"/>
        <w:tabs>
          <w:tab w:leader="none" w:pos="130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xml:space="preserve"> Except as provided in Section 2.14(e),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CUSIP Numbers.</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Notice to Trustee.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Trustee notice at least 45 days before the redemption date (or such shorter notice as may be acceptable to the Trustee).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Selection of Securities to be Redeemed.</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and in accordance with its customary practices or the selection shall be in accordance with DTC procedures, as applicable.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2.2(j),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Notice of Redemption.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ind w:left="1320" w:hanging="66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Company’s request, the Trustee shall give the notice of redemption prepared by the Company, in the Company’s name and at its expense.</w:t>
      </w:r>
    </w:p>
    <w:p>
      <w:pPr>
        <w:spacing w:after="0" w:line="2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Effect of Notice of Redemption.</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Deposit of Redemption Price.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or before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Securities Redeemed in Part.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Upon surrender of a Security that is redeemed in part, the Trustee, upon receipt of a Company Order, shall authenticate for the Holder a new Security of the same Series and the same maturity equal in principal amount to the unredeemed portion of the Security surrendered.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Principal and Interest.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SEC Reports.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Compliance Certificate.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shall deliver to the Trustee, within 120 days after the end of each fiscal year (which on the date hereof ends on December 31)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will, so long as any of the Securities are outstanding, deliver to the Trustee, forthwith upon becoming aware of any Default or Event of Default, an Officers’ Certificate specifying such Default or Event of Default and what action the Company is taking or proposes to take with respect thereto.</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Stay, Extension and Usury Laws.</w:t>
      </w:r>
    </w:p>
    <w:p>
      <w:pPr>
        <w:spacing w:after="0" w:line="22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Corporate Existence.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Subject to Article V, the Company will do or cause to be done all things necessary to preserve and keep in full force and effect its corporate existence and the rights (charter and statutory), licenses and franchises of the Company; provided, however, that the Company shall not be required to preserve any such right, license or franchise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SUCCESSORS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When Company May Merge, Etc.</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“successor person”) unless:</w:t>
      </w:r>
    </w:p>
    <w:p>
      <w:pPr>
        <w:spacing w:after="0" w:line="170" w:lineRule="exact"/>
        <w:rPr>
          <w:sz w:val="20"/>
          <w:szCs w:val="20"/>
          <w:color w:val="auto"/>
        </w:rPr>
      </w:pPr>
    </w:p>
    <w:p>
      <w:pPr>
        <w:ind w:right="280" w:firstLine="656"/>
        <w:spacing w:after="0" w:line="342" w:lineRule="auto"/>
        <w:tabs>
          <w:tab w:leader="none" w:pos="129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above, any Subsidiary of the Company may consolidate with, merge into or transfer all or part of its properties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Neither an Officers’ Certificate nor an Opinion of Counsel shall be required to be delivered in connection therewith.</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Successor Corporation Substituted.</w:t>
      </w:r>
    </w:p>
    <w:p>
      <w:pPr>
        <w:spacing w:after="0" w:line="22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DEFAULTS AND REMEDIES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Event of Default,</w:t>
      </w:r>
      <w:r>
        <w:rPr>
          <w:rFonts w:ascii="Arial" w:cs="Arial" w:eastAsia="Arial" w:hAnsi="Arial"/>
          <w:sz w:val="16"/>
          <w:szCs w:val="16"/>
          <w:color w:val="auto"/>
        </w:rPr>
        <w:t>” wherever used herein with respect to Securities of any Series, means any one of the following events, unless in the establishing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Resolution, supplemental indenture or Officers’ Certificate, it is provided that such Series shall not have the benefit of said Event of Default:</w:t>
      </w:r>
    </w:p>
    <w:p>
      <w:pPr>
        <w:spacing w:after="0" w:line="222" w:lineRule="exact"/>
        <w:rPr>
          <w:sz w:val="20"/>
          <w:szCs w:val="20"/>
          <w:color w:val="auto"/>
        </w:rPr>
      </w:pPr>
    </w:p>
    <w:p>
      <w:pPr>
        <w:ind w:firstLine="656"/>
        <w:spacing w:after="0" w:line="264" w:lineRule="auto"/>
        <w:tabs>
          <w:tab w:leader="none" w:pos="1294"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2" w:name="page73"/>
    <w:bookmarkEnd w:id="72"/>
    <w:p>
      <w:pPr>
        <w:ind w:left="1320" w:hanging="664"/>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ind w:right="120" w:firstLine="656"/>
        <w:spacing w:after="0" w:line="257" w:lineRule="auto"/>
        <w:tabs>
          <w:tab w:leader="none" w:pos="13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225" w:lineRule="exact"/>
        <w:rPr>
          <w:sz w:val="20"/>
          <w:szCs w:val="20"/>
          <w:color w:val="auto"/>
        </w:rPr>
      </w:pPr>
    </w:p>
    <w:p>
      <w:pPr>
        <w:ind w:left="660" w:right="440" w:hanging="4"/>
        <w:spacing w:after="0" w:line="277" w:lineRule="auto"/>
        <w:tabs>
          <w:tab w:leader="none" w:pos="131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 (r).</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Acceleration of Maturity; Rescission and Annulment.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ind w:firstLine="648"/>
        <w:spacing w:after="0" w:line="276"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Collection of Indebtedness and Suits for Enforcement by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right="20" w:firstLine="656"/>
        <w:spacing w:after="0" w:line="277" w:lineRule="auto"/>
        <w:tabs>
          <w:tab w:leader="none" w:pos="12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the Company will, upon demand of the Trustee, pay to it, for the benefit of the Holders of such Securities, the whole amount then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4" w:name="page75"/>
    <w:bookmarkEnd w:id="74"/>
    <w:p>
      <w:pPr>
        <w:ind w:firstLine="648"/>
        <w:spacing w:after="0" w:line="302" w:lineRule="auto"/>
        <w:rPr>
          <w:sz w:val="20"/>
          <w:szCs w:val="20"/>
          <w:color w:val="auto"/>
        </w:rPr>
      </w:pPr>
      <w:r>
        <w:rPr>
          <w:rFonts w:ascii="Arial" w:cs="Arial" w:eastAsia="Arial" w:hAnsi="Arial"/>
          <w:sz w:val="16"/>
          <w:szCs w:val="16"/>
          <w:color w:val="auto"/>
        </w:rPr>
        <w:t>Notwithstanding any other provision of this Indenture, if an Event of Default with respect to any Securities of any Series occurs and is continuing, the Trustee may in its discretion proceed to protect and enforce its rights and the rights of the Holders of Securities of such Series by pursuing any available remedy by proceeding at law or in equity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Trustee May File Proofs of Claim.</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ind w:right="120" w:firstLine="656"/>
        <w:spacing w:after="0" w:line="312" w:lineRule="auto"/>
        <w:tabs>
          <w:tab w:leader="none" w:pos="129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46" w:lineRule="exact"/>
        <w:rPr>
          <w:rFonts w:ascii="Arial" w:cs="Arial" w:eastAsia="Arial" w:hAnsi="Arial"/>
          <w:sz w:val="16"/>
          <w:szCs w:val="16"/>
          <w:color w:val="auto"/>
        </w:rPr>
      </w:pPr>
    </w:p>
    <w:p>
      <w:pPr>
        <w:ind w:left="1320" w:hanging="664"/>
        <w:spacing w:after="0"/>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7.8.</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Trustee May Enforce Claims Without Possession of Securities.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5" w:name="page76"/>
    <w:bookmarkEnd w:id="75"/>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Application of Money Collected.</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7.8; and</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To the Company or to such party as a court of competent jurisdiction shall direct.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Limitation on Suits.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248" w:lineRule="exact"/>
        <w:rPr>
          <w:rFonts w:ascii="Arial" w:cs="Arial" w:eastAsia="Arial" w:hAnsi="Arial"/>
          <w:sz w:val="16"/>
          <w:szCs w:val="16"/>
          <w:color w:val="auto"/>
        </w:rPr>
      </w:pPr>
    </w:p>
    <w:p>
      <w:pPr>
        <w:ind w:right="440" w:firstLine="656"/>
        <w:spacing w:after="0" w:line="277" w:lineRule="auto"/>
        <w:tabs>
          <w:tab w:leader="none" w:pos="13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380" w:firstLine="656"/>
        <w:spacing w:after="0" w:line="277" w:lineRule="auto"/>
        <w:tabs>
          <w:tab w:leader="none" w:pos="13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satisfactory to the Trustee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ind w:right="120" w:firstLine="656"/>
        <w:spacing w:after="0" w:line="277" w:lineRule="auto"/>
        <w:tabs>
          <w:tab w:leader="none" w:pos="13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Unconditional Right of Holders to Receive Principal and Interest.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ind w:left="660"/>
        <w:spacing w:after="0"/>
        <w:tabs>
          <w:tab w:leader="none" w:pos="194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Restoration of Rights and Remedies.</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p>
    <w:p>
      <w:pPr>
        <w:spacing w:after="0" w:line="22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Control by Holders.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right="220" w:firstLine="656"/>
        <w:spacing w:after="0" w:line="308" w:lineRule="auto"/>
        <w:tabs>
          <w:tab w:leader="none" w:pos="1307"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ind w:left="660"/>
        <w:spacing w:after="0"/>
        <w:tabs>
          <w:tab w:leader="none" w:pos="19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Waiver of Past Defaults.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p>
    <w:p>
      <w:pPr>
        <w:spacing w:after="0" w:line="225" w:lineRule="exact"/>
        <w:rPr>
          <w:sz w:val="20"/>
          <w:szCs w:val="20"/>
          <w:color w:val="auto"/>
        </w:rPr>
      </w:pPr>
    </w:p>
    <w:p>
      <w:pPr>
        <w:ind w:right="60" w:firstLine="656"/>
        <w:spacing w:after="0" w:line="342" w:lineRule="auto"/>
        <w:tabs>
          <w:tab w:leader="none" w:pos="1294"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the Trustee shall exercise the rights and powers vested in it by this Indenture and use the same degree of care and skill in their exercise as a prudent man would exercise or use under the circumstances in the conduct of his own affairs.</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225" w:lineRule="exact"/>
        <w:rPr>
          <w:rFonts w:ascii="Arial" w:cs="Arial" w:eastAsia="Arial" w:hAnsi="Arial"/>
          <w:sz w:val="18"/>
          <w:szCs w:val="18"/>
          <w:color w:val="auto"/>
        </w:rPr>
      </w:pPr>
    </w:p>
    <w:p>
      <w:pPr>
        <w:ind w:left="660" w:firstLine="645"/>
        <w:spacing w:after="0" w:line="297" w:lineRule="auto"/>
        <w:tabs>
          <w:tab w:leader="none" w:pos="1987" w:val="left"/>
        </w:tabs>
        <w:numPr>
          <w:ilvl w:val="1"/>
          <w:numId w:val="60"/>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8" w:name="page79"/>
    <w:bookmarkEnd w:id="78"/>
    <w:p>
      <w:pPr>
        <w:ind w:left="1320" w:hanging="664"/>
        <w:spacing w:after="0"/>
        <w:tabs>
          <w:tab w:leader="none" w:pos="13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Trustee may not be relieved from liability for its own negligent action, its own negligent failure to act or its own willful misconduct,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 that:</w:t>
      </w:r>
    </w:p>
    <w:p>
      <w:pPr>
        <w:spacing w:after="0" w:line="210" w:lineRule="exact"/>
        <w:rPr>
          <w:rFonts w:ascii="Arial" w:cs="Arial" w:eastAsia="Arial" w:hAnsi="Arial"/>
          <w:sz w:val="17"/>
          <w:szCs w:val="17"/>
          <w:color w:val="auto"/>
        </w:rPr>
      </w:pPr>
    </w:p>
    <w:p>
      <w:pPr>
        <w:ind w:left="1980" w:hanging="675"/>
        <w:spacing w:after="0"/>
        <w:tabs>
          <w:tab w:leader="none" w:pos="1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98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ind w:left="660" w:right="20" w:firstLine="645"/>
        <w:spacing w:after="0" w:line="279" w:lineRule="auto"/>
        <w:tabs>
          <w:tab w:leader="none" w:pos="1997"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225" w:lineRule="exact"/>
        <w:rPr>
          <w:rFonts w:ascii="Arial" w:cs="Arial" w:eastAsia="Arial" w:hAnsi="Arial"/>
          <w:sz w:val="18"/>
          <w:szCs w:val="18"/>
          <w:color w:val="auto"/>
        </w:rPr>
      </w:pPr>
    </w:p>
    <w:p>
      <w:pPr>
        <w:ind w:firstLine="656"/>
        <w:spacing w:after="0" w:line="277" w:lineRule="auto"/>
        <w:tabs>
          <w:tab w:leader="none" w:pos="13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security or indemnity satisfactory to it against any loss, liability or expense.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may agree in writing with the Company. Money held in trust by the Trustee need not be segregated from other funds except to the extent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by law.</w:t>
      </w:r>
    </w:p>
    <w:p>
      <w:pPr>
        <w:spacing w:after="0" w:line="210" w:lineRule="exact"/>
        <w:rPr>
          <w:rFonts w:ascii="Arial" w:cs="Arial" w:eastAsia="Arial" w:hAnsi="Arial"/>
          <w:sz w:val="16"/>
          <w:szCs w:val="16"/>
          <w:color w:val="auto"/>
        </w:rPr>
      </w:pPr>
    </w:p>
    <w:p>
      <w:pPr>
        <w:ind w:firstLine="656"/>
        <w:spacing w:after="0" w:line="264" w:lineRule="auto"/>
        <w:tabs>
          <w:tab w:leader="none" w:pos="13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81" w:lineRule="exact"/>
        <w:rPr>
          <w:rFonts w:ascii="Arial" w:cs="Arial" w:eastAsia="Arial" w:hAnsi="Arial"/>
          <w:sz w:val="18"/>
          <w:szCs w:val="18"/>
          <w:color w:val="auto"/>
        </w:rPr>
      </w:pPr>
    </w:p>
    <w:p>
      <w:pPr>
        <w:ind w:right="80" w:firstLine="656"/>
        <w:spacing w:after="0" w:line="277" w:lineRule="auto"/>
        <w:tabs>
          <w:tab w:leader="none" w:pos="13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Paying Agent, the Registrar, the Notice Agent, any agent and any authenticating agent shall be entitled to the protections, immunities and standard of care as are set forth in paragraphs (a), (b) and (c) of this Section with respect to the Trustee.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p>
    <w:p>
      <w:pPr>
        <w:spacing w:after="0" w:line="225" w:lineRule="exact"/>
        <w:rPr>
          <w:sz w:val="20"/>
          <w:szCs w:val="20"/>
          <w:color w:val="auto"/>
        </w:rPr>
      </w:pPr>
    </w:p>
    <w:p>
      <w:pPr>
        <w:ind w:right="140" w:firstLine="656"/>
        <w:spacing w:after="0" w:line="308" w:lineRule="auto"/>
        <w:tabs>
          <w:tab w:leader="none" w:pos="129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79" w:name="page80"/>
    <w:bookmarkEnd w:id="79"/>
    <w:p>
      <w:pPr>
        <w:ind w:right="40" w:firstLine="656"/>
        <w:spacing w:after="0" w:line="259" w:lineRule="auto"/>
        <w:tabs>
          <w:tab w:leader="none" w:pos="13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No such Officers’ Certificate or Opinion of Counsel shall be at the expense of the Trustee. Any request or direction of the Company mentioned herein shall be sufficiently evidenced by an Officers’ Certificate.</w:t>
      </w:r>
    </w:p>
    <w:p>
      <w:pPr>
        <w:spacing w:after="0" w:line="186" w:lineRule="exact"/>
        <w:rPr>
          <w:rFonts w:ascii="Arial" w:cs="Arial" w:eastAsia="Arial" w:hAnsi="Arial"/>
          <w:sz w:val="18"/>
          <w:szCs w:val="18"/>
          <w:color w:val="auto"/>
        </w:rPr>
      </w:pPr>
    </w:p>
    <w:p>
      <w:pPr>
        <w:ind w:right="60" w:firstLine="656"/>
        <w:spacing w:after="0" w:line="308" w:lineRule="auto"/>
        <w:tabs>
          <w:tab w:leader="none" w:pos="130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46" w:lineRule="exact"/>
        <w:rPr>
          <w:rFonts w:ascii="Arial" w:cs="Arial" w:eastAsia="Arial" w:hAnsi="Arial"/>
          <w:sz w:val="17"/>
          <w:szCs w:val="17"/>
          <w:color w:val="auto"/>
        </w:rPr>
      </w:pPr>
    </w:p>
    <w:p>
      <w:pPr>
        <w:ind w:right="160" w:firstLine="656"/>
        <w:spacing w:after="0" w:line="264" w:lineRule="auto"/>
        <w:tabs>
          <w:tab w:leader="none" w:pos="13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 The Trustee shall not be liable for any special, punitive or consequential damages, even if they were reasonably foreseeable.</w:t>
      </w:r>
    </w:p>
    <w:p>
      <w:pPr>
        <w:spacing w:after="0" w:line="181" w:lineRule="exact"/>
        <w:rPr>
          <w:rFonts w:ascii="Arial" w:cs="Arial" w:eastAsia="Arial" w:hAnsi="Arial"/>
          <w:sz w:val="18"/>
          <w:szCs w:val="18"/>
          <w:color w:val="auto"/>
        </w:rPr>
      </w:pPr>
    </w:p>
    <w:p>
      <w:pPr>
        <w:jc w:val="both"/>
        <w:ind w:right="160" w:firstLine="656"/>
        <w:spacing w:after="0" w:line="264" w:lineRule="auto"/>
        <w:tabs>
          <w:tab w:leader="none" w:pos="130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and the Trustee may conclusively rely on any such advice or Opinion of Counsel.</w:t>
      </w:r>
    </w:p>
    <w:p>
      <w:pPr>
        <w:spacing w:after="0" w:line="181" w:lineRule="exact"/>
        <w:rPr>
          <w:rFonts w:ascii="Arial" w:cs="Arial" w:eastAsia="Arial" w:hAnsi="Arial"/>
          <w:sz w:val="18"/>
          <w:szCs w:val="18"/>
          <w:color w:val="auto"/>
        </w:rPr>
      </w:pPr>
    </w:p>
    <w:p>
      <w:pPr>
        <w:ind w:right="220" w:firstLine="656"/>
        <w:spacing w:after="0" w:line="264" w:lineRule="auto"/>
        <w:tabs>
          <w:tab w:leader="none" w:pos="130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the Trustee against the costs, expenses and liabilities which might be incurred by it in compliance with such request or direction.</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31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65" w:lineRule="exact"/>
        <w:rPr>
          <w:rFonts w:ascii="Arial" w:cs="Arial" w:eastAsia="Arial" w:hAnsi="Arial"/>
          <w:sz w:val="17"/>
          <w:szCs w:val="17"/>
          <w:color w:val="auto"/>
        </w:rPr>
      </w:pPr>
    </w:p>
    <w:p>
      <w:pPr>
        <w:ind w:right="200" w:firstLine="656"/>
        <w:spacing w:after="0" w:line="286" w:lineRule="auto"/>
        <w:tabs>
          <w:tab w:leader="none" w:pos="130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(other than a payment default under Section 6.1 or 6.2) unless a Responsible Officer of the Trustee has received written notice of any event which is in fact such a default at the Corporate Trust Office of the Trustee, and such notice references the Securities generally or the Securities of a particular Series and this Indenture.</w:t>
      </w:r>
    </w:p>
    <w:p>
      <w:pPr>
        <w:spacing w:after="0" w:line="165" w:lineRule="exact"/>
        <w:rPr>
          <w:rFonts w:ascii="Arial" w:cs="Arial" w:eastAsia="Arial" w:hAnsi="Arial"/>
          <w:sz w:val="17"/>
          <w:szCs w:val="17"/>
          <w:color w:val="auto"/>
        </w:rPr>
      </w:pPr>
    </w:p>
    <w:p>
      <w:pPr>
        <w:jc w:val="both"/>
        <w:ind w:firstLine="656"/>
        <w:spacing w:after="0" w:line="381" w:lineRule="auto"/>
        <w:tabs>
          <w:tab w:leader="none" w:pos="1318"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rights, privileges, protections, immunities and benefits given to the Trustee, including without limitation its right to be indemnified, are extended to, and shall enforceable by, the Trustee in each of its capacities hereunder, and to each agent, custodian and other Person employed to act hereunder.</w:t>
      </w:r>
    </w:p>
    <w:p>
      <w:pPr>
        <w:spacing w:after="0" w:line="100" w:lineRule="exact"/>
        <w:rPr>
          <w:rFonts w:ascii="Arial" w:cs="Arial" w:eastAsia="Arial" w:hAnsi="Arial"/>
          <w:sz w:val="15"/>
          <w:szCs w:val="15"/>
          <w:color w:val="auto"/>
        </w:rPr>
      </w:pPr>
    </w:p>
    <w:p>
      <w:pPr>
        <w:ind w:right="360" w:firstLine="656"/>
        <w:spacing w:after="0" w:line="286" w:lineRule="auto"/>
        <w:tabs>
          <w:tab w:leader="none" w:pos="130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may request that the Issuer deliver an Officers’ Certificate setting forth the names of individuals and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left="1320" w:hanging="664"/>
        <w:spacing w:after="0"/>
        <w:tabs>
          <w:tab w:leader="none" w:pos="1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Trustee shall have no duty to inquire as to or monitor the performance of the Issuer with respect to the covenants contained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Article IV.</w:t>
      </w:r>
    </w:p>
    <w:p>
      <w:pPr>
        <w:spacing w:after="0" w:line="210" w:lineRule="exact"/>
        <w:rPr>
          <w:rFonts w:ascii="Arial" w:cs="Arial" w:eastAsia="Arial" w:hAnsi="Arial"/>
          <w:sz w:val="17"/>
          <w:szCs w:val="17"/>
          <w:color w:val="auto"/>
        </w:rPr>
      </w:pPr>
    </w:p>
    <w:p>
      <w:pPr>
        <w:ind w:left="1320" w:hanging="664"/>
        <w:spacing w:after="0"/>
        <w:tabs>
          <w:tab w:leader="none" w:pos="1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shall not be required to give any note, bond or surety in respect of the execution of the trusts and powers under this Indenture.</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Nothing herein shall be deemed to require the Trustee to submit to the jurisdiction or venue of a non-U.S. court.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Force Majeure.</w:t>
      </w:r>
    </w:p>
    <w:p>
      <w:pPr>
        <w:spacing w:after="0" w:line="225" w:lineRule="exact"/>
        <w:rPr>
          <w:sz w:val="20"/>
          <w:szCs w:val="20"/>
          <w:color w:val="auto"/>
        </w:rPr>
      </w:pPr>
    </w:p>
    <w:p>
      <w:pPr>
        <w:ind w:right="60" w:firstLine="656"/>
        <w:spacing w:after="0" w:line="259" w:lineRule="auto"/>
        <w:tabs>
          <w:tab w:leader="none" w:pos="12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Trustee shall have no liability for delays or inability to perform its duties hereunder due to </w:t>
      </w:r>
      <w:r>
        <w:rPr>
          <w:rFonts w:ascii="Arial" w:cs="Arial" w:eastAsia="Arial" w:hAnsi="Arial"/>
          <w:sz w:val="18"/>
          <w:szCs w:val="18"/>
          <w:u w:val="single" w:color="auto"/>
          <w:color w:val="auto"/>
        </w:rPr>
        <w:t>forces majeures</w:t>
      </w:r>
      <w:r>
        <w:rPr>
          <w:rFonts w:ascii="Arial" w:cs="Arial" w:eastAsia="Arial" w:hAnsi="Arial"/>
          <w:sz w:val="18"/>
          <w:szCs w:val="18"/>
          <w:color w:val="auto"/>
        </w:rPr>
        <w:t>, events beyond its control, such as (but not exclusively) civil unrest, earthquakes, hurricanes or other natural disasters, floods, utility failures, transmission interruptions, power failures, wars, governmental declarations or Acts of God; it being understood that the Trustee shall use reasonable efforts which are consistent with accepted practices in the banking industry to resume performance as soon as practicable under the circumstances.</w:t>
      </w:r>
    </w:p>
    <w:p>
      <w:pPr>
        <w:spacing w:after="0" w:line="186" w:lineRule="exact"/>
        <w:rPr>
          <w:rFonts w:ascii="Arial" w:cs="Arial" w:eastAsia="Arial" w:hAnsi="Arial"/>
          <w:sz w:val="18"/>
          <w:szCs w:val="18"/>
          <w:color w:val="auto"/>
        </w:rPr>
      </w:pPr>
    </w:p>
    <w:p>
      <w:pPr>
        <w:ind w:right="40" w:firstLine="656"/>
        <w:spacing w:after="0" w:line="277" w:lineRule="auto"/>
        <w:tabs>
          <w:tab w:leader="none" w:pos="13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Delivery of reports or information by the Company shall not be deemed to confer actual or constructive knowledge or notice on the Trustee with respect to a Default or Event of Default, or otherwise.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Individual Rights of Trustee.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7.11 and 7.12.</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Trustee’s Disclaimer.</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Notice of Defaults.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a Default or Event of Default occurs and is continuing with respect to the Securities of any Series and if it is known to a Responsible Officer of the Trustee, the Trustee shall mail (or deliver notice subject to the applicable procedures of the Depositary or relevant clearing system) to each Security Holder of the Securities of that Series notice of a Default or Event of Default within 90 days after it occurs or, if later, after a Responsible Officer of the Trustee has written notice of such Default or Event of Default. Except in the case of a Default or Event of Default in payment of principal of or interest on any Security of any Series, or in the payment of any sinking fund installment, the Trustee may withhold the notice if and so long as its corporate trust committee or a committee of its Responsible Officers in good faith determines that withholding the notice is in the interests of Security Holders of that Series.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1" w:name="page82"/>
    <w:bookmarkEnd w:id="81"/>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Reports by Trustee to Holders.</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Within 60 days after May 15 in each year, the Trustee shall transmit by mail to all Security Holders, as their names and addresses appear on the register kept by the Registrar, a brief report dated as of such May 15, in accordance with, and to the extent required under, TIA § 313.</w:t>
      </w:r>
    </w:p>
    <w:p>
      <w:pPr>
        <w:spacing w:after="0" w:line="14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 copy of each report at the time of its mailing to Security Holders of any Series shall be filed with the SEC and each stock exchange on which the Securities of that Series are listed. The Company shall promptly notify the Trustee when Securities of any Series are listed on any stock exchange.</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Compensation and Indemnity.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against any loss, liability or expense (including the cost of defending itself) incurred by it except as set forth in the next paragraph in the performance of the Trustee duties under this Indenture as Trustee or Agent. The Trustee shall notify the Company promptly of any claim for which it may seek indemnity; provided, however, that failure to so notify the Company shall not relieve it of its obligations hereunder. The Company shall defend the claim and the Trustee shall cooperate in the defense; provided, however, the Trustee may conduct its own defense if there is a conflict of interest between the interests of the Company and those of the Trustee. The Trustee may have one separate counsel (in addition to local counsel, if applicable)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or agents of the Trustee.</w:t>
      </w:r>
    </w:p>
    <w:p>
      <w:pPr>
        <w:spacing w:after="0" w:line="179"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Agent or agent of the Trustee to the extent it is attributed to its own negligence or willful conduct as determined by a court of competent jurisdiction in a final, non-appealable order.</w:t>
      </w:r>
    </w:p>
    <w:p>
      <w:pPr>
        <w:spacing w:after="0" w:line="181"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 (d) or (e) occurs, the expenses and the compensation for the services (including the fees and expenses of its agents and counsel) are intended to constitute expenses of administration under any Bankruptcy Law.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and removal of the Trustee.</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u w:val="single" w:color="auto"/>
          <w:color w:val="auto"/>
        </w:rPr>
        <w:t>Replacement of Trustee.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66"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fails to comply with Section 7.11;</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Immediately after that, the retiring Trustee upon payment of its fees and expenses then unpaid shall transfer all property held by it as Trustee to the successor Trustee subject to the lien provided for in Section 7.8,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 Holder of each such Series. Notwithstanding replacement of the Trustee pursuant to this Section 7.9, the Company’s obligations under Section 7.8 hereof shall continue for the benefit of the retiring Trustee with respect to expenses and liabilities incurred by it prior to such replacement.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left="660"/>
        <w:spacing w:after="0"/>
        <w:tabs>
          <w:tab w:leader="none" w:pos="19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5"/>
          <w:szCs w:val="15"/>
          <w:u w:val="single" w:color="auto"/>
          <w:color w:val="auto"/>
        </w:rPr>
        <w:t>Successor Trustee by Merger, etc.</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7"/>
          <w:szCs w:val="17"/>
          <w:u w:val="single" w:color="auto"/>
          <w:color w:val="auto"/>
        </w:rPr>
        <w:t>Eligibility; Disqualification.</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This Indenture shall always have a Trustee who satisfies the requirements of TIA § 310(a)(1), (2) and (5). The Trustee shall always have a combined capital and surplus of at least $150,000 as set forth in its most recent published annual report of condition. The Trustee shall comply with TIA § 310(b).</w:t>
      </w:r>
    </w:p>
    <w:p>
      <w:pPr>
        <w:spacing w:after="0" w:line="12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u w:val="single" w:color="auto"/>
          <w:color w:val="auto"/>
        </w:rPr>
        <w:t>Preferential Collection of Claims Against Company.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Satisfaction and Discharge of Indenture.</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This Indenture shall upon Company Order cease to be of further effect (except as hereinafter provided in this Section 8.1), and the Trustee, at the expense of the Company, shall execute proper instruments acknowledging satisfaction and discharge of this Indenture, when</w:t>
      </w:r>
    </w:p>
    <w:p>
      <w:pPr>
        <w:spacing w:after="0" w:line="147"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7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660" w:right="20" w:firstLine="1293"/>
        <w:spacing w:after="0" w:line="277" w:lineRule="auto"/>
        <w:tabs>
          <w:tab w:leader="none" w:pos="2615" w:val="left"/>
        </w:tabs>
        <w:numPr>
          <w:ilvl w:val="2"/>
          <w:numId w:val="67"/>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4" w:name="page85"/>
    <w:bookmarkEnd w:id="84"/>
    <w:p>
      <w:pPr>
        <w:ind w:right="20" w:firstLine="648"/>
        <w:spacing w:after="0" w:line="259" w:lineRule="auto"/>
        <w:rPr>
          <w:sz w:val="20"/>
          <w:szCs w:val="20"/>
          <w:color w:val="auto"/>
        </w:rPr>
      </w:pPr>
      <w:r>
        <w:rPr>
          <w:rFonts w:ascii="Arial" w:cs="Arial" w:eastAsia="Arial" w:hAnsi="Arial"/>
          <w:sz w:val="18"/>
          <w:szCs w:val="18"/>
          <w:color w:val="auto"/>
        </w:rPr>
        <w:t>and the Company, in the case of (A), (B) or (C) above,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87" w:lineRule="exact"/>
        <w:rPr>
          <w:sz w:val="20"/>
          <w:szCs w:val="20"/>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360" w:firstLine="656"/>
        <w:spacing w:after="0" w:line="277" w:lineRule="auto"/>
        <w:tabs>
          <w:tab w:leader="none" w:pos="13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7.8, and, if money shall have been deposited with the Trustee pursuant to clause (a) of this Section, the provisions of Sections 2.4, 2.7, 2.8, 8.2 and 8.5 shall survive.</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Application of Trust Funds; Indemnification.</w:t>
      </w:r>
    </w:p>
    <w:p>
      <w:pPr>
        <w:spacing w:after="0" w:line="225" w:lineRule="exact"/>
        <w:rPr>
          <w:sz w:val="20"/>
          <w:szCs w:val="20"/>
          <w:color w:val="auto"/>
        </w:rPr>
      </w:pPr>
    </w:p>
    <w:p>
      <w:pPr>
        <w:ind w:right="60" w:firstLine="656"/>
        <w:spacing w:after="0" w:line="255" w:lineRule="auto"/>
        <w:tabs>
          <w:tab w:leader="none" w:pos="1294"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the provisions of Section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89" w:lineRule="exact"/>
        <w:rPr>
          <w:rFonts w:ascii="Arial" w:cs="Arial" w:eastAsia="Arial" w:hAnsi="Arial"/>
          <w:sz w:val="18"/>
          <w:szCs w:val="18"/>
          <w:color w:val="auto"/>
        </w:rPr>
      </w:pPr>
    </w:p>
    <w:p>
      <w:pPr>
        <w:ind w:firstLine="656"/>
        <w:spacing w:after="0" w:line="264" w:lineRule="auto"/>
        <w:tabs>
          <w:tab w:leader="none" w:pos="13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spacing w:after="0" w:line="181" w:lineRule="exact"/>
        <w:rPr>
          <w:rFonts w:ascii="Arial" w:cs="Arial" w:eastAsia="Arial" w:hAnsi="Arial"/>
          <w:sz w:val="18"/>
          <w:szCs w:val="18"/>
          <w:color w:val="auto"/>
        </w:rPr>
      </w:pPr>
    </w:p>
    <w:p>
      <w:pPr>
        <w:ind w:right="60" w:firstLine="656"/>
        <w:spacing w:after="0" w:line="255" w:lineRule="auto"/>
        <w:tabs>
          <w:tab w:leader="none" w:pos="130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Request any U.S. Government Obligations or Foreign Government Obligations or money held by it as provided in Sections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5" w:name="page86"/>
    <w:bookmarkEnd w:id="85"/>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Legal Defeasance of Securities of any Series.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Unless this Section 8.3 is otherwise specified, pursuant to Section 2.2(t),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54" w:lineRule="exact"/>
        <w:rPr>
          <w:sz w:val="20"/>
          <w:szCs w:val="20"/>
          <w:color w:val="auto"/>
        </w:rPr>
      </w:pPr>
    </w:p>
    <w:p>
      <w:pPr>
        <w:ind w:right="20" w:firstLine="656"/>
        <w:spacing w:after="0" w:line="279" w:lineRule="auto"/>
        <w:tabs>
          <w:tab w:leader="none" w:pos="1294"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provisions of Sections 2.4, 2.7, 2.8, 8.2, 8.3 and 8.5;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rights, powers, trust and immunities of the Trustee hereunder;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provided that, the following conditions shall have been satisfied:</w:t>
      </w:r>
    </w:p>
    <w:p>
      <w:pPr>
        <w:spacing w:after="0" w:line="225" w:lineRule="exact"/>
        <w:rPr>
          <w:rFonts w:ascii="Arial" w:cs="Arial" w:eastAsia="Arial" w:hAnsi="Arial"/>
          <w:sz w:val="18"/>
          <w:szCs w:val="18"/>
          <w:color w:val="auto"/>
        </w:rPr>
      </w:pPr>
    </w:p>
    <w:p>
      <w:pPr>
        <w:ind w:firstLine="656"/>
        <w:spacing w:after="0" w:line="270" w:lineRule="auto"/>
        <w:tabs>
          <w:tab w:leader="none" w:pos="1307"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81" w:lineRule="exact"/>
        <w:rPr>
          <w:rFonts w:ascii="Arial" w:cs="Arial" w:eastAsia="Arial" w:hAnsi="Arial"/>
          <w:sz w:val="17"/>
          <w:szCs w:val="17"/>
          <w:color w:val="auto"/>
        </w:rPr>
      </w:pPr>
    </w:p>
    <w:p>
      <w:pPr>
        <w:ind w:right="160" w:firstLine="656"/>
        <w:spacing w:after="0" w:line="277" w:lineRule="auto"/>
        <w:tabs>
          <w:tab w:leader="none" w:pos="1301"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right="500" w:firstLine="656"/>
        <w:spacing w:after="0" w:line="277" w:lineRule="auto"/>
        <w:tabs>
          <w:tab w:leader="none" w:pos="13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ind w:right="20" w:firstLine="656"/>
        <w:spacing w:after="0" w:line="255" w:lineRule="auto"/>
        <w:tabs>
          <w:tab w:leader="none" w:pos="13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ind w:right="60" w:firstLine="656"/>
        <w:spacing w:after="0" w:line="264"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81" w:lineRule="exact"/>
        <w:rPr>
          <w:rFonts w:ascii="Arial" w:cs="Arial" w:eastAsia="Arial" w:hAnsi="Arial"/>
          <w:sz w:val="18"/>
          <w:szCs w:val="18"/>
          <w:color w:val="auto"/>
        </w:rPr>
      </w:pPr>
    </w:p>
    <w:p>
      <w:pPr>
        <w:ind w:right="660" w:firstLine="656"/>
        <w:spacing w:after="0" w:line="277" w:lineRule="auto"/>
        <w:tabs>
          <w:tab w:leader="none" w:pos="13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Covenant Defeasance.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Unless this Section 8.4 is otherwise specified pursuant to Section 2.2(t)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2.2(t)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2.2(r) and designated as an Event of Default shall not constitute a Default or Event of Default hereunder, with respect to the Securities of such Series, provided that the following conditions shall have been satisfied:</w:t>
      </w:r>
    </w:p>
    <w:p>
      <w:pPr>
        <w:spacing w:after="0" w:line="178" w:lineRule="exact"/>
        <w:rPr>
          <w:sz w:val="20"/>
          <w:szCs w:val="20"/>
          <w:color w:val="auto"/>
        </w:rPr>
      </w:pPr>
    </w:p>
    <w:p>
      <w:pPr>
        <w:ind w:right="120" w:firstLine="656"/>
        <w:spacing w:after="0" w:line="289" w:lineRule="auto"/>
        <w:tabs>
          <w:tab w:leader="none" w:pos="1294"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66" w:lineRule="exact"/>
        <w:rPr>
          <w:rFonts w:ascii="Arial" w:cs="Arial" w:eastAsia="Arial" w:hAnsi="Arial"/>
          <w:sz w:val="16"/>
          <w:szCs w:val="16"/>
          <w:color w:val="auto"/>
        </w:rPr>
      </w:pPr>
    </w:p>
    <w:p>
      <w:pPr>
        <w:ind w:right="140" w:firstLine="656"/>
        <w:spacing w:after="0" w:line="277" w:lineRule="auto"/>
        <w:tabs>
          <w:tab w:leader="none" w:pos="13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ind w:left="1320" w:hanging="664"/>
        <w:spacing w:after="0"/>
        <w:tabs>
          <w:tab w:leader="none" w:pos="1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Securities of such Series shall have occurred and be continuing on the date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w:t>
      </w:r>
    </w:p>
    <w:p>
      <w:pPr>
        <w:spacing w:after="0" w:line="211" w:lineRule="exact"/>
        <w:rPr>
          <w:sz w:val="20"/>
          <w:szCs w:val="20"/>
          <w:color w:val="auto"/>
        </w:rPr>
      </w:pPr>
    </w:p>
    <w:p>
      <w:pPr>
        <w:jc w:val="both"/>
        <w:ind w:right="160" w:firstLine="656"/>
        <w:spacing w:after="0" w:line="312" w:lineRule="auto"/>
        <w:tabs>
          <w:tab w:leader="none" w:pos="1304"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46" w:lineRule="exact"/>
        <w:rPr>
          <w:rFonts w:ascii="Arial" w:cs="Arial" w:eastAsia="Arial" w:hAnsi="Arial"/>
          <w:sz w:val="16"/>
          <w:szCs w:val="16"/>
          <w:color w:val="auto"/>
        </w:rPr>
      </w:pPr>
    </w:p>
    <w:p>
      <w:pPr>
        <w:ind w:right="100" w:firstLine="656"/>
        <w:spacing w:after="0" w:line="264" w:lineRule="auto"/>
        <w:tabs>
          <w:tab w:leader="none" w:pos="13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81" w:lineRule="exact"/>
        <w:rPr>
          <w:rFonts w:ascii="Arial" w:cs="Arial" w:eastAsia="Arial" w:hAnsi="Arial"/>
          <w:sz w:val="18"/>
          <w:szCs w:val="18"/>
          <w:color w:val="auto"/>
        </w:rPr>
      </w:pPr>
    </w:p>
    <w:p>
      <w:pPr>
        <w:ind w:right="560" w:firstLine="656"/>
        <w:spacing w:after="0" w:line="277" w:lineRule="auto"/>
        <w:tabs>
          <w:tab w:leader="none" w:pos="13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Repayment to Company.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and the Paying Agent shall pay to the Company upon written request any money held by them for the payment of principal and interest that remains unclaimed for two years. After that, Security Holders entitled to the money must look to the Company for payment as general creditors unless an applicable abandoned property law designates another person.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SUPPLEMENTAL INDENTURES, AMENDMENTS AND WAIVERS</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Without Consent of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and the Trustee may amend or supplement this Indenture or the Securities of one or more Series without the consent of any Security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 Holder;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248" w:lineRule="exact"/>
        <w:rPr>
          <w:rFonts w:ascii="Arial" w:cs="Arial" w:eastAsia="Arial" w:hAnsi="Arial"/>
          <w:sz w:val="16"/>
          <w:szCs w:val="16"/>
          <w:color w:val="auto"/>
        </w:rPr>
      </w:pPr>
    </w:p>
    <w:p>
      <w:pPr>
        <w:ind w:right="200" w:firstLine="656"/>
        <w:spacing w:after="0" w:line="264" w:lineRule="auto"/>
        <w:tabs>
          <w:tab w:leader="none" w:pos="13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8" w:name="page89"/>
    <w:bookmarkEnd w:id="88"/>
    <w:p>
      <w:pPr>
        <w:ind w:left="1320" w:hanging="664"/>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 9.2</w:t>
      </w:r>
      <w:r>
        <w:rPr>
          <w:rFonts w:ascii="Arial" w:cs="Arial" w:eastAsia="Arial" w:hAnsi="Arial"/>
          <w:sz w:val="16"/>
          <w:szCs w:val="16"/>
          <w:u w:val="single" w:color="auto"/>
          <w:color w:val="auto"/>
        </w:rPr>
        <w:t>With Consent of Holders.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7"/>
          <w:szCs w:val="17"/>
          <w:u w:val="single" w:color="auto"/>
          <w:color w:val="auto"/>
        </w:rPr>
        <w:t>Limitations.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the consent of each Security Holder affected, an amendment or waiver may not:</w:t>
      </w:r>
    </w:p>
    <w:p>
      <w:pPr>
        <w:spacing w:after="0" w:line="225"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right="180" w:firstLine="656"/>
        <w:spacing w:after="0" w:line="277" w:lineRule="auto"/>
        <w:tabs>
          <w:tab w:leader="none" w:pos="1307"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ind w:firstLine="656"/>
        <w:spacing w:after="0" w:line="264" w:lineRule="auto"/>
        <w:tabs>
          <w:tab w:leader="none" w:pos="1307" w:val="left"/>
        </w:tabs>
        <w:numPr>
          <w:ilvl w:val="0"/>
          <w:numId w:val="77"/>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9" w:name="page90"/>
    <w:bookmarkEnd w:id="89"/>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Section 9.4</w:t>
      </w:r>
      <w:r>
        <w:rPr>
          <w:rFonts w:ascii="Arial" w:cs="Arial" w:eastAsia="Arial" w:hAnsi="Arial"/>
          <w:sz w:val="16"/>
          <w:szCs w:val="16"/>
          <w:u w:val="single" w:color="auto"/>
          <w:color w:val="auto"/>
        </w:rPr>
        <w:t>Compliance with Trust Indenture Act.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Every amendment or waiver to this Indenture or the issuance of and establishment of the form and terms and conditions of Securities of one or more Series shall be set forth in a supplemental indenture hereto that complies with the TIA as then in effect.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Revocation and Effect of Consents.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5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Any amendment or waiver once effective shall bind every Security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Notation on or Exchange of Securities.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Securities of that Series may issue and the Trustee shall authenticate upon receipt of a Company Order new Securities of that Series that reflect the amendment or waiver.</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5"/>
          <w:szCs w:val="15"/>
          <w:u w:val="single" w:color="auto"/>
          <w:color w:val="auto"/>
        </w:rPr>
        <w:t>Trustee Protected.</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Trust Indenture Act Controls.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in the English language, referencing this Indenture and the applicable securities or series of securities, and delivered in person or mailed by first-class mail, or by facsimile transmission: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663 King’s Road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Quarry Bay</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Hong Kong S.A.R.</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Tel: +852 3700 9000</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060"/>
        <w:spacing w:after="0"/>
        <w:tabs>
          <w:tab w:leader="none" w:pos="1280" w:val="left"/>
        </w:tabs>
        <w:rPr>
          <w:sz w:val="20"/>
          <w:szCs w:val="20"/>
          <w:color w:val="auto"/>
        </w:rPr>
      </w:pPr>
      <w:r>
        <w:rPr>
          <w:rFonts w:ascii="Arial" w:cs="Arial" w:eastAsia="Arial" w:hAnsi="Arial"/>
          <w:sz w:val="18"/>
          <w:szCs w:val="18"/>
          <w:color w:val="auto"/>
        </w:rPr>
        <w:t>[</w:t>
        <w:tab/>
        <w:t>]</w:t>
      </w:r>
    </w:p>
    <w:p>
      <w:pPr>
        <w:sectPr>
          <w:pgSz w:w="11900" w:h="16838" w:orient="portrait"/>
          <w:cols w:equalWidth="0" w:num="1">
            <w:col w:w="11400"/>
          </w:cols>
          <w:pgMar w:left="240" w:top="337" w:right="259" w:bottom="1440" w:gutter="0" w:footer="0" w:header="0"/>
        </w:sectPr>
      </w:pPr>
    </w:p>
    <w:p>
      <w:pPr>
        <w:spacing w:after="0" w:line="2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Fax No: [</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760" w:space="180"/>
            <w:col w:w="9460"/>
          </w:cols>
          <w:pgMar w:left="240" w:top="337" w:right="259" w:bottom="1440" w:gutter="0" w:footer="0" w:header="0"/>
          <w:type w:val="continuous"/>
        </w:sectPr>
      </w:pPr>
    </w:p>
    <w:p>
      <w:pPr>
        <w:ind w:left="106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940" w:space="720"/>
            <w:col w:w="8740"/>
          </w:cols>
          <w:pgMar w:left="240" w:top="337" w:right="25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or the Trustee by notice to the other may designate additional or different addresses for subsequent notices or communications.</w:t>
      </w:r>
    </w:p>
    <w:p>
      <w:pPr>
        <w:spacing w:after="0" w:line="248"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Any notice or communication to a Security Holder shall be mailed by first-class mail to his address shown on the register kept by the Registrar or delivered subject to the applicable procedures of Depositary or relevant clearing system. Failure to mail a notice or communication to a Security Holder of any Series or any defect in it shall not affect its sufficiency with respect to other Security Holders of that or any other Series.</w:t>
      </w:r>
    </w:p>
    <w:p>
      <w:pPr>
        <w:spacing w:after="0" w:line="166" w:lineRule="exact"/>
        <w:rPr>
          <w:sz w:val="20"/>
          <w:szCs w:val="20"/>
          <w:color w:val="auto"/>
        </w:rPr>
      </w:pPr>
    </w:p>
    <w:p>
      <w:pPr>
        <w:jc w:val="both"/>
        <w:ind w:right="280" w:firstLine="648"/>
        <w:spacing w:after="0" w:line="277" w:lineRule="auto"/>
        <w:rPr>
          <w:sz w:val="20"/>
          <w:szCs w:val="20"/>
          <w:color w:val="auto"/>
        </w:rPr>
      </w:pPr>
      <w:r>
        <w:rPr>
          <w:rFonts w:ascii="Arial" w:cs="Arial" w:eastAsia="Arial" w:hAnsi="Arial"/>
          <w:sz w:val="18"/>
          <w:szCs w:val="18"/>
          <w:color w:val="auto"/>
        </w:rPr>
        <w:t>If a notice or communication is mailed or published in the manner provided above, within the time prescribed, it is duly given, whether or not the Security Holder receives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mails a notice or communication to Security Holders, it shall mail a copy to the Trustee and each Agent at the same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91" w:name="page92"/>
    <w:bookmarkEnd w:id="91"/>
    <w:p>
      <w:pPr>
        <w:ind w:left="660"/>
        <w:spacing w:after="0"/>
        <w:tabs>
          <w:tab w:leader="none" w:pos="19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Communication by Holders with Other Holders.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Security Holders of any Series may communicate pursuant to TIA § 312(b) with other Security Holders of that Series or any other Series with respect to their rights under this Indenture or the Securities of that Series or all Series. The Company, the Trustee, the Registrar and anyone else shall have the protection of TIA § 312(c).</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Certificate and Opinion as to Conditions Precedent.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ind w:right="200" w:firstLine="656"/>
        <w:spacing w:after="0" w:line="277" w:lineRule="auto"/>
        <w:tabs>
          <w:tab w:leader="none" w:pos="12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Statements Required in Certificate or Opinion.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300" w:firstLine="656"/>
        <w:spacing w:after="0" w:line="277" w:lineRule="auto"/>
        <w:tabs>
          <w:tab w:leader="none" w:pos="13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200" w:firstLine="656"/>
        <w:spacing w:after="0" w:line="277" w:lineRule="auto"/>
        <w:tabs>
          <w:tab w:leader="none" w:pos="13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Rules by Trustee and Agents.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 Holders of one or more Series. Any Agent may make reasonable rules and set reasonable requirements for its functions.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Legal Holidays.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2" w:name="page93"/>
    <w:bookmarkEnd w:id="92"/>
    <w:p>
      <w:pPr>
        <w:ind w:left="660"/>
        <w:spacing w:after="0"/>
        <w:tabs>
          <w:tab w:leader="none" w:pos="192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No Recourse Against Others.</w:t>
      </w:r>
    </w:p>
    <w:p>
      <w:pPr>
        <w:spacing w:after="0" w:line="225"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 Holder by accepting a Security waives and releases all such liability. The waiver and release are part of the consideration for the issue of the Securities.</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Counterparts.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Governing Laws.</w:t>
      </w:r>
    </w:p>
    <w:p>
      <w:pPr>
        <w:spacing w:after="0" w:line="22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THIS INDENTURE AND THE SECURITIES SHALL BE GOVERNED BY THE LAWS OF THE STATE OF NEW YORK APPLICABLE TO AGREEMENTS MADE AND TO BE PERFORMED IN SUCH STATE, WITHOUT REGARD TO THE CONFLICT OF LAWS PROVISIONS THEREOF.</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Table of Contents, Headings, Etc.</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Securities in a Foreign Currency or in ECU.</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ind w:right="120" w:firstLine="648"/>
        <w:spacing w:after="0" w:line="264"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Judgment Currency.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Satisfaction of Sinking Fund Payments with Securities.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5" w:name="page96"/>
    <w:bookmarkEnd w:id="95"/>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Redemption of Securities for Sinking Fund.</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-130810</wp:posOffset>
            </wp:positionV>
            <wp:extent cx="31388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60"/>
        <w:spacing w:after="0"/>
        <w:tabs>
          <w:tab w:leader="none" w:pos="5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-130810</wp:posOffset>
            </wp:positionV>
            <wp:extent cx="31388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80"/>
          </w:cols>
          <w:pgMar w:left="900" w:top="341" w:right="13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154305</wp:posOffset>
            </wp:positionV>
            <wp:extent cx="1235075" cy="7543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123507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Office: </w:t>
      </w:r>
      <w:r>
        <w:rPr>
          <w:rFonts w:ascii="Arial" w:cs="Arial" w:eastAsia="Arial" w:hAnsi="Arial"/>
          <w:sz w:val="18"/>
          <w:szCs w:val="18"/>
          <w:color w:val="auto"/>
        </w:rPr>
        <w:t>+852 2801 6066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Mobile: </w:t>
      </w:r>
      <w:r>
        <w:rPr>
          <w:rFonts w:ascii="Arial" w:cs="Arial" w:eastAsia="Arial" w:hAnsi="Arial"/>
          <w:sz w:val="18"/>
          <w:szCs w:val="18"/>
          <w:color w:val="auto"/>
        </w:rPr>
        <w:t>+852 9718 8740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rthorp@tta.lawyer</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Hong Kong S.A.R., People’s Republic of China</w:t>
      </w:r>
    </w:p>
    <w:p>
      <w:pPr>
        <w:spacing w:after="0" w:line="200" w:lineRule="exact"/>
        <w:rPr>
          <w:sz w:val="20"/>
          <w:szCs w:val="20"/>
          <w:color w:val="auto"/>
        </w:rPr>
      </w:pPr>
    </w:p>
    <w:p>
      <w:pPr>
        <w:sectPr>
          <w:pgSz w:w="11900" w:h="16838" w:orient="portrait"/>
          <w:cols w:equalWidth="0" w:num="2">
            <w:col w:w="240" w:space="400"/>
            <w:col w:w="10780"/>
          </w:cols>
          <w:pgMar w:left="240" w:top="121" w:right="239" w:bottom="1440" w:gutter="0" w:footer="0" w:header="0"/>
          <w:type w:val="continuous"/>
        </w:sectPr>
      </w:pPr>
    </w:p>
    <w:p>
      <w:pPr>
        <w:spacing w:after="0" w:line="34" w:lineRule="exact"/>
        <w:rPr>
          <w:sz w:val="20"/>
          <w:szCs w:val="20"/>
          <w:color w:val="auto"/>
        </w:rPr>
      </w:pPr>
    </w:p>
    <w:p>
      <w:pPr>
        <w:ind w:left="10460"/>
        <w:spacing w:after="0"/>
        <w:rPr>
          <w:sz w:val="20"/>
          <w:szCs w:val="20"/>
          <w:color w:val="auto"/>
        </w:rPr>
      </w:pPr>
      <w:r>
        <w:rPr>
          <w:rFonts w:ascii="Arial" w:cs="Arial" w:eastAsia="Arial" w:hAnsi="Arial"/>
          <w:sz w:val="15"/>
          <w:szCs w:val="15"/>
          <w:color w:val="auto"/>
        </w:rPr>
        <w:t>28 June 2019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 — F-3</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have acted as Cayman Islands legal advisers to iClick Interactive Asia Group Limited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registration statement on Form F-3, including all amendments or supplements thereto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(the “Commission”) under the U.S. Securities Act of 1933, as amended to date, relating to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 by the Company of its Class A ordinary shares of a nominal or par value of US$0.001 each (the “</w:t>
      </w:r>
      <w:r>
        <w:rPr>
          <w:rFonts w:ascii="Arial" w:cs="Arial" w:eastAsia="Arial" w:hAnsi="Arial"/>
          <w:sz w:val="18"/>
          <w:szCs w:val="18"/>
          <w:b w:val="1"/>
          <w:bCs w:val="1"/>
          <w:color w:val="auto"/>
        </w:rPr>
        <w:t>Shares</w:t>
      </w:r>
      <w:r>
        <w:rPr>
          <w:rFonts w:ascii="Arial" w:cs="Arial" w:eastAsia="Arial" w:hAnsi="Arial"/>
          <w:sz w:val="18"/>
          <w:szCs w:val="18"/>
          <w:color w:val="auto"/>
        </w:rPr>
        <w:t>”), including in the form of American Depositary Shares (the “</w:t>
      </w:r>
      <w:r>
        <w:rPr>
          <w:rFonts w:ascii="Arial" w:cs="Arial" w:eastAsia="Arial" w:hAnsi="Arial"/>
          <w:sz w:val="18"/>
          <w:szCs w:val="18"/>
          <w:b w:val="1"/>
          <w:bCs w:val="1"/>
          <w:color w:val="auto"/>
        </w:rPr>
        <w:t>ADSs</w:t>
      </w:r>
      <w:r>
        <w:rPr>
          <w:rFonts w:ascii="Arial" w:cs="Arial" w:eastAsia="Arial" w:hAnsi="Arial"/>
          <w:sz w:val="18"/>
          <w:szCs w:val="18"/>
          <w:color w:val="auto"/>
        </w:rPr>
        <w:t>”),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furnishing this opinion as Exhibit 5.1 and 23.2 to the Registration Statement.</w:t>
      </w:r>
    </w:p>
    <w:p>
      <w:pPr>
        <w:spacing w:after="0" w:line="221"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certificate of incorporation dated 3 February 2010.</w:t>
      </w:r>
    </w:p>
    <w:p>
      <w:pPr>
        <w:spacing w:after="0" w:line="225" w:lineRule="exact"/>
        <w:rPr>
          <w:sz w:val="20"/>
          <w:szCs w:val="20"/>
          <w:color w:val="auto"/>
        </w:rPr>
      </w:pPr>
    </w:p>
    <w:p>
      <w:pPr>
        <w:ind w:left="660" w:right="72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Ninth Amended and Restated Memorandum and Articles of Association of the Company as adopted by special resolution passed on 19 December 2018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written resolutions of the directors of the Company dated 27 June 2019 (the “</w:t>
      </w:r>
      <w:r>
        <w:rPr>
          <w:rFonts w:ascii="Arial" w:cs="Arial" w:eastAsia="Arial" w:hAnsi="Arial"/>
          <w:sz w:val="16"/>
          <w:szCs w:val="16"/>
          <w:b w:val="1"/>
          <w:bCs w:val="1"/>
          <w:color w:val="auto"/>
        </w:rPr>
        <w:t>Directors’ Resolutions</w:t>
      </w:r>
      <w:r>
        <w:rPr>
          <w:rFonts w:ascii="Arial" w:cs="Arial" w:eastAsia="Arial" w:hAnsi="Arial"/>
          <w:sz w:val="16"/>
          <w:szCs w:val="16"/>
          <w:color w:val="auto"/>
        </w:rPr>
        <w:t>”).</w:t>
      </w:r>
    </w:p>
    <w:p>
      <w:pPr>
        <w:spacing w:after="0" w:line="225" w:lineRule="exact"/>
        <w:rPr>
          <w:sz w:val="20"/>
          <w:szCs w:val="20"/>
          <w:color w:val="auto"/>
        </w:rPr>
      </w:pPr>
    </w:p>
    <w:p>
      <w:pPr>
        <w:ind w:left="660" w:right="680" w:hanging="647"/>
        <w:spacing w:after="0" w:line="282"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A certificate of good standing dated 4 January 2019, issued by the Registrar of Companies in the Cayman Islands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following assumptions, which we have not independently verified: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953770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124460</wp:posOffset>
            </wp:positionV>
            <wp:extent cx="1878330" cy="6261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1878330" cy="6261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Copy documents or drafts of documents provided to us are true and complete copies of, or in the final forms of, the originals.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genuineness of all signatures and seals.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There is nothing under any law (other than the law of the Cayman Islands) which would or might affect the opinions set out below.</w:t>
      </w:r>
    </w:p>
    <w:p>
      <w:pPr>
        <w:spacing w:after="0" w:line="221"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Based upon the foregoing and subject to the qualifications set out below and having regard to such legal considerations as we deem relevant, we are of the opinion that:</w:t>
      </w:r>
    </w:p>
    <w:p>
      <w:pPr>
        <w:spacing w:after="0" w:line="170"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incorporated as an exempted company with limited liability for an unlimited duration and is validly existing and in good standing under the laws of the Cayman Islands.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authorised share capital of the Company is US$100,000 divided into 100,000,000 shares of a nominal or par value of US$0.001, of which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80,000,000 shares are designated as Class A ordinary shares and 20,000,000 shares shall be designated as Class B ordinary shares.</w:t>
      </w:r>
    </w:p>
    <w:p>
      <w:pPr>
        <w:spacing w:after="0" w:line="211" w:lineRule="exact"/>
        <w:rPr>
          <w:sz w:val="20"/>
          <w:szCs w:val="20"/>
          <w:color w:val="auto"/>
        </w:rPr>
      </w:pPr>
    </w:p>
    <w:p>
      <w:pPr>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issue and allotment of the Shares pursuant to the Offering has been duly authorised and when allotted, issued and paid for as contemplated in the Registration Statement and entered in the register of members (shareholders), the Shares will be legally issued and allotted, fully paid and non-assessable.</w:t>
      </w:r>
    </w:p>
    <w:p>
      <w:pPr>
        <w:spacing w:after="0" w:line="181" w:lineRule="exact"/>
        <w:rPr>
          <w:sz w:val="20"/>
          <w:szCs w:val="20"/>
          <w:color w:val="auto"/>
        </w:rPr>
      </w:pPr>
    </w:p>
    <w:p>
      <w:pPr>
        <w:ind w:left="660" w:right="780" w:hanging="647"/>
        <w:spacing w:after="0" w:line="308"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The statements under the caption “Taxation” in the prospectus forming part of the Registration Statement, to the extent that they constitute statements of Cayman Islands law, are accurate in all material respects and that such statements constitute our opinion.</w:t>
      </w:r>
    </w:p>
    <w:p>
      <w:pPr>
        <w:spacing w:after="0" w:line="143"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18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 xml:space="preserve">Under the Companies Law (2018 Revision) of the Cayman Islands, the register of members of a Cayman Islands company is by statute regarded as </w:t>
      </w:r>
      <w:r>
        <w:rPr>
          <w:rFonts w:ascii="Arial" w:cs="Arial" w:eastAsia="Arial" w:hAnsi="Arial"/>
          <w:sz w:val="18"/>
          <w:szCs w:val="18"/>
          <w:i w:val="1"/>
          <w:iCs w:val="1"/>
          <w:color w:val="auto"/>
        </w:rPr>
        <w:t>prima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facie </w:t>
      </w:r>
      <w:r>
        <w:rPr>
          <w:rFonts w:ascii="Arial" w:cs="Arial" w:eastAsia="Arial" w:hAnsi="Arial"/>
          <w:sz w:val="18"/>
          <w:szCs w:val="18"/>
          <w:color w:val="auto"/>
        </w:rPr>
        <w:t>evidence of any matters which the Companies Law (2018 Revision) directs or authorises to be inserted therein. A third party interest in the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question would not appear. An entry in the register of members may yield to a court order for rectification (for example, in the event of fraud or manifest error).</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this opinion, the phrase “non-assessable” means, with respect to Shares,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9" w:name="page100"/>
    <w:bookmarkEnd w:id="99"/>
    <w:p>
      <w:pPr>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name under the headings “Enforceability of Civil Liabilities”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Travers Thorp Alberga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Exhibit 5.2</w:t>
            </w:r>
          </w:p>
        </w:tc>
      </w:tr>
      <w:tr>
        <w:trPr>
          <w:trHeight w:val="432"/>
        </w:trPr>
        <w:tc>
          <w:tcPr>
            <w:tcW w:w="3580" w:type="dxa"/>
            <w:vAlign w:val="bottom"/>
          </w:tcPr>
          <w:p>
            <w:pPr>
              <w:spacing w:after="0"/>
              <w:rPr>
                <w:sz w:val="24"/>
                <w:szCs w:val="24"/>
                <w:color w:val="auto"/>
              </w:rPr>
            </w:pPr>
          </w:p>
        </w:tc>
        <w:tc>
          <w:tcPr>
            <w:tcW w:w="5340" w:type="dxa"/>
            <w:vAlign w:val="bottom"/>
          </w:tcPr>
          <w:p>
            <w:pPr>
              <w:jc w:val="center"/>
              <w:ind w:right="990"/>
              <w:spacing w:after="0"/>
              <w:rPr>
                <w:sz w:val="20"/>
                <w:szCs w:val="20"/>
                <w:color w:val="auto"/>
              </w:rPr>
            </w:pPr>
            <w:r>
              <w:rPr>
                <w:rFonts w:ascii="Arial" w:cs="Arial" w:eastAsia="Arial" w:hAnsi="Arial"/>
                <w:sz w:val="18"/>
                <w:szCs w:val="18"/>
                <w:b w:val="1"/>
                <w:bCs w:val="1"/>
                <w:color w:val="auto"/>
              </w:rPr>
              <w:t>CLEARY GOTTLIEB STEEN &amp; HAMILTON LLP</w:t>
            </w:r>
          </w:p>
        </w:tc>
        <w:tc>
          <w:tcPr>
            <w:tcW w:w="2500" w:type="dxa"/>
            <w:vAlign w:val="bottom"/>
          </w:tcPr>
          <w:p>
            <w:pPr>
              <w:spacing w:after="0"/>
              <w:rPr>
                <w:sz w:val="24"/>
                <w:szCs w:val="24"/>
                <w:color w:val="auto"/>
              </w:rPr>
            </w:pPr>
          </w:p>
        </w:tc>
      </w:tr>
      <w:tr>
        <w:trPr>
          <w:trHeight w:val="418"/>
        </w:trPr>
        <w:tc>
          <w:tcPr>
            <w:tcW w:w="3580" w:type="dxa"/>
            <w:vAlign w:val="bottom"/>
          </w:tcPr>
          <w:p>
            <w:pPr>
              <w:spacing w:after="0"/>
              <w:rPr>
                <w:sz w:val="20"/>
                <w:szCs w:val="20"/>
                <w:color w:val="auto"/>
              </w:rPr>
            </w:pPr>
            <w:r>
              <w:rPr>
                <w:rFonts w:ascii="Arial" w:cs="Arial" w:eastAsia="Arial" w:hAnsi="Arial"/>
                <w:sz w:val="18"/>
                <w:szCs w:val="18"/>
                <w:color w:val="auto"/>
              </w:rPr>
              <w:t>WASHINGTON, D.C.</w:t>
            </w:r>
          </w:p>
        </w:tc>
        <w:tc>
          <w:tcPr>
            <w:tcW w:w="5340" w:type="dxa"/>
            <w:vAlign w:val="bottom"/>
          </w:tcPr>
          <w:p>
            <w:pPr>
              <w:jc w:val="center"/>
              <w:ind w:right="970"/>
              <w:spacing w:after="0"/>
              <w:rPr>
                <w:sz w:val="20"/>
                <w:szCs w:val="20"/>
                <w:color w:val="auto"/>
              </w:rPr>
            </w:pPr>
            <w:r>
              <w:rPr>
                <w:rFonts w:ascii="Arial" w:cs="Arial" w:eastAsia="Arial" w:hAnsi="Arial"/>
                <w:sz w:val="18"/>
                <w:szCs w:val="18"/>
                <w:color w:val="auto"/>
                <w:w w:val="92"/>
              </w:rPr>
              <w:t>One Liberty Plaza</w:t>
            </w:r>
          </w:p>
        </w:tc>
        <w:tc>
          <w:tcPr>
            <w:tcW w:w="2500" w:type="dxa"/>
            <w:vAlign w:val="bottom"/>
          </w:tcPr>
          <w:p>
            <w:pPr>
              <w:jc w:val="right"/>
              <w:spacing w:after="0"/>
              <w:rPr>
                <w:sz w:val="20"/>
                <w:szCs w:val="20"/>
                <w:color w:val="auto"/>
              </w:rPr>
            </w:pPr>
            <w:r>
              <w:rPr>
                <w:rFonts w:ascii="Arial" w:cs="Arial" w:eastAsia="Arial" w:hAnsi="Arial"/>
                <w:sz w:val="18"/>
                <w:szCs w:val="18"/>
                <w:color w:val="auto"/>
              </w:rPr>
              <w:t>ROME</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PARIS</w:t>
            </w:r>
          </w:p>
        </w:tc>
        <w:tc>
          <w:tcPr>
            <w:tcW w:w="5340" w:type="dxa"/>
            <w:vAlign w:val="bottom"/>
          </w:tcPr>
          <w:p>
            <w:pPr>
              <w:jc w:val="center"/>
              <w:ind w:right="970"/>
              <w:spacing w:after="0"/>
              <w:rPr>
                <w:sz w:val="20"/>
                <w:szCs w:val="20"/>
                <w:color w:val="auto"/>
              </w:rPr>
            </w:pPr>
            <w:r>
              <w:rPr>
                <w:rFonts w:ascii="Arial" w:cs="Arial" w:eastAsia="Arial" w:hAnsi="Arial"/>
                <w:sz w:val="18"/>
                <w:szCs w:val="18"/>
                <w:color w:val="auto"/>
                <w:w w:val="93"/>
              </w:rPr>
              <w:t>New York, NY 10006-1470</w:t>
            </w:r>
          </w:p>
        </w:tc>
        <w:tc>
          <w:tcPr>
            <w:tcW w:w="2500" w:type="dxa"/>
            <w:vAlign w:val="bottom"/>
          </w:tcPr>
          <w:p>
            <w:pPr>
              <w:jc w:val="right"/>
              <w:spacing w:after="0"/>
              <w:rPr>
                <w:sz w:val="20"/>
                <w:szCs w:val="20"/>
                <w:color w:val="auto"/>
              </w:rPr>
            </w:pPr>
            <w:r>
              <w:rPr>
                <w:rFonts w:ascii="Arial" w:cs="Arial" w:eastAsia="Arial" w:hAnsi="Arial"/>
                <w:sz w:val="18"/>
                <w:szCs w:val="18"/>
                <w:color w:val="auto"/>
              </w:rPr>
              <w:t>MILAN</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BRUSSELS</w:t>
            </w:r>
          </w:p>
        </w:tc>
        <w:tc>
          <w:tcPr>
            <w:tcW w:w="5340" w:type="dxa"/>
            <w:vAlign w:val="bottom"/>
          </w:tcPr>
          <w:p>
            <w:pPr>
              <w:jc w:val="center"/>
              <w:ind w:right="970"/>
              <w:spacing w:after="0"/>
              <w:rPr>
                <w:sz w:val="20"/>
                <w:szCs w:val="20"/>
                <w:color w:val="auto"/>
              </w:rPr>
            </w:pPr>
            <w:r>
              <w:rPr>
                <w:rFonts w:ascii="Arial" w:cs="Arial" w:eastAsia="Arial" w:hAnsi="Arial"/>
                <w:sz w:val="18"/>
                <w:szCs w:val="18"/>
                <w:color w:val="auto"/>
                <w:w w:val="91"/>
              </w:rPr>
              <w:t>T: +1 212 225 2000</w:t>
            </w:r>
          </w:p>
        </w:tc>
        <w:tc>
          <w:tcPr>
            <w:tcW w:w="2500" w:type="dxa"/>
            <w:vAlign w:val="bottom"/>
          </w:tcPr>
          <w:p>
            <w:pPr>
              <w:jc w:val="right"/>
              <w:spacing w:after="0"/>
              <w:rPr>
                <w:sz w:val="20"/>
                <w:szCs w:val="20"/>
                <w:color w:val="auto"/>
              </w:rPr>
            </w:pPr>
            <w:r>
              <w:rPr>
                <w:rFonts w:ascii="Arial" w:cs="Arial" w:eastAsia="Arial" w:hAnsi="Arial"/>
                <w:sz w:val="18"/>
                <w:szCs w:val="18"/>
                <w:color w:val="auto"/>
              </w:rPr>
              <w:t>HONG KONG</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LONDON</w:t>
            </w:r>
          </w:p>
        </w:tc>
        <w:tc>
          <w:tcPr>
            <w:tcW w:w="5340" w:type="dxa"/>
            <w:vAlign w:val="bottom"/>
          </w:tcPr>
          <w:p>
            <w:pPr>
              <w:jc w:val="center"/>
              <w:ind w:right="950"/>
              <w:spacing w:after="0"/>
              <w:rPr>
                <w:sz w:val="20"/>
                <w:szCs w:val="20"/>
                <w:color w:val="auto"/>
              </w:rPr>
            </w:pPr>
            <w:r>
              <w:rPr>
                <w:rFonts w:ascii="Arial" w:cs="Arial" w:eastAsia="Arial" w:hAnsi="Arial"/>
                <w:sz w:val="18"/>
                <w:szCs w:val="18"/>
                <w:color w:val="auto"/>
                <w:w w:val="90"/>
              </w:rPr>
              <w:t>F: +1 212 225 3999</w:t>
            </w:r>
          </w:p>
        </w:tc>
        <w:tc>
          <w:tcPr>
            <w:tcW w:w="2500" w:type="dxa"/>
            <w:vAlign w:val="bottom"/>
          </w:tcPr>
          <w:p>
            <w:pPr>
              <w:jc w:val="right"/>
              <w:spacing w:after="0"/>
              <w:rPr>
                <w:sz w:val="20"/>
                <w:szCs w:val="20"/>
                <w:color w:val="auto"/>
              </w:rPr>
            </w:pPr>
            <w:r>
              <w:rPr>
                <w:rFonts w:ascii="Arial" w:cs="Arial" w:eastAsia="Arial" w:hAnsi="Arial"/>
                <w:sz w:val="18"/>
                <w:szCs w:val="18"/>
                <w:color w:val="auto"/>
              </w:rPr>
              <w:t>BEIJING</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FRANKFURT</w:t>
            </w:r>
          </w:p>
        </w:tc>
        <w:tc>
          <w:tcPr>
            <w:tcW w:w="534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BUENOS AIRES</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COLOGNE</w:t>
            </w:r>
          </w:p>
        </w:tc>
        <w:tc>
          <w:tcPr>
            <w:tcW w:w="5340" w:type="dxa"/>
            <w:vAlign w:val="bottom"/>
          </w:tcPr>
          <w:p>
            <w:pPr>
              <w:jc w:val="center"/>
              <w:ind w:right="970"/>
              <w:spacing w:after="0"/>
              <w:rPr>
                <w:sz w:val="20"/>
                <w:szCs w:val="20"/>
                <w:color w:val="auto"/>
              </w:rPr>
            </w:pPr>
            <w:r>
              <w:rPr>
                <w:rFonts w:ascii="Arial" w:cs="Arial" w:eastAsia="Arial" w:hAnsi="Arial"/>
                <w:sz w:val="18"/>
                <w:szCs w:val="18"/>
                <w:color w:val="auto"/>
                <w:w w:val="93"/>
              </w:rPr>
              <w:t>clearygottlieb.com</w:t>
            </w:r>
          </w:p>
        </w:tc>
        <w:tc>
          <w:tcPr>
            <w:tcW w:w="2500" w:type="dxa"/>
            <w:vAlign w:val="bottom"/>
          </w:tcPr>
          <w:p>
            <w:pPr>
              <w:jc w:val="right"/>
              <w:spacing w:after="0"/>
              <w:rPr>
                <w:sz w:val="20"/>
                <w:szCs w:val="20"/>
                <w:color w:val="auto"/>
              </w:rPr>
            </w:pPr>
            <w:r>
              <w:rPr>
                <w:rFonts w:ascii="Arial" w:cs="Arial" w:eastAsia="Arial" w:hAnsi="Arial"/>
                <w:sz w:val="18"/>
                <w:szCs w:val="18"/>
                <w:color w:val="auto"/>
              </w:rPr>
              <w:t>SÃO PAULO</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MOSCOW</w:t>
            </w:r>
          </w:p>
        </w:tc>
        <w:tc>
          <w:tcPr>
            <w:tcW w:w="534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ABU DHABI</w:t>
            </w:r>
          </w:p>
        </w:tc>
      </w:tr>
      <w:tr>
        <w:trPr>
          <w:trHeight w:val="216"/>
        </w:trPr>
        <w:tc>
          <w:tcPr>
            <w:tcW w:w="3580" w:type="dxa"/>
            <w:vAlign w:val="bottom"/>
          </w:tcPr>
          <w:p>
            <w:pPr>
              <w:spacing w:after="0"/>
              <w:rPr>
                <w:sz w:val="18"/>
                <w:szCs w:val="18"/>
                <w:color w:val="auto"/>
              </w:rPr>
            </w:pPr>
          </w:p>
        </w:tc>
        <w:tc>
          <w:tcPr>
            <w:tcW w:w="5340" w:type="dxa"/>
            <w:vAlign w:val="bottom"/>
          </w:tcPr>
          <w:p>
            <w:pPr>
              <w:jc w:val="center"/>
              <w:ind w:right="970"/>
              <w:spacing w:after="0"/>
              <w:rPr>
                <w:sz w:val="20"/>
                <w:szCs w:val="20"/>
                <w:color w:val="auto"/>
              </w:rPr>
            </w:pPr>
            <w:r>
              <w:rPr>
                <w:rFonts w:ascii="Arial" w:cs="Arial" w:eastAsia="Arial" w:hAnsi="Arial"/>
                <w:sz w:val="18"/>
                <w:szCs w:val="18"/>
                <w:color w:val="auto"/>
                <w:w w:val="91"/>
              </w:rPr>
              <w:t>D: +852 2532 3783</w:t>
            </w:r>
          </w:p>
        </w:tc>
        <w:tc>
          <w:tcPr>
            <w:tcW w:w="2500" w:type="dxa"/>
            <w:vAlign w:val="bottom"/>
          </w:tcPr>
          <w:p>
            <w:pPr>
              <w:jc w:val="right"/>
              <w:spacing w:after="0"/>
              <w:rPr>
                <w:sz w:val="20"/>
                <w:szCs w:val="20"/>
                <w:color w:val="auto"/>
              </w:rPr>
            </w:pPr>
            <w:r>
              <w:rPr>
                <w:rFonts w:ascii="Arial" w:cs="Arial" w:eastAsia="Arial" w:hAnsi="Arial"/>
                <w:sz w:val="18"/>
                <w:szCs w:val="18"/>
                <w:color w:val="auto"/>
              </w:rPr>
              <w:t>SEOUL</w:t>
            </w:r>
          </w:p>
        </w:tc>
      </w:tr>
      <w:tr>
        <w:trPr>
          <w:trHeight w:val="230"/>
        </w:trPr>
        <w:tc>
          <w:tcPr>
            <w:tcW w:w="3580" w:type="dxa"/>
            <w:vAlign w:val="bottom"/>
          </w:tcPr>
          <w:p>
            <w:pPr>
              <w:spacing w:after="0"/>
              <w:rPr>
                <w:sz w:val="20"/>
                <w:szCs w:val="20"/>
                <w:color w:val="auto"/>
              </w:rPr>
            </w:pPr>
          </w:p>
        </w:tc>
        <w:tc>
          <w:tcPr>
            <w:tcW w:w="5340" w:type="dxa"/>
            <w:vAlign w:val="bottom"/>
          </w:tcPr>
          <w:p>
            <w:pPr>
              <w:jc w:val="center"/>
              <w:ind w:right="950"/>
              <w:spacing w:after="0"/>
              <w:rPr>
                <w:sz w:val="20"/>
                <w:szCs w:val="20"/>
                <w:color w:val="auto"/>
              </w:rPr>
            </w:pPr>
            <w:r>
              <w:rPr>
                <w:rFonts w:ascii="Arial" w:cs="Arial" w:eastAsia="Arial" w:hAnsi="Arial"/>
                <w:sz w:val="18"/>
                <w:szCs w:val="18"/>
                <w:color w:val="auto"/>
                <w:w w:val="87"/>
              </w:rPr>
              <w:t>szhao@cgsh.com</w:t>
            </w:r>
          </w:p>
        </w:tc>
        <w:tc>
          <w:tcPr>
            <w:tcW w:w="250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5340" w:type="dxa"/>
            <w:vAlign w:val="bottom"/>
          </w:tcPr>
          <w:p>
            <w:pPr>
              <w:jc w:val="center"/>
              <w:ind w:right="970"/>
              <w:spacing w:after="0"/>
              <w:rPr>
                <w:sz w:val="20"/>
                <w:szCs w:val="20"/>
                <w:color w:val="auto"/>
              </w:rPr>
            </w:pPr>
            <w:r>
              <w:rPr>
                <w:rFonts w:ascii="Arial" w:cs="Arial" w:eastAsia="Arial" w:hAnsi="Arial"/>
                <w:sz w:val="18"/>
                <w:szCs w:val="18"/>
                <w:color w:val="auto"/>
                <w:w w:val="87"/>
              </w:rPr>
              <w:t>June 28, 2019</w:t>
            </w:r>
          </w:p>
        </w:tc>
        <w:tc>
          <w:tcPr>
            <w:tcW w:w="2500" w:type="dxa"/>
            <w:vAlign w:val="bottom"/>
          </w:tcPr>
          <w:p>
            <w:pPr>
              <w:spacing w:after="0"/>
              <w:rPr>
                <w:sz w:val="24"/>
                <w:szCs w:val="24"/>
                <w:color w:val="auto"/>
              </w:rPr>
            </w:pPr>
          </w:p>
        </w:tc>
      </w:tr>
      <w:tr>
        <w:trPr>
          <w:trHeight w:val="418"/>
        </w:trPr>
        <w:tc>
          <w:tcPr>
            <w:tcW w:w="3580" w:type="dxa"/>
            <w:vAlign w:val="bottom"/>
          </w:tcPr>
          <w:p>
            <w:pPr>
              <w:spacing w:after="0"/>
              <w:rPr>
                <w:sz w:val="20"/>
                <w:szCs w:val="20"/>
                <w:color w:val="auto"/>
              </w:rPr>
            </w:pPr>
            <w:r>
              <w:rPr>
                <w:rFonts w:ascii="Arial" w:cs="Arial" w:eastAsia="Arial" w:hAnsi="Arial"/>
                <w:sz w:val="18"/>
                <w:szCs w:val="18"/>
                <w:color w:val="auto"/>
              </w:rPr>
              <w:t>iClick Interactive Asia Group Limited</w:t>
            </w:r>
          </w:p>
        </w:tc>
        <w:tc>
          <w:tcPr>
            <w:tcW w:w="53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15/F, Prosperity Millennia Plaza</w:t>
            </w:r>
          </w:p>
        </w:tc>
        <w:tc>
          <w:tcPr>
            <w:tcW w:w="53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663 King’s Road, Quarry Bay</w:t>
            </w:r>
          </w:p>
        </w:tc>
        <w:tc>
          <w:tcPr>
            <w:tcW w:w="53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w w:val="95"/>
              </w:rPr>
              <w:t>Hong Kong S.A.R., People’s Republic of China</w:t>
            </w:r>
          </w:p>
        </w:tc>
        <w:tc>
          <w:tcPr>
            <w:tcW w:w="53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Ladies and Gentlemen:</w:t>
            </w:r>
          </w:p>
        </w:tc>
        <w:tc>
          <w:tcPr>
            <w:tcW w:w="534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2" w:lineRule="exact"/>
        <w:rPr>
          <w:sz w:val="20"/>
          <w:szCs w:val="20"/>
          <w:color w:val="auto"/>
        </w:rPr>
      </w:pPr>
    </w:p>
    <w:p>
      <w:pPr>
        <w:ind w:right="40" w:firstLine="1297"/>
        <w:spacing w:after="0" w:line="284" w:lineRule="auto"/>
        <w:rPr>
          <w:sz w:val="20"/>
          <w:szCs w:val="20"/>
          <w:color w:val="auto"/>
        </w:rPr>
      </w:pPr>
      <w:r>
        <w:rPr>
          <w:rFonts w:ascii="Arial" w:cs="Arial" w:eastAsia="Arial" w:hAnsi="Arial"/>
          <w:sz w:val="16"/>
          <w:szCs w:val="16"/>
          <w:color w:val="auto"/>
        </w:rPr>
        <w:t>We have acted as special United States counsel to iClick Interactive Asia Group Limited, an exempted company incorporated in the Cayman Islands with limited liability (the “Company”), in connection with the preparation and filing with the United States Securities and Exchange Commission (the “Commission”) under the United States Securities Act of 1933, as amended (the “Securities Act”), of a registration statement on Form F-3 (the “Registration Statement”) relating to the offering from time to time, as set forth in the Registration Statement, the prospectus (the “Prospectus”) contained therein and one or more supplements to the Prospectus, of (i) Class A ordinary shares, par value US$0.001 per share, of the Company (the “Class A Ordinary Shares”), including up to US$75,000,000 of Class A Ordinary Shares held by the selling shareholders (the “Selling Shareholder Equity Securities”),</w:t>
      </w:r>
    </w:p>
    <w:p>
      <w:pPr>
        <w:spacing w:after="0" w:line="5" w:lineRule="exact"/>
        <w:rPr>
          <w:sz w:val="20"/>
          <w:szCs w:val="20"/>
          <w:color w:val="auto"/>
        </w:rPr>
      </w:pPr>
    </w:p>
    <w:p>
      <w:pPr>
        <w:ind w:right="140" w:firstLine="8"/>
        <w:spacing w:after="0" w:line="254" w:lineRule="auto"/>
        <w:tabs>
          <w:tab w:leader="none" w:pos="2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preferred shares of the Company (the “Preferred Shares,” and collectively with the Class A Ordinary Shares, the “Equity Securities”), (iii) debt securities of the Company (the “Debt Securities”), and (iv) warrants of the Company to purchase the Equity Securities or the Debt Securities (the “Warrants”). The Equity Securities, including the Selling Shareholder Equity Securities, the Debt Securities, and the Warrants are hereinafter referred to, collectively, as the “Securities.”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Securities will be offered on an immediate, continuous or delayed basis pursuant to the provisions of Rule 415 under the Securities Act.</w:t>
      </w:r>
    </w:p>
    <w:p>
      <w:pPr>
        <w:spacing w:after="0" w:line="248"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The Debt Securities are to be issued in one or more series under an indenture (the “Base Indenture”) to be entered into between the Company and the trustee to be named therein (the “Trustee”), the form of which is filed as an exhibit to the Registration Statement, as such indenture may be amended or supplemented from time to time (the Base Indenture, as so amended or supplemented,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114300</wp:posOffset>
            </wp:positionV>
            <wp:extent cx="6174740"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6174740" cy="29146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ind w:left="130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225" w:lineRule="exact"/>
        <w:rPr>
          <w:sz w:val="20"/>
          <w:szCs w:val="20"/>
          <w:color w:val="auto"/>
        </w:rPr>
      </w:pPr>
    </w:p>
    <w:p>
      <w:pPr>
        <w:ind w:left="1940" w:hanging="635"/>
        <w:spacing w:after="0"/>
        <w:tabs>
          <w:tab w:leader="none" w:pos="19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Registration Statement and the documents incorporated by reference therein;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Prospectus and the documents incorporated by reference therein;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form of the Base Indenture.</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addition, we have reviewed the originals or copies certified or otherwise identified to our satisfaction of all such other documents, and we have made such investigations of law as we have deemed appropriate as a basis for the opinion expressed below.</w:t>
      </w:r>
    </w:p>
    <w:p>
      <w:pPr>
        <w:spacing w:after="0" w:line="170"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1" w:lineRule="exact"/>
        <w:rPr>
          <w:sz w:val="20"/>
          <w:szCs w:val="20"/>
          <w:color w:val="auto"/>
        </w:rPr>
      </w:pPr>
    </w:p>
    <w:p>
      <w:pPr>
        <w:ind w:right="180" w:firstLine="1297"/>
        <w:spacing w:after="0" w:line="273" w:lineRule="auto"/>
        <w:rPr>
          <w:sz w:val="20"/>
          <w:szCs w:val="20"/>
          <w:color w:val="auto"/>
        </w:rPr>
      </w:pPr>
      <w:r>
        <w:rPr>
          <w:rFonts w:ascii="Arial" w:cs="Arial" w:eastAsia="Arial" w:hAnsi="Arial"/>
          <w:sz w:val="17"/>
          <w:szCs w:val="17"/>
          <w:color w:val="auto"/>
        </w:rPr>
        <w:t>Based on the foregoing, and subject to the further assumptions and qualifications set forth below, it is our opinion that when the Indenture has been duly authorized, executed and delivered by the Company, when the issuance, execution and delivery by the Company of the Debt Securities of a series have been duly authorized by all necessary corporate action of the Company in accordance with the provisions of the Indenture, and when such Debt Securities have been duly executed and delivered by the Company, authenticated by the Trustee and sold as described in the Registration Statement, the Prospectus and any supplement or supplements to the Prospectus relating to such Debt Securities, such Debt Securities will constitute valid, binding and enforceable obligations of the Company, entitled to the benefits of the Indenture.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Insofar as the foregoing opinion relates to the validity, binding effect or enforceability of any agreement or obligation of the Company,</w:t>
      </w:r>
    </w:p>
    <w:p>
      <w:pPr>
        <w:spacing w:after="0" w:line="35" w:lineRule="exact"/>
        <w:rPr>
          <w:sz w:val="20"/>
          <w:szCs w:val="20"/>
          <w:color w:val="auto"/>
        </w:rPr>
      </w:pPr>
    </w:p>
    <w:p>
      <w:pPr>
        <w:ind w:right="20" w:firstLine="8"/>
        <w:spacing w:after="0" w:line="268" w:lineRule="auto"/>
        <w:tabs>
          <w:tab w:leader="none" w:pos="245"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have assumed that the Company and each other party to such agreement or obligation has satisfied, or prior to the issuance of the Debt Securities, will satisfy, those legal requirements that are applicable to it to the extent necessary to make such agreement or obligation enforceable against it (except that no such assumption is made as to the Company regarding matters of the federal law of the United States of America or the law of the State of New York that in our experience normally would be applicable to general business entities with respect to such agreement or obligation), (b) we have assumed that any Debt Securities denominated in a currency other than the U.S. dollar will comply in all respects with the applicable law of the country in whose currency such Debt Securities are denominated in respect of the use of or payment in such currency, (c) we have assumed that at the time of the issuance, sale and delivery of each Debt Security, the authorization thereof by the Company will not have been modified or rescinded and there will not have occurred any change in law affecting the validity, binding effect and enforceability of such Debt Security, (d) such opinion is subject to applicable bankruptcy, insolvency and similar laws affecting creditors’ rights generally and to general principles of equity and (e) such opinion is subject to the effect of judicial application of foreign laws or foreign governmental actions affecting creditors’ rights.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2" w:name="page103"/>
    <w:bookmarkEnd w:id="102"/>
    <w:p>
      <w:pPr>
        <w:ind w:right="20" w:firstLine="1297"/>
        <w:spacing w:after="0" w:line="269" w:lineRule="auto"/>
        <w:rPr>
          <w:sz w:val="20"/>
          <w:szCs w:val="20"/>
          <w:color w:val="auto"/>
        </w:rPr>
      </w:pPr>
      <w:r>
        <w:rPr>
          <w:rFonts w:ascii="Arial" w:cs="Arial" w:eastAsia="Arial" w:hAnsi="Arial"/>
          <w:sz w:val="17"/>
          <w:szCs w:val="17"/>
          <w:color w:val="auto"/>
        </w:rPr>
        <w:t>In rendering the opinion expressed above, we have further assumed that (i) the Registration Statement and any amendments thereto (including post-effective amendments) will be or have been prepared and filed with the Commission describing the Debt Securities offered thereby and will comply with all applicable laws, (ii) the Registration Statement will be effective and will comply with all applicable laws at the time the Debt Securities are offered or issued as contemplated by the Registration Statement, (iii) the terms of the Debt Securities will conform to the forms thereof that will be filed as exhibits to the Registration Statement, and the terms of the Indenture will not violate any applicable law, result in a default under or breach of any agreement or instrument binding upon the Company, or violate any requirement or restriction imposed by any court or governmental body having jurisdiction over the Company, (iv) the Debt Securities will be sold and delivered to, and paid for by, the purchasers at the price specified in, and in accordance with the terms of, an agreement or agreements duly authorized, executed and delivered by the parties thereto, (v) the Company will authorize the offering and issuance of the Debt Securities and will authorize, approve and establish the final terms and conditions thereof and will take any other appropriate additional corporate action and (vi) certificates, if required, representing the Debt Securities will be duly executed and delivered and, to the extent required by the Indenture, duly authenticated and countersigned.</w:t>
      </w:r>
    </w:p>
    <w:p>
      <w:pPr>
        <w:spacing w:after="0" w:line="183"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In addition, in rendering the opinion above, we have assumed that with respect to any Debt Security that includes any alternative or additional terms that are not specified in the forms thereof examined by us, such inclusion would not cause such Debt Security not to be valid, binding or enforceable.</w:t>
      </w:r>
    </w:p>
    <w:p>
      <w:pPr>
        <w:spacing w:after="0" w:line="181"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In rendering the opinion expressed above, we have assumed that each series of Debt Securities will be issued with an original aggregate principal amount (or in the case of Debt Securities issued at original issue discount, an aggregate issue price) of US$2,500,000 or more.</w:t>
      </w:r>
    </w:p>
    <w:p>
      <w:pPr>
        <w:spacing w:after="0" w:line="147"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We note that by statute New York provides that a judgment or decree rendered in a currency other than the currency of the United States shall be converted into U.S. dollars at the rate of exchange prevailing on the date of entry of the judgment or decree. There is no corresponding Federal statute and no controlling Federal court decision on this issue. Accordingly, we express no opinion as to whether a Federal court would award a judgment in a currency other than U.S. dollars or, if it did so, whether it would order conversion of the judgment into U.S. dollars.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express no opinion as to the enforceability of Section 10.16 of the Base Indenture relating to currency indemnity.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foregoing opinion is limited to the federal law of the United States of America and the law of the State of New York.</w:t>
      </w:r>
    </w:p>
    <w:p>
      <w:pPr>
        <w:spacing w:after="0" w:line="225"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We hereby consent to the use of our name in the Prospectus under the heading “Legal Matters” and in any prospectus supplement related thereto, and to the use of this opinion as a part (Exhibit 5.2) of the Registration Statement. In giving this consent, we do not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3" w:name="page104"/>
    <w:bookmarkEnd w:id="103"/>
    <w:p>
      <w:pPr>
        <w:spacing w:after="0" w:line="277" w:lineRule="auto"/>
        <w:rPr>
          <w:sz w:val="20"/>
          <w:szCs w:val="20"/>
          <w:color w:val="auto"/>
        </w:rPr>
      </w:pPr>
      <w:r>
        <w:rPr>
          <w:rFonts w:ascii="Arial" w:cs="Arial" w:eastAsia="Arial" w:hAnsi="Arial"/>
          <w:sz w:val="18"/>
          <w:szCs w:val="18"/>
          <w:color w:val="auto"/>
        </w:rPr>
        <w:t>thereby admit that we are within the category of persons whose consent is required under Section 7 of the Securities Act or the rules and regulations of the Commission thereunder.</w:t>
      </w:r>
    </w:p>
    <w:p>
      <w:pPr>
        <w:spacing w:after="0" w:line="17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Shuang Zhao</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Shuang Zhao,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240" w:top="341" w:right="5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F-3 of iClick Interactive Asia Group Limited of our report dated April 25, 2019 relating to the consolidated financial statements, which appears in iClick Interactive Asia Group Limited’s Annual Report on Form 20-F for the year ended December 31, 2018. We also consent to the reference to us under the heading “Experts” in such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ind w:left="10480"/>
        <w:spacing w:after="0"/>
        <w:rPr>
          <w:sz w:val="20"/>
          <w:szCs w:val="20"/>
          <w:color w:val="auto"/>
        </w:rPr>
      </w:pPr>
      <w:r>
        <w:rPr>
          <w:rFonts w:ascii="Arial" w:cs="Arial" w:eastAsia="Arial" w:hAnsi="Arial"/>
          <w:sz w:val="16"/>
          <w:szCs w:val="16"/>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168910</wp:posOffset>
            </wp:positionV>
            <wp:extent cx="4364990" cy="10890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436499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June 28,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hereby consent to the use of our name under the captions “Enforceability of Civil Liabilities” and “Legal Matters” in the prospectus included in the registration statement on Form F-3, originally filed by iClick Interactive Asia Group Limited on June 28, 2019, with the Securities and Exchange Commission under the Securities Act of 1933, as amended. In giving such consent, we do not thereby admit that we come within the category of persons whose consent is required under Section 7 of the Securities Act of 1933, as amended, or the regulations promulgated thereunder.</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Jingtian &amp; Gongcheng</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-130810</wp:posOffset>
            </wp:positionV>
            <wp:extent cx="13804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decimal"/>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1)"/>
      <w:numFmt w:val="lowerLetter"/>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1)"/>
      <w:numFmt w:val="lowerLetter"/>
      <w:start w:val="1"/>
    </w:lvl>
  </w:abstractNum>
  <w:abstractNum w:abstractNumId="13">
    <w:nsid w:val="3DC240FB"/>
    <w:multiLevelType w:val="hybridMultilevel"/>
    <w:lvl w:ilvl="0">
      <w:lvlJc w:val="left"/>
      <w:lvlText w:val="(%1)"/>
      <w:numFmt w:val="lowerLetter"/>
      <w:start w:val="2"/>
    </w:lvl>
  </w:abstractNum>
  <w:abstractNum w:abstractNumId="14">
    <w:nsid w:val="1BA026FA"/>
    <w:multiLevelType w:val="hybridMultilevel"/>
    <w:lvl w:ilvl="0">
      <w:lvlJc w:val="left"/>
      <w:lvlText w:val="·"/>
      <w:numFmt w:val="bullet"/>
      <w:start w:val="1"/>
    </w:lvl>
    <w:lvl w:ilvl="1">
      <w:lvlJc w:val="left"/>
      <w:lvlText w:val="(%2)"/>
      <w:numFmt w:val="lowerRoman"/>
      <w:start w:val="3"/>
    </w:lvl>
  </w:abstractNum>
  <w:abstractNum w:abstractNumId="15">
    <w:nsid w:val="79A1DEAA"/>
    <w:multiLevelType w:val="hybridMultilevel"/>
    <w:lvl w:ilvl="0">
      <w:lvlJc w:val="left"/>
      <w:lvlText w:val="·"/>
      <w:numFmt w:val="bullet"/>
      <w:start w:val="1"/>
    </w:lvl>
    <w:lvl w:ilvl="1">
      <w:lvlJc w:val="left"/>
      <w:lvlText w:val="(%2)"/>
      <w:numFmt w:val="lowerRoman"/>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1)"/>
      <w:numFmt w:val="lowerRoman"/>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lowerRoman"/>
      <w:start w:val="1"/>
    </w:lvl>
  </w:abstractNum>
  <w:abstractNum w:abstractNumId="23">
    <w:nsid w:val="649BB77C"/>
    <w:multiLevelType w:val="hybridMultilevel"/>
    <w:lvl w:ilvl="0">
      <w:lvlJc w:val="left"/>
      <w:lvlText w:val="(%1)"/>
      <w:numFmt w:val="lowerRoman"/>
      <w:start w:val="4"/>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1)"/>
      <w:numFmt w:val="lowerRoman"/>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1)"/>
      <w:numFmt w:val="decimal"/>
      <w:start w:val="1"/>
    </w:lvl>
    <w:lvl w:ilvl="1">
      <w:lvlJc w:val="left"/>
      <w:lvlText w:val="(%2)"/>
      <w:numFmt w:val="lowerRoman"/>
      <w:start w:val="1"/>
    </w:lvl>
  </w:abstractNum>
  <w:abstractNum w:abstractNumId="34">
    <w:nsid w:val="10233C99"/>
    <w:multiLevelType w:val="hybridMultilevel"/>
    <w:lvl w:ilvl="0">
      <w:lvlJc w:val="left"/>
      <w:lvlText w:val="(%1)"/>
      <w:numFmt w:val="decimal"/>
      <w:start w:val="2"/>
    </w:lvl>
    <w:lvl w:ilvl="1">
      <w:lvlJc w:val="left"/>
      <w:lvlText w:val="(%2)"/>
      <w:numFmt w:val="lowerRoman"/>
      <w:start w:val="1"/>
    </w:lvl>
  </w:abstractNum>
  <w:abstractNum w:abstractNumId="35">
    <w:nsid w:val="3F6AB60F"/>
    <w:multiLevelType w:val="hybridMultilevel"/>
    <w:lvl w:ilvl="0">
      <w:lvlJc w:val="left"/>
      <w:lvlText w:val="%1"/>
      <w:numFmt w:val="decimal"/>
      <w:start w:val="1"/>
    </w:lvl>
    <w:lvl w:ilvl="1">
      <w:lvlJc w:val="left"/>
      <w:lvlText w:val="(%2)"/>
      <w:numFmt w:val="lowerRoman"/>
      <w:start w:val="1"/>
    </w:lvl>
  </w:abstractNum>
  <w:abstractNum w:abstractNumId="36">
    <w:nsid w:val="61574095"/>
    <w:multiLevelType w:val="hybridMultilevel"/>
    <w:lvl w:ilvl="0">
      <w:lvlJc w:val="left"/>
      <w:lvlText w:val="(%1)"/>
      <w:numFmt w:val="decimal"/>
      <w:start w:val="7"/>
    </w:lvl>
    <w:lvl w:ilvl="1">
      <w:lvlJc w:val="left"/>
      <w:lvlText w:val="%2"/>
      <w:numFmt w:val="lowerRoman"/>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1)"/>
      <w:numFmt w:val="lowerRoman"/>
      <w:start w:val="1"/>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lowerLetter"/>
      <w:start w:val="7"/>
    </w:lvl>
  </w:abstractNum>
  <w:abstractNum w:abstractNumId="43">
    <w:nsid w:val="25A70BF7"/>
    <w:multiLevelType w:val="hybridMultilevel"/>
    <w:lvl w:ilvl="0">
      <w:lvlJc w:val="left"/>
      <w:lvlText w:val="(%1)"/>
      <w:numFmt w:val="lowerLetter"/>
      <w:start w:val="20"/>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lowerRoman"/>
      <w:start w:val="2"/>
    </w:lvl>
  </w:abstractNum>
  <w:abstractNum w:abstractNumId="46">
    <w:nsid w:val="1F48EAA1"/>
    <w:multiLevelType w:val="hybridMultilevel"/>
    <w:lvl w:ilvl="0">
      <w:lvlJc w:val="left"/>
      <w:lvlText w:val="(%1)"/>
      <w:numFmt w:val="lowerLetter"/>
      <w:start w:val="1"/>
    </w:lvl>
  </w:abstractNum>
  <w:abstractNum w:abstractNumId="47">
    <w:nsid w:val="1381823A"/>
    <w:multiLevelType w:val="hybridMultilevel"/>
    <w:lvl w:ilvl="0">
      <w:lvlJc w:val="left"/>
      <w:lvlText w:val="(%1)"/>
      <w:numFmt w:val="lowerLetter"/>
      <w:start w:val="3"/>
    </w:lvl>
  </w:abstractNum>
  <w:abstractNum w:abstractNumId="48">
    <w:nsid w:val="5DB70AE5"/>
    <w:multiLevelType w:val="hybridMultilevel"/>
    <w:lvl w:ilvl="0">
      <w:lvlJc w:val="left"/>
      <w:lvlText w:val="(%1)"/>
      <w:numFmt w:val="lowerLetter"/>
      <w:start w:val="4"/>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1)"/>
      <w:numFmt w:val="lowerLetter"/>
      <w:start w:val="3"/>
    </w:lvl>
  </w:abstractNum>
  <w:abstractNum w:abstractNumId="51">
    <w:nsid w:val="15014ACB"/>
    <w:multiLevelType w:val="hybridMultilevel"/>
    <w:lvl w:ilvl="0">
      <w:lvlJc w:val="left"/>
      <w:lvlText w:val="(%1)"/>
      <w:numFmt w:val="lowerLetter"/>
      <w:start w:val="1"/>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lowerLetter"/>
      <w:start w:val="2"/>
    </w:lvl>
    <w:lvl w:ilvl="1">
      <w:lvlJc w:val="left"/>
      <w:lvlText w:val="(%2)"/>
      <w:numFmt w:val="lowerRoman"/>
      <w:start w:val="1"/>
    </w:lvl>
  </w:abstractNum>
  <w:abstractNum w:abstractNumId="54">
    <w:nsid w:val="799D0247"/>
    <w:multiLevelType w:val="hybridMultilevel"/>
    <w:lvl w:ilvl="0">
      <w:lvlJc w:val="left"/>
      <w:lvlText w:val="(%1)"/>
      <w:numFmt w:val="lowerLetter"/>
      <w:start w:val="6"/>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1"/>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lowerLetter"/>
      <w:start w:val="1"/>
    </w:lvl>
    <w:lvl w:ilvl="1">
      <w:lvlJc w:val="left"/>
      <w:lvlText w:val="(%2)"/>
      <w:numFmt w:val="lowerRoman"/>
      <w:start w:val="1"/>
    </w:lvl>
  </w:abstractNum>
  <w:abstractNum w:abstractNumId="60">
    <w:nsid w:val="5DC79EA8"/>
    <w:multiLevelType w:val="hybridMultilevel"/>
    <w:lvl w:ilvl="0">
      <w:lvlJc w:val="left"/>
      <w:lvlText w:val="(%1)"/>
      <w:numFmt w:val="lowerLetter"/>
      <w:start w:val="3"/>
    </w:lvl>
    <w:lvl w:ilvl="1">
      <w:lvlJc w:val="left"/>
      <w:lvlText w:val="(%2)"/>
      <w:numFmt w:val="lowerRoman"/>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2"/>
    </w:lvl>
  </w:abstractNum>
  <w:abstractNum w:abstractNumId="63">
    <w:nsid w:val="51D9C564"/>
    <w:multiLevelType w:val="hybridMultilevel"/>
    <w:lvl w:ilvl="0">
      <w:lvlJc w:val="left"/>
      <w:lvlText w:val="(%1)"/>
      <w:numFmt w:val="lowerLetter"/>
      <w:start w:val="11"/>
    </w:lvl>
  </w:abstractNum>
  <w:abstractNum w:abstractNumId="64">
    <w:nsid w:val="613EFDC5"/>
    <w:multiLevelType w:val="hybridMultilevel"/>
    <w:lvl w:ilvl="0">
      <w:lvlJc w:val="left"/>
      <w:lvlText w:val="(%1)"/>
      <w:numFmt w:val="lowerLetter"/>
      <w:start w:val="1"/>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7">
    <w:nsid w:val="42963E5A"/>
    <w:multiLevelType w:val="hybridMultilevel"/>
    <w:lvl w:ilvl="0">
      <w:lvlJc w:val="left"/>
      <w:lvlText w:val="(%1)"/>
      <w:numFmt w:val="lowerLetter"/>
      <w:start w:val="2"/>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9"/>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lowerLetter"/>
      <w:start w:val="3"/>
    </w:lvl>
  </w:abstractNum>
  <w:abstractNum w:abstractNumId="73">
    <w:nsid w:val="4962813B"/>
    <w:multiLevelType w:val="hybridMultilevel"/>
    <w:lvl w:ilvl="0">
      <w:lvlJc w:val="left"/>
      <w:lvlText w:val="(%1)"/>
      <w:numFmt w:val="lowerLetter"/>
      <w:start w:val="4"/>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7"/>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1)"/>
      <w:numFmt w:val="lowerLetter"/>
      <w:start w:val="6"/>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bullet"/>
      <w:start w:val="1"/>
    </w:lvl>
  </w:abstractNum>
  <w:abstractNum w:abstractNumId="81">
    <w:nsid w:val="7FB7E0AA"/>
    <w:multiLevelType w:val="hybridMultilevel"/>
    <w:lvl w:ilvl="0">
      <w:lvlJc w:val="left"/>
      <w:lvlText w:val="2"/>
      <w:numFmt w:val="bullet"/>
      <w:start w:val="1"/>
    </w:lvl>
  </w:abstractNum>
  <w:abstractNum w:abstractNumId="82">
    <w:nsid w:val="6EB5BD4"/>
    <w:multiLevelType w:val="hybridMultilevel"/>
    <w:lvl w:ilvl="0">
      <w:lvlJc w:val="left"/>
      <w:lvlText w:val="3"/>
      <w:numFmt w:val="bullet"/>
      <w:start w:val="1"/>
    </w:lvl>
  </w:abstractNum>
  <w:abstractNum w:abstractNumId="83">
    <w:nsid w:val="6F6DD9AC"/>
    <w:multiLevelType w:val="hybridMultilevel"/>
    <w:lvl w:ilvl="0">
      <w:lvlJc w:val="left"/>
      <w:lvlText w:val="4"/>
      <w:numFmt w:val="bullet"/>
      <w:start w:val="1"/>
    </w:lvl>
  </w:abstractNum>
  <w:abstractNum w:abstractNumId="84">
    <w:nsid w:val="94211F2"/>
    <w:multiLevelType w:val="hybridMultilevel"/>
    <w:lvl w:ilvl="0">
      <w:lvlJc w:val="left"/>
      <w:lvlText w:val="(%1)"/>
      <w:numFmt w:val="lowerRoman"/>
      <w:start w:val="2"/>
    </w:lvl>
  </w:abstractNum>
  <w:abstractNum w:abstractNumId="85">
    <w:nsid w:val="885E1B"/>
    <w:multiLevelType w:val="hybridMultilevel"/>
    <w:lvl w:ilvl="0">
      <w:lvlJc w:val="left"/>
      <w:lvlText w:val="(%1)"/>
      <w:numFmt w:val="lowerLetter"/>
      <w:start w:val="1"/>
    </w:lvl>
  </w:abstractNum>
  <w:abstractNum w:abstractNumId="86">
    <w:nsid w:val="7627211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jpeg"/><Relationship Id="rId148" Type="http://schemas.openxmlformats.org/officeDocument/2006/relationships/image" Target="media/image132.png"/><Relationship Id="rId149" Type="http://schemas.openxmlformats.org/officeDocument/2006/relationships/image" Target="media/image133.jpe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jpe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jpeg"/><Relationship Id="rId161" Type="http://schemas.openxmlformats.org/officeDocument/2006/relationships/image" Target="media/image145.png"/><Relationship Id="rId162" Type="http://schemas.openxmlformats.org/officeDocument/2006/relationships/image" Target="media/image146.png"/><Relationship Id="rId27" Type="http://schemas.openxmlformats.org/officeDocument/2006/relationships/hyperlink" Target="http://www.sec.gov/Archives/edgar/data/1697818/000110465919023699/a19-3271_120f.htm" TargetMode="External"/><Relationship Id="rId28" Type="http://schemas.openxmlformats.org/officeDocument/2006/relationships/hyperlink" Target="http://www.sec.gov/Archives/edgar/data/1697818/000119312517358777/d488906d8a12b.htm" TargetMode="External"/><Relationship Id="rId69" Type="http://schemas.openxmlformats.org/officeDocument/2006/relationships/hyperlink" Target="http://www.sec.gov/Archives/edgar/data/1697818/000119312517315220/d347875dex42.htm" TargetMode="External"/><Relationship Id="rId70" Type="http://schemas.openxmlformats.org/officeDocument/2006/relationships/hyperlink" Target="http://www.sec.gov/Archives/edgar/data/1474274/000119312517358373/d471630dex99a.htm" TargetMode="External"/><Relationship Id="rId71" Type="http://schemas.openxmlformats.org/officeDocument/2006/relationships/hyperlink" Target="file:///data/convert/a19-12091_1ex4d5.htm#Exhibit4_6_071021" TargetMode="External"/><Relationship Id="rId72" Type="http://schemas.openxmlformats.org/officeDocument/2006/relationships/hyperlink" Target="file:///data/convert/a19-12091_1ex5d1.htm#Exhibit5_1_073213" TargetMode="External"/><Relationship Id="rId73" Type="http://schemas.openxmlformats.org/officeDocument/2006/relationships/hyperlink" Target="file:///data/convert/a19-12091_1ex5d2.htm#Exhibit5_2_014657" TargetMode="External"/><Relationship Id="rId74" Type="http://schemas.openxmlformats.org/officeDocument/2006/relationships/hyperlink" Target="file:///data/convert/a19-12091_1ex23d1.htm#Exhibit23_1_022154" TargetMode="External"/><Relationship Id="rId75" Type="http://schemas.openxmlformats.org/officeDocument/2006/relationships/hyperlink" Target="file:///data/convert/a19-12091_1ex23d4.htm#Exhibit23_4_022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2019-12-01T08:38:44Z</dcterms:created>
  <dcterms:modified xsi:type="dcterms:W3CDTF">2019-12-01T08:38:44Z</dcterms:modified>
</cp:coreProperties>
</file>