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42"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September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001-38313</w:t>
      </w:r>
    </w:p>
    <w:p>
      <w:pPr>
        <w:spacing w:after="0" w:line="200" w:lineRule="exact"/>
        <w:rPr>
          <w:sz w:val="24"/>
          <w:szCs w:val="24"/>
          <w:color w:val="auto"/>
        </w:rPr>
      </w:pPr>
    </w:p>
    <w:p>
      <w:pPr>
        <w:spacing w:after="0" w:line="218"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3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3884930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544"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80" w:type="dxa"/>
            <w:vAlign w:val="bottom"/>
          </w:tcPr>
          <w:p>
            <w:pPr>
              <w:ind w:left="266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24"/>
                <w:szCs w:val="24"/>
                <w:color w:val="auto"/>
              </w:rPr>
            </w:pPr>
          </w:p>
        </w:tc>
        <w:tc>
          <w:tcPr>
            <w:tcW w:w="8980" w:type="dxa"/>
            <w:vAlign w:val="bottom"/>
            <w:tcBorders>
              <w:bottom w:val="single" w:sz="8" w:color="auto"/>
            </w:tcBorders>
          </w:tcPr>
          <w:p>
            <w:pPr>
              <w:ind w:left="372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2040" w:type="dxa"/>
            <w:vAlign w:val="bottom"/>
          </w:tcPr>
          <w:p>
            <w:pPr>
              <w:spacing w:after="0"/>
              <w:rPr>
                <w:sz w:val="20"/>
                <w:szCs w:val="20"/>
                <w:color w:val="auto"/>
              </w:rPr>
            </w:pPr>
            <w:r>
              <w:rPr>
                <w:rFonts w:ascii="Arial" w:cs="Arial" w:eastAsia="Arial" w:hAnsi="Arial"/>
                <w:sz w:val="18"/>
                <w:szCs w:val="18"/>
                <w:color w:val="auto"/>
              </w:rPr>
              <w:t>99.1</w:t>
            </w:r>
          </w:p>
        </w:tc>
        <w:tc>
          <w:tcPr>
            <w:tcW w:w="9200" w:type="dxa"/>
            <w:vAlign w:val="bottom"/>
            <w:gridSpan w:val="2"/>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w:t>
              </w:r>
            </w:hyperlink>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6340" w:type="dxa"/>
            <w:vAlign w:val="bottom"/>
          </w:tcPr>
          <w:p>
            <w:pPr>
              <w:ind w:left="56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634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6340" w:type="dxa"/>
            <w:vAlign w:val="bottom"/>
          </w:tcPr>
          <w:p>
            <w:pPr>
              <w:ind w:left="56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340" w:type="dxa"/>
            <w:vAlign w:val="bottom"/>
          </w:tcPr>
          <w:p>
            <w:pPr>
              <w:spacing w:after="0"/>
              <w:rPr>
                <w:sz w:val="20"/>
                <w:szCs w:val="20"/>
                <w:color w:val="auto"/>
              </w:rPr>
            </w:pPr>
            <w:r>
              <w:rPr>
                <w:rFonts w:ascii="Arial" w:cs="Arial" w:eastAsia="Arial" w:hAnsi="Arial"/>
                <w:sz w:val="18"/>
                <w:szCs w:val="18"/>
                <w:color w:val="auto"/>
              </w:rPr>
              <w:t>Date: September 1, 2020</w:t>
            </w:r>
          </w:p>
        </w:tc>
        <w:tc>
          <w:tcPr>
            <w:tcW w:w="4900" w:type="dxa"/>
            <w:vAlign w:val="bottom"/>
          </w:tcPr>
          <w:p>
            <w:pPr>
              <w:spacing w:after="0"/>
              <w:rPr>
                <w:sz w:val="24"/>
                <w:szCs w:val="24"/>
                <w:color w:val="auto"/>
              </w:rPr>
            </w:pPr>
          </w:p>
        </w:tc>
      </w:tr>
      <w:tr>
        <w:trPr>
          <w:trHeight w:val="432"/>
        </w:trPr>
        <w:tc>
          <w:tcPr>
            <w:tcW w:w="6340" w:type="dxa"/>
            <w:vAlign w:val="bottom"/>
          </w:tcPr>
          <w:p>
            <w:pPr>
              <w:ind w:left="5580"/>
              <w:spacing w:after="0"/>
              <w:rPr>
                <w:sz w:val="20"/>
                <w:szCs w:val="20"/>
                <w:color w:val="auto"/>
              </w:rPr>
            </w:pPr>
            <w:r>
              <w:rPr>
                <w:rFonts w:ascii="Arial" w:cs="Arial" w:eastAsia="Arial" w:hAnsi="Arial"/>
                <w:sz w:val="18"/>
                <w:szCs w:val="18"/>
                <w:color w:val="auto"/>
              </w:rPr>
              <w:t>3</w:t>
            </w:r>
          </w:p>
        </w:tc>
        <w:tc>
          <w:tcPr>
            <w:tcW w:w="49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159385</wp:posOffset>
            </wp:positionV>
            <wp:extent cx="1036955"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69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iClick Interactive Asia Group Limited Commences Follow-on Offering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Up to 7,922,787 American Depositary Shares</w:t>
      </w:r>
    </w:p>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New York, September 1, 2020</w:t>
      </w:r>
      <w:r>
        <w:rPr>
          <w:rFonts w:ascii="Arial" w:cs="Arial" w:eastAsia="Arial" w:hAnsi="Arial"/>
          <w:sz w:val="20"/>
          <w:szCs w:val="20"/>
          <w:color w:val="auto"/>
        </w:rPr>
        <w:t>: iClick Interactive Asia Group Limited (“iClick” or the “Company”) (NASDAQ: ICLK), an independent</w:t>
      </w:r>
      <w:r>
        <w:rPr>
          <w:rFonts w:ascii="Arial" w:cs="Arial" w:eastAsia="Arial" w:hAnsi="Arial"/>
          <w:sz w:val="20"/>
          <w:szCs w:val="20"/>
          <w:b w:val="1"/>
          <w:bCs w:val="1"/>
          <w:color w:val="auto"/>
        </w:rPr>
        <w:t xml:space="preserve"> </w:t>
      </w:r>
      <w:r>
        <w:rPr>
          <w:rFonts w:ascii="Arial" w:cs="Arial" w:eastAsia="Arial" w:hAnsi="Arial"/>
          <w:sz w:val="20"/>
          <w:szCs w:val="20"/>
          <w:color w:val="auto"/>
        </w:rPr>
        <w:t>online marketing and enterprise data solutions provider in China, today announced the commencement of a follow-on offering of up to 7,922,787 American depositary shares (the “ADSs”), with two ADSs representing one Class A ordinary share of the Company, par value US$0.001 per share (the “Offering”).</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Of the ADSs being offered, up to 6,300,000 ADSs are being offered by iClick, and up to 1,622,787 ADSs are being offered by Sumitomo Corporation Equity Asia Limited, a selling shareholder. iClick will not receive any proceeds from the sale of ADSs by such selling shareholder. In connection with the Offering, iClick intends to grant the underwriters a 30-day option to purchase up to an additional 15% of the total ADSs sold in the Offering. There can be no assurance as to whether or when the Offering may be completed, or as to the actual size or final terms of the Offering.</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BofA Securities, Inc. is acting as the lead left book-running manager for the Offering, with China Renaissance Securities (Hong Kong) Limited, ICBC International Securities Limited</w:t>
      </w:r>
      <w:r>
        <w:rPr>
          <w:rFonts w:ascii="Arial" w:cs="Arial" w:eastAsia="Arial" w:hAnsi="Arial"/>
          <w:sz w:val="16"/>
          <w:szCs w:val="16"/>
          <w:color w:val="auto"/>
        </w:rPr>
        <w:t>1</w:t>
      </w:r>
      <w:r>
        <w:rPr>
          <w:rFonts w:ascii="Arial" w:cs="Arial" w:eastAsia="Arial" w:hAnsi="Arial"/>
          <w:sz w:val="20"/>
          <w:szCs w:val="20"/>
          <w:color w:val="auto"/>
        </w:rPr>
        <w:t xml:space="preserve"> and A.G.P./ Alliance Global Partners acting as joint book-running managers for the Offering.</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Offering will be made pursuant to the Company’s shelf registration statement on a Form F-3 filed with the Securities and Exchange Commission (the “SEC”) on June 28, 2019, which became effective on July 15, 2019. A prospectus supplement related to the Offering will be filed with the SEC. Before you invest, you should read the shelf registration statement, prospectus supplement (including the accompanying base prospectus) and the documents incorporated by reference therein. You may get these documents for free by visiting EDGAR on the SEC website at: www.sec.gov. Electronic copies of the preliminary prospectus supplement and the related base prospectus may be obtained from BofA Securities, Inc., NC1-004-03-43, 200 North College Street, 3rd floor, Charlotte NC 28255-0001, Attention: Prospectus Department or by emailing dg.prospectus_requests@bofa.com.</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press release does not constitute an offer to sell or a solicitation of an offer to buy any securities, nor will there be any sale of these securities in any state or jurisdiction in which such an offer, solicitation or sale would be unlawful prior to registration or qualification under the securities laws of any such state or other jurisdiction. This press release contains information about the Offering, and there can be no assurance that the Offering will be completed.</w:t>
      </w:r>
    </w:p>
    <w:p>
      <w:pPr>
        <w:spacing w:after="0" w:line="140" w:lineRule="exact"/>
        <w:rPr>
          <w:sz w:val="20"/>
          <w:szCs w:val="20"/>
          <w:color w:val="auto"/>
        </w:rPr>
      </w:pPr>
    </w:p>
    <w:p>
      <w:pPr>
        <w:ind w:left="140" w:right="100" w:hanging="132"/>
        <w:spacing w:after="0" w:line="277" w:lineRule="auto"/>
        <w:tabs>
          <w:tab w:leader="none" w:pos="140" w:val="left"/>
        </w:tabs>
        <w:numPr>
          <w:ilvl w:val="0"/>
          <w:numId w:val="1"/>
        </w:numPr>
        <w:rPr>
          <w:rFonts w:ascii="Arial" w:cs="Arial" w:eastAsia="Arial" w:hAnsi="Arial"/>
          <w:sz w:val="15"/>
          <w:szCs w:val="15"/>
          <w:color w:val="auto"/>
        </w:rPr>
      </w:pPr>
      <w:r>
        <w:rPr>
          <w:rFonts w:ascii="Arial" w:cs="Arial" w:eastAsia="Arial" w:hAnsi="Arial"/>
          <w:sz w:val="18"/>
          <w:szCs w:val="18"/>
          <w:color w:val="auto"/>
        </w:rPr>
        <w:t>ICBC International Securities Limited is not a broker-dealer registered with the United States Securities Exchange Commission, and has not and will not offer or sell any of the Company's ADSs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in the prospectus supplement related to the Offering (when available) and other filings with the SEC. All information provided in this press release and in the attachments is as of the date of this press release, and none of the Company nor the underwriters undertakes any obligation to update any forward-looking statement.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 inquiries, please contact:</w:t>
      </w:r>
    </w:p>
    <w:p>
      <w:pPr>
        <w:sectPr>
          <w:pgSz w:w="11900" w:h="16838" w:orient="portrait"/>
          <w:cols w:equalWidth="0" w:num="1">
            <w:col w:w="11240"/>
          </w:cols>
          <w:pgMar w:left="320" w:top="319"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China: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Lisa Li</w:t>
      </w:r>
    </w:p>
    <w:p>
      <w:pPr>
        <w:spacing w:after="0"/>
        <w:rPr>
          <w:sz w:val="20"/>
          <w:szCs w:val="20"/>
          <w:color w:val="auto"/>
        </w:rPr>
      </w:pPr>
      <w:r>
        <w:rPr>
          <w:rFonts w:ascii="Arial" w:cs="Arial" w:eastAsia="Arial" w:hAnsi="Arial"/>
          <w:sz w:val="20"/>
          <w:szCs w:val="20"/>
          <w:color w:val="auto"/>
        </w:rPr>
        <w:t>Phone: +86-21-3230-3931 #892</w:t>
      </w:r>
    </w:p>
    <w:p>
      <w:pPr>
        <w:spacing w:after="0"/>
        <w:rPr>
          <w:sz w:val="20"/>
          <w:szCs w:val="20"/>
          <w:color w:val="auto"/>
        </w:rPr>
      </w:pPr>
      <w:r>
        <w:rPr>
          <w:rFonts w:ascii="Arial" w:cs="Arial" w:eastAsia="Arial" w:hAnsi="Arial"/>
          <w:sz w:val="20"/>
          <w:szCs w:val="20"/>
          <w:color w:val="auto"/>
        </w:rPr>
        <w:t>E-mail: ir@i-click.com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the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Core IR</w:t>
      </w:r>
    </w:p>
    <w:p>
      <w:pPr>
        <w:spacing w:after="0"/>
        <w:rPr>
          <w:sz w:val="20"/>
          <w:szCs w:val="20"/>
          <w:color w:val="auto"/>
        </w:rPr>
      </w:pPr>
      <w:r>
        <w:rPr>
          <w:rFonts w:ascii="Arial" w:cs="Arial" w:eastAsia="Arial" w:hAnsi="Arial"/>
          <w:sz w:val="20"/>
          <w:szCs w:val="20"/>
          <w:color w:val="auto"/>
        </w:rPr>
        <w:t>John Marco</w:t>
      </w:r>
    </w:p>
    <w:p>
      <w:pPr>
        <w:spacing w:after="0"/>
        <w:rPr>
          <w:sz w:val="20"/>
          <w:szCs w:val="20"/>
          <w:color w:val="auto"/>
        </w:rPr>
      </w:pPr>
      <w:r>
        <w:rPr>
          <w:rFonts w:ascii="Arial" w:cs="Arial" w:eastAsia="Arial" w:hAnsi="Arial"/>
          <w:sz w:val="20"/>
          <w:szCs w:val="20"/>
          <w:color w:val="auto"/>
        </w:rPr>
        <w:t>Tel: +1-516-222-2560</w:t>
      </w:r>
    </w:p>
    <w:p>
      <w:pPr>
        <w:spacing w:after="0"/>
        <w:rPr>
          <w:sz w:val="20"/>
          <w:szCs w:val="20"/>
          <w:color w:val="auto"/>
        </w:rPr>
      </w:pPr>
      <w:r>
        <w:rPr>
          <w:rFonts w:ascii="Arial" w:cs="Arial" w:eastAsia="Arial" w:hAnsi="Arial"/>
          <w:sz w:val="18"/>
          <w:szCs w:val="18"/>
          <w:color w:val="auto"/>
        </w:rPr>
        <w:t>E-mail: johnm@coreir.com</w:t>
      </w:r>
    </w:p>
    <w:sectPr>
      <w:pgSz w:w="11900" w:h="16838" w:orient="portrait"/>
      <w:cols w:equalWidth="0" w:num="2">
        <w:col w:w="5700" w:space="720"/>
        <w:col w:w="4820"/>
      </w:cols>
      <w:pgMar w:left="320" w:top="31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2020-09-02T05:21:02Z</dcterms:created>
  <dcterms:modified xsi:type="dcterms:W3CDTF">2020-09-02T05:21:02Z</dcterms:modified>
</cp:coreProperties>
</file>