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March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Amber International Holding Limited</w:t>
      </w:r>
    </w:p>
    <w:p>
      <w:pPr>
        <w:spacing w:after="0" w:line="4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 Wallich Street, #30-02 Guoco Tower, Singapore 078881</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 +65 60220228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spacing w:after="0" w:line="207" w:lineRule="exact"/>
        <w:tabs>
          <w:tab w:leader="none" w:pos="12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  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320" w:type="dxa"/>
            <w:vAlign w:val="bottom"/>
            <w:gridSpan w:val="2"/>
          </w:tcPr>
          <w:p>
            <w:pPr>
              <w:jc w:val="center"/>
              <w:ind w:right="19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169"/>
        </w:trPr>
        <w:tc>
          <w:tcPr>
            <w:tcW w:w="170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4"/>
                <w:szCs w:val="14"/>
                <w:color w:val="auto"/>
              </w:rPr>
            </w:pPr>
          </w:p>
        </w:tc>
        <w:tc>
          <w:tcPr>
            <w:tcW w:w="932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 Amber International Announces Completion of Merger and New Board and Management</w:t>
            </w:r>
          </w:p>
        </w:tc>
      </w:tr>
      <w:tr>
        <w:trPr>
          <w:trHeight w:val="885"/>
        </w:trPr>
        <w:tc>
          <w:tcPr>
            <w:tcW w:w="320" w:type="dxa"/>
            <w:vAlign w:val="bottom"/>
            <w:tcBorders>
              <w:top w:val="single" w:sz="8" w:color="0000EE"/>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520" w:type="dxa"/>
            <w:vAlign w:val="bottom"/>
            <w:tcBorders>
              <w:top w:val="single" w:sz="8" w:color="0000EE"/>
              <w:bottom w:val="single" w:sz="8" w:color="auto"/>
            </w:tcBorders>
          </w:tcPr>
          <w:p>
            <w:pPr>
              <w:jc w:val="right"/>
              <w:ind w:right="3710"/>
              <w:spacing w:after="0"/>
              <w:rPr>
                <w:sz w:val="20"/>
                <w:szCs w:val="20"/>
                <w:color w:val="auto"/>
              </w:rPr>
            </w:pPr>
            <w:r>
              <w:rPr>
                <w:rFonts w:ascii="Times New Roman" w:cs="Times New Roman" w:eastAsia="Times New Roman" w:hAnsi="Times New Roman"/>
                <w:sz w:val="18"/>
                <w:szCs w:val="18"/>
                <w:color w:val="auto"/>
              </w:rPr>
              <w:t>2</w:t>
            </w: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Josephine Ngai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Josephine Ngai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12, 2025</w:t>
      </w:r>
    </w:p>
    <w:p>
      <w:pPr>
        <w:spacing w:after="0" w:line="200" w:lineRule="exact"/>
        <w:rPr>
          <w:sz w:val="20"/>
          <w:szCs w:val="20"/>
          <w:color w:val="auto"/>
        </w:rPr>
      </w:pPr>
    </w:p>
    <w:p>
      <w:pPr>
        <w:spacing w:after="0" w:line="26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80"/>
          </w:cols>
          <w:pgMar w:left="320" w:top="900" w:right="1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379855" cy="3860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7985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Amber International Announces Completion of Merger and New Board and Management</w:t>
      </w:r>
    </w:p>
    <w:p>
      <w:pPr>
        <w:spacing w:after="0" w:line="2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Singapore – March 12, 2025 – Amber International Holding Limited (Nasdaq: AMBR)(“Amber International,” “we,” “us,” “Company,” or “AMBR”), a leading Web3 financial solution and infrastructure provider and operating under the brand name “Amber Premium”, today announced the successful completion of the merger (the “Merger”) between iClick Interactive Asia Group Limited (“iClick”) and Amber DWM Holding Limited (“Amber DWM”) on March 12, 2025 (Eastern Time). As previously announced, the Merger was approved by iClick’s shareholders at an extraordinary general meeting (the “EGM”) held on January 3, 2025. The Company, with its name changed to “Amber International Holding Limited,” continues to be listed on Nasdaq with its new ticker “AMBR”.</w:t>
      </w:r>
    </w:p>
    <w:p>
      <w:pPr>
        <w:spacing w:after="0" w:line="18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Immediately prior to the closing of the Merger (the “Closing”), the Tenth Amended and Restated Memorandum and Articles of Association of the Company, as approved at the EGM, have become effective. Immediately after the Closing, the total number of the Company’s outstanding ordinary shares is 452,678,650 ordinary shares, comprising of 416,445,413 Class A ordinary shares and 36,233,237 Class B ordinary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and Ticker Change</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Merger, the Company’s name was changed from “iClick Interactive Asia Group Limited” to “Amber International Holding Limited,” and its ticker symbol from “ICLK” to “AMBR.” The ADSs of the Company are expected to start trading under the new name and ticker symbol on Nasdaq Global Market on March 13,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immediately upon the Closing, the Company’s Board of Directors (the “Board”) and management consist of the following individuals:</w:t>
      </w:r>
    </w:p>
    <w:p>
      <w:pPr>
        <w:spacing w:after="0" w:line="225" w:lineRule="exact"/>
        <w:rPr>
          <w:sz w:val="20"/>
          <w:szCs w:val="20"/>
          <w:color w:val="auto"/>
        </w:rPr>
      </w:pPr>
    </w:p>
    <w:p>
      <w:pPr>
        <w:ind w:left="660" w:right="10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Michael Wu has been appointed as the chairman of the Board. Mr. Wu is a co-founder of Amber Group, which is Amber DWM’s shareholder and strategic partner.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Wayne Huo has been appointed as the Company’s chief executive officer and a director. Mr. Huo is also a co-founder of Amber Group.</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Wing Hong Sammy Hsieh, who previously served as a director of iClick, continues to serve as a director of the Company after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ind w:left="660" w:right="2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Lub Bun Chong, who previously served as an independent director of iClick, continues to serve as an independent director of the Company after the Closing.</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Philip Kan, who previously served as an independent director of iClick, continues to serve as an independent director of the Company after the Closing.</w:t>
      </w:r>
    </w:p>
    <w:p>
      <w:pPr>
        <w:spacing w:after="0" w:line="161"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Winson Ip Wing Wai, who previously served as an independent director of iClick, continues to serve as an independent director of the Company after the Closing.</w:t>
      </w:r>
    </w:p>
    <w:p>
      <w:pPr>
        <w:spacing w:after="0" w:line="16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Josephine Ngai Yuk Chun, who previously served as chief financial officer of iClick, has been appointed as the Company’s chief financial officer.</w:t>
      </w:r>
    </w:p>
    <w:p>
      <w:pPr>
        <w:spacing w:after="0" w:line="161" w:lineRule="exact"/>
        <w:rPr>
          <w:rFonts w:ascii="Times New Roman" w:cs="Times New Roman" w:eastAsia="Times New Roman" w:hAnsi="Times New Roman"/>
          <w:sz w:val="18"/>
          <w:szCs w:val="18"/>
          <w:color w:val="auto"/>
        </w:rPr>
      </w:pPr>
    </w:p>
    <w:p>
      <w:pPr>
        <w:ind w:right="700" w:firstLine="332"/>
        <w:spacing w:after="0" w:line="498" w:lineRule="auto"/>
        <w:tabs>
          <w:tab w:leader="none" w:pos="64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Terence Li, who previously served as the chief strategy advisor of iClick, has been appointed as the Company’s chief strategy officer. Effective immediately upon the Closing, the committees of the Board consist of the following individuals: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Governance</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Audit</w:t>
            </w:r>
          </w:p>
        </w:tc>
        <w:tc>
          <w:tcPr>
            <w:tcW w:w="240" w:type="dxa"/>
            <w:vAlign w:val="bottom"/>
          </w:tcPr>
          <w:p>
            <w:pPr>
              <w:spacing w:after="0"/>
              <w:rPr>
                <w:sz w:val="18"/>
                <w:szCs w:val="18"/>
                <w:color w:val="auto"/>
              </w:rPr>
            </w:pPr>
          </w:p>
        </w:tc>
        <w:tc>
          <w:tcPr>
            <w:tcW w:w="2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2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Nominating</w:t>
            </w:r>
          </w:p>
        </w:tc>
        <w:tc>
          <w:tcPr>
            <w:tcW w:w="22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Investment</w:t>
            </w:r>
          </w:p>
        </w:tc>
        <w:tc>
          <w:tcPr>
            <w:tcW w:w="0" w:type="dxa"/>
            <w:vAlign w:val="bottom"/>
          </w:tcPr>
          <w:p>
            <w:pPr>
              <w:spacing w:after="0"/>
              <w:rPr>
                <w:sz w:val="1"/>
                <w:szCs w:val="1"/>
                <w:color w:val="auto"/>
              </w:rPr>
            </w:pPr>
          </w:p>
        </w:tc>
      </w:tr>
      <w:tr>
        <w:trPr>
          <w:trHeight w:val="238"/>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Chairperson</w:t>
            </w:r>
          </w:p>
        </w:tc>
        <w:tc>
          <w:tcPr>
            <w:tcW w:w="30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Committee</w:t>
            </w:r>
          </w:p>
        </w:tc>
        <w:tc>
          <w:tcPr>
            <w:tcW w:w="240" w:type="dxa"/>
            <w:vAlign w:val="bottom"/>
          </w:tcPr>
          <w:p>
            <w:pPr>
              <w:spacing w:after="0"/>
              <w:rPr>
                <w:sz w:val="20"/>
                <w:szCs w:val="20"/>
                <w:color w:val="auto"/>
              </w:rPr>
            </w:pP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Committee</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Committee</w:t>
            </w:r>
          </w:p>
        </w:tc>
        <w:tc>
          <w:tcPr>
            <w:tcW w:w="224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Committee</w:t>
            </w:r>
          </w:p>
        </w:tc>
        <w:tc>
          <w:tcPr>
            <w:tcW w:w="0" w:type="dxa"/>
            <w:vAlign w:val="bottom"/>
          </w:tcPr>
          <w:p>
            <w:pPr>
              <w:spacing w:after="0"/>
              <w:rPr>
                <w:sz w:val="1"/>
                <w:szCs w:val="1"/>
                <w:color w:val="auto"/>
              </w:rPr>
            </w:pPr>
          </w:p>
        </w:tc>
      </w:tr>
      <w:tr>
        <w:trPr>
          <w:trHeight w:val="191"/>
        </w:trPr>
        <w:tc>
          <w:tcPr>
            <w:tcW w:w="12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2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Winson Ip Wing Wai</w:t>
            </w:r>
          </w:p>
        </w:tc>
        <w:tc>
          <w:tcPr>
            <w:tcW w:w="240" w:type="dxa"/>
            <w:vAlign w:val="bottom"/>
          </w:tcPr>
          <w:p>
            <w:pPr>
              <w:spacing w:after="0"/>
              <w:rPr>
                <w:sz w:val="16"/>
                <w:szCs w:val="16"/>
                <w:color w:val="auto"/>
              </w:rPr>
            </w:pPr>
          </w:p>
        </w:tc>
        <w:tc>
          <w:tcPr>
            <w:tcW w:w="22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Michael Wu</w:t>
            </w:r>
          </w:p>
        </w:tc>
        <w:tc>
          <w:tcPr>
            <w:tcW w:w="220" w:type="dxa"/>
            <w:vAlign w:val="bottom"/>
          </w:tcPr>
          <w:p>
            <w:pPr>
              <w:spacing w:after="0"/>
              <w:rPr>
                <w:sz w:val="16"/>
                <w:szCs w:val="16"/>
                <w:color w:val="auto"/>
              </w:rPr>
            </w:pPr>
          </w:p>
        </w:tc>
        <w:tc>
          <w:tcPr>
            <w:tcW w:w="22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Philip Kan</w:t>
            </w:r>
          </w:p>
        </w:tc>
        <w:tc>
          <w:tcPr>
            <w:tcW w:w="220" w:type="dxa"/>
            <w:vAlign w:val="bottom"/>
          </w:tcPr>
          <w:p>
            <w:pPr>
              <w:spacing w:after="0"/>
              <w:rPr>
                <w:sz w:val="16"/>
                <w:szCs w:val="16"/>
                <w:color w:val="auto"/>
              </w:rPr>
            </w:pPr>
          </w:p>
        </w:tc>
        <w:tc>
          <w:tcPr>
            <w:tcW w:w="22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Lub Bun Chong</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Lub Bun Chong</w:t>
            </w:r>
          </w:p>
        </w:tc>
        <w:tc>
          <w:tcPr>
            <w:tcW w:w="27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Wing Hong Sammy Hsieh</w:t>
            </w: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Wing Hong Sammy Hsieh</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Wing Hong Sammy Hsieh</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Philip Kan</w:t>
            </w:r>
          </w:p>
        </w:tc>
        <w:tc>
          <w:tcPr>
            <w:tcW w:w="2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Wayne Huo</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Wayne Huo</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connection with the Merger, Mr. Jian Tang, previously the chairman of the board of directors and the chief executive officer of iClick, and Mr. Dylan Huang, previously an independent director of iClick, have resigned from their respective roles with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Amber International Holding Limited</w:t>
      </w:r>
    </w:p>
    <w:p>
      <w:pPr>
        <w:spacing w:after="0" w:line="229"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7"/>
          <w:szCs w:val="17"/>
          <w:color w:val="auto"/>
        </w:rPr>
        <w:t>Amber International Holding Limited (Nasdaq: AMBR) is a leading Web3 financial solutions and infrastructure provider, operating under the brand name “Amber Premium.” As a core subsidiary of Amber Group, it provides institutional market access, execution infrastructure, and investment solutions to help institutions and high-net-worth individuals optimize their digital asset portfolios. Amber Premium offers a regulated, scalable financial ecosystem powered by proprietary trading technology, AI-driven risk management, and quantitative algorithms across CeFi, DeFi, and OTC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announcement contains forward-looking statements within the meaning of the safe harbor provisions of the Private Securities Litigation Reform Act of 1995. All statements other than statements of historical fact in this announcement are forward-looking statements. These forward-looking statements involve known and unknown risks and uncertainties and are based on current expectations and projections about future events and financial trends that the Company believes may affect its financial condition, results of operations, business strategy and financial needs. Investors can identify these forward-looking statements by words or phrases such as “may,” “will,” “expect,” “anticipate,” “aim,” “estimate,” “intend,” “plan,” “believe,” “potential,” “continue,” “is/are likely to” or other similar expressions. The Company undertakes no obligation to update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Serena Wang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+65 60220 228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pr@ambergroup.io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120"/>
      </w:cols>
      <w:pgMar w:left="320" w:top="90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2025-03-12T16:11:39Z</dcterms:created>
  <dcterms:modified xsi:type="dcterms:W3CDTF">2025-03-12T16:11:39Z</dcterms:modified>
</cp:coreProperties>
</file>