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SCHEDULE 13G/A</w:t>
      </w:r>
    </w:p>
    <w:p>
      <w:pPr>
        <w:spacing w:after="0" w:line="21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No.1)*</w:t>
      </w:r>
    </w:p>
    <w:p>
      <w:pPr>
        <w:spacing w:after="0" w:line="18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iClick Interactive Asia Group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Class A ordinary shares, par value of $0.001 per share</w:t>
      </w:r>
    </w:p>
    <w:p>
      <w:pPr>
        <w:spacing w:after="0" w:line="5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G47048 106</w:t>
      </w:r>
    </w:p>
    <w:p>
      <w:pPr>
        <w:spacing w:after="0" w:line="5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2018</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13d-1(c)</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Rule 13d-1(d)</w:t>
      </w:r>
    </w:p>
    <w:p>
      <w:pPr>
        <w:spacing w:after="0" w:line="279"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436" w:right="259" w:bottom="1440" w:gutter="0" w:footer="0" w:header="0"/>
        </w:sectPr>
      </w:pPr>
    </w:p>
    <w:bookmarkStart w:id="1" w:name="page2"/>
    <w:bookmarkEnd w:id="1"/>
    <w:p>
      <w:pPr>
        <w:ind w:left="1000" w:right="8300" w:hanging="620"/>
        <w:spacing w:after="0" w:line="277"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 Jian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67" w:lineRule="exact"/>
        <w:rPr>
          <w:sz w:val="20"/>
          <w:szCs w:val="20"/>
          <w:color w:val="auto"/>
        </w:rPr>
      </w:pPr>
    </w:p>
    <w:p>
      <w:pPr>
        <w:ind w:left="1000" w:hanging="620"/>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2160" w:hanging="1159"/>
        <w:spacing w:after="0"/>
        <w:tabs>
          <w:tab w:leader="none" w:pos="2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1339215</wp:posOffset>
            </wp:positionH>
            <wp:positionV relativeFrom="paragraph">
              <wp:posOffset>48895</wp:posOffset>
            </wp:positionV>
            <wp:extent cx="58743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-164465</wp:posOffset>
            </wp:positionV>
            <wp:extent cx="58743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48895</wp:posOffset>
            </wp:positionV>
            <wp:extent cx="6612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right="7740" w:hanging="620"/>
        <w:spacing w:after="0" w:line="342" w:lineRule="auto"/>
        <w:tabs>
          <w:tab w:leader="none" w:pos="1000" w:val="left"/>
        </w:tabs>
        <w:numPr>
          <w:ilvl w:val="0"/>
          <w:numId w:val="5"/>
        </w:numPr>
        <w:rPr>
          <w:rFonts w:ascii="Arial" w:cs="Arial" w:eastAsia="Arial" w:hAnsi="Arial"/>
          <w:sz w:val="16"/>
          <w:szCs w:val="16"/>
          <w:color w:val="auto"/>
        </w:rPr>
      </w:pPr>
      <w:r>
        <w:rPr>
          <w:rFonts w:ascii="Arial" w:cs="Arial" w:eastAsia="Arial" w:hAnsi="Arial"/>
          <w:sz w:val="16"/>
          <w:szCs w:val="16"/>
          <w:color w:val="auto"/>
        </w:rPr>
        <w:t>Citizenship or Place of Organization People’s Republic of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1360" w:type="dxa"/>
            <w:vAlign w:val="bottom"/>
          </w:tcPr>
          <w:p>
            <w:pPr>
              <w:jc w:val="right"/>
              <w:ind w:right="85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26,910 ordinary shares. See Item 4.</w:t>
            </w:r>
          </w:p>
        </w:tc>
        <w:tc>
          <w:tcPr>
            <w:tcW w:w="0" w:type="dxa"/>
            <w:vAlign w:val="bottom"/>
          </w:tcPr>
          <w:p>
            <w:pPr>
              <w:spacing w:after="0"/>
              <w:rPr>
                <w:sz w:val="1"/>
                <w:szCs w:val="1"/>
                <w:color w:val="auto"/>
              </w:rPr>
            </w:pPr>
          </w:p>
        </w:tc>
      </w:tr>
      <w:tr>
        <w:trPr>
          <w:trHeight w:val="54"/>
        </w:trPr>
        <w:tc>
          <w:tcPr>
            <w:tcW w:w="128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36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2"/>
        </w:trPr>
        <w:tc>
          <w:tcPr>
            <w:tcW w:w="1280" w:type="dxa"/>
            <w:vAlign w:val="bottom"/>
            <w:vMerge w:val="continue"/>
          </w:tcPr>
          <w:p>
            <w:pPr>
              <w:spacing w:after="0"/>
              <w:rPr>
                <w:sz w:val="24"/>
                <w:szCs w:val="24"/>
                <w:color w:val="auto"/>
              </w:rPr>
            </w:pPr>
          </w:p>
        </w:tc>
        <w:tc>
          <w:tcPr>
            <w:tcW w:w="1360" w:type="dxa"/>
            <w:vAlign w:val="bottom"/>
            <w:vMerge w:val="restart"/>
          </w:tcPr>
          <w:p>
            <w:pPr>
              <w:jc w:val="right"/>
              <w:ind w:right="850"/>
              <w:spacing w:after="0"/>
              <w:rPr>
                <w:sz w:val="20"/>
                <w:szCs w:val="20"/>
                <w:color w:val="auto"/>
              </w:rPr>
            </w:pPr>
            <w:r>
              <w:rPr>
                <w:rFonts w:ascii="Arial" w:cs="Arial" w:eastAsia="Arial" w:hAnsi="Arial"/>
                <w:sz w:val="18"/>
                <w:szCs w:val="18"/>
                <w:color w:val="auto"/>
              </w:rPr>
              <w:t>6</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360" w:type="dxa"/>
            <w:vAlign w:val="bottom"/>
            <w:vMerge w:val="continue"/>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2,325,861 ordinary shares. See Item 4.</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136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8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136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1360" w:type="dxa"/>
            <w:vAlign w:val="bottom"/>
            <w:vMerge w:val="restart"/>
          </w:tcPr>
          <w:p>
            <w:pPr>
              <w:jc w:val="right"/>
              <w:ind w:right="850"/>
              <w:spacing w:after="0"/>
              <w:rPr>
                <w:sz w:val="20"/>
                <w:szCs w:val="20"/>
                <w:color w:val="auto"/>
              </w:rPr>
            </w:pPr>
            <w:r>
              <w:rPr>
                <w:rFonts w:ascii="Arial" w:cs="Arial" w:eastAsia="Arial" w:hAnsi="Arial"/>
                <w:sz w:val="18"/>
                <w:szCs w:val="18"/>
                <w:color w:val="auto"/>
              </w:rPr>
              <w:t>7</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8"/>
        </w:trPr>
        <w:tc>
          <w:tcPr>
            <w:tcW w:w="12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1360" w:type="dxa"/>
            <w:vAlign w:val="bottom"/>
            <w:vMerge w:val="continue"/>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26,910 ordinary shares. See Item 4.</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line="157" w:lineRule="exact"/>
              <w:rPr>
                <w:sz w:val="20"/>
                <w:szCs w:val="20"/>
                <w:color w:val="auto"/>
              </w:rPr>
            </w:pPr>
            <w:r>
              <w:rPr>
                <w:rFonts w:ascii="Arial" w:cs="Arial" w:eastAsia="Arial" w:hAnsi="Arial"/>
                <w:sz w:val="18"/>
                <w:szCs w:val="18"/>
                <w:color w:val="auto"/>
              </w:rPr>
              <w:t>Person With:</w:t>
            </w:r>
          </w:p>
        </w:tc>
        <w:tc>
          <w:tcPr>
            <w:tcW w:w="136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8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60"/>
        </w:trPr>
        <w:tc>
          <w:tcPr>
            <w:tcW w:w="1280" w:type="dxa"/>
            <w:vAlign w:val="bottom"/>
          </w:tcPr>
          <w:p>
            <w:pPr>
              <w:spacing w:after="0"/>
              <w:rPr>
                <w:sz w:val="24"/>
                <w:szCs w:val="24"/>
                <w:color w:val="auto"/>
              </w:rPr>
            </w:pPr>
          </w:p>
        </w:tc>
        <w:tc>
          <w:tcPr>
            <w:tcW w:w="1360" w:type="dxa"/>
            <w:vAlign w:val="bottom"/>
          </w:tcPr>
          <w:p>
            <w:pPr>
              <w:jc w:val="right"/>
              <w:ind w:right="850"/>
              <w:spacing w:after="0"/>
              <w:rPr>
                <w:sz w:val="20"/>
                <w:szCs w:val="20"/>
                <w:color w:val="auto"/>
              </w:rPr>
            </w:pPr>
            <w:r>
              <w:rPr>
                <w:rFonts w:ascii="Arial" w:cs="Arial" w:eastAsia="Arial" w:hAnsi="Arial"/>
                <w:sz w:val="18"/>
                <w:szCs w:val="18"/>
                <w:color w:val="auto"/>
              </w:rPr>
              <w:t>8</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2,325,861 ordinary shares. See Item 4.</w:t>
            </w: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000" w:right="5560" w:hanging="620"/>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2,352,771 ordinary shares.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67" w:lineRule="exact"/>
        <w:rPr>
          <w:sz w:val="20"/>
          <w:szCs w:val="20"/>
          <w:color w:val="auto"/>
        </w:rPr>
      </w:pPr>
    </w:p>
    <w:p>
      <w:pPr>
        <w:ind w:left="1000" w:hanging="620"/>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560" w:hanging="620"/>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(9) 8.4%. See Item 4.</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300" w:top="395" w:right="239" w:bottom="1440" w:gutter="0" w:footer="0" w:header="0"/>
        </w:sectPr>
      </w:pPr>
    </w:p>
    <w:bookmarkStart w:id="2" w:name="page3"/>
    <w:bookmarkEnd w:id="2"/>
    <w:p>
      <w:pPr>
        <w:ind w:left="1000" w:right="8300" w:hanging="620"/>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Names of Reporting Persons Igomax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67" w:lineRule="exact"/>
        <w:rPr>
          <w:sz w:val="20"/>
          <w:szCs w:val="20"/>
          <w:color w:val="auto"/>
        </w:rPr>
      </w:pPr>
    </w:p>
    <w:p>
      <w:pPr>
        <w:ind w:left="1000" w:hanging="620"/>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2160" w:hanging="1159"/>
        <w:spacing w:after="0"/>
        <w:tabs>
          <w:tab w:leader="none" w:pos="2160" w:val="left"/>
        </w:tabs>
        <w:numPr>
          <w:ilvl w:val="1"/>
          <w:numId w:val="9"/>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9"/>
        </w:numPr>
        <w:rPr>
          <w:rFonts w:ascii="Arial" w:cs="Arial" w:eastAsia="Arial" w:hAnsi="Arial"/>
          <w:sz w:val="18"/>
          <w:szCs w:val="18"/>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1339215</wp:posOffset>
            </wp:positionH>
            <wp:positionV relativeFrom="paragraph">
              <wp:posOffset>48895</wp:posOffset>
            </wp:positionV>
            <wp:extent cx="58743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-164465</wp:posOffset>
            </wp:positionV>
            <wp:extent cx="58743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hanging="620"/>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48895</wp:posOffset>
            </wp:positionV>
            <wp:extent cx="66122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right="7740" w:hanging="620"/>
        <w:spacing w:after="0" w:line="308" w:lineRule="auto"/>
        <w:tabs>
          <w:tab w:leader="none" w:pos="10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Citizenship or Place of Organization British Virgin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0</wp:posOffset>
            </wp:positionV>
            <wp:extent cx="66122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1360" w:type="dxa"/>
            <w:vAlign w:val="bottom"/>
          </w:tcPr>
          <w:p>
            <w:pPr>
              <w:jc w:val="right"/>
              <w:ind w:right="85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28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36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2"/>
        </w:trPr>
        <w:tc>
          <w:tcPr>
            <w:tcW w:w="1280" w:type="dxa"/>
            <w:vAlign w:val="bottom"/>
            <w:vMerge w:val="continue"/>
          </w:tcPr>
          <w:p>
            <w:pPr>
              <w:spacing w:after="0"/>
              <w:rPr>
                <w:sz w:val="24"/>
                <w:szCs w:val="24"/>
                <w:color w:val="auto"/>
              </w:rPr>
            </w:pPr>
          </w:p>
        </w:tc>
        <w:tc>
          <w:tcPr>
            <w:tcW w:w="1360" w:type="dxa"/>
            <w:vAlign w:val="bottom"/>
            <w:vMerge w:val="restart"/>
          </w:tcPr>
          <w:p>
            <w:pPr>
              <w:jc w:val="right"/>
              <w:ind w:right="850"/>
              <w:spacing w:after="0"/>
              <w:rPr>
                <w:sz w:val="20"/>
                <w:szCs w:val="20"/>
                <w:color w:val="auto"/>
              </w:rPr>
            </w:pPr>
            <w:r>
              <w:rPr>
                <w:rFonts w:ascii="Arial" w:cs="Arial" w:eastAsia="Arial" w:hAnsi="Arial"/>
                <w:sz w:val="18"/>
                <w:szCs w:val="18"/>
                <w:color w:val="auto"/>
              </w:rPr>
              <w:t>6</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360" w:type="dxa"/>
            <w:vAlign w:val="bottom"/>
            <w:vMerge w:val="continue"/>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2,325,861 ordinary shares. See Item 4.</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136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8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136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1360" w:type="dxa"/>
            <w:vAlign w:val="bottom"/>
            <w:vMerge w:val="restart"/>
          </w:tcPr>
          <w:p>
            <w:pPr>
              <w:jc w:val="right"/>
              <w:ind w:right="850"/>
              <w:spacing w:after="0"/>
              <w:rPr>
                <w:sz w:val="20"/>
                <w:szCs w:val="20"/>
                <w:color w:val="auto"/>
              </w:rPr>
            </w:pPr>
            <w:r>
              <w:rPr>
                <w:rFonts w:ascii="Arial" w:cs="Arial" w:eastAsia="Arial" w:hAnsi="Arial"/>
                <w:sz w:val="18"/>
                <w:szCs w:val="18"/>
                <w:color w:val="auto"/>
              </w:rPr>
              <w:t>7</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8"/>
        </w:trPr>
        <w:tc>
          <w:tcPr>
            <w:tcW w:w="12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1360" w:type="dxa"/>
            <w:vAlign w:val="bottom"/>
            <w:vMerge w:val="continue"/>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line="157" w:lineRule="exact"/>
              <w:rPr>
                <w:sz w:val="20"/>
                <w:szCs w:val="20"/>
                <w:color w:val="auto"/>
              </w:rPr>
            </w:pPr>
            <w:r>
              <w:rPr>
                <w:rFonts w:ascii="Arial" w:cs="Arial" w:eastAsia="Arial" w:hAnsi="Arial"/>
                <w:sz w:val="18"/>
                <w:szCs w:val="18"/>
                <w:color w:val="auto"/>
              </w:rPr>
              <w:t>Person With:</w:t>
            </w:r>
          </w:p>
        </w:tc>
        <w:tc>
          <w:tcPr>
            <w:tcW w:w="136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8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60"/>
        </w:trPr>
        <w:tc>
          <w:tcPr>
            <w:tcW w:w="1280" w:type="dxa"/>
            <w:vAlign w:val="bottom"/>
          </w:tcPr>
          <w:p>
            <w:pPr>
              <w:spacing w:after="0"/>
              <w:rPr>
                <w:sz w:val="24"/>
                <w:szCs w:val="24"/>
                <w:color w:val="auto"/>
              </w:rPr>
            </w:pPr>
          </w:p>
        </w:tc>
        <w:tc>
          <w:tcPr>
            <w:tcW w:w="1360" w:type="dxa"/>
            <w:vAlign w:val="bottom"/>
          </w:tcPr>
          <w:p>
            <w:pPr>
              <w:jc w:val="right"/>
              <w:ind w:right="850"/>
              <w:spacing w:after="0"/>
              <w:rPr>
                <w:sz w:val="20"/>
                <w:szCs w:val="20"/>
                <w:color w:val="auto"/>
              </w:rPr>
            </w:pPr>
            <w:r>
              <w:rPr>
                <w:rFonts w:ascii="Arial" w:cs="Arial" w:eastAsia="Arial" w:hAnsi="Arial"/>
                <w:sz w:val="18"/>
                <w:szCs w:val="18"/>
                <w:color w:val="auto"/>
              </w:rPr>
              <w:t>8</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2,325,861 ordinary shares. See Item 4.</w:t>
            </w: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000" w:right="5560" w:hanging="620"/>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2,325,861 ordinary shares.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67" w:lineRule="exact"/>
        <w:rPr>
          <w:sz w:val="20"/>
          <w:szCs w:val="20"/>
          <w:color w:val="auto"/>
        </w:rPr>
      </w:pPr>
    </w:p>
    <w:p>
      <w:pPr>
        <w:ind w:left="1000" w:hanging="620"/>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560" w:hanging="620"/>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(9) 8.3%. See Item 4.</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300" w:top="395" w:right="23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color w:val="auto"/>
        </w:rPr>
        <w:t>Item 1(a).</w:t>
      </w: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2(a).</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2(c).</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u w:val="single" w:color="auto"/>
          <w:color w:val="auto"/>
        </w:rPr>
        <w:t>Name of Issuer</w:t>
      </w:r>
      <w:r>
        <w:rPr>
          <w:rFonts w:ascii="Arial" w:cs="Arial" w:eastAsia="Arial" w:hAnsi="Arial"/>
          <w:sz w:val="18"/>
          <w:szCs w:val="18"/>
          <w:b w:val="1"/>
          <w:bCs w:val="1"/>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iClick Interactive Asia Group Limited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40005</wp:posOffset>
            </wp:positionV>
            <wp:extent cx="65519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51930" cy="8890"/>
                    </a:xfrm>
                    <a:prstGeom prst="rect">
                      <a:avLst/>
                    </a:prstGeom>
                    <a:noFill/>
                  </pic:spPr>
                </pic:pic>
              </a:graphicData>
            </a:graphic>
          </wp:anchor>
        </w:drawing>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Address of Issuer’s Principal Executive Offices</w:t>
      </w:r>
      <w:r>
        <w:rPr>
          <w:rFonts w:ascii="Arial" w:cs="Arial" w:eastAsia="Arial" w:hAnsi="Arial"/>
          <w:sz w:val="18"/>
          <w:szCs w:val="18"/>
          <w:b w:val="1"/>
          <w:bCs w:val="1"/>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15/F, Prosperity Millennia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663 King’s Road, Quarry Bay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 S.A.R.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40005</wp:posOffset>
            </wp:positionV>
            <wp:extent cx="65519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519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Name of Person Filing</w:t>
      </w:r>
      <w:r>
        <w:rPr>
          <w:rFonts w:ascii="Arial" w:cs="Arial" w:eastAsia="Arial" w:hAnsi="Arial"/>
          <w:sz w:val="18"/>
          <w:szCs w:val="18"/>
          <w:b w:val="1"/>
          <w:bCs w:val="1"/>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Jian Tang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Igomax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48895</wp:posOffset>
            </wp:positionV>
            <wp:extent cx="65519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51930" cy="8890"/>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Address of Principal Business Office, or, if none, Residence</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Jian Tang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15/F, Prosperity Millennia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663 King’s Road, Quarry Bay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 S.A.R.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Igomax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Jordans Trust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Geneva Place, Waterfront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3469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Road Town, Tortola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British Virgin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40005</wp:posOffset>
            </wp:positionV>
            <wp:extent cx="65519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51930" cy="8890"/>
                    </a:xfrm>
                    <a:prstGeom prst="rect">
                      <a:avLst/>
                    </a:prstGeom>
                    <a:noFill/>
                  </pic:spPr>
                </pic:pic>
              </a:graphicData>
            </a:graphic>
          </wp:anchor>
        </w:drawing>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Citizenship</w:t>
      </w:r>
      <w:r>
        <w:rPr>
          <w:rFonts w:ascii="Arial" w:cs="Arial" w:eastAsia="Arial" w:hAnsi="Arial"/>
          <w:sz w:val="18"/>
          <w:szCs w:val="18"/>
          <w:b w:val="1"/>
          <w:bCs w:val="1"/>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Jian Tang — People’s Republic of China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Igomax Inc. — British Virgin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48895</wp:posOffset>
            </wp:positionV>
            <wp:extent cx="65519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51930" cy="8890"/>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Title of Class of Securities</w:t>
      </w:r>
      <w:r>
        <w:rPr>
          <w:rFonts w:ascii="Arial" w:cs="Arial" w:eastAsia="Arial" w:hAnsi="Arial"/>
          <w:sz w:val="18"/>
          <w:szCs w:val="18"/>
          <w:b w:val="1"/>
          <w:bCs w:val="1"/>
          <w:color w:val="auto"/>
        </w:rPr>
        <w:t>:</w:t>
      </w:r>
    </w:p>
    <w:p>
      <w:pPr>
        <w:spacing w:after="0" w:line="2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Class A ordinary shares, par value of $0.001 per share (the “Class A Ordinary Shares”). The Issuer’s ordinary shares consist of Class A Ordinary Shares and Class B ordinary shares, par value of $0.001 per share (“Class B Ordinary Shares”). The rights of the holders of Class A Ordinary Shares and Class B Ordinary Shares are identical, except with respect to conversion rights and voting rights. Each Class B Ordinary Share is convertible at the option of the holder at any time into one Class A Ordinary Share. Each Class B Ordinary Share is entitled to twenty (20) votes per share, whereas each Class A Ordinary Share is entitled to one vote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19685</wp:posOffset>
            </wp:positionV>
            <wp:extent cx="65519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51930" cy="8890"/>
                    </a:xfrm>
                    <a:prstGeom prst="rect">
                      <a:avLst/>
                    </a:prstGeom>
                    <a:noFill/>
                  </pic:spPr>
                </pic:pic>
              </a:graphicData>
            </a:graphic>
          </wp:anchor>
        </w:drawing>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CUSIP No.</w:t>
      </w:r>
      <w:r>
        <w:rPr>
          <w:rFonts w:ascii="Arial" w:cs="Arial" w:eastAsia="Arial" w:hAnsi="Arial"/>
          <w:sz w:val="18"/>
          <w:szCs w:val="18"/>
          <w:b w:val="1"/>
          <w:bCs w:val="1"/>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G47048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40005</wp:posOffset>
            </wp:positionV>
            <wp:extent cx="65519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55193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If this statement is filed pursuant to §§ 240.13d-1(b), or 240.13d-2(b) or (c), check whether the persons filing is a</w:t>
      </w:r>
      <w:r>
        <w:rPr>
          <w:rFonts w:ascii="Arial" w:cs="Arial" w:eastAsia="Arial" w:hAnsi="Arial"/>
          <w:sz w:val="18"/>
          <w:szCs w:val="18"/>
          <w:b w:val="1"/>
          <w:bCs w:val="1"/>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2">
            <w:col w:w="760" w:space="340"/>
            <w:col w:w="10180"/>
          </w:cols>
          <w:pgMar w:left="300" w:top="391" w:right="319" w:bottom="1440" w:gutter="0" w:footer="0" w:header="0"/>
        </w:sectPr>
      </w:pPr>
    </w:p>
    <w:bookmarkStart w:id="4" w:name="page5"/>
    <w:bookmarkEnd w:id="4"/>
    <w:p>
      <w:pPr>
        <w:ind w:left="60"/>
        <w:spacing w:after="0"/>
        <w:tabs>
          <w:tab w:leader="none" w:pos="11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u w:val="single" w:color="auto"/>
          <w:color w:val="auto"/>
        </w:rPr>
        <w:t>Ownership</w:t>
      </w:r>
    </w:p>
    <w:p>
      <w:pPr>
        <w:spacing w:after="0" w:line="121" w:lineRule="exact"/>
        <w:rPr>
          <w:sz w:val="20"/>
          <w:szCs w:val="20"/>
          <w:color w:val="auto"/>
        </w:rPr>
      </w:pPr>
    </w:p>
    <w:p>
      <w:pPr>
        <w:ind w:left="60" w:right="380"/>
        <w:spacing w:after="0" w:line="277" w:lineRule="auto"/>
        <w:rPr>
          <w:sz w:val="20"/>
          <w:szCs w:val="20"/>
          <w:color w:val="auto"/>
        </w:rPr>
      </w:pPr>
      <w:r>
        <w:rPr>
          <w:rFonts w:ascii="Arial" w:cs="Arial" w:eastAsia="Arial" w:hAnsi="Arial"/>
          <w:sz w:val="18"/>
          <w:szCs w:val="18"/>
          <w:color w:val="auto"/>
        </w:rPr>
        <w:t>The following information with respect to the ownership of the Class A Ordinary Shares by each of the reporting persons is provided as of December 31, 2018:</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Sole Power</w:t>
            </w:r>
          </w:p>
        </w:tc>
        <w:tc>
          <w:tcPr>
            <w:tcW w:w="15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Shared</w:t>
            </w:r>
          </w:p>
        </w:tc>
        <w:tc>
          <w:tcPr>
            <w:tcW w:w="14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Sole Power to</w:t>
            </w: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Shared</w:t>
            </w: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340" w:type="dxa"/>
            <w:vAlign w:val="bottom"/>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to</w:t>
            </w:r>
          </w:p>
        </w:tc>
        <w:tc>
          <w:tcPr>
            <w:tcW w:w="1580" w:type="dxa"/>
            <w:vAlign w:val="bottom"/>
            <w:gridSpan w:val="2"/>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Power to</w:t>
            </w: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Vote or</w:t>
            </w:r>
          </w:p>
        </w:tc>
        <w:tc>
          <w:tcPr>
            <w:tcW w:w="15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Power</w:t>
            </w: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Dispose or to</w:t>
            </w:r>
          </w:p>
        </w:tc>
        <w:tc>
          <w:tcPr>
            <w:tcW w:w="14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Dispose or to</w:t>
            </w:r>
          </w:p>
        </w:tc>
        <w:tc>
          <w:tcPr>
            <w:tcW w:w="0" w:type="dxa"/>
            <w:vAlign w:val="bottom"/>
          </w:tcPr>
          <w:p>
            <w:pPr>
              <w:spacing w:after="0"/>
              <w:rPr>
                <w:sz w:val="1"/>
                <w:szCs w:val="1"/>
                <w:color w:val="auto"/>
              </w:rPr>
            </w:pPr>
          </w:p>
        </w:tc>
      </w:tr>
      <w:tr>
        <w:trPr>
          <w:trHeight w:val="149"/>
        </w:trPr>
        <w:tc>
          <w:tcPr>
            <w:tcW w:w="2840" w:type="dxa"/>
            <w:vAlign w:val="bottom"/>
            <w:vMerge w:val="restart"/>
          </w:tcPr>
          <w:p>
            <w:pPr>
              <w:spacing w:after="0"/>
              <w:rPr>
                <w:sz w:val="20"/>
                <w:szCs w:val="20"/>
                <w:color w:val="auto"/>
              </w:rPr>
            </w:pPr>
            <w:r>
              <w:rPr>
                <w:rFonts w:ascii="Arial" w:cs="Arial" w:eastAsia="Arial" w:hAnsi="Arial"/>
                <w:sz w:val="14"/>
                <w:szCs w:val="14"/>
                <w:b w:val="1"/>
                <w:bCs w:val="1"/>
                <w:color w:val="auto"/>
              </w:rPr>
              <w:t>Reporting Person:</w:t>
            </w:r>
          </w:p>
        </w:tc>
        <w:tc>
          <w:tcPr>
            <w:tcW w:w="160" w:type="dxa"/>
            <w:vAlign w:val="bottom"/>
            <w:vMerge w:val="restart"/>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3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(1)</w:t>
            </w: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Direct</w:t>
            </w:r>
          </w:p>
        </w:tc>
        <w:tc>
          <w:tcPr>
            <w:tcW w:w="15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to Vote or to</w:t>
            </w: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Direct the</w:t>
            </w:r>
          </w:p>
        </w:tc>
        <w:tc>
          <w:tcPr>
            <w:tcW w:w="14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Direct the</w:t>
            </w:r>
          </w:p>
        </w:tc>
        <w:tc>
          <w:tcPr>
            <w:tcW w:w="0" w:type="dxa"/>
            <w:vAlign w:val="bottom"/>
          </w:tcPr>
          <w:p>
            <w:pPr>
              <w:spacing w:after="0"/>
              <w:rPr>
                <w:sz w:val="1"/>
                <w:szCs w:val="1"/>
                <w:color w:val="auto"/>
              </w:rPr>
            </w:pPr>
          </w:p>
        </w:tc>
      </w:tr>
      <w:tr>
        <w:trPr>
          <w:trHeight w:val="171"/>
        </w:trPr>
        <w:tc>
          <w:tcPr>
            <w:tcW w:w="28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vMerge w:val="continue"/>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Owned:</w:t>
            </w:r>
          </w:p>
        </w:tc>
        <w:tc>
          <w:tcPr>
            <w:tcW w:w="3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Class:</w:t>
            </w:r>
          </w:p>
        </w:tc>
        <w:tc>
          <w:tcPr>
            <w:tcW w:w="340" w:type="dxa"/>
            <w:vAlign w:val="bottom"/>
            <w:tcBorders>
              <w:bottom w:val="single" w:sz="8" w:color="CCEEFF"/>
            </w:tcBorders>
            <w:vMerge w:val="continue"/>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the Vote:</w:t>
            </w:r>
          </w:p>
        </w:tc>
        <w:tc>
          <w:tcPr>
            <w:tcW w:w="34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Direct the Vote:</w:t>
            </w:r>
          </w:p>
        </w:tc>
        <w:tc>
          <w:tcPr>
            <w:tcW w:w="34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Disposition of:</w:t>
            </w:r>
          </w:p>
        </w:tc>
        <w:tc>
          <w:tcPr>
            <w:tcW w:w="32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Disposition of:</w:t>
            </w:r>
          </w:p>
        </w:tc>
        <w:tc>
          <w:tcPr>
            <w:tcW w:w="3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Jian Tang</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ind w:left="320"/>
              <w:spacing w:after="0"/>
              <w:rPr>
                <w:sz w:val="20"/>
                <w:szCs w:val="20"/>
                <w:color w:val="auto"/>
              </w:rPr>
            </w:pPr>
            <w:r>
              <w:rPr>
                <w:rFonts w:ascii="Arial" w:cs="Arial" w:eastAsia="Arial" w:hAnsi="Arial"/>
                <w:sz w:val="17"/>
                <w:szCs w:val="17"/>
                <w:color w:val="auto"/>
                <w:w w:val="72"/>
              </w:rPr>
              <w:t>2,352,771(2)</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8.4%</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26,910(2)</w:t>
            </w:r>
          </w:p>
        </w:tc>
        <w:tc>
          <w:tcPr>
            <w:tcW w:w="1240" w:type="dxa"/>
            <w:vAlign w:val="bottom"/>
            <w:shd w:val="clear" w:color="auto" w:fill="CCEEFF"/>
          </w:tcPr>
          <w:p>
            <w:pPr>
              <w:ind w:left="520"/>
              <w:spacing w:after="0"/>
              <w:rPr>
                <w:sz w:val="20"/>
                <w:szCs w:val="20"/>
                <w:color w:val="auto"/>
              </w:rPr>
            </w:pPr>
            <w:r>
              <w:rPr>
                <w:rFonts w:ascii="Arial" w:cs="Arial" w:eastAsia="Arial" w:hAnsi="Arial"/>
                <w:sz w:val="17"/>
                <w:szCs w:val="17"/>
                <w:color w:val="auto"/>
                <w:w w:val="72"/>
              </w:rPr>
              <w:t>2,325,861(2)</w:t>
            </w:r>
          </w:p>
        </w:tc>
        <w:tc>
          <w:tcPr>
            <w:tcW w:w="3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26,910(2)</w:t>
            </w:r>
          </w:p>
        </w:tc>
        <w:tc>
          <w:tcPr>
            <w:tcW w:w="1140" w:type="dxa"/>
            <w:vAlign w:val="bottom"/>
            <w:shd w:val="clear" w:color="auto" w:fill="CCEEFF"/>
          </w:tcPr>
          <w:p>
            <w:pPr>
              <w:ind w:left="420"/>
              <w:spacing w:after="0"/>
              <w:rPr>
                <w:sz w:val="20"/>
                <w:szCs w:val="20"/>
                <w:color w:val="auto"/>
              </w:rPr>
            </w:pPr>
            <w:r>
              <w:rPr>
                <w:rFonts w:ascii="Arial" w:cs="Arial" w:eastAsia="Arial" w:hAnsi="Arial"/>
                <w:sz w:val="17"/>
                <w:szCs w:val="17"/>
                <w:color w:val="auto"/>
                <w:w w:val="72"/>
              </w:rPr>
              <w:t>2,325,861(2)</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0" w:type="dxa"/>
            <w:vAlign w:val="bottom"/>
            <w:gridSpan w:val="2"/>
          </w:tcPr>
          <w:p>
            <w:pPr>
              <w:spacing w:after="0"/>
              <w:rPr>
                <w:sz w:val="20"/>
                <w:szCs w:val="20"/>
                <w:color w:val="auto"/>
              </w:rPr>
            </w:pPr>
            <w:r>
              <w:rPr>
                <w:rFonts w:ascii="Arial" w:cs="Arial" w:eastAsia="Arial" w:hAnsi="Arial"/>
                <w:sz w:val="18"/>
                <w:szCs w:val="18"/>
                <w:color w:val="auto"/>
              </w:rPr>
              <w:t>Igomax Inc.</w:t>
            </w:r>
          </w:p>
        </w:tc>
        <w:tc>
          <w:tcPr>
            <w:tcW w:w="1380" w:type="dxa"/>
            <w:vAlign w:val="bottom"/>
            <w:gridSpan w:val="2"/>
          </w:tcPr>
          <w:p>
            <w:pPr>
              <w:ind w:left="320"/>
              <w:spacing w:after="0"/>
              <w:rPr>
                <w:sz w:val="20"/>
                <w:szCs w:val="20"/>
                <w:color w:val="auto"/>
              </w:rPr>
            </w:pPr>
            <w:r>
              <w:rPr>
                <w:rFonts w:ascii="Arial" w:cs="Arial" w:eastAsia="Arial" w:hAnsi="Arial"/>
                <w:sz w:val="18"/>
                <w:szCs w:val="18"/>
                <w:color w:val="auto"/>
              </w:rPr>
              <w:t>2,325,861(3)</w:t>
            </w:r>
          </w:p>
        </w:tc>
        <w:tc>
          <w:tcPr>
            <w:tcW w:w="1040" w:type="dxa"/>
            <w:vAlign w:val="bottom"/>
            <w:gridSpan w:val="2"/>
          </w:tcPr>
          <w:p>
            <w:pPr>
              <w:jc w:val="right"/>
              <w:ind w:right="128"/>
              <w:spacing w:after="0"/>
              <w:rPr>
                <w:sz w:val="20"/>
                <w:szCs w:val="20"/>
                <w:color w:val="auto"/>
              </w:rPr>
            </w:pPr>
            <w:r>
              <w:rPr>
                <w:rFonts w:ascii="Arial" w:cs="Arial" w:eastAsia="Arial" w:hAnsi="Arial"/>
                <w:sz w:val="18"/>
                <w:szCs w:val="18"/>
                <w:color w:val="auto"/>
              </w:rPr>
              <w:t>8.3%</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1580" w:type="dxa"/>
            <w:vAlign w:val="bottom"/>
            <w:gridSpan w:val="2"/>
          </w:tcPr>
          <w:p>
            <w:pPr>
              <w:ind w:left="520"/>
              <w:spacing w:after="0"/>
              <w:rPr>
                <w:sz w:val="20"/>
                <w:szCs w:val="20"/>
                <w:color w:val="auto"/>
              </w:rPr>
            </w:pPr>
            <w:r>
              <w:rPr>
                <w:rFonts w:ascii="Arial" w:cs="Arial" w:eastAsia="Arial" w:hAnsi="Arial"/>
                <w:sz w:val="18"/>
                <w:szCs w:val="18"/>
                <w:color w:val="auto"/>
              </w:rPr>
              <w:t>2,325,861(3)</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1480" w:type="dxa"/>
            <w:vAlign w:val="bottom"/>
            <w:gridSpan w:val="2"/>
          </w:tcPr>
          <w:p>
            <w:pPr>
              <w:ind w:left="420"/>
              <w:spacing w:after="0"/>
              <w:rPr>
                <w:sz w:val="20"/>
                <w:szCs w:val="20"/>
                <w:color w:val="auto"/>
              </w:rPr>
            </w:pPr>
            <w:r>
              <w:rPr>
                <w:rFonts w:ascii="Arial" w:cs="Arial" w:eastAsia="Arial" w:hAnsi="Arial"/>
                <w:sz w:val="18"/>
                <w:szCs w:val="18"/>
                <w:color w:val="auto"/>
              </w:rPr>
              <w:t>2,325,861(3)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380" w:right="80" w:hanging="372"/>
        <w:spacing w:after="0" w:line="254" w:lineRule="auto"/>
        <w:tabs>
          <w:tab w:leader="none" w:pos="389"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percentage of the class of securities beneficially owned by each reporting person is based on 27,986,700 outstanding ordinary shares (being the sum of 23,166,092 Class A Ordinary Shares and 4,820,608 Class B ordinary shares outstanding as of December 31, 2018, assuming conversion of all Class B Ordinary Shares into Class A Ordinary Shares) and the number of ordinary shares such person or group has the right to acquire upon the exercise of options, warrants or other rights within 60 days after December 31, 2018.</w:t>
      </w:r>
    </w:p>
    <w:p>
      <w:pPr>
        <w:spacing w:after="0" w:line="2" w:lineRule="exact"/>
        <w:rPr>
          <w:rFonts w:ascii="Arial" w:cs="Arial" w:eastAsia="Arial" w:hAnsi="Arial"/>
          <w:sz w:val="18"/>
          <w:szCs w:val="18"/>
          <w:color w:val="auto"/>
        </w:rPr>
      </w:pPr>
    </w:p>
    <w:p>
      <w:pPr>
        <w:ind w:left="380" w:right="80" w:hanging="372"/>
        <w:spacing w:after="0" w:line="250" w:lineRule="auto"/>
        <w:tabs>
          <w:tab w:leader="none" w:pos="389"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(i) 2,320,028 Class B Ordinary Shares held by Igomax Inc., which may be converted into 2,320,028 Class A Ordinary Shares at any time by the holder thereof; (ii) 26,910 Class A Ordinary Shares that are issuable upon exercise of options held in trust by Mr. Jian Tang; and (iii) 5,833 Class A Ordinary Shares that Igomax Inc. has the right to obtain upon conversion of certain restricted share units it holds. Mr. Jian Tang is the sole director of Igomax Inc.</w:t>
      </w:r>
    </w:p>
    <w:p>
      <w:pPr>
        <w:spacing w:after="0" w:line="1" w:lineRule="exact"/>
        <w:rPr>
          <w:rFonts w:ascii="Arial" w:cs="Arial" w:eastAsia="Arial" w:hAnsi="Arial"/>
          <w:sz w:val="18"/>
          <w:szCs w:val="18"/>
          <w:color w:val="auto"/>
        </w:rPr>
      </w:pPr>
    </w:p>
    <w:p>
      <w:pPr>
        <w:ind w:left="380" w:right="80" w:hanging="372"/>
        <w:spacing w:after="0" w:line="323" w:lineRule="auto"/>
        <w:tabs>
          <w:tab w:leader="none" w:pos="389"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Includes (i) 2,320,028 Class B Ordinary Shares held by Igomax Inc., which may be converted into 2,320,028 Class A Ordinary Shares at any time by the holder thereof, and (ii) 5,833 Class A Ordinary Shares that Igomax Inc. has the right to obtain upon conversion of certain restricted share units it holds.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Pr>
          <w:p>
            <w:pPr>
              <w:ind w:left="60"/>
              <w:spacing w:after="0"/>
              <w:rPr>
                <w:sz w:val="20"/>
                <w:szCs w:val="20"/>
                <w:color w:val="auto"/>
              </w:rPr>
            </w:pPr>
            <w:r>
              <w:rPr>
                <w:rFonts w:ascii="Arial" w:cs="Arial" w:eastAsia="Arial" w:hAnsi="Arial"/>
                <w:sz w:val="18"/>
                <w:szCs w:val="18"/>
                <w:b w:val="1"/>
                <w:bCs w:val="1"/>
                <w:color w:val="auto"/>
              </w:rPr>
              <w:t>Item 5.</w:t>
            </w:r>
          </w:p>
        </w:tc>
        <w:tc>
          <w:tcPr>
            <w:tcW w:w="10280" w:type="dxa"/>
            <w:vAlign w:val="bottom"/>
            <w:gridSpan w:val="7"/>
          </w:tcPr>
          <w:p>
            <w:pPr>
              <w:spacing w:after="0"/>
              <w:rPr>
                <w:sz w:val="20"/>
                <w:szCs w:val="20"/>
                <w:color w:val="auto"/>
              </w:rPr>
            </w:pPr>
            <w:r>
              <w:rPr>
                <w:rFonts w:ascii="Arial" w:cs="Arial" w:eastAsia="Arial" w:hAnsi="Arial"/>
                <w:sz w:val="18"/>
                <w:szCs w:val="18"/>
                <w:b w:val="1"/>
                <w:bCs w:val="1"/>
                <w:color w:val="auto"/>
              </w:rPr>
              <w:t>Ownership of Five Percent or Less of a Class</w:t>
            </w:r>
          </w:p>
        </w:tc>
      </w:tr>
      <w:tr>
        <w:trPr>
          <w:trHeight w:val="345"/>
        </w:trPr>
        <w:tc>
          <w:tcPr>
            <w:tcW w:w="1180" w:type="dxa"/>
            <w:vAlign w:val="bottom"/>
          </w:tcPr>
          <w:p>
            <w:pPr>
              <w:ind w:left="60"/>
              <w:spacing w:after="0"/>
              <w:rPr>
                <w:sz w:val="20"/>
                <w:szCs w:val="20"/>
                <w:color w:val="auto"/>
              </w:rPr>
            </w:pPr>
            <w:r>
              <w:rPr>
                <w:rFonts w:ascii="Arial" w:cs="Arial" w:eastAsia="Arial" w:hAnsi="Arial"/>
                <w:sz w:val="18"/>
                <w:szCs w:val="18"/>
                <w:color w:val="auto"/>
                <w:w w:val="96"/>
              </w:rPr>
              <w:t>Not applicable</w:t>
            </w:r>
          </w:p>
        </w:tc>
        <w:tc>
          <w:tcPr>
            <w:tcW w:w="13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608"/>
        </w:trPr>
        <w:tc>
          <w:tcPr>
            <w:tcW w:w="1180" w:type="dxa"/>
            <w:vAlign w:val="bottom"/>
          </w:tcPr>
          <w:p>
            <w:pPr>
              <w:ind w:left="60"/>
              <w:spacing w:after="0"/>
              <w:rPr>
                <w:sz w:val="20"/>
                <w:szCs w:val="20"/>
                <w:color w:val="auto"/>
              </w:rPr>
            </w:pPr>
            <w:r>
              <w:rPr>
                <w:rFonts w:ascii="Arial" w:cs="Arial" w:eastAsia="Arial" w:hAnsi="Arial"/>
                <w:sz w:val="18"/>
                <w:szCs w:val="18"/>
                <w:b w:val="1"/>
                <w:bCs w:val="1"/>
                <w:color w:val="auto"/>
              </w:rPr>
              <w:t>Item 6.</w:t>
            </w:r>
          </w:p>
        </w:tc>
        <w:tc>
          <w:tcPr>
            <w:tcW w:w="10280" w:type="dxa"/>
            <w:vAlign w:val="bottom"/>
            <w:gridSpan w:val="7"/>
          </w:tcPr>
          <w:p>
            <w:pPr>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r>
      <w:tr>
        <w:trPr>
          <w:trHeight w:val="345"/>
        </w:trPr>
        <w:tc>
          <w:tcPr>
            <w:tcW w:w="1180" w:type="dxa"/>
            <w:vAlign w:val="bottom"/>
          </w:tcPr>
          <w:p>
            <w:pPr>
              <w:ind w:left="60"/>
              <w:spacing w:after="0"/>
              <w:rPr>
                <w:sz w:val="20"/>
                <w:szCs w:val="20"/>
                <w:color w:val="auto"/>
              </w:rPr>
            </w:pPr>
            <w:r>
              <w:rPr>
                <w:rFonts w:ascii="Arial" w:cs="Arial" w:eastAsia="Arial" w:hAnsi="Arial"/>
                <w:sz w:val="18"/>
                <w:szCs w:val="18"/>
                <w:color w:val="auto"/>
                <w:w w:val="96"/>
              </w:rPr>
              <w:t>Not applicable</w:t>
            </w:r>
          </w:p>
        </w:tc>
        <w:tc>
          <w:tcPr>
            <w:tcW w:w="13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5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608"/>
        </w:trPr>
        <w:tc>
          <w:tcPr>
            <w:tcW w:w="1180" w:type="dxa"/>
            <w:vAlign w:val="bottom"/>
          </w:tcPr>
          <w:p>
            <w:pPr>
              <w:ind w:left="60"/>
              <w:spacing w:after="0"/>
              <w:rPr>
                <w:sz w:val="20"/>
                <w:szCs w:val="20"/>
                <w:color w:val="auto"/>
              </w:rPr>
            </w:pPr>
            <w:r>
              <w:rPr>
                <w:rFonts w:ascii="Arial" w:cs="Arial" w:eastAsia="Arial" w:hAnsi="Arial"/>
                <w:sz w:val="18"/>
                <w:szCs w:val="18"/>
                <w:b w:val="1"/>
                <w:bCs w:val="1"/>
                <w:color w:val="auto"/>
              </w:rPr>
              <w:t>Item 7.</w:t>
            </w:r>
          </w:p>
        </w:tc>
        <w:tc>
          <w:tcPr>
            <w:tcW w:w="1016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90"/>
              </w:rPr>
              <w:t>Identification and Classification of the Subsidiary Which Acquired the Security Being Reported on By the Parent Holding Company</w:t>
            </w:r>
          </w:p>
        </w:tc>
        <w:tc>
          <w:tcPr>
            <w:tcW w:w="120" w:type="dxa"/>
            <w:vAlign w:val="bottom"/>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10280" w:type="dxa"/>
            <w:vAlign w:val="bottom"/>
            <w:gridSpan w:val="7"/>
          </w:tcPr>
          <w:p>
            <w:pPr>
              <w:spacing w:after="0" w:line="196" w:lineRule="exact"/>
              <w:rPr>
                <w:sz w:val="20"/>
                <w:szCs w:val="20"/>
                <w:color w:val="auto"/>
              </w:rPr>
            </w:pPr>
            <w:r>
              <w:rPr>
                <w:rFonts w:ascii="Arial" w:cs="Arial" w:eastAsia="Arial" w:hAnsi="Arial"/>
                <w:sz w:val="18"/>
                <w:szCs w:val="18"/>
                <w:b w:val="1"/>
                <w:bCs w:val="1"/>
                <w:color w:val="auto"/>
              </w:rPr>
              <w:t>or Control Person</w:t>
            </w:r>
          </w:p>
        </w:tc>
      </w:tr>
      <w:tr>
        <w:trPr>
          <w:trHeight w:val="345"/>
        </w:trPr>
        <w:tc>
          <w:tcPr>
            <w:tcW w:w="1180" w:type="dxa"/>
            <w:vAlign w:val="bottom"/>
          </w:tcPr>
          <w:p>
            <w:pPr>
              <w:ind w:left="60"/>
              <w:spacing w:after="0"/>
              <w:rPr>
                <w:sz w:val="20"/>
                <w:szCs w:val="20"/>
                <w:color w:val="auto"/>
              </w:rPr>
            </w:pPr>
            <w:r>
              <w:rPr>
                <w:rFonts w:ascii="Arial" w:cs="Arial" w:eastAsia="Arial" w:hAnsi="Arial"/>
                <w:sz w:val="18"/>
                <w:szCs w:val="18"/>
                <w:color w:val="auto"/>
                <w:w w:val="96"/>
              </w:rPr>
              <w:t>Not applicable</w:t>
            </w:r>
          </w:p>
        </w:tc>
        <w:tc>
          <w:tcPr>
            <w:tcW w:w="1380" w:type="dxa"/>
            <w:vAlign w:val="bottom"/>
            <w:tcBorders>
              <w:top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608"/>
        </w:trPr>
        <w:tc>
          <w:tcPr>
            <w:tcW w:w="1180" w:type="dxa"/>
            <w:vAlign w:val="bottom"/>
          </w:tcPr>
          <w:p>
            <w:pPr>
              <w:ind w:left="60"/>
              <w:spacing w:after="0"/>
              <w:rPr>
                <w:sz w:val="20"/>
                <w:szCs w:val="20"/>
                <w:color w:val="auto"/>
              </w:rPr>
            </w:pPr>
            <w:r>
              <w:rPr>
                <w:rFonts w:ascii="Arial" w:cs="Arial" w:eastAsia="Arial" w:hAnsi="Arial"/>
                <w:sz w:val="18"/>
                <w:szCs w:val="18"/>
                <w:b w:val="1"/>
                <w:bCs w:val="1"/>
                <w:color w:val="auto"/>
              </w:rPr>
              <w:t>Item 8</w:t>
            </w:r>
          </w:p>
        </w:tc>
        <w:tc>
          <w:tcPr>
            <w:tcW w:w="10280" w:type="dxa"/>
            <w:vAlign w:val="bottom"/>
            <w:gridSpan w:val="7"/>
          </w:tcPr>
          <w:p>
            <w:pPr>
              <w:spacing w:after="0"/>
              <w:rPr>
                <w:sz w:val="20"/>
                <w:szCs w:val="20"/>
                <w:color w:val="auto"/>
              </w:rPr>
            </w:pPr>
            <w:r>
              <w:rPr>
                <w:rFonts w:ascii="Arial" w:cs="Arial" w:eastAsia="Arial" w:hAnsi="Arial"/>
                <w:sz w:val="18"/>
                <w:szCs w:val="18"/>
                <w:b w:val="1"/>
                <w:bCs w:val="1"/>
                <w:color w:val="auto"/>
              </w:rPr>
              <w:t>Identification and Classification of Members of the Group</w:t>
            </w:r>
          </w:p>
        </w:tc>
      </w:tr>
      <w:tr>
        <w:trPr>
          <w:trHeight w:val="345"/>
        </w:trPr>
        <w:tc>
          <w:tcPr>
            <w:tcW w:w="1180" w:type="dxa"/>
            <w:vAlign w:val="bottom"/>
          </w:tcPr>
          <w:p>
            <w:pPr>
              <w:ind w:left="60"/>
              <w:spacing w:after="0"/>
              <w:rPr>
                <w:sz w:val="20"/>
                <w:szCs w:val="20"/>
                <w:color w:val="auto"/>
              </w:rPr>
            </w:pPr>
            <w:r>
              <w:rPr>
                <w:rFonts w:ascii="Arial" w:cs="Arial" w:eastAsia="Arial" w:hAnsi="Arial"/>
                <w:sz w:val="18"/>
                <w:szCs w:val="18"/>
                <w:color w:val="auto"/>
                <w:w w:val="96"/>
              </w:rPr>
              <w:t>Not applicable</w:t>
            </w:r>
          </w:p>
        </w:tc>
        <w:tc>
          <w:tcPr>
            <w:tcW w:w="13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608"/>
        </w:trPr>
        <w:tc>
          <w:tcPr>
            <w:tcW w:w="1180" w:type="dxa"/>
            <w:vAlign w:val="bottom"/>
          </w:tcPr>
          <w:p>
            <w:pPr>
              <w:ind w:left="60"/>
              <w:spacing w:after="0"/>
              <w:rPr>
                <w:sz w:val="20"/>
                <w:szCs w:val="20"/>
                <w:color w:val="auto"/>
              </w:rPr>
            </w:pPr>
            <w:r>
              <w:rPr>
                <w:rFonts w:ascii="Arial" w:cs="Arial" w:eastAsia="Arial" w:hAnsi="Arial"/>
                <w:sz w:val="18"/>
                <w:szCs w:val="18"/>
                <w:b w:val="1"/>
                <w:bCs w:val="1"/>
                <w:color w:val="auto"/>
              </w:rPr>
              <w:t>Item 9</w:t>
            </w:r>
          </w:p>
        </w:tc>
        <w:tc>
          <w:tcPr>
            <w:tcW w:w="10280" w:type="dxa"/>
            <w:vAlign w:val="bottom"/>
            <w:gridSpan w:val="7"/>
          </w:tcPr>
          <w:p>
            <w:pPr>
              <w:spacing w:after="0"/>
              <w:rPr>
                <w:sz w:val="20"/>
                <w:szCs w:val="20"/>
                <w:color w:val="auto"/>
              </w:rPr>
            </w:pPr>
            <w:r>
              <w:rPr>
                <w:rFonts w:ascii="Arial" w:cs="Arial" w:eastAsia="Arial" w:hAnsi="Arial"/>
                <w:sz w:val="18"/>
                <w:szCs w:val="18"/>
                <w:b w:val="1"/>
                <w:bCs w:val="1"/>
                <w:color w:val="auto"/>
              </w:rPr>
              <w:t>Notice of Dissolution of Group</w:t>
            </w:r>
          </w:p>
        </w:tc>
      </w:tr>
      <w:tr>
        <w:trPr>
          <w:trHeight w:val="345"/>
        </w:trPr>
        <w:tc>
          <w:tcPr>
            <w:tcW w:w="1180" w:type="dxa"/>
            <w:vAlign w:val="bottom"/>
          </w:tcPr>
          <w:p>
            <w:pPr>
              <w:ind w:left="60"/>
              <w:spacing w:after="0"/>
              <w:rPr>
                <w:sz w:val="20"/>
                <w:szCs w:val="20"/>
                <w:color w:val="auto"/>
              </w:rPr>
            </w:pPr>
            <w:r>
              <w:rPr>
                <w:rFonts w:ascii="Arial" w:cs="Arial" w:eastAsia="Arial" w:hAnsi="Arial"/>
                <w:sz w:val="18"/>
                <w:szCs w:val="18"/>
                <w:color w:val="auto"/>
                <w:w w:val="96"/>
              </w:rPr>
              <w:t>Not applicable</w:t>
            </w:r>
          </w:p>
        </w:tc>
        <w:tc>
          <w:tcPr>
            <w:tcW w:w="13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86"/>
        </w:trPr>
        <w:tc>
          <w:tcPr>
            <w:tcW w:w="1180" w:type="dxa"/>
            <w:vAlign w:val="bottom"/>
          </w:tcPr>
          <w:p>
            <w:pPr>
              <w:spacing w:after="0"/>
              <w:rPr>
                <w:sz w:val="24"/>
                <w:szCs w:val="24"/>
                <w:color w:val="auto"/>
              </w:rPr>
            </w:pPr>
          </w:p>
        </w:tc>
        <w:tc>
          <w:tcPr>
            <w:tcW w:w="5140" w:type="dxa"/>
            <w:vAlign w:val="bottom"/>
            <w:gridSpan w:val="5"/>
          </w:tcPr>
          <w:p>
            <w:pPr>
              <w:ind w:left="4480"/>
              <w:spacing w:after="0"/>
              <w:rPr>
                <w:sz w:val="20"/>
                <w:szCs w:val="20"/>
                <w:color w:val="auto"/>
              </w:rPr>
            </w:pPr>
            <w:r>
              <w:rPr>
                <w:rFonts w:ascii="Arial" w:cs="Arial" w:eastAsia="Arial" w:hAnsi="Arial"/>
                <w:sz w:val="18"/>
                <w:szCs w:val="18"/>
                <w:color w:val="auto"/>
              </w:rPr>
              <w:t>5</w:t>
            </w:r>
          </w:p>
        </w:tc>
        <w:tc>
          <w:tcPr>
            <w:tcW w:w="5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32"/>
        </w:trPr>
        <w:tc>
          <w:tcPr>
            <w:tcW w:w="118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50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91" w:right="199" w:bottom="1440" w:gutter="0" w:footer="0" w:header="0"/>
        </w:sectPr>
      </w:pPr>
    </w:p>
    <w:bookmarkStart w:id="5" w:name="page6"/>
    <w:bookmarkEnd w:id="5"/>
    <w:p>
      <w:pPr>
        <w:ind w:left="60"/>
        <w:spacing w:after="0"/>
        <w:tabs>
          <w:tab w:leader="none" w:pos="11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u w:val="single" w:color="auto"/>
          <w:color w:val="auto"/>
        </w:rPr>
        <w:t>Certifications</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 correct.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12, 2019</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Jian Tang</w:t>
            </w:r>
          </w:p>
        </w:tc>
        <w:tc>
          <w:tcPr>
            <w:tcW w:w="2540" w:type="dxa"/>
            <w:vAlign w:val="bottom"/>
          </w:tcPr>
          <w:p>
            <w:pPr>
              <w:spacing w:after="0"/>
              <w:rPr>
                <w:sz w:val="20"/>
                <w:szCs w:val="20"/>
                <w:color w:val="auto"/>
              </w:rPr>
            </w:pPr>
          </w:p>
        </w:tc>
        <w:tc>
          <w:tcPr>
            <w:tcW w:w="5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Jian Tang</w:t>
            </w:r>
          </w:p>
        </w:tc>
        <w:tc>
          <w:tcPr>
            <w:tcW w:w="40" w:type="dxa"/>
            <w:vAlign w:val="bottom"/>
          </w:tcPr>
          <w:p>
            <w:pPr>
              <w:spacing w:after="0"/>
              <w:rPr>
                <w:sz w:val="20"/>
                <w:szCs w:val="20"/>
                <w:color w:val="auto"/>
              </w:rPr>
            </w:pPr>
          </w:p>
        </w:tc>
      </w:tr>
      <w:tr>
        <w:trPr>
          <w:trHeight w:val="453"/>
        </w:trPr>
        <w:tc>
          <w:tcPr>
            <w:tcW w:w="3280" w:type="dxa"/>
            <w:vAlign w:val="bottom"/>
          </w:tcPr>
          <w:p>
            <w:pPr>
              <w:spacing w:after="0"/>
              <w:rPr>
                <w:sz w:val="20"/>
                <w:szCs w:val="20"/>
                <w:color w:val="auto"/>
              </w:rPr>
            </w:pPr>
            <w:r>
              <w:rPr>
                <w:rFonts w:ascii="Arial" w:cs="Arial" w:eastAsia="Arial" w:hAnsi="Arial"/>
                <w:sz w:val="18"/>
                <w:szCs w:val="18"/>
                <w:color w:val="auto"/>
              </w:rPr>
              <w:t>Igomax Inc.</w:t>
            </w:r>
          </w:p>
        </w:tc>
        <w:tc>
          <w:tcPr>
            <w:tcW w:w="254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Jian Tang</w:t>
            </w:r>
          </w:p>
        </w:tc>
        <w:tc>
          <w:tcPr>
            <w:tcW w:w="40" w:type="dxa"/>
            <w:vAlign w:val="bottom"/>
          </w:tcPr>
          <w:p>
            <w:pPr>
              <w:spacing w:after="0"/>
              <w:rPr>
                <w:sz w:val="24"/>
                <w:szCs w:val="24"/>
                <w:color w:val="auto"/>
              </w:rPr>
            </w:pPr>
          </w:p>
        </w:tc>
      </w:tr>
      <w:tr>
        <w:trPr>
          <w:trHeight w:val="195"/>
        </w:trPr>
        <w:tc>
          <w:tcPr>
            <w:tcW w:w="32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Jian Tang</w:t>
            </w:r>
          </w:p>
        </w:tc>
        <w:tc>
          <w:tcPr>
            <w:tcW w:w="40" w:type="dxa"/>
            <w:vAlign w:val="bottom"/>
          </w:tcPr>
          <w:p>
            <w:pPr>
              <w:spacing w:after="0"/>
              <w:rPr>
                <w:sz w:val="16"/>
                <w:szCs w:val="16"/>
                <w:color w:val="auto"/>
              </w:rPr>
            </w:pPr>
          </w:p>
        </w:tc>
      </w:tr>
      <w:tr>
        <w:trPr>
          <w:trHeight w:val="230"/>
        </w:trPr>
        <w:tc>
          <w:tcPr>
            <w:tcW w:w="32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20"/>
                <w:szCs w:val="20"/>
                <w:color w:val="auto"/>
              </w:rPr>
            </w:pPr>
          </w:p>
        </w:tc>
      </w:tr>
      <w:tr>
        <w:trPr>
          <w:trHeight w:val="432"/>
        </w:trPr>
        <w:tc>
          <w:tcPr>
            <w:tcW w:w="3280" w:type="dxa"/>
            <w:vAlign w:val="bottom"/>
          </w:tcPr>
          <w:p>
            <w:pPr>
              <w:spacing w:after="0"/>
              <w:rPr>
                <w:sz w:val="24"/>
                <w:szCs w:val="24"/>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6</w:t>
            </w:r>
          </w:p>
        </w:tc>
        <w:tc>
          <w:tcPr>
            <w:tcW w:w="76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280" w:type="dxa"/>
            <w:vAlign w:val="bottom"/>
            <w:tcBorders>
              <w:bottom w:val="single" w:sz="8" w:color="808080"/>
            </w:tcBorders>
          </w:tcPr>
          <w:p>
            <w:pPr>
              <w:spacing w:after="0"/>
              <w:rPr>
                <w:sz w:val="11"/>
                <w:szCs w:val="11"/>
                <w:color w:val="auto"/>
              </w:rPr>
            </w:pPr>
          </w:p>
        </w:tc>
        <w:tc>
          <w:tcPr>
            <w:tcW w:w="254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48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91" w:right="199" w:bottom="1440" w:gutter="0" w:footer="0" w:header="0"/>
        </w:sectPr>
      </w:pPr>
    </w:p>
    <w:bookmarkStart w:id="6" w:name="page7"/>
    <w:bookmarkEnd w:id="6"/>
    <w:p>
      <w:pPr>
        <w:jc w:val="right"/>
        <w:ind w:right="3699"/>
        <w:spacing w:after="0"/>
        <w:rPr>
          <w:sz w:val="20"/>
          <w:szCs w:val="20"/>
          <w:color w:val="auto"/>
        </w:rPr>
      </w:pPr>
      <w:r>
        <w:rPr>
          <w:rFonts w:ascii="Arial" w:cs="Arial" w:eastAsia="Arial" w:hAnsi="Arial"/>
          <w:sz w:val="18"/>
          <w:szCs w:val="18"/>
          <w:b w:val="1"/>
          <w:bCs w:val="1"/>
          <w:color w:val="auto"/>
        </w:rPr>
        <w:t>LIST OF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 99.1 — Joint Filing Agreement</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7" w:name="page8"/>
    <w:bookmarkEnd w:id="7"/>
    <w:p>
      <w:pPr>
        <w:ind w:left="10480"/>
        <w:spacing w:after="0"/>
        <w:rPr>
          <w:sz w:val="20"/>
          <w:szCs w:val="20"/>
          <w:color w:val="auto"/>
        </w:rPr>
      </w:pPr>
      <w:r>
        <w:rPr>
          <w:rFonts w:ascii="Arial" w:cs="Arial" w:eastAsia="Arial" w:hAnsi="Arial"/>
          <w:sz w:val="17"/>
          <w:szCs w:val="17"/>
          <w:b w:val="1"/>
          <w:bCs w:val="1"/>
          <w:color w:val="auto"/>
        </w:rPr>
        <w:t>Exhibit 99.1</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JOINT FILING AGREEMENT</w:t>
      </w:r>
    </w:p>
    <w:p>
      <w:pPr>
        <w:spacing w:after="0" w:line="229"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In accordance with Rule 13d-1(k) promulgated under the Securities Exchange Act of 1934, as amended, the undersigned hereby agree to the joint filing with all other Reporting Persons (as such term is defined in the Schedule 13G referred to below) on behalf of each of them of a statement on Schedule 13G (including amendments thereto) with respect to the Class A ordinary shares, par value of $0.001 per share, of iClick Interactive Asia Group Limited, a Cayman Islands exempted company, and that this Agreement may be included as an exhibit to such joint filing. This Agreement may be executed in any number of counterparts, all of which taken together shall constitute one and the same instrument.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hereby execute this Agreement as of February 12, 2019.</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Jian Tang</w:t>
            </w:r>
          </w:p>
        </w:tc>
        <w:tc>
          <w:tcPr>
            <w:tcW w:w="5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Jian Tang</w:t>
            </w:r>
          </w:p>
        </w:tc>
        <w:tc>
          <w:tcPr>
            <w:tcW w:w="40" w:type="dxa"/>
            <w:vAlign w:val="bottom"/>
          </w:tcPr>
          <w:p>
            <w:pPr>
              <w:spacing w:after="0"/>
              <w:rPr>
                <w:sz w:val="20"/>
                <w:szCs w:val="20"/>
                <w:color w:val="auto"/>
              </w:rPr>
            </w:pPr>
          </w:p>
        </w:tc>
      </w:tr>
      <w:tr>
        <w:trPr>
          <w:trHeight w:val="426"/>
        </w:trPr>
        <w:tc>
          <w:tcPr>
            <w:tcW w:w="5820" w:type="dxa"/>
            <w:vAlign w:val="bottom"/>
          </w:tcPr>
          <w:p>
            <w:pPr>
              <w:spacing w:after="0"/>
              <w:rPr>
                <w:sz w:val="20"/>
                <w:szCs w:val="20"/>
                <w:color w:val="auto"/>
              </w:rPr>
            </w:pPr>
            <w:r>
              <w:rPr>
                <w:rFonts w:ascii="Arial" w:cs="Arial" w:eastAsia="Arial" w:hAnsi="Arial"/>
                <w:sz w:val="18"/>
                <w:szCs w:val="18"/>
                <w:color w:val="auto"/>
              </w:rPr>
              <w:t>Igomax Inc.</w:t>
            </w:r>
          </w:p>
        </w:tc>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Jian Tang</w:t>
            </w:r>
          </w:p>
        </w:tc>
        <w:tc>
          <w:tcPr>
            <w:tcW w:w="40" w:type="dxa"/>
            <w:vAlign w:val="bottom"/>
          </w:tcPr>
          <w:p>
            <w:pPr>
              <w:spacing w:after="0"/>
              <w:rPr>
                <w:sz w:val="24"/>
                <w:szCs w:val="24"/>
                <w:color w:val="auto"/>
              </w:rPr>
            </w:pPr>
          </w:p>
        </w:tc>
      </w:tr>
      <w:tr>
        <w:trPr>
          <w:trHeight w:val="195"/>
        </w:trPr>
        <w:tc>
          <w:tcPr>
            <w:tcW w:w="5820" w:type="dxa"/>
            <w:vAlign w:val="bottom"/>
          </w:tcPr>
          <w:p>
            <w:pPr>
              <w:spacing w:after="0"/>
              <w:rPr>
                <w:sz w:val="16"/>
                <w:szCs w:val="16"/>
                <w:color w:val="auto"/>
              </w:rPr>
            </w:pPr>
          </w:p>
        </w:tc>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Jian Tang</w:t>
            </w:r>
          </w:p>
        </w:tc>
        <w:tc>
          <w:tcPr>
            <w:tcW w:w="40" w:type="dxa"/>
            <w:vAlign w:val="bottom"/>
          </w:tcPr>
          <w:p>
            <w:pPr>
              <w:spacing w:after="0"/>
              <w:rPr>
                <w:sz w:val="16"/>
                <w:szCs w:val="16"/>
                <w:color w:val="auto"/>
              </w:rPr>
            </w:pPr>
          </w:p>
        </w:tc>
      </w:tr>
      <w:tr>
        <w:trPr>
          <w:trHeight w:val="230"/>
        </w:trPr>
        <w:tc>
          <w:tcPr>
            <w:tcW w:w="582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20"/>
                <w:szCs w:val="20"/>
                <w:color w:val="auto"/>
              </w:rPr>
            </w:pPr>
          </w:p>
        </w:tc>
      </w:tr>
      <w:tr>
        <w:trPr>
          <w:trHeight w:val="348"/>
        </w:trPr>
        <w:tc>
          <w:tcPr>
            <w:tcW w:w="582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48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o"/>
      <w:numFmt w:val="bullet"/>
      <w:start w:val="1"/>
    </w:lvl>
  </w:abstractNum>
  <w:abstractNum w:abstractNumId="1">
    <w:nsid w:val="7545E146"/>
    <w:multiLevelType w:val="hybridMultilevel"/>
    <w:lvl w:ilvl="0">
      <w:lvlJc w:val="left"/>
      <w:lvlText w:val="1"/>
      <w:numFmt w:val="bullet"/>
      <w:start w:val="1"/>
    </w:lvl>
  </w:abstractNum>
  <w:abstractNum w:abstractNumId="2">
    <w:nsid w:val="515F007C"/>
    <w:multiLevelType w:val="hybridMultilevel"/>
    <w:lvl w:ilvl="0">
      <w:lvlJc w:val="left"/>
      <w:lvlText w:val="2"/>
      <w:numFmt w:val="bullet"/>
      <w:start w:val="1"/>
    </w:lvl>
    <w:lvl w:ilvl="1">
      <w:lvlJc w:val="left"/>
      <w:lvlText w:val="(%2)"/>
      <w:numFmt w:val="lowerLetter"/>
      <w:start w:val="1"/>
    </w:lvl>
  </w:abstractNum>
  <w:abstractNum w:abstractNumId="3">
    <w:nsid w:val="5BD062C2"/>
    <w:multiLevelType w:val="hybridMultilevel"/>
    <w:lvl w:ilvl="0">
      <w:lvlJc w:val="left"/>
      <w:lvlText w:val="3"/>
      <w:numFmt w:val="bullet"/>
      <w:start w:val="1"/>
    </w:lvl>
  </w:abstractNum>
  <w:abstractNum w:abstractNumId="4">
    <w:nsid w:val="12200854"/>
    <w:multiLevelType w:val="hybridMultilevel"/>
    <w:lvl w:ilvl="0">
      <w:lvlJc w:val="left"/>
      <w:lvlText w:val="4"/>
      <w:numFmt w:val="bullet"/>
      <w:start w:val="1"/>
    </w:lvl>
  </w:abstractNum>
  <w:abstractNum w:abstractNumId="5">
    <w:nsid w:val="4DB127F8"/>
    <w:multiLevelType w:val="hybridMultilevel"/>
    <w:lvl w:ilvl="0">
      <w:lvlJc w:val="left"/>
      <w:lvlText w:val="9"/>
      <w:numFmt w:val="bullet"/>
      <w:start w:val="1"/>
    </w:lvl>
  </w:abstractNum>
  <w:abstractNum w:abstractNumId="6">
    <w:nsid w:val="216231B"/>
    <w:multiLevelType w:val="hybridMultilevel"/>
    <w:lvl w:ilvl="0">
      <w:lvlJc w:val="left"/>
      <w:lvlText w:val="%1"/>
      <w:numFmt w:val="decimal"/>
      <w:start w:val="10"/>
    </w:lvl>
  </w:abstractNum>
  <w:abstractNum w:abstractNumId="7">
    <w:nsid w:val="1F16E9E8"/>
    <w:multiLevelType w:val="hybridMultilevel"/>
    <w:lvl w:ilvl="0">
      <w:lvlJc w:val="left"/>
      <w:lvlText w:val="1"/>
      <w:numFmt w:val="bullet"/>
      <w:start w:val="1"/>
    </w:lvl>
  </w:abstractNum>
  <w:abstractNum w:abstractNumId="8">
    <w:nsid w:val="1190CDE7"/>
    <w:multiLevelType w:val="hybridMultilevel"/>
    <w:lvl w:ilvl="0">
      <w:lvlJc w:val="left"/>
      <w:lvlText w:val="2"/>
      <w:numFmt w:val="bullet"/>
      <w:start w:val="1"/>
    </w:lvl>
    <w:lvl w:ilvl="1">
      <w:lvlJc w:val="left"/>
      <w:lvlText w:val="(%2)"/>
      <w:numFmt w:val="lowerLetter"/>
      <w:start w:val="1"/>
    </w:lvl>
  </w:abstractNum>
  <w:abstractNum w:abstractNumId="9">
    <w:nsid w:val="66EF438D"/>
    <w:multiLevelType w:val="hybridMultilevel"/>
    <w:lvl w:ilvl="0">
      <w:lvlJc w:val="left"/>
      <w:lvlText w:val="3"/>
      <w:numFmt w:val="bullet"/>
      <w:start w:val="1"/>
    </w:lvl>
  </w:abstractNum>
  <w:abstractNum w:abstractNumId="10">
    <w:nsid w:val="140E0F76"/>
    <w:multiLevelType w:val="hybridMultilevel"/>
    <w:lvl w:ilvl="0">
      <w:lvlJc w:val="left"/>
      <w:lvlText w:val="4"/>
      <w:numFmt w:val="bullet"/>
      <w:start w:val="1"/>
    </w:lvl>
  </w:abstractNum>
  <w:abstractNum w:abstractNumId="11">
    <w:nsid w:val="3352255A"/>
    <w:multiLevelType w:val="hybridMultilevel"/>
    <w:lvl w:ilvl="0">
      <w:lvlJc w:val="left"/>
      <w:lvlText w:val="9"/>
      <w:numFmt w:val="bullet"/>
      <w:start w:val="1"/>
    </w:lvl>
  </w:abstractNum>
  <w:abstractNum w:abstractNumId="12">
    <w:nsid w:val="109CF92E"/>
    <w:multiLevelType w:val="hybridMultilevel"/>
    <w:lvl w:ilvl="0">
      <w:lvlJc w:val="left"/>
      <w:lvlText w:val="%1"/>
      <w:numFmt w:val="decimal"/>
      <w:start w:val="10"/>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2019-12-20T15:40:58Z</dcterms:created>
  <dcterms:modified xsi:type="dcterms:W3CDTF">2019-12-20T15:40:58Z</dcterms:modified>
</cp:coreProperties>
</file>