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320040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Class A ordinary shares, par value of $0.001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G47048 106</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17"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17"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ind w:left="340" w:hanging="285"/>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-130175</wp:posOffset>
            </wp:positionV>
            <wp:extent cx="7254875"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Bertelsmann SE &amp; Co. KGaA</w:t>
      </w:r>
    </w:p>
    <w:p>
      <w:pPr>
        <w:spacing w:after="0" w:line="24" w:lineRule="exact"/>
        <w:rPr>
          <w:sz w:val="20"/>
          <w:szCs w:val="20"/>
          <w:color w:val="auto"/>
        </w:rPr>
      </w:pPr>
    </w:p>
    <w:p>
      <w:pPr>
        <w:ind w:left="340" w:hanging="285"/>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40"/>
        <w:spacing w:after="0" w:line="207" w:lineRule="exact"/>
        <w:tabs>
          <w:tab w:leader="none" w:pos="11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40" w:hanging="285"/>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40" w:hanging="285"/>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Germany</w:t>
      </w:r>
    </w:p>
    <w:p>
      <w:pPr>
        <w:sectPr>
          <w:pgSz w:w="11900" w:h="16838" w:orient="portrait"/>
          <w:cols w:equalWidth="0" w:num="1">
            <w:col w:w="10019"/>
          </w:cols>
          <w:pgMar w:left="4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3,281,417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jc w:val="right"/>
        <w:ind w:right="5179"/>
        <w:spacing w:after="0"/>
        <w:rPr>
          <w:sz w:val="20"/>
          <w:szCs w:val="20"/>
          <w:color w:val="auto"/>
        </w:rPr>
      </w:pPr>
      <w:r>
        <w:rPr>
          <w:rFonts w:ascii="Arial" w:cs="Arial" w:eastAsia="Arial" w:hAnsi="Arial"/>
          <w:sz w:val="21"/>
          <w:szCs w:val="21"/>
          <w:color w:val="auto"/>
        </w:rPr>
        <w:t>3,281,417 ordinary shares. See Item 4.</w:t>
      </w:r>
    </w:p>
    <w:p>
      <w:pPr>
        <w:spacing w:after="0" w:line="36" w:lineRule="exact"/>
        <w:rPr>
          <w:sz w:val="20"/>
          <w:szCs w:val="20"/>
          <w:color w:val="auto"/>
        </w:rPr>
      </w:pPr>
    </w:p>
    <w:p>
      <w:pPr>
        <w:sectPr>
          <w:pgSz w:w="11900" w:h="16838" w:orient="portrait"/>
          <w:cols w:equalWidth="0" w:num="2">
            <w:col w:w="880" w:space="160"/>
            <w:col w:w="8979"/>
          </w:cols>
          <w:pgMar w:left="440" w:top="287" w:right="1440" w:bottom="1440" w:gutter="0" w:footer="0" w:header="0"/>
          <w:type w:val="continuous"/>
        </w:sectPr>
      </w:pPr>
    </w:p>
    <w:p>
      <w:pPr>
        <w:ind w:left="340" w:hanging="285"/>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3,281,417 ordinary shares. See Item 4.</w:t>
      </w:r>
    </w:p>
    <w:p>
      <w:pPr>
        <w:spacing w:after="0" w:line="22" w:lineRule="exact"/>
        <w:rPr>
          <w:sz w:val="20"/>
          <w:szCs w:val="20"/>
          <w:color w:val="auto"/>
        </w:rPr>
      </w:pPr>
    </w:p>
    <w:p>
      <w:pPr>
        <w:ind w:left="340" w:hanging="285"/>
        <w:spacing w:after="0" w:line="184" w:lineRule="exact"/>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40" w:hanging="285"/>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12.6%. See Item 4.</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 Type of Reporting Person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440" w:top="287" w:right="1440" w:bottom="1440" w:gutter="0" w:footer="0" w:header="0"/>
          <w:type w:val="continuous"/>
        </w:sectPr>
      </w:pPr>
    </w:p>
    <w:bookmarkStart w:id="2" w:name="page3"/>
    <w:bookmarkEnd w:id="2"/>
    <w:p>
      <w:pPr>
        <w:ind w:left="340" w:hanging="285"/>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-130175</wp:posOffset>
            </wp:positionV>
            <wp:extent cx="7254875"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Bertelsmann Asia Investments AG</w:t>
      </w:r>
    </w:p>
    <w:p>
      <w:pPr>
        <w:spacing w:after="0" w:line="24" w:lineRule="exact"/>
        <w:rPr>
          <w:sz w:val="20"/>
          <w:szCs w:val="20"/>
          <w:color w:val="auto"/>
        </w:rPr>
      </w:pPr>
    </w:p>
    <w:p>
      <w:pPr>
        <w:ind w:left="340" w:hanging="285"/>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40"/>
        <w:spacing w:after="0" w:line="207" w:lineRule="exact"/>
        <w:tabs>
          <w:tab w:leader="none" w:pos="11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40" w:hanging="285"/>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40" w:hanging="285"/>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Switzerland</w:t>
      </w:r>
    </w:p>
    <w:p>
      <w:pPr>
        <w:sectPr>
          <w:pgSz w:w="11900" w:h="16838" w:orient="portrait"/>
          <w:cols w:equalWidth="0" w:num="1">
            <w:col w:w="10019"/>
          </w:cols>
          <w:pgMar w:left="4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2,689,329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jc w:val="right"/>
        <w:ind w:right="5179"/>
        <w:spacing w:after="0"/>
        <w:rPr>
          <w:sz w:val="20"/>
          <w:szCs w:val="20"/>
          <w:color w:val="auto"/>
        </w:rPr>
      </w:pPr>
      <w:r>
        <w:rPr>
          <w:rFonts w:ascii="Arial" w:cs="Arial" w:eastAsia="Arial" w:hAnsi="Arial"/>
          <w:sz w:val="21"/>
          <w:szCs w:val="21"/>
          <w:color w:val="auto"/>
        </w:rPr>
        <w:t>2,689,329 ordinary shares. See Item 4.</w:t>
      </w:r>
    </w:p>
    <w:p>
      <w:pPr>
        <w:spacing w:after="0" w:line="36" w:lineRule="exact"/>
        <w:rPr>
          <w:sz w:val="20"/>
          <w:szCs w:val="20"/>
          <w:color w:val="auto"/>
        </w:rPr>
      </w:pPr>
    </w:p>
    <w:p>
      <w:pPr>
        <w:sectPr>
          <w:pgSz w:w="11900" w:h="16838" w:orient="portrait"/>
          <w:cols w:equalWidth="0" w:num="2">
            <w:col w:w="880" w:space="160"/>
            <w:col w:w="8979"/>
          </w:cols>
          <w:pgMar w:left="440" w:top="287" w:right="1440" w:bottom="1440" w:gutter="0" w:footer="0" w:header="0"/>
          <w:type w:val="continuous"/>
        </w:sectPr>
      </w:pPr>
    </w:p>
    <w:p>
      <w:pPr>
        <w:ind w:left="340" w:hanging="285"/>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2,689,329 ordinary shares. See Item 4.</w:t>
      </w:r>
    </w:p>
    <w:p>
      <w:pPr>
        <w:spacing w:after="0" w:line="22" w:lineRule="exact"/>
        <w:rPr>
          <w:sz w:val="20"/>
          <w:szCs w:val="20"/>
          <w:color w:val="auto"/>
        </w:rPr>
      </w:pPr>
    </w:p>
    <w:p>
      <w:pPr>
        <w:ind w:left="340" w:hanging="285"/>
        <w:spacing w:after="0" w:line="184" w:lineRule="exact"/>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40" w:hanging="285"/>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10.3%. See Item 4.</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 Type of Reporting Person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019"/>
          </w:cols>
          <w:pgMar w:left="440" w:top="287" w:right="1440" w:bottom="1440" w:gutter="0" w:footer="0" w:header="0"/>
          <w:type w:val="continuous"/>
        </w:sectPr>
      </w:pPr>
    </w:p>
    <w:bookmarkStart w:id="3" w:name="page4"/>
    <w:bookmarkEnd w:id="3"/>
    <w:p>
      <w:pPr>
        <w:ind w:left="340" w:hanging="285"/>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-130175</wp:posOffset>
            </wp:positionV>
            <wp:extent cx="7254875"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5240020"/>
                    </a:xfrm>
                    <a:prstGeom prst="rect">
                      <a:avLst/>
                    </a:prstGeom>
                    <a:noFill/>
                  </pic:spPr>
                </pic:pic>
              </a:graphicData>
            </a:graphic>
          </wp:anchor>
        </w:drawing>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BAI GmbH</w:t>
      </w:r>
    </w:p>
    <w:p>
      <w:pPr>
        <w:spacing w:after="0" w:line="24" w:lineRule="exact"/>
        <w:rPr>
          <w:sz w:val="20"/>
          <w:szCs w:val="20"/>
          <w:color w:val="auto"/>
        </w:rPr>
      </w:pPr>
    </w:p>
    <w:p>
      <w:pPr>
        <w:ind w:left="340" w:hanging="285"/>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41" w:lineRule="exact"/>
        <w:rPr>
          <w:sz w:val="20"/>
          <w:szCs w:val="20"/>
          <w:color w:val="auto"/>
        </w:rPr>
      </w:pPr>
    </w:p>
    <w:p>
      <w:pPr>
        <w:ind w:left="340"/>
        <w:spacing w:after="0" w:line="207" w:lineRule="exact"/>
        <w:tabs>
          <w:tab w:leader="none" w:pos="114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340" w:hanging="285"/>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340" w:hanging="285"/>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Germany</w:t>
      </w:r>
    </w:p>
    <w:p>
      <w:pPr>
        <w:sectPr>
          <w:pgSz w:w="11900" w:h="16838" w:orient="portrait"/>
          <w:cols w:equalWidth="0" w:num="1">
            <w:col w:w="10019"/>
          </w:cols>
          <w:pgMar w:left="4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Beneficially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color w:val="auto"/>
        </w:rPr>
        <w:t>Sole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6"/>
          <w:szCs w:val="16"/>
          <w:color w:val="auto"/>
        </w:rPr>
        <w:t>Shared Voting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592,088 ordinary shares. See Item 4.</w:t>
      </w:r>
    </w:p>
    <w:p>
      <w:pPr>
        <w:spacing w:after="0" w:line="59"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7</w:t>
      </w:r>
      <w:r>
        <w:rPr>
          <w:sz w:val="20"/>
          <w:szCs w:val="20"/>
          <w:color w:val="auto"/>
        </w:rPr>
        <w:tab/>
      </w:r>
      <w:r>
        <w:rPr>
          <w:rFonts w:ascii="Arial" w:cs="Arial" w:eastAsia="Arial" w:hAnsi="Arial"/>
          <w:sz w:val="16"/>
          <w:szCs w:val="16"/>
          <w:color w:val="auto"/>
        </w:rPr>
        <w:t>Sole Dispositive Power</w:t>
      </w:r>
    </w:p>
    <w:p>
      <w:pPr>
        <w:spacing w:after="0" w:line="24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0</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8</w:t>
      </w:r>
      <w:r>
        <w:rPr>
          <w:sz w:val="20"/>
          <w:szCs w:val="20"/>
          <w:color w:val="auto"/>
        </w:rPr>
        <w:tab/>
      </w:r>
      <w:r>
        <w:rPr>
          <w:rFonts w:ascii="Arial" w:cs="Arial" w:eastAsia="Arial" w:hAnsi="Arial"/>
          <w:sz w:val="16"/>
          <w:szCs w:val="16"/>
          <w:color w:val="auto"/>
        </w:rPr>
        <w:t>Shared Dispositive Power</w:t>
      </w:r>
    </w:p>
    <w:p>
      <w:pPr>
        <w:spacing w:after="0" w:line="245" w:lineRule="exact"/>
        <w:rPr>
          <w:sz w:val="20"/>
          <w:szCs w:val="20"/>
          <w:color w:val="auto"/>
        </w:rPr>
      </w:pPr>
    </w:p>
    <w:p>
      <w:pPr>
        <w:jc w:val="right"/>
        <w:ind w:right="5339"/>
        <w:spacing w:after="0"/>
        <w:rPr>
          <w:sz w:val="20"/>
          <w:szCs w:val="20"/>
          <w:color w:val="auto"/>
        </w:rPr>
      </w:pPr>
      <w:r>
        <w:rPr>
          <w:rFonts w:ascii="Arial" w:cs="Arial" w:eastAsia="Arial" w:hAnsi="Arial"/>
          <w:sz w:val="21"/>
          <w:szCs w:val="21"/>
          <w:color w:val="auto"/>
        </w:rPr>
        <w:t>592,088 ordinary shares. See Item 4.</w:t>
      </w:r>
    </w:p>
    <w:p>
      <w:pPr>
        <w:spacing w:after="0" w:line="36" w:lineRule="exact"/>
        <w:rPr>
          <w:sz w:val="20"/>
          <w:szCs w:val="20"/>
          <w:color w:val="auto"/>
        </w:rPr>
      </w:pPr>
    </w:p>
    <w:p>
      <w:pPr>
        <w:sectPr>
          <w:pgSz w:w="11900" w:h="16838" w:orient="portrait"/>
          <w:cols w:equalWidth="0" w:num="2">
            <w:col w:w="880" w:space="160"/>
            <w:col w:w="8979"/>
          </w:cols>
          <w:pgMar w:left="440" w:top="287" w:right="1440" w:bottom="1440" w:gutter="0" w:footer="0" w:header="0"/>
          <w:type w:val="continuous"/>
        </w:sectPr>
      </w:pPr>
    </w:p>
    <w:p>
      <w:pPr>
        <w:ind w:left="340" w:hanging="285"/>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22"/>
          <w:szCs w:val="22"/>
          <w:color w:val="auto"/>
        </w:rPr>
        <w:t>592,088 ordinary shares. See Item 4.</w:t>
      </w:r>
    </w:p>
    <w:p>
      <w:pPr>
        <w:spacing w:after="0" w:line="22" w:lineRule="exact"/>
        <w:rPr>
          <w:sz w:val="20"/>
          <w:szCs w:val="20"/>
          <w:color w:val="auto"/>
        </w:rPr>
      </w:pPr>
    </w:p>
    <w:p>
      <w:pPr>
        <w:ind w:left="340" w:hanging="285"/>
        <w:spacing w:after="0" w:line="184" w:lineRule="exact"/>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Check if the Aggregate Amount in Row (9) Excludes Certain Shares </w:t>
      </w:r>
      <w:r>
        <w:rPr>
          <w:rFonts w:ascii="MS PGothic" w:cs="MS PGothic" w:eastAsia="MS PGothic" w:hAnsi="MS PGothic"/>
          <w:sz w:val="16"/>
          <w:szCs w:val="16"/>
          <w:color w:val="auto"/>
        </w:rPr>
        <w:t>☐</w:t>
      </w:r>
    </w:p>
    <w:p>
      <w:pPr>
        <w:spacing w:after="0" w:line="304" w:lineRule="exact"/>
        <w:rPr>
          <w:rFonts w:ascii="Arial" w:cs="Arial" w:eastAsia="Arial" w:hAnsi="Arial"/>
          <w:sz w:val="16"/>
          <w:szCs w:val="16"/>
          <w:color w:val="auto"/>
        </w:rPr>
      </w:pPr>
    </w:p>
    <w:p>
      <w:pPr>
        <w:ind w:left="340" w:hanging="285"/>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2.3%. See Item 4.</w:t>
      </w:r>
    </w:p>
    <w:p>
      <w:pPr>
        <w:spacing w:after="0" w:line="2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 Type of Reporting Person</w:t>
      </w:r>
    </w:p>
    <w:p>
      <w:pPr>
        <w:spacing w:after="0" w:line="245" w:lineRule="exact"/>
        <w:rPr>
          <w:sz w:val="20"/>
          <w:szCs w:val="20"/>
          <w:color w:val="auto"/>
        </w:rPr>
      </w:pPr>
    </w:p>
    <w:p>
      <w:pPr>
        <w:ind w:left="560"/>
        <w:spacing w:after="0"/>
        <w:rPr>
          <w:sz w:val="20"/>
          <w:szCs w:val="20"/>
          <w:color w:val="auto"/>
        </w:rPr>
      </w:pPr>
      <w:r>
        <w:rPr>
          <w:rFonts w:ascii="Arial" w:cs="Arial" w:eastAsia="Arial" w:hAnsi="Arial"/>
          <w:sz w:val="22"/>
          <w:szCs w:val="22"/>
          <w:color w:val="auto"/>
        </w:rPr>
        <w:t>CO</w:t>
      </w:r>
    </w:p>
    <w:p>
      <w:pPr>
        <w:spacing w:after="0" w:line="200" w:lineRule="exact"/>
        <w:rPr>
          <w:sz w:val="20"/>
          <w:szCs w:val="20"/>
          <w:color w:val="auto"/>
        </w:rPr>
      </w:pPr>
    </w:p>
    <w:p>
      <w:pPr>
        <w:spacing w:after="0" w:line="216"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19"/>
          </w:cols>
          <w:pgMar w:left="440" w:top="287" w:right="1440" w:bottom="1440" w:gutter="0" w:footer="0" w:header="0"/>
          <w:type w:val="continuous"/>
        </w:sectPr>
      </w:pPr>
    </w:p>
    <w:bookmarkStart w:id="4" w:name="page5"/>
    <w:bookmarkEnd w:id="4"/>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sz w:val="20"/>
          <w:szCs w:val="20"/>
          <w:color w:val="auto"/>
        </w:rPr>
        <w:tab/>
      </w:r>
      <w:r>
        <w:rPr>
          <w:rFonts w:ascii="Arial" w:cs="Arial" w:eastAsia="Arial" w:hAnsi="Arial"/>
          <w:sz w:val="16"/>
          <w:szCs w:val="16"/>
          <w:b w:val="1"/>
          <w:bCs w:val="1"/>
          <w:u w:val="single" w:color="auto"/>
          <w:color w:val="auto"/>
        </w:rPr>
        <w:t>Name of Issuer</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iClick Interactive Asia Group Limited</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u w:val="single" w:color="auto"/>
          <w:color w:val="auto"/>
        </w:rPr>
        <w:t>Address of Issuer’s Principal Executive Offices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15/F, Prosperity Millennia Plaza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Hong Kong S.A.R.</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u w:val="single" w:color="auto"/>
          <w:color w:val="auto"/>
        </w:rPr>
        <w:t>Name of Person Filing</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Bertelsmann SE &amp; Co. KGaA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Bertelsmann Asia Investments AG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BAI GmbH</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u w:val="single" w:color="auto"/>
          <w:color w:val="auto"/>
        </w:rPr>
        <w:t>Address of Principal Business Office, or, if none, Residence</w:t>
      </w:r>
      <w:r>
        <w:rPr>
          <w:rFonts w:ascii="Arial" w:cs="Arial" w:eastAsia="Arial" w:hAnsi="Arial"/>
          <w:sz w:val="15"/>
          <w:szCs w:val="15"/>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Bertelsmann SE &amp; Co. KGaA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Carl-Bertelsmann-Strasse 270, 33311 Gütersloh, Germany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Bertelsmann Asia Investments AG</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Dammstrasse 19, CH -6300 ZUG Switzerland</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BAI GmbH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Carl-Bertelsmann-Strasse 270, 33311 Gütersloh, Germany</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u w:val="single" w:color="auto"/>
          <w:color w:val="auto"/>
        </w:rPr>
        <w:t>Citizenship</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Bertelsmann SE &amp; Co. KGaA — Germany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Bertelsmann Asia Investments AG </w:t>
      </w:r>
      <w:r>
        <w:rPr>
          <w:rFonts w:ascii="Arial" w:cs="Arial" w:eastAsia="Arial" w:hAnsi="Arial"/>
          <w:sz w:val="18"/>
          <w:szCs w:val="18"/>
          <w:b w:val="1"/>
          <w:bCs w:val="1"/>
          <w:color w:val="auto"/>
        </w:rPr>
        <w:t>—</w:t>
      </w:r>
      <w:r>
        <w:rPr>
          <w:rFonts w:ascii="Arial" w:cs="Arial" w:eastAsia="Arial" w:hAnsi="Arial"/>
          <w:sz w:val="18"/>
          <w:szCs w:val="18"/>
          <w:color w:val="auto"/>
        </w:rPr>
        <w:t xml:space="preserve"> Switzerland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BAI GmbH — Germany</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u w:val="single" w:color="auto"/>
          <w:color w:val="auto"/>
        </w:rPr>
        <w:t>Title of Class of Securities</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ordinary shares, par value of $0.001 per share (the “Class A Ordinary Shares”)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u w:val="single" w:color="auto"/>
          <w:color w:val="auto"/>
        </w:rPr>
        <w:t>CUSIP No.</w:t>
      </w:r>
      <w:r>
        <w:rPr>
          <w:rFonts w:ascii="Arial" w:cs="Arial" w:eastAsia="Arial" w:hAnsi="Arial"/>
          <w:sz w:val="17"/>
          <w:szCs w:val="17"/>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G47048 106</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If this statement is filed pursuant to §§ 240.13d-1(b), or 240.13d -2(b) or (c), check whether the persons filing is a</w:t>
      </w:r>
      <w:r>
        <w:rPr>
          <w:rFonts w:ascii="Arial" w:cs="Arial" w:eastAsia="Arial" w:hAnsi="Arial"/>
          <w:sz w:val="16"/>
          <w:szCs w:val="16"/>
          <w:b w:val="1"/>
          <w:bCs w:val="1"/>
          <w:color w:val="auto"/>
        </w:rPr>
        <w: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270" w:right="1440" w:bottom="1440" w:gutter="0" w:footer="0" w:header="0"/>
        </w:sectPr>
      </w:pPr>
    </w:p>
    <w:bookmarkStart w:id="5" w:name="page6"/>
    <w:bookmarkEnd w:id="5"/>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sz w:val="20"/>
          <w:szCs w:val="20"/>
          <w:color w:val="auto"/>
        </w:rPr>
        <w:tab/>
      </w:r>
      <w:r>
        <w:rPr>
          <w:rFonts w:ascii="Arial" w:cs="Arial" w:eastAsia="Arial" w:hAnsi="Arial"/>
          <w:sz w:val="16"/>
          <w:szCs w:val="16"/>
          <w:b w:val="1"/>
          <w:bCs w:val="1"/>
          <w:u w:val="single" w:color="auto"/>
          <w:color w:val="auto"/>
        </w:rPr>
        <w:t>Ownership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with respect to the ownership of the Class A Ordinary Shares by each of the reporting persons is provided as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400" w:type="dxa"/>
            <w:vAlign w:val="bottom"/>
            <w:gridSpan w:val="2"/>
            <w:vMerge w:val="restart"/>
          </w:tcPr>
          <w:p>
            <w:pPr>
              <w:jc w:val="center"/>
              <w:ind w:right="503"/>
              <w:spacing w:after="0"/>
              <w:rPr>
                <w:sz w:val="20"/>
                <w:szCs w:val="20"/>
                <w:color w:val="auto"/>
              </w:rPr>
            </w:pPr>
            <w:r>
              <w:rPr>
                <w:rFonts w:ascii="Arial" w:cs="Arial" w:eastAsia="Arial" w:hAnsi="Arial"/>
                <w:sz w:val="14"/>
                <w:szCs w:val="14"/>
                <w:b w:val="1"/>
                <w:bCs w:val="1"/>
                <w:color w:val="auto"/>
                <w:w w:val="94"/>
              </w:rPr>
              <w:t>Amount</w:t>
            </w: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Sole Power to</w:t>
            </w:r>
          </w:p>
        </w:tc>
        <w:tc>
          <w:tcPr>
            <w:tcW w:w="1560" w:type="dxa"/>
            <w:vAlign w:val="bottom"/>
            <w:gridSpan w:val="2"/>
            <w:vMerge w:val="restart"/>
          </w:tcPr>
          <w:p>
            <w:pPr>
              <w:jc w:val="center"/>
              <w:ind w:right="503"/>
              <w:spacing w:after="0"/>
              <w:rPr>
                <w:sz w:val="20"/>
                <w:szCs w:val="20"/>
                <w:color w:val="auto"/>
              </w:rPr>
            </w:pPr>
            <w:r>
              <w:rPr>
                <w:rFonts w:ascii="Arial" w:cs="Arial" w:eastAsia="Arial" w:hAnsi="Arial"/>
                <w:sz w:val="14"/>
                <w:szCs w:val="14"/>
                <w:b w:val="1"/>
                <w:bCs w:val="1"/>
                <w:color w:val="auto"/>
                <w:w w:val="92"/>
              </w:rPr>
              <w:t>Shared Power</w:t>
            </w: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Sole Power to</w:t>
            </w:r>
          </w:p>
        </w:tc>
        <w:tc>
          <w:tcPr>
            <w:tcW w:w="1260" w:type="dxa"/>
            <w:vAlign w:val="bottom"/>
            <w:gridSpan w:val="2"/>
          </w:tcPr>
          <w:p>
            <w:pPr>
              <w:jc w:val="center"/>
              <w:ind w:right="163"/>
              <w:spacing w:after="0"/>
              <w:rPr>
                <w:sz w:val="20"/>
                <w:szCs w:val="20"/>
                <w:color w:val="auto"/>
              </w:rPr>
            </w:pPr>
            <w:r>
              <w:rPr>
                <w:rFonts w:ascii="Arial" w:cs="Arial" w:eastAsia="Arial" w:hAnsi="Arial"/>
                <w:sz w:val="14"/>
                <w:szCs w:val="14"/>
                <w:b w:val="1"/>
                <w:bCs w:val="1"/>
                <w:color w:val="auto"/>
                <w:w w:val="92"/>
              </w:rPr>
              <w:t>Shared Power to</w:t>
            </w: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w:t>
            </w:r>
          </w:p>
        </w:tc>
        <w:tc>
          <w:tcPr>
            <w:tcW w:w="14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0"/>
              </w:rPr>
              <w:t>Percent of</w:t>
            </w:r>
          </w:p>
        </w:tc>
        <w:tc>
          <w:tcPr>
            <w:tcW w:w="128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89"/>
              </w:rPr>
              <w:t>Dispose or to</w:t>
            </w:r>
          </w:p>
        </w:tc>
        <w:tc>
          <w:tcPr>
            <w:tcW w:w="0" w:type="dxa"/>
            <w:vAlign w:val="bottom"/>
          </w:tcPr>
          <w:p>
            <w:pPr>
              <w:spacing w:after="0"/>
              <w:rPr>
                <w:sz w:val="1"/>
                <w:szCs w:val="1"/>
                <w:color w:val="auto"/>
              </w:rPr>
            </w:pPr>
          </w:p>
        </w:tc>
      </w:tr>
      <w:tr>
        <w:trPr>
          <w:trHeight w:val="149"/>
        </w:trPr>
        <w:tc>
          <w:tcPr>
            <w:tcW w:w="3420" w:type="dxa"/>
            <w:vAlign w:val="bottom"/>
            <w:gridSpan w:val="2"/>
            <w:vMerge w:val="continue"/>
          </w:tcPr>
          <w:p>
            <w:pPr>
              <w:spacing w:after="0"/>
              <w:rPr>
                <w:sz w:val="12"/>
                <w:szCs w:val="12"/>
                <w:color w:val="auto"/>
              </w:rPr>
            </w:pPr>
          </w:p>
        </w:tc>
        <w:tc>
          <w:tcPr>
            <w:tcW w:w="140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180" w:type="dxa"/>
            <w:vAlign w:val="bottom"/>
            <w:gridSpan w:val="2"/>
            <w:vMerge w:val="continue"/>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Vote or Direct</w:t>
            </w:r>
          </w:p>
        </w:tc>
        <w:tc>
          <w:tcPr>
            <w:tcW w:w="1560" w:type="dxa"/>
            <w:vAlign w:val="bottom"/>
            <w:gridSpan w:val="2"/>
          </w:tcPr>
          <w:p>
            <w:pPr>
              <w:jc w:val="center"/>
              <w:ind w:right="483"/>
              <w:spacing w:after="0" w:line="149" w:lineRule="exact"/>
              <w:rPr>
                <w:sz w:val="20"/>
                <w:szCs w:val="20"/>
                <w:color w:val="auto"/>
              </w:rPr>
            </w:pPr>
            <w:r>
              <w:rPr>
                <w:rFonts w:ascii="Arial" w:cs="Arial" w:eastAsia="Arial" w:hAnsi="Arial"/>
                <w:sz w:val="14"/>
                <w:szCs w:val="14"/>
                <w:b w:val="1"/>
                <w:bCs w:val="1"/>
                <w:color w:val="auto"/>
                <w:w w:val="92"/>
              </w:rPr>
              <w:t>to Vote or to</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Direct the</w:t>
            </w:r>
          </w:p>
        </w:tc>
        <w:tc>
          <w:tcPr>
            <w:tcW w:w="1260" w:type="dxa"/>
            <w:vAlign w:val="bottom"/>
            <w:gridSpan w:val="2"/>
          </w:tcPr>
          <w:p>
            <w:pPr>
              <w:jc w:val="center"/>
              <w:ind w:right="143"/>
              <w:spacing w:after="0" w:line="149" w:lineRule="exact"/>
              <w:rPr>
                <w:sz w:val="20"/>
                <w:szCs w:val="20"/>
                <w:color w:val="auto"/>
              </w:rPr>
            </w:pPr>
            <w:r>
              <w:rPr>
                <w:rFonts w:ascii="Arial" w:cs="Arial" w:eastAsia="Arial" w:hAnsi="Arial"/>
                <w:sz w:val="14"/>
                <w:szCs w:val="14"/>
                <w:b w:val="1"/>
                <w:bCs w:val="1"/>
                <w:color w:val="auto"/>
                <w:w w:val="92"/>
              </w:rPr>
              <w:t>Direct the</w:t>
            </w:r>
          </w:p>
        </w:tc>
        <w:tc>
          <w:tcPr>
            <w:tcW w:w="0" w:type="dxa"/>
            <w:vAlign w:val="bottom"/>
          </w:tcPr>
          <w:p>
            <w:pPr>
              <w:spacing w:after="0"/>
              <w:rPr>
                <w:sz w:val="1"/>
                <w:szCs w:val="1"/>
                <w:color w:val="auto"/>
              </w:rPr>
            </w:pPr>
          </w:p>
        </w:tc>
      </w:tr>
      <w:tr>
        <w:trPr>
          <w:trHeight w:val="171"/>
        </w:trPr>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Person:</w:t>
            </w:r>
          </w:p>
        </w:tc>
        <w:tc>
          <w:tcPr>
            <w:tcW w:w="29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w:t>
            </w:r>
          </w:p>
        </w:tc>
        <w:tc>
          <w:tcPr>
            <w:tcW w:w="5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Class:</w:t>
            </w:r>
            <w:r>
              <w:rPr>
                <w:rFonts w:ascii="Arial" w:cs="Arial" w:eastAsia="Arial" w:hAnsi="Arial"/>
                <w:sz w:val="12"/>
                <w:szCs w:val="12"/>
                <w:b w:val="1"/>
                <w:bCs w:val="1"/>
                <w:color w:val="auto"/>
                <w:w w:val="91"/>
              </w:rPr>
              <w:t>(1)</w:t>
            </w:r>
          </w:p>
        </w:tc>
        <w:tc>
          <w:tcPr>
            <w:tcW w:w="5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the Vote:</w:t>
            </w:r>
          </w:p>
        </w:tc>
        <w:tc>
          <w:tcPr>
            <w:tcW w:w="4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Direct the Vote:</w:t>
            </w:r>
          </w:p>
        </w:tc>
        <w:tc>
          <w:tcPr>
            <w:tcW w:w="5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Disposition of:</w:t>
            </w:r>
          </w:p>
        </w:tc>
        <w:tc>
          <w:tcPr>
            <w:tcW w:w="4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Disposition of:</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Bertelsmann SE &amp; Co. KGaA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3,281,417</w:t>
            </w:r>
          </w:p>
        </w:tc>
        <w:tc>
          <w:tcPr>
            <w:tcW w:w="5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87"/>
              </w:rPr>
              <w:t>(2)</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w:t>
            </w:r>
          </w:p>
        </w:tc>
        <w:tc>
          <w:tcPr>
            <w:tcW w:w="860" w:type="dxa"/>
            <w:vAlign w:val="bottom"/>
            <w:shd w:val="clear" w:color="auto" w:fill="CCEEFF"/>
          </w:tcPr>
          <w:p>
            <w:pPr>
              <w:ind w:left="780"/>
              <w:spacing w:after="0"/>
              <w:rPr>
                <w:sz w:val="20"/>
                <w:szCs w:val="20"/>
                <w:color w:val="auto"/>
              </w:rPr>
            </w:pPr>
            <w:r>
              <w:rPr>
                <w:rFonts w:ascii="Arial" w:cs="Arial" w:eastAsia="Arial" w:hAnsi="Arial"/>
                <w:sz w:val="15"/>
                <w:szCs w:val="15"/>
                <w:color w:val="auto"/>
                <w:w w:val="71"/>
              </w:rPr>
              <w:t>0</w:t>
            </w:r>
          </w:p>
        </w:tc>
        <w:tc>
          <w:tcPr>
            <w:tcW w:w="4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580" w:type="dxa"/>
            <w:vAlign w:val="bottom"/>
            <w:shd w:val="clear" w:color="auto" w:fill="CCEEFF"/>
          </w:tcPr>
          <w:p>
            <w:pPr>
              <w:jc w:val="right"/>
              <w:ind w:right="323"/>
              <w:spacing w:after="0"/>
              <w:rPr>
                <w:sz w:val="20"/>
                <w:szCs w:val="20"/>
                <w:color w:val="auto"/>
              </w:rPr>
            </w:pPr>
            <w:r>
              <w:rPr>
                <w:rFonts w:ascii="Arial" w:cs="Arial" w:eastAsia="Arial" w:hAnsi="Arial"/>
                <w:sz w:val="15"/>
                <w:szCs w:val="15"/>
                <w:color w:val="auto"/>
                <w:w w:val="87"/>
              </w:rPr>
              <w:t>(2)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6"/>
              </w:rPr>
              <w:t>(2)</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Bertelsmann Asia Investments AG</w:t>
            </w:r>
          </w:p>
        </w:tc>
        <w:tc>
          <w:tcPr>
            <w:tcW w:w="1400" w:type="dxa"/>
            <w:vAlign w:val="bottom"/>
            <w:gridSpan w:val="2"/>
          </w:tcPr>
          <w:p>
            <w:pPr>
              <w:jc w:val="right"/>
              <w:ind w:right="323"/>
              <w:spacing w:after="0"/>
              <w:rPr>
                <w:sz w:val="20"/>
                <w:szCs w:val="20"/>
                <w:color w:val="auto"/>
              </w:rPr>
            </w:pPr>
            <w:r>
              <w:rPr>
                <w:rFonts w:ascii="Arial" w:cs="Arial" w:eastAsia="Arial" w:hAnsi="Arial"/>
                <w:sz w:val="18"/>
                <w:szCs w:val="18"/>
                <w:color w:val="auto"/>
                <w:w w:val="94"/>
              </w:rPr>
              <w:t xml:space="preserve">2,689,329 </w:t>
            </w:r>
            <w:r>
              <w:rPr>
                <w:rFonts w:ascii="Arial" w:cs="Arial" w:eastAsia="Arial" w:hAnsi="Arial"/>
                <w:sz w:val="15"/>
                <w:szCs w:val="15"/>
                <w:color w:val="auto"/>
                <w:w w:val="94"/>
              </w:rPr>
              <w:t>(3)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10.3%</w:t>
            </w:r>
          </w:p>
        </w:tc>
        <w:tc>
          <w:tcPr>
            <w:tcW w:w="1280" w:type="dxa"/>
            <w:vAlign w:val="bottom"/>
            <w:gridSpan w:val="2"/>
          </w:tcPr>
          <w:p>
            <w:pPr>
              <w:ind w:left="780"/>
              <w:spacing w:after="0"/>
              <w:rPr>
                <w:sz w:val="20"/>
                <w:szCs w:val="20"/>
                <w:color w:val="auto"/>
              </w:rPr>
            </w:pPr>
            <w:r>
              <w:rPr>
                <w:rFonts w:ascii="Arial" w:cs="Arial" w:eastAsia="Arial" w:hAnsi="Arial"/>
                <w:sz w:val="18"/>
                <w:szCs w:val="18"/>
                <w:color w:val="auto"/>
              </w:rPr>
              <w:t>0</w:t>
            </w:r>
          </w:p>
        </w:tc>
        <w:tc>
          <w:tcPr>
            <w:tcW w:w="1560" w:type="dxa"/>
            <w:vAlign w:val="bottom"/>
            <w:gridSpan w:val="2"/>
          </w:tcPr>
          <w:p>
            <w:pPr>
              <w:jc w:val="right"/>
              <w:ind w:right="323"/>
              <w:spacing w:after="0"/>
              <w:rPr>
                <w:sz w:val="20"/>
                <w:szCs w:val="20"/>
                <w:color w:val="auto"/>
              </w:rPr>
            </w:pPr>
            <w:r>
              <w:rPr>
                <w:rFonts w:ascii="Arial" w:cs="Arial" w:eastAsia="Arial" w:hAnsi="Arial"/>
                <w:sz w:val="18"/>
                <w:szCs w:val="18"/>
                <w:color w:val="auto"/>
              </w:rPr>
              <w:t xml:space="preserve">2,689,329 </w:t>
            </w:r>
            <w:r>
              <w:rPr>
                <w:rFonts w:ascii="Arial" w:cs="Arial" w:eastAsia="Arial" w:hAnsi="Arial"/>
                <w:sz w:val="15"/>
                <w:szCs w:val="15"/>
                <w:color w:val="auto"/>
              </w:rPr>
              <w:t>(3)</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 xml:space="preserve">2,689,329 </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 GmbH</w:t>
            </w:r>
          </w:p>
        </w:tc>
        <w:tc>
          <w:tcPr>
            <w:tcW w:w="140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592,088</w:t>
            </w:r>
            <w:r>
              <w:rPr>
                <w:rFonts w:ascii="Arial" w:cs="Arial" w:eastAsia="Arial" w:hAnsi="Arial"/>
                <w:sz w:val="15"/>
                <w:szCs w:val="15"/>
                <w:color w:val="auto"/>
              </w:rPr>
              <w:t>(4)</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12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w:t>
            </w:r>
          </w:p>
        </w:tc>
        <w:tc>
          <w:tcPr>
            <w:tcW w:w="1560" w:type="dxa"/>
            <w:vAlign w:val="bottom"/>
            <w:gridSpan w:val="2"/>
            <w:shd w:val="clear" w:color="auto" w:fill="CCEEFF"/>
          </w:tcPr>
          <w:p>
            <w:pPr>
              <w:jc w:val="right"/>
              <w:ind w:right="323"/>
              <w:spacing w:after="0"/>
              <w:rPr>
                <w:sz w:val="20"/>
                <w:szCs w:val="20"/>
                <w:color w:val="auto"/>
              </w:rPr>
            </w:pPr>
            <w:r>
              <w:rPr>
                <w:rFonts w:ascii="Arial" w:cs="Arial" w:eastAsia="Arial" w:hAnsi="Arial"/>
                <w:sz w:val="18"/>
                <w:szCs w:val="18"/>
                <w:color w:val="auto"/>
              </w:rPr>
              <w:t>592,088</w:t>
            </w:r>
            <w:r>
              <w:rPr>
                <w:rFonts w:ascii="Arial" w:cs="Arial" w:eastAsia="Arial" w:hAnsi="Arial"/>
                <w:sz w:val="15"/>
                <w:szCs w:val="15"/>
                <w:color w:val="auto"/>
              </w:rPr>
              <w:t>(4)</w:t>
            </w:r>
          </w:p>
        </w:tc>
        <w:tc>
          <w:tcPr>
            <w:tcW w:w="13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592,088</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22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 class of securities beneficially owned by each reporting person is based on 26,059,433 outstanding ordinary shares (being the sum of 21,238,825 Class A Ordinary Shares and 4,820,608 Class B ordinary shares outstanding as of December 31, 2017, assuming conversion of all Class B Ordinary Shares into Class A Ordinary Shares).</w:t>
      </w:r>
    </w:p>
    <w:p>
      <w:pPr>
        <w:ind w:left="460" w:right="420" w:hanging="452"/>
        <w:spacing w:after="0" w:line="265"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Includes (i) 2,689,329 Class A Ordinary Shares held by Bertelsmann Asia Investments AG; and (ii) 592,088 Class A Ordinary Shares held by BAI GmbH. Bertelsmann Asia Investments AG and BAI GmbH are wholly-owned subsidiaries of Bertelsmann SE &amp; Co. KGaA.</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2,689,329 Class A Ordinary Shares held by Bertelsmann Asia Investments AG.</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592,088 Class A Ordinary Shares held by BAI GmbH.</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Ownership of Five Percent or Less of a Class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Ownership of More than Five Percent on Behalf of Another Person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40" w:right="20" w:hanging="1025"/>
        <w:spacing w:after="0" w:line="282" w:lineRule="auto"/>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u w:val="single" w:color="auto"/>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Identification and Classification of Members of the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Notice of Dissolution of Group</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u w:val="single" w:color="auto"/>
          <w:color w:val="auto"/>
        </w:rPr>
        <w:t>Certifications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1420"/>
          </w:cols>
          <w:pgMar w:left="240" w:top="270" w:right="2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Bertelsmann SE &amp; Co. KGaA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Bertelsmann Asia Investments AG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BAI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Michael Kronenburg / ppa. Thomas Werth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ppa. Dr. Michael Kronenburg / ppa. Thomas Werth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Erich Kalt / Rose-Marie Mülli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Erich Kalt / Rose-Marie Mülli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Michael Kronenburg / ppa. Thomas Werth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ppa. Dr. Michael Kronenburg / ppa. Thomas Werth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4940" w:space="720"/>
            <w:col w:w="5760"/>
          </w:cols>
          <w:pgMar w:left="240" w:top="270" w:right="239" w:bottom="1440" w:gutter="0" w:footer="0" w:header="0"/>
          <w:type w:val="continuous"/>
        </w:sectPr>
      </w:pPr>
    </w:p>
    <w:bookmarkStart w:id="7" w:name="page8"/>
    <w:bookmarkEnd w:id="7"/>
    <w:p>
      <w:pPr>
        <w:jc w:val="right"/>
        <w:ind w:right="3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LIST OF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99.1 — Joint Filing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19"/>
          </w:cols>
          <w:pgMar w:left="240" w:top="270" w:right="1440"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In accordance with Rule 13d-1(k) promulgated under the Securities Exchange Act of 1934, as amended, the undersigned hereby agree to the joint filing with all other Reporting Persons (as such term is defined in the Schedule 13G referred to below) on behalf of each of them of a statement on Schedule 13G (including amendments thereto) with respect to the Class A ordinary shares, par value of $0.001 per share, of iClick Interactive Asia Group Limited, a Cayman Islands exempted company, and that this Agreement may be included as an exhibit to such joint filing. This Agreement may be executed in any number of counterparts, all of which taken together shall constitute one and the same instrument.</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hereby execute this Agreement as of February 14, 2018.</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Bertelsmann SE &amp; Co. KGaA</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color w:val="auto"/>
        </w:rPr>
        <w:t>Bertelsmann Asia Investments AG</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BAI GmbH</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Michael Kronenburg / ppa. Thomas Werth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ppa. Dr. Michael Kronenburg / ppa. Thomas Werth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Erich Kalt / Rose-Marie Mülli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Erich Kalt / Rose-Marie Mülli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ppa. Dr. Michael Kronenburg / ppa. Thomas Werth</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ppa. Dr. Michael Kronenburg / ppa. Thomas Werth</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Authorized Signatories</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1</w:t>
      </w:r>
    </w:p>
    <w:sectPr>
      <w:pgSz w:w="11900" w:h="16838" w:orient="portrait"/>
      <w:cols w:equalWidth="0" w:num="2">
        <w:col w:w="4940" w:space="720"/>
        <w:col w:w="5760"/>
      </w:cols>
      <w:pgMar w:left="240" w:top="12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1"/>
      <w:numFmt w:val="bullet"/>
      <w:start w:val="1"/>
    </w:lvl>
  </w:abstractNum>
  <w:abstractNum w:abstractNumId="3">
    <w:nsid w:val="140E0F76"/>
    <w:multiLevelType w:val="hybridMultilevel"/>
    <w:lvl w:ilvl="0">
      <w:lvlJc w:val="left"/>
      <w:lvlText w:val="2"/>
      <w:numFmt w:val="bullet"/>
      <w:start w:val="1"/>
    </w:lvl>
  </w:abstractNum>
  <w:abstractNum w:abstractNumId="4">
    <w:nsid w:val="3352255A"/>
    <w:multiLevelType w:val="hybridMultilevel"/>
    <w:lvl w:ilvl="0">
      <w:lvlJc w:val="left"/>
      <w:lvlText w:val="3"/>
      <w:numFmt w:val="bullet"/>
      <w:start w:val="1"/>
    </w:lvl>
  </w:abstractNum>
  <w:abstractNum w:abstractNumId="5">
    <w:nsid w:val="109CF92E"/>
    <w:multiLevelType w:val="hybridMultilevel"/>
    <w:lvl w:ilvl="0">
      <w:lvlJc w:val="left"/>
      <w:lvlText w:val="4"/>
      <w:numFmt w:val="bullet"/>
      <w:start w:val="1"/>
    </w:lvl>
  </w:abstractNum>
  <w:abstractNum w:abstractNumId="6">
    <w:nsid w:val="DED7263"/>
    <w:multiLevelType w:val="hybridMultilevel"/>
    <w:lvl w:ilvl="0">
      <w:lvlJc w:val="left"/>
      <w:lvlText w:val="9"/>
      <w:numFmt w:val="bullet"/>
      <w:start w:val="1"/>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2"/>
      <w:numFmt w:val="bullet"/>
      <w:start w:val="1"/>
    </w:lvl>
  </w:abstractNum>
  <w:abstractNum w:abstractNumId="10">
    <w:nsid w:val="6B68079A"/>
    <w:multiLevelType w:val="hybridMultilevel"/>
    <w:lvl w:ilvl="0">
      <w:lvlJc w:val="left"/>
      <w:lvlText w:val="3"/>
      <w:numFmt w:val="bullet"/>
      <w:start w:val="1"/>
    </w:lvl>
  </w:abstractNum>
  <w:abstractNum w:abstractNumId="11">
    <w:nsid w:val="4E6AFB66"/>
    <w:multiLevelType w:val="hybridMultilevel"/>
    <w:lvl w:ilvl="0">
      <w:lvlJc w:val="left"/>
      <w:lvlText w:val="4"/>
      <w:numFmt w:val="bullet"/>
      <w:start w:val="1"/>
    </w:lvl>
  </w:abstractNum>
  <w:abstractNum w:abstractNumId="12">
    <w:nsid w:val="25E45D32"/>
    <w:multiLevelType w:val="hybridMultilevel"/>
    <w:lvl w:ilvl="0">
      <w:lvlJc w:val="left"/>
      <w:lvlText w:val="9"/>
      <w:numFmt w:val="bullet"/>
      <w:start w:val="1"/>
    </w:lvl>
  </w:abstractNum>
  <w:abstractNum w:abstractNumId="13">
    <w:nsid w:val="519B500D"/>
    <w:multiLevelType w:val="hybridMultilevel"/>
    <w:lvl w:ilvl="0">
      <w:lvlJc w:val="left"/>
      <w:lvlText w:val="%1"/>
      <w:numFmt w:val="decimal"/>
      <w:start w:val="10"/>
    </w:lvl>
  </w:abstractNum>
  <w:abstractNum w:abstractNumId="14">
    <w:nsid w:val="431BD7B7"/>
    <w:multiLevelType w:val="hybridMultilevel"/>
    <w:lvl w:ilvl="0">
      <w:lvlJc w:val="left"/>
      <w:lvlText w:val="1"/>
      <w:numFmt w:val="bullet"/>
      <w:start w:val="1"/>
    </w:lvl>
  </w:abstractNum>
  <w:abstractNum w:abstractNumId="15">
    <w:nsid w:val="3F2DBA31"/>
    <w:multiLevelType w:val="hybridMultilevel"/>
    <w:lvl w:ilvl="0">
      <w:lvlJc w:val="left"/>
      <w:lvlText w:val="2"/>
      <w:numFmt w:val="bullet"/>
      <w:start w:val="1"/>
    </w:lvl>
  </w:abstractNum>
  <w:abstractNum w:abstractNumId="16">
    <w:nsid w:val="7C83E458"/>
    <w:multiLevelType w:val="hybridMultilevel"/>
    <w:lvl w:ilvl="0">
      <w:lvlJc w:val="left"/>
      <w:lvlText w:val="3"/>
      <w:numFmt w:val="bullet"/>
      <w:start w:val="1"/>
    </w:lvl>
  </w:abstractNum>
  <w:abstractNum w:abstractNumId="17">
    <w:nsid w:val="257130A3"/>
    <w:multiLevelType w:val="hybridMultilevel"/>
    <w:lvl w:ilvl="0">
      <w:lvlJc w:val="left"/>
      <w:lvlText w:val="4"/>
      <w:numFmt w:val="bullet"/>
      <w:start w:val="1"/>
    </w:lvl>
  </w:abstractNum>
  <w:abstractNum w:abstractNumId="18">
    <w:nsid w:val="62BBD95A"/>
    <w:multiLevelType w:val="hybridMultilevel"/>
    <w:lvl w:ilvl="0">
      <w:lvlJc w:val="left"/>
      <w:lvlText w:val="9"/>
      <w:numFmt w:val="bullet"/>
      <w:start w:val="1"/>
    </w:lvl>
  </w:abstractNum>
  <w:abstractNum w:abstractNumId="19">
    <w:nsid w:val="436C6125"/>
    <w:multiLevelType w:val="hybridMultilevel"/>
    <w:lvl w:ilvl="0">
      <w:lvlJc w:val="left"/>
      <w:lvlText w:val="%1"/>
      <w:numFmt w:val="decimal"/>
      <w:start w:val="10"/>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2019-12-18T23:28:05Z</dcterms:created>
  <dcterms:modified xsi:type="dcterms:W3CDTF">2019-12-18T23:28:05Z</dcterms:modified>
</cp:coreProperties>
</file>