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UNITED STATES</w:t>
      </w: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line="237" w:lineRule="auto"/>
        <w:rPr>
          <w:sz w:val="20"/>
          <w:szCs w:val="20"/>
          <w:color w:val="auto"/>
        </w:rPr>
      </w:pPr>
      <w:r>
        <w:rPr>
          <w:rFonts w:ascii="Courier New" w:cs="Courier New" w:eastAsia="Courier New" w:hAnsi="Courier New"/>
          <w:sz w:val="12"/>
          <w:szCs w:val="12"/>
          <w:color w:val="auto"/>
        </w:rPr>
        <w:t>Washington, D.C. 20549</w:t>
      </w: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___)*</w:t>
      </w:r>
    </w:p>
    <w:p>
      <w:pPr>
        <w:ind w:left="8"/>
        <w:spacing w:after="0"/>
        <w:rPr>
          <w:sz w:val="20"/>
          <w:szCs w:val="20"/>
          <w:color w:val="auto"/>
        </w:rPr>
      </w:pPr>
      <w:r>
        <w:rPr>
          <w:rFonts w:ascii="Courier New" w:cs="Courier New" w:eastAsia="Courier New" w:hAnsi="Courier New"/>
          <w:sz w:val="12"/>
          <w:szCs w:val="12"/>
          <w:color w:val="auto"/>
        </w:rPr>
        <w:t>iClick Interactive Asia Group Limited</w:t>
      </w:r>
    </w:p>
    <w:p>
      <w:pPr>
        <w:ind w:left="8"/>
        <w:spacing w:after="0" w:line="237" w:lineRule="auto"/>
        <w:rPr>
          <w:sz w:val="20"/>
          <w:szCs w:val="20"/>
          <w:color w:val="auto"/>
        </w:rPr>
      </w:pPr>
      <w:r>
        <w:rPr>
          <w:rFonts w:ascii="Courier New" w:cs="Courier New" w:eastAsia="Courier New" w:hAnsi="Courier New"/>
          <w:sz w:val="12"/>
          <w:szCs w:val="12"/>
          <w:color w:val="auto"/>
        </w:rPr>
        <w:t>(Name of Issuer)</w:t>
      </w:r>
    </w:p>
    <w:p>
      <w:pPr>
        <w:ind w:left="8"/>
        <w:spacing w:after="0"/>
        <w:rPr>
          <w:sz w:val="20"/>
          <w:szCs w:val="20"/>
          <w:color w:val="auto"/>
        </w:rPr>
      </w:pPr>
      <w:r>
        <w:rPr>
          <w:rFonts w:ascii="Courier New" w:cs="Courier New" w:eastAsia="Courier New" w:hAnsi="Courier New"/>
          <w:sz w:val="12"/>
          <w:szCs w:val="12"/>
          <w:color w:val="auto"/>
        </w:rPr>
        <w:t>Class A Ordinary Shares, Par Value of $0.001 per share</w:t>
      </w:r>
    </w:p>
    <w:p>
      <w:pPr>
        <w:ind w:left="8"/>
        <w:spacing w:after="0" w:line="237" w:lineRule="auto"/>
        <w:rPr>
          <w:sz w:val="20"/>
          <w:szCs w:val="20"/>
          <w:color w:val="auto"/>
        </w:rPr>
      </w:pPr>
      <w:r>
        <w:rPr>
          <w:rFonts w:ascii="Courier New" w:cs="Courier New" w:eastAsia="Courier New" w:hAnsi="Courier New"/>
          <w:sz w:val="12"/>
          <w:szCs w:val="12"/>
          <w:color w:val="auto"/>
        </w:rPr>
        <w:t>(Title of Class of Securities)</w:t>
      </w:r>
    </w:p>
    <w:p>
      <w:pPr>
        <w:ind w:left="8"/>
        <w:spacing w:after="0"/>
        <w:rPr>
          <w:sz w:val="20"/>
          <w:szCs w:val="20"/>
          <w:color w:val="auto"/>
        </w:rPr>
      </w:pPr>
      <w:r>
        <w:rPr>
          <w:rFonts w:ascii="Courier New" w:cs="Courier New" w:eastAsia="Courier New" w:hAnsi="Courier New"/>
          <w:sz w:val="12"/>
          <w:szCs w:val="12"/>
          <w:color w:val="auto"/>
        </w:rPr>
        <w:t>G47048 106</w:t>
      </w:r>
    </w:p>
    <w:p>
      <w:pPr>
        <w:ind w:left="8"/>
        <w:spacing w:after="0" w:line="237" w:lineRule="auto"/>
        <w:rPr>
          <w:sz w:val="20"/>
          <w:szCs w:val="20"/>
          <w:color w:val="auto"/>
        </w:rPr>
      </w:pPr>
      <w:r>
        <w:rPr>
          <w:rFonts w:ascii="Courier New" w:cs="Courier New" w:eastAsia="Courier New" w:hAnsi="Courier New"/>
          <w:sz w:val="12"/>
          <w:szCs w:val="12"/>
          <w:color w:val="auto"/>
        </w:rPr>
        <w:t>(CUSIP Number)</w:t>
      </w:r>
    </w:p>
    <w:p>
      <w:pPr>
        <w:ind w:left="8"/>
        <w:spacing w:after="0"/>
        <w:rPr>
          <w:sz w:val="20"/>
          <w:szCs w:val="20"/>
          <w:color w:val="auto"/>
        </w:rPr>
      </w:pPr>
      <w:r>
        <w:rPr>
          <w:rFonts w:ascii="Courier New" w:cs="Courier New" w:eastAsia="Courier New" w:hAnsi="Courier New"/>
          <w:sz w:val="12"/>
          <w:szCs w:val="12"/>
          <w:color w:val="auto"/>
        </w:rPr>
        <w:t>December 31, 2018</w:t>
      </w:r>
    </w:p>
    <w:p>
      <w:pPr>
        <w:ind w:left="8"/>
        <w:spacing w:after="0" w:line="237" w:lineRule="auto"/>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w:t>
      </w:r>
    </w:p>
    <w:p>
      <w:pPr>
        <w:ind w:left="8"/>
        <w:spacing w:after="0"/>
        <w:rPr>
          <w:sz w:val="20"/>
          <w:szCs w:val="20"/>
          <w:color w:val="auto"/>
        </w:rPr>
      </w:pPr>
      <w:r>
        <w:rPr>
          <w:rFonts w:ascii="Courier New" w:cs="Courier New" w:eastAsia="Courier New" w:hAnsi="Courier New"/>
          <w:sz w:val="12"/>
          <w:szCs w:val="12"/>
          <w:color w:val="auto"/>
        </w:rPr>
        <w:t>to which this Schedule is filed:</w:t>
      </w:r>
    </w:p>
    <w:p>
      <w:pPr>
        <w:spacing w:after="0" w:line="133"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Rule 13d-1(b)</w:t>
      </w:r>
    </w:p>
    <w:p>
      <w:pPr>
        <w:spacing w:after="0" w:line="139" w:lineRule="exact"/>
        <w:rPr>
          <w:sz w:val="24"/>
          <w:szCs w:val="24"/>
          <w:color w:val="auto"/>
        </w:rPr>
      </w:pPr>
    </w:p>
    <w:p>
      <w:pPr>
        <w:jc w:val="both"/>
        <w:ind w:left="568" w:right="9700" w:hanging="6"/>
        <w:spacing w:after="0" w:line="520" w:lineRule="auto"/>
        <w:tabs>
          <w:tab w:leader="none" w:pos="919"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Rule 13d-1(c) [ ] Rule 13d-1(d)</w:t>
      </w:r>
    </w:p>
    <w:p>
      <w:pPr>
        <w:ind w:left="8"/>
        <w:spacing w:after="0"/>
        <w:rPr>
          <w:sz w:val="20"/>
          <w:szCs w:val="20"/>
          <w:color w:val="auto"/>
        </w:rPr>
      </w:pPr>
      <w:r>
        <w:rPr>
          <w:rFonts w:ascii="Courier New" w:cs="Courier New" w:eastAsia="Courier New" w:hAnsi="Courier New"/>
          <w:sz w:val="11"/>
          <w:szCs w:val="11"/>
          <w:color w:val="auto"/>
        </w:rPr>
        <w:t>*The remainder of this cover page shall be filled out for a reporting persons initial filing on this form with respect to the subject class of securities, and for a</w:t>
      </w: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The information required in the remainder of this cover page shall not be deemed to be filed for the purpose of Section 18 of the Securities Exchange Act of 1934 Ac</w:t>
      </w:r>
    </w:p>
    <w:p>
      <w:pPr>
        <w:spacing w:after="0" w:line="27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20"/>
                <w:szCs w:val="20"/>
                <w:color w:val="auto"/>
              </w:rPr>
            </w:pPr>
            <w:r>
              <w:rPr>
                <w:rFonts w:ascii="Courier New" w:cs="Courier New" w:eastAsia="Courier New" w:hAnsi="Courier New"/>
                <w:sz w:val="12"/>
                <w:szCs w:val="12"/>
                <w:color w:val="auto"/>
              </w:rPr>
              <w:t>SCHEDULE 13G</w:t>
            </w:r>
          </w:p>
        </w:tc>
        <w:tc>
          <w:tcPr>
            <w:tcW w:w="84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CUSIP No.</w:t>
            </w: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w w:val="94"/>
              </w:rPr>
              <w:t>G47048 106</w:t>
            </w:r>
          </w:p>
        </w:tc>
      </w:tr>
    </w:tbl>
    <w:p>
      <w:pPr>
        <w:spacing w:after="0" w:line="139" w:lineRule="exact"/>
        <w:rPr>
          <w:sz w:val="24"/>
          <w:szCs w:val="24"/>
          <w:color w:val="auto"/>
        </w:rPr>
      </w:pPr>
    </w:p>
    <w:p>
      <w:pPr>
        <w:ind w:left="1128" w:right="8580" w:hanging="566"/>
        <w:spacing w:after="0" w:line="235" w:lineRule="auto"/>
        <w:tabs>
          <w:tab w:leader="none" w:pos="112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 Jiping Liu</w:t>
      </w:r>
    </w:p>
    <w:p>
      <w:pPr>
        <w:spacing w:after="0" w:line="135" w:lineRule="exact"/>
        <w:rPr>
          <w:sz w:val="24"/>
          <w:szCs w:val="24"/>
          <w:color w:val="auto"/>
        </w:rPr>
      </w:pPr>
    </w:p>
    <w:p>
      <w:pPr>
        <w:ind w:left="1128" w:hanging="566"/>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133" w:lineRule="exact"/>
        <w:rPr>
          <w:sz w:val="24"/>
          <w:szCs w:val="24"/>
          <w:color w:val="auto"/>
        </w:rPr>
      </w:pPr>
    </w:p>
    <w:p>
      <w:pPr>
        <w:ind w:left="1128" w:hanging="566"/>
        <w:spacing w:after="0"/>
        <w:tabs>
          <w:tab w:leader="none" w:pos="112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Peoples Republic of China</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4" w:lineRule="exact"/>
        <w:rPr>
          <w:sz w:val="24"/>
          <w:szCs w:val="24"/>
          <w:color w:val="auto"/>
        </w:rPr>
      </w:pPr>
    </w:p>
    <w:p>
      <w:pPr>
        <w:ind w:left="1128" w:hanging="566"/>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w:t>
      </w:r>
    </w:p>
    <w:p>
      <w:pPr>
        <w:ind w:left="1128"/>
        <w:spacing w:after="0"/>
        <w:rPr>
          <w:sz w:val="20"/>
          <w:szCs w:val="20"/>
          <w:color w:val="auto"/>
        </w:rPr>
      </w:pPr>
      <w:r>
        <w:rPr>
          <w:rFonts w:ascii="Courier New" w:cs="Courier New" w:eastAsia="Courier New" w:hAnsi="Courier New"/>
          <w:sz w:val="12"/>
          <w:szCs w:val="12"/>
          <w:color w:val="auto"/>
        </w:rPr>
        <w:t>602,210 ordinary shares. See Item 4.</w:t>
      </w:r>
    </w:p>
    <w:p>
      <w:pPr>
        <w:ind w:left="1128" w:hanging="566"/>
        <w:spacing w:after="0" w:line="237" w:lineRule="auto"/>
        <w:tabs>
          <w:tab w:leader="none" w:pos="1128"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2,011,997 ordinary shares. See Item 4.</w:t>
      </w:r>
    </w:p>
    <w:p>
      <w:pPr>
        <w:ind w:left="1128" w:hanging="566"/>
        <w:spacing w:after="0" w:line="237" w:lineRule="auto"/>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602,210 ordinary shares. See Item 4.</w:t>
      </w:r>
    </w:p>
    <w:p>
      <w:pPr>
        <w:ind w:left="1128" w:hanging="566"/>
        <w:spacing w:after="0" w:line="237" w:lineRule="auto"/>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rPr>
          <w:sz w:val="20"/>
          <w:szCs w:val="20"/>
          <w:color w:val="auto"/>
        </w:rPr>
      </w:pPr>
      <w:r>
        <w:rPr>
          <w:rFonts w:ascii="Courier New" w:cs="Courier New" w:eastAsia="Courier New" w:hAnsi="Courier New"/>
          <w:sz w:val="12"/>
          <w:szCs w:val="12"/>
          <w:color w:val="auto"/>
        </w:rPr>
        <w:t>2,011,997 ordinary shares. See Item 4.</w:t>
      </w:r>
    </w:p>
    <w:p>
      <w:pPr>
        <w:spacing w:after="0" w:line="3" w:lineRule="exact"/>
        <w:rPr>
          <w:sz w:val="24"/>
          <w:szCs w:val="24"/>
          <w:color w:val="auto"/>
        </w:rPr>
      </w:pPr>
    </w:p>
    <w:p>
      <w:pPr>
        <w:ind w:left="1128" w:right="6180" w:hanging="566"/>
        <w:spacing w:after="0" w:line="235" w:lineRule="auto"/>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2,614,207 ordinary shares. See Item 4.</w:t>
      </w:r>
    </w:p>
    <w:p>
      <w:pPr>
        <w:spacing w:after="0" w:line="139" w:lineRule="exact"/>
        <w:rPr>
          <w:sz w:val="24"/>
          <w:szCs w:val="24"/>
          <w:color w:val="auto"/>
        </w:rPr>
      </w:pPr>
    </w:p>
    <w:p>
      <w:pPr>
        <w:ind w:left="1128" w:right="7320" w:hanging="566"/>
        <w:spacing w:after="0" w:line="260" w:lineRule="auto"/>
        <w:tabs>
          <w:tab w:leader="none" w:pos="112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8.30% See Item 4.</w:t>
      </w: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w:t>
      </w:r>
    </w:p>
    <w:p>
      <w:pPr>
        <w:spacing w:after="0" w:line="269" w:lineRule="exact"/>
        <w:rPr>
          <w:sz w:val="24"/>
          <w:szCs w:val="24"/>
          <w:color w:val="auto"/>
        </w:rPr>
      </w:pPr>
    </w:p>
    <w:p>
      <w:pPr>
        <w:ind w:left="1128" w:hanging="566"/>
        <w:spacing w:after="0"/>
        <w:tabs>
          <w:tab w:leader="none" w:pos="112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Maestro Investment Holdings Limited</w:t>
      </w:r>
    </w:p>
    <w:p>
      <w:pPr>
        <w:spacing w:after="0" w:line="133" w:lineRule="exact"/>
        <w:rPr>
          <w:sz w:val="24"/>
          <w:szCs w:val="24"/>
          <w:color w:val="auto"/>
        </w:rPr>
      </w:pPr>
    </w:p>
    <w:p>
      <w:pPr>
        <w:ind w:left="1128" w:hanging="566"/>
        <w:spacing w:after="0"/>
        <w:tabs>
          <w:tab w:leader="none" w:pos="112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133" w:lineRule="exact"/>
        <w:rPr>
          <w:sz w:val="24"/>
          <w:szCs w:val="24"/>
          <w:color w:val="auto"/>
        </w:rPr>
      </w:pPr>
    </w:p>
    <w:p>
      <w:pPr>
        <w:ind w:left="1128" w:hanging="566"/>
        <w:spacing w:after="0"/>
        <w:tabs>
          <w:tab w:leader="none" w:pos="112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British Virgin Islands</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9" w:lineRule="exact"/>
        <w:rPr>
          <w:sz w:val="24"/>
          <w:szCs w:val="24"/>
          <w:color w:val="auto"/>
        </w:rPr>
      </w:pPr>
    </w:p>
    <w:p>
      <w:pPr>
        <w:ind w:left="1128" w:right="9200" w:hanging="566"/>
        <w:spacing w:after="0" w:line="235" w:lineRule="auto"/>
        <w:tabs>
          <w:tab w:leader="none" w:pos="112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 0</w:t>
      </w:r>
    </w:p>
    <w:p>
      <w:pPr>
        <w:ind w:left="1128" w:hanging="566"/>
        <w:spacing w:after="0"/>
        <w:tabs>
          <w:tab w:leader="none" w:pos="112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w:t>
      </w:r>
    </w:p>
    <w:p>
      <w:pPr>
        <w:ind w:left="1128"/>
        <w:spacing w:after="0" w:line="237" w:lineRule="auto"/>
        <w:rPr>
          <w:sz w:val="20"/>
          <w:szCs w:val="20"/>
          <w:color w:val="auto"/>
        </w:rPr>
      </w:pPr>
      <w:r>
        <w:rPr>
          <w:rFonts w:ascii="Courier New" w:cs="Courier New" w:eastAsia="Courier New" w:hAnsi="Courier New"/>
          <w:sz w:val="12"/>
          <w:szCs w:val="12"/>
          <w:color w:val="auto"/>
        </w:rPr>
        <w:t>2,011,997 ordinary shares. See Item 4.</w:t>
      </w:r>
    </w:p>
    <w:p>
      <w:pPr>
        <w:spacing w:after="0" w:line="4" w:lineRule="exact"/>
        <w:rPr>
          <w:sz w:val="24"/>
          <w:szCs w:val="24"/>
          <w:color w:val="auto"/>
        </w:rPr>
      </w:pPr>
    </w:p>
    <w:p>
      <w:pPr>
        <w:ind w:left="1128" w:right="8860" w:hanging="566"/>
        <w:spacing w:after="0" w:line="235" w:lineRule="auto"/>
        <w:tabs>
          <w:tab w:leader="none" w:pos="112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0</w:t>
      </w:r>
    </w:p>
    <w:p>
      <w:pPr>
        <w:ind w:left="1128" w:hanging="566"/>
        <w:spacing w:after="0"/>
        <w:tabs>
          <w:tab w:leader="none" w:pos="112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2,011,997 ordinary shares. See Item 4.</w:t>
      </w:r>
    </w:p>
    <w:p>
      <w:pPr>
        <w:spacing w:after="0" w:line="3" w:lineRule="exact"/>
        <w:rPr>
          <w:sz w:val="24"/>
          <w:szCs w:val="24"/>
          <w:color w:val="auto"/>
        </w:rPr>
      </w:pPr>
    </w:p>
    <w:p>
      <w:pPr>
        <w:ind w:left="1128" w:right="6180" w:hanging="566"/>
        <w:spacing w:after="0" w:line="235" w:lineRule="auto"/>
        <w:tabs>
          <w:tab w:leader="none" w:pos="112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2,011,997 ordinary shares. See Item 4.</w:t>
      </w:r>
    </w:p>
    <w:p>
      <w:pPr>
        <w:spacing w:after="0" w:line="139" w:lineRule="exact"/>
        <w:rPr>
          <w:sz w:val="24"/>
          <w:szCs w:val="24"/>
          <w:color w:val="auto"/>
        </w:rPr>
      </w:pPr>
    </w:p>
    <w:p>
      <w:pPr>
        <w:ind w:left="1128" w:right="7320" w:hanging="566"/>
        <w:spacing w:after="0" w:line="260" w:lineRule="auto"/>
        <w:tabs>
          <w:tab w:leader="none" w:pos="112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6.39% See Item 4.</w:t>
      </w:r>
    </w:p>
    <w:p>
      <w:pPr>
        <w:ind w:left="1128" w:hanging="566"/>
        <w:spacing w:after="0"/>
        <w:tabs>
          <w:tab w:leader="none" w:pos="1128"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1.</w:t>
      </w:r>
    </w:p>
    <w:p>
      <w:pPr>
        <w:ind w:left="568" w:hanging="568"/>
        <w:spacing w:after="0"/>
        <w:tabs>
          <w:tab w:leader="none" w:pos="568"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iClick Interactive Asia Group Limited</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Issuers Principal Executive Offices:</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15/F, Prosperity Millennia Plaza, 663 Kings Road, Quarry Bay, Hong Kong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2.</w:t>
      </w:r>
    </w:p>
    <w:p>
      <w:pPr>
        <w:spacing w:after="0" w:line="4" w:lineRule="exact"/>
        <w:rPr>
          <w:sz w:val="24"/>
          <w:szCs w:val="24"/>
          <w:color w:val="auto"/>
        </w:rPr>
      </w:pPr>
    </w:p>
    <w:p>
      <w:pPr>
        <w:ind w:left="568" w:right="9280" w:hanging="568"/>
        <w:spacing w:after="0" w:line="273" w:lineRule="auto"/>
        <w:tabs>
          <w:tab w:leader="none" w:pos="56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Valuable Capital Limited</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Principal Business Office or, if None, Residence:</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Room 2807-2809, 28/F, China Merchants Tower, Shun Tak Centre, 168-200 Connaught Road Central, Hong Kong</w:t>
      </w:r>
    </w:p>
    <w:p>
      <w:pPr>
        <w:spacing w:after="0" w:line="137" w:lineRule="exact"/>
        <w:rPr>
          <w:rFonts w:ascii="Courier New" w:cs="Courier New" w:eastAsia="Courier New" w:hAnsi="Courier New"/>
          <w:sz w:val="12"/>
          <w:szCs w:val="12"/>
          <w:color w:val="auto"/>
        </w:rPr>
      </w:pPr>
    </w:p>
    <w:p>
      <w:pPr>
        <w:ind w:left="568" w:right="10120" w:hanging="568"/>
        <w:spacing w:after="0" w:line="273" w:lineRule="auto"/>
        <w:tabs>
          <w:tab w:leader="none" w:pos="56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Hong Kong</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and Class of Securities:</w:t>
      </w:r>
    </w:p>
    <w:p>
      <w:pPr>
        <w:sectPr>
          <w:pgSz w:w="11900" w:h="16893" w:orient="portrait"/>
          <w:cols w:equalWidth="0" w:num="1">
            <w:col w:w="11528"/>
          </w:cols>
          <w:pgMar w:left="212" w:top="614" w:right="159" w:bottom="0" w:gutter="0" w:footer="0" w:header="0"/>
        </w:sectPr>
      </w:pPr>
    </w:p>
    <w:bookmarkStart w:id="1" w:name="page2"/>
    <w:bookmarkEnd w:id="1"/>
    <w:p>
      <w:pPr>
        <w:ind w:left="568"/>
        <w:spacing w:after="0"/>
        <w:rPr>
          <w:sz w:val="20"/>
          <w:szCs w:val="20"/>
          <w:color w:val="auto"/>
        </w:rPr>
      </w:pPr>
      <w:r>
        <w:rPr>
          <w:rFonts w:ascii="Courier New" w:cs="Courier New" w:eastAsia="Courier New" w:hAnsi="Courier New"/>
          <w:sz w:val="12"/>
          <w:szCs w:val="12"/>
          <w:color w:val="auto"/>
        </w:rPr>
        <w:t>Class A ordinary shares, par value of US$0.001 per share</w:t>
      </w:r>
    </w:p>
    <w:p>
      <w:pPr>
        <w:spacing w:after="0" w:line="139" w:lineRule="exact"/>
        <w:rPr>
          <w:sz w:val="20"/>
          <w:szCs w:val="20"/>
          <w:color w:val="auto"/>
        </w:rPr>
      </w:pPr>
    </w:p>
    <w:p>
      <w:pPr>
        <w:jc w:val="both"/>
        <w:ind w:left="568" w:right="10260" w:hanging="568"/>
        <w:spacing w:after="0" w:line="273" w:lineRule="auto"/>
        <w:tabs>
          <w:tab w:leader="none" w:pos="56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CUSIP No.: G47048 106</w:t>
      </w:r>
    </w:p>
    <w:p>
      <w:pPr>
        <w:spacing w:after="0" w:line="117"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1"/>
          <w:szCs w:val="11"/>
          <w:color w:val="auto"/>
        </w:rPr>
        <w:t>If this statement is filed pursuant to 240.13d-1(b) or 240.13d-2(b) or (c), check whether the person filing is a:</w:t>
      </w:r>
    </w:p>
    <w:p>
      <w:pPr>
        <w:ind w:left="568" w:hanging="568"/>
        <w:spacing w:after="0"/>
        <w:tabs>
          <w:tab w:leader="none" w:pos="56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Broker or dealer registered under Section 15 of the Act;</w:t>
      </w:r>
    </w:p>
    <w:p>
      <w:pPr>
        <w:ind w:left="568" w:hanging="568"/>
        <w:spacing w:after="0"/>
        <w:tabs>
          <w:tab w:leader="none" w:pos="56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Bank as defined in Section 3(a)(6) of the Act;</w:t>
      </w:r>
    </w:p>
    <w:p>
      <w:pPr>
        <w:ind w:left="568" w:hanging="568"/>
        <w:spacing w:after="0"/>
        <w:tabs>
          <w:tab w:leader="none" w:pos="56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Insurance company as defined in Section 3(a)(19) of the Act;</w:t>
      </w:r>
    </w:p>
    <w:p>
      <w:pPr>
        <w:spacing w:after="0" w:line="2" w:lineRule="exact"/>
        <w:rPr>
          <w:rFonts w:ascii="Courier New" w:cs="Courier New" w:eastAsia="Courier New" w:hAnsi="Courier New"/>
          <w:sz w:val="12"/>
          <w:szCs w:val="12"/>
          <w:color w:val="auto"/>
        </w:rPr>
      </w:pPr>
    </w:p>
    <w:p>
      <w:pPr>
        <w:ind w:left="1128" w:right="6760" w:hanging="1128"/>
        <w:spacing w:after="0" w:line="235" w:lineRule="auto"/>
        <w:tabs>
          <w:tab w:leader="none" w:pos="566"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[_]Investment company registered under Section 8 of the Investment Company Act of 1940;</w:t>
      </w:r>
    </w:p>
    <w:p>
      <w:pPr>
        <w:ind w:left="568" w:hanging="568"/>
        <w:spacing w:after="0"/>
        <w:tabs>
          <w:tab w:leader="none" w:pos="56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r>
        <w:rPr>
          <w:rFonts w:ascii="Courier New" w:cs="Courier New" w:eastAsia="Courier New" w:hAnsi="Courier New"/>
          <w:sz w:val="11"/>
          <w:szCs w:val="11"/>
          <w:color w:val="auto"/>
        </w:rPr>
        <w:t>An investment adviser in accordance with Rule 13d-1(b)(1)(ii)(E);</w:t>
      </w:r>
    </w:p>
    <w:p>
      <w:pPr>
        <w:ind w:left="568" w:hanging="568"/>
        <w:spacing w:after="0"/>
        <w:tabs>
          <w:tab w:leader="none" w:pos="56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An employee benefit plan or endowment fund</w:t>
      </w:r>
    </w:p>
    <w:p>
      <w:pPr>
        <w:ind w:left="1128"/>
        <w:spacing w:after="0" w:line="237" w:lineRule="auto"/>
        <w:rPr>
          <w:sz w:val="20"/>
          <w:szCs w:val="20"/>
          <w:color w:val="auto"/>
        </w:rPr>
      </w:pPr>
      <w:r>
        <w:rPr>
          <w:rFonts w:ascii="Courier New" w:cs="Courier New" w:eastAsia="Courier New" w:hAnsi="Courier New"/>
          <w:sz w:val="12"/>
          <w:szCs w:val="12"/>
          <w:color w:val="auto"/>
        </w:rPr>
        <w:t>in accordance with Rule 13d-1(b)(1)(ii)(F);</w:t>
      </w:r>
    </w:p>
    <w:p>
      <w:pPr>
        <w:ind w:left="568" w:hanging="568"/>
        <w:spacing w:after="0"/>
        <w:tabs>
          <w:tab w:leader="none" w:pos="568"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parent holding company or control person in accordance with Rule 13d-1(b)(1)(ii)(G);</w:t>
      </w:r>
    </w:p>
    <w:p>
      <w:pPr>
        <w:ind w:left="568" w:hanging="568"/>
        <w:spacing w:after="0"/>
        <w:tabs>
          <w:tab w:leader="none" w:pos="568"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savings associations as defined in Section 3(b) of the</w:t>
      </w:r>
    </w:p>
    <w:p>
      <w:pPr>
        <w:spacing w:after="0" w:line="133" w:lineRule="exact"/>
        <w:rPr>
          <w:sz w:val="20"/>
          <w:szCs w:val="20"/>
          <w:color w:val="auto"/>
        </w:rPr>
      </w:pPr>
    </w:p>
    <w:p>
      <w:pPr>
        <w:ind w:left="568" w:hanging="568"/>
        <w:spacing w:after="0"/>
        <w:tabs>
          <w:tab w:leader="none" w:pos="568"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church plan that is excluded from the definition of</w:t>
      </w:r>
    </w:p>
    <w:p>
      <w:pPr>
        <w:ind w:left="1128"/>
        <w:spacing w:after="0"/>
        <w:rPr>
          <w:sz w:val="20"/>
          <w:szCs w:val="20"/>
          <w:color w:val="auto"/>
        </w:rPr>
      </w:pPr>
      <w:r>
        <w:rPr>
          <w:rFonts w:ascii="Courier New" w:cs="Courier New" w:eastAsia="Courier New" w:hAnsi="Courier New"/>
          <w:sz w:val="12"/>
          <w:szCs w:val="12"/>
          <w:color w:val="auto"/>
        </w:rPr>
        <w:t>an investment company under section 3(c)(14) of the Investment Company Act of 1940;</w:t>
      </w:r>
    </w:p>
    <w:p>
      <w:pPr>
        <w:ind w:left="568" w:hanging="568"/>
        <w:spacing w:after="0"/>
        <w:tabs>
          <w:tab w:leader="none" w:pos="568"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non-U.S. institution in accordance with Rule 240.13d-1(b)(1)(ii)(J);</w:t>
      </w:r>
    </w:p>
    <w:p>
      <w:pPr>
        <w:ind w:left="568" w:hanging="568"/>
        <w:spacing w:after="0"/>
        <w:tabs>
          <w:tab w:leader="none" w:pos="568"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Group, in accordance with Rule 240.13d-1(b)(1)(ii)(K). If filing as a non-U.S. institution in accordance with Rule 240.13d-1(b)(1)(ii)(J), please sp</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The following information with respect to the ownership of the Class A Ordinary Shares by each of the reporting persons is provided as of December 31, 2018:</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460" w:type="dxa"/>
            <w:vAlign w:val="bottom"/>
          </w:tcPr>
          <w:p>
            <w:pPr>
              <w:spacing w:after="0"/>
              <w:rPr>
                <w:sz w:val="20"/>
                <w:szCs w:val="20"/>
                <w:color w:val="auto"/>
              </w:rPr>
            </w:pPr>
            <w:r>
              <w:rPr>
                <w:rFonts w:ascii="Courier New" w:cs="Courier New" w:eastAsia="Courier New" w:hAnsi="Courier New"/>
                <w:sz w:val="12"/>
                <w:szCs w:val="12"/>
                <w:color w:val="auto"/>
              </w:rPr>
              <w:t>Reporting Person</w:t>
            </w:r>
          </w:p>
        </w:tc>
        <w:tc>
          <w:tcPr>
            <w:tcW w:w="1200" w:type="dxa"/>
            <w:vAlign w:val="bottom"/>
          </w:tcPr>
          <w:p>
            <w:pPr>
              <w:ind w:left="220"/>
              <w:spacing w:after="0"/>
              <w:rPr>
                <w:sz w:val="20"/>
                <w:szCs w:val="20"/>
                <w:color w:val="auto"/>
              </w:rPr>
            </w:pPr>
            <w:r>
              <w:rPr>
                <w:rFonts w:ascii="Courier New" w:cs="Courier New" w:eastAsia="Courier New" w:hAnsi="Courier New"/>
                <w:sz w:val="12"/>
                <w:szCs w:val="12"/>
                <w:color w:val="auto"/>
              </w:rPr>
              <w:t>Amount</w:t>
            </w:r>
          </w:p>
        </w:tc>
        <w:tc>
          <w:tcPr>
            <w:tcW w:w="820" w:type="dxa"/>
            <w:vAlign w:val="bottom"/>
          </w:tcPr>
          <w:p>
            <w:pPr>
              <w:ind w:left="140"/>
              <w:spacing w:after="0"/>
              <w:rPr>
                <w:sz w:val="20"/>
                <w:szCs w:val="20"/>
                <w:color w:val="auto"/>
              </w:rPr>
            </w:pPr>
            <w:r>
              <w:rPr>
                <w:rFonts w:ascii="Courier New" w:cs="Courier New" w:eastAsia="Courier New" w:hAnsi="Courier New"/>
                <w:sz w:val="12"/>
                <w:szCs w:val="12"/>
                <w:color w:val="auto"/>
              </w:rPr>
              <w:t>Percent</w:t>
            </w:r>
          </w:p>
        </w:tc>
        <w:tc>
          <w:tcPr>
            <w:tcW w:w="1460" w:type="dxa"/>
            <w:vAlign w:val="bottom"/>
          </w:tcPr>
          <w:p>
            <w:pPr>
              <w:ind w:left="100"/>
              <w:spacing w:after="0"/>
              <w:rPr>
                <w:sz w:val="20"/>
                <w:szCs w:val="20"/>
                <w:color w:val="auto"/>
              </w:rPr>
            </w:pPr>
            <w:r>
              <w:rPr>
                <w:rFonts w:ascii="Courier New" w:cs="Courier New" w:eastAsia="Courier New" w:hAnsi="Courier New"/>
                <w:sz w:val="12"/>
                <w:szCs w:val="12"/>
                <w:color w:val="auto"/>
              </w:rPr>
              <w:t>Sole Power to Vote</w:t>
            </w:r>
          </w:p>
        </w:tc>
        <w:tc>
          <w:tcPr>
            <w:tcW w:w="1700" w:type="dxa"/>
            <w:vAlign w:val="bottom"/>
          </w:tcPr>
          <w:p>
            <w:pPr>
              <w:ind w:left="120"/>
              <w:spacing w:after="0"/>
              <w:rPr>
                <w:sz w:val="20"/>
                <w:szCs w:val="20"/>
                <w:color w:val="auto"/>
              </w:rPr>
            </w:pPr>
            <w:r>
              <w:rPr>
                <w:rFonts w:ascii="Courier New" w:cs="Courier New" w:eastAsia="Courier New" w:hAnsi="Courier New"/>
                <w:sz w:val="12"/>
                <w:szCs w:val="12"/>
                <w:color w:val="auto"/>
              </w:rPr>
              <w:t>Shared Power to Vote</w:t>
            </w:r>
          </w:p>
        </w:tc>
        <w:tc>
          <w:tcPr>
            <w:tcW w:w="2460" w:type="dxa"/>
            <w:vAlign w:val="bottom"/>
          </w:tcPr>
          <w:p>
            <w:pPr>
              <w:ind w:left="100"/>
              <w:spacing w:after="0"/>
              <w:rPr>
                <w:sz w:val="20"/>
                <w:szCs w:val="20"/>
                <w:color w:val="auto"/>
              </w:rPr>
            </w:pPr>
            <w:r>
              <w:rPr>
                <w:rFonts w:ascii="Courier New" w:cs="Courier New" w:eastAsia="Courier New" w:hAnsi="Courier New"/>
                <w:sz w:val="12"/>
                <w:szCs w:val="12"/>
                <w:color w:val="auto"/>
              </w:rPr>
              <w:t>Sole Power to Dispose</w:t>
            </w:r>
          </w:p>
        </w:tc>
        <w:tc>
          <w:tcPr>
            <w:tcW w:w="2340" w:type="dxa"/>
            <w:vAlign w:val="bottom"/>
          </w:tcPr>
          <w:p>
            <w:pPr>
              <w:ind w:left="100"/>
              <w:spacing w:after="0"/>
              <w:rPr>
                <w:sz w:val="20"/>
                <w:szCs w:val="20"/>
                <w:color w:val="auto"/>
              </w:rPr>
            </w:pPr>
            <w:r>
              <w:rPr>
                <w:rFonts w:ascii="Courier New" w:cs="Courier New" w:eastAsia="Courier New" w:hAnsi="Courier New"/>
                <w:sz w:val="12"/>
                <w:szCs w:val="12"/>
                <w:color w:val="auto"/>
              </w:rPr>
              <w:t>Shared Power to Dispose</w:t>
            </w:r>
          </w:p>
        </w:tc>
      </w:tr>
      <w:tr>
        <w:trPr>
          <w:trHeight w:val="135"/>
        </w:trPr>
        <w:tc>
          <w:tcPr>
            <w:tcW w:w="1460" w:type="dxa"/>
            <w:vAlign w:val="bottom"/>
          </w:tcPr>
          <w:p>
            <w:pPr>
              <w:spacing w:after="0"/>
              <w:rPr>
                <w:sz w:val="11"/>
                <w:szCs w:val="11"/>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2"/>
                <w:szCs w:val="12"/>
                <w:color w:val="auto"/>
              </w:rPr>
              <w:t>Beneficially</w:t>
            </w:r>
          </w:p>
        </w:tc>
        <w:tc>
          <w:tcPr>
            <w:tcW w:w="820" w:type="dxa"/>
            <w:vAlign w:val="bottom"/>
          </w:tcPr>
          <w:p>
            <w:pPr>
              <w:ind w:left="140"/>
              <w:spacing w:after="0"/>
              <w:rPr>
                <w:sz w:val="20"/>
                <w:szCs w:val="20"/>
                <w:color w:val="auto"/>
              </w:rPr>
            </w:pPr>
            <w:r>
              <w:rPr>
                <w:rFonts w:ascii="Courier New" w:cs="Courier New" w:eastAsia="Courier New" w:hAnsi="Courier New"/>
                <w:sz w:val="12"/>
                <w:szCs w:val="12"/>
                <w:color w:val="auto"/>
              </w:rPr>
              <w:t>of Class</w:t>
            </w:r>
          </w:p>
        </w:tc>
        <w:tc>
          <w:tcPr>
            <w:tcW w:w="1460" w:type="dxa"/>
            <w:vAlign w:val="bottom"/>
          </w:tcPr>
          <w:p>
            <w:pPr>
              <w:ind w:left="100"/>
              <w:spacing w:after="0"/>
              <w:rPr>
                <w:sz w:val="20"/>
                <w:szCs w:val="20"/>
                <w:color w:val="auto"/>
              </w:rPr>
            </w:pPr>
            <w:r>
              <w:rPr>
                <w:rFonts w:ascii="Courier New" w:cs="Courier New" w:eastAsia="Courier New" w:hAnsi="Courier New"/>
                <w:sz w:val="12"/>
                <w:szCs w:val="12"/>
                <w:color w:val="auto"/>
              </w:rPr>
              <w:t>or Direct to Vote</w:t>
            </w:r>
          </w:p>
        </w:tc>
        <w:tc>
          <w:tcPr>
            <w:tcW w:w="1700" w:type="dxa"/>
            <w:vAlign w:val="bottom"/>
          </w:tcPr>
          <w:p>
            <w:pPr>
              <w:ind w:left="120"/>
              <w:spacing w:after="0"/>
              <w:rPr>
                <w:sz w:val="20"/>
                <w:szCs w:val="20"/>
                <w:color w:val="auto"/>
              </w:rPr>
            </w:pPr>
            <w:r>
              <w:rPr>
                <w:rFonts w:ascii="Courier New" w:cs="Courier New" w:eastAsia="Courier New" w:hAnsi="Courier New"/>
                <w:sz w:val="12"/>
                <w:szCs w:val="12"/>
                <w:color w:val="auto"/>
              </w:rPr>
              <w:t>or to Direct the Vote</w:t>
            </w:r>
          </w:p>
        </w:tc>
        <w:tc>
          <w:tcPr>
            <w:tcW w:w="2460" w:type="dxa"/>
            <w:vAlign w:val="bottom"/>
          </w:tcPr>
          <w:p>
            <w:pPr>
              <w:ind w:left="100"/>
              <w:spacing w:after="0"/>
              <w:rPr>
                <w:sz w:val="20"/>
                <w:szCs w:val="20"/>
                <w:color w:val="auto"/>
              </w:rPr>
            </w:pPr>
            <w:r>
              <w:rPr>
                <w:rFonts w:ascii="Courier New" w:cs="Courier New" w:eastAsia="Courier New" w:hAnsi="Courier New"/>
                <w:sz w:val="12"/>
                <w:szCs w:val="12"/>
                <w:color w:val="auto"/>
              </w:rPr>
              <w:t>or to Direct the Disposition of:</w:t>
            </w:r>
          </w:p>
        </w:tc>
        <w:tc>
          <w:tcPr>
            <w:tcW w:w="2340" w:type="dxa"/>
            <w:vAlign w:val="bottom"/>
          </w:tcPr>
          <w:p>
            <w:pPr>
              <w:ind w:left="100"/>
              <w:spacing w:after="0"/>
              <w:rPr>
                <w:sz w:val="20"/>
                <w:szCs w:val="20"/>
                <w:color w:val="auto"/>
              </w:rPr>
            </w:pPr>
            <w:r>
              <w:rPr>
                <w:rFonts w:ascii="Courier New" w:cs="Courier New" w:eastAsia="Courier New" w:hAnsi="Courier New"/>
                <w:sz w:val="12"/>
                <w:szCs w:val="12"/>
                <w:color w:val="auto"/>
                <w:w w:val="96"/>
              </w:rPr>
              <w:t>or to Direct the Disposition of:</w:t>
            </w:r>
          </w:p>
        </w:tc>
      </w:tr>
      <w:tr>
        <w:trPr>
          <w:trHeight w:val="135"/>
        </w:trPr>
        <w:tc>
          <w:tcPr>
            <w:tcW w:w="1460" w:type="dxa"/>
            <w:vAlign w:val="bottom"/>
          </w:tcPr>
          <w:p>
            <w:pPr>
              <w:spacing w:after="0"/>
              <w:rPr>
                <w:sz w:val="11"/>
                <w:szCs w:val="11"/>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2"/>
                <w:szCs w:val="12"/>
                <w:color w:val="auto"/>
              </w:rPr>
              <w:t>Owned</w:t>
            </w: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Jiping Liu</w:t>
            </w:r>
          </w:p>
        </w:tc>
        <w:tc>
          <w:tcPr>
            <w:tcW w:w="1200" w:type="dxa"/>
            <w:vAlign w:val="bottom"/>
          </w:tcPr>
          <w:p>
            <w:pPr>
              <w:ind w:left="220"/>
              <w:spacing w:after="0"/>
              <w:rPr>
                <w:sz w:val="20"/>
                <w:szCs w:val="20"/>
                <w:color w:val="auto"/>
              </w:rPr>
            </w:pPr>
            <w:r>
              <w:rPr>
                <w:rFonts w:ascii="Courier New" w:cs="Courier New" w:eastAsia="Courier New" w:hAnsi="Courier New"/>
                <w:sz w:val="12"/>
                <w:szCs w:val="12"/>
                <w:color w:val="auto"/>
              </w:rPr>
              <w:t>2,614,207</w:t>
            </w:r>
          </w:p>
        </w:tc>
        <w:tc>
          <w:tcPr>
            <w:tcW w:w="820" w:type="dxa"/>
            <w:vAlign w:val="bottom"/>
          </w:tcPr>
          <w:p>
            <w:pPr>
              <w:ind w:left="140"/>
              <w:spacing w:after="0"/>
              <w:rPr>
                <w:sz w:val="20"/>
                <w:szCs w:val="20"/>
                <w:color w:val="auto"/>
              </w:rPr>
            </w:pPr>
            <w:r>
              <w:rPr>
                <w:rFonts w:ascii="Courier New" w:cs="Courier New" w:eastAsia="Courier New" w:hAnsi="Courier New"/>
                <w:sz w:val="12"/>
                <w:szCs w:val="12"/>
                <w:color w:val="auto"/>
              </w:rPr>
              <w:t>8.30%</w:t>
            </w:r>
          </w:p>
        </w:tc>
        <w:tc>
          <w:tcPr>
            <w:tcW w:w="1460" w:type="dxa"/>
            <w:vAlign w:val="bottom"/>
          </w:tcPr>
          <w:p>
            <w:pPr>
              <w:ind w:left="440"/>
              <w:spacing w:after="0"/>
              <w:rPr>
                <w:sz w:val="20"/>
                <w:szCs w:val="20"/>
                <w:color w:val="auto"/>
              </w:rPr>
            </w:pPr>
            <w:r>
              <w:rPr>
                <w:rFonts w:ascii="Courier New" w:cs="Courier New" w:eastAsia="Courier New" w:hAnsi="Courier New"/>
                <w:sz w:val="12"/>
                <w:szCs w:val="12"/>
                <w:color w:val="auto"/>
              </w:rPr>
              <w:t>602,210</w:t>
            </w:r>
          </w:p>
        </w:tc>
        <w:tc>
          <w:tcPr>
            <w:tcW w:w="1700" w:type="dxa"/>
            <w:vAlign w:val="bottom"/>
          </w:tcPr>
          <w:p>
            <w:pPr>
              <w:ind w:left="120"/>
              <w:spacing w:after="0"/>
              <w:rPr>
                <w:sz w:val="20"/>
                <w:szCs w:val="20"/>
                <w:color w:val="auto"/>
              </w:rPr>
            </w:pPr>
            <w:r>
              <w:rPr>
                <w:rFonts w:ascii="Courier New" w:cs="Courier New" w:eastAsia="Courier New" w:hAnsi="Courier New"/>
                <w:sz w:val="12"/>
                <w:szCs w:val="12"/>
                <w:color w:val="auto"/>
              </w:rPr>
              <w:t>2,011,997</w:t>
            </w:r>
          </w:p>
        </w:tc>
        <w:tc>
          <w:tcPr>
            <w:tcW w:w="2460" w:type="dxa"/>
            <w:vAlign w:val="bottom"/>
          </w:tcPr>
          <w:p>
            <w:pPr>
              <w:ind w:left="240"/>
              <w:spacing w:after="0"/>
              <w:rPr>
                <w:sz w:val="20"/>
                <w:szCs w:val="20"/>
                <w:color w:val="auto"/>
              </w:rPr>
            </w:pPr>
            <w:r>
              <w:rPr>
                <w:rFonts w:ascii="Courier New" w:cs="Courier New" w:eastAsia="Courier New" w:hAnsi="Courier New"/>
                <w:sz w:val="12"/>
                <w:szCs w:val="12"/>
                <w:color w:val="auto"/>
              </w:rPr>
              <w:t>602,210</w:t>
            </w:r>
          </w:p>
        </w:tc>
        <w:tc>
          <w:tcPr>
            <w:tcW w:w="2340" w:type="dxa"/>
            <w:vAlign w:val="bottom"/>
          </w:tcPr>
          <w:p>
            <w:pPr>
              <w:jc w:val="right"/>
              <w:ind w:right="1201"/>
              <w:spacing w:after="0"/>
              <w:rPr>
                <w:sz w:val="20"/>
                <w:szCs w:val="20"/>
                <w:color w:val="auto"/>
              </w:rPr>
            </w:pPr>
            <w:r>
              <w:rPr>
                <w:rFonts w:ascii="Courier New" w:cs="Courier New" w:eastAsia="Courier New" w:hAnsi="Courier New"/>
                <w:sz w:val="12"/>
                <w:szCs w:val="12"/>
                <w:color w:val="auto"/>
              </w:rPr>
              <w:t>2,011,997</w:t>
            </w: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Maestro Investment</w:t>
            </w:r>
          </w:p>
        </w:tc>
        <w:tc>
          <w:tcPr>
            <w:tcW w:w="1200" w:type="dxa"/>
            <w:vAlign w:val="bottom"/>
          </w:tcPr>
          <w:p>
            <w:pPr>
              <w:ind w:left="220"/>
              <w:spacing w:after="0"/>
              <w:rPr>
                <w:sz w:val="20"/>
                <w:szCs w:val="20"/>
                <w:color w:val="auto"/>
              </w:rPr>
            </w:pPr>
            <w:r>
              <w:rPr>
                <w:rFonts w:ascii="Courier New" w:cs="Courier New" w:eastAsia="Courier New" w:hAnsi="Courier New"/>
                <w:sz w:val="12"/>
                <w:szCs w:val="12"/>
                <w:color w:val="auto"/>
              </w:rPr>
              <w:t>2,011,997</w:t>
            </w:r>
          </w:p>
        </w:tc>
        <w:tc>
          <w:tcPr>
            <w:tcW w:w="820" w:type="dxa"/>
            <w:vAlign w:val="bottom"/>
          </w:tcPr>
          <w:p>
            <w:pPr>
              <w:ind w:left="140"/>
              <w:spacing w:after="0"/>
              <w:rPr>
                <w:sz w:val="20"/>
                <w:szCs w:val="20"/>
                <w:color w:val="auto"/>
              </w:rPr>
            </w:pPr>
            <w:r>
              <w:rPr>
                <w:rFonts w:ascii="Courier New" w:cs="Courier New" w:eastAsia="Courier New" w:hAnsi="Courier New"/>
                <w:sz w:val="12"/>
                <w:szCs w:val="12"/>
                <w:color w:val="auto"/>
              </w:rPr>
              <w:t>6.39%</w:t>
            </w:r>
          </w:p>
        </w:tc>
        <w:tc>
          <w:tcPr>
            <w:tcW w:w="1460" w:type="dxa"/>
            <w:vAlign w:val="bottom"/>
          </w:tcPr>
          <w:p>
            <w:pPr>
              <w:ind w:left="440"/>
              <w:spacing w:after="0"/>
              <w:rPr>
                <w:sz w:val="20"/>
                <w:szCs w:val="20"/>
                <w:color w:val="auto"/>
              </w:rPr>
            </w:pPr>
            <w:r>
              <w:rPr>
                <w:rFonts w:ascii="Courier New" w:cs="Courier New" w:eastAsia="Courier New" w:hAnsi="Courier New"/>
                <w:sz w:val="12"/>
                <w:szCs w:val="12"/>
                <w:color w:val="auto"/>
              </w:rPr>
              <w:t>0</w:t>
            </w:r>
          </w:p>
        </w:tc>
        <w:tc>
          <w:tcPr>
            <w:tcW w:w="1700" w:type="dxa"/>
            <w:vAlign w:val="bottom"/>
          </w:tcPr>
          <w:p>
            <w:pPr>
              <w:ind w:left="120"/>
              <w:spacing w:after="0"/>
              <w:rPr>
                <w:sz w:val="20"/>
                <w:szCs w:val="20"/>
                <w:color w:val="auto"/>
              </w:rPr>
            </w:pPr>
            <w:r>
              <w:rPr>
                <w:rFonts w:ascii="Courier New" w:cs="Courier New" w:eastAsia="Courier New" w:hAnsi="Courier New"/>
                <w:sz w:val="12"/>
                <w:szCs w:val="12"/>
                <w:color w:val="auto"/>
              </w:rPr>
              <w:t>2,011,997</w:t>
            </w:r>
          </w:p>
        </w:tc>
        <w:tc>
          <w:tcPr>
            <w:tcW w:w="2460" w:type="dxa"/>
            <w:vAlign w:val="bottom"/>
          </w:tcPr>
          <w:p>
            <w:pPr>
              <w:ind w:left="240"/>
              <w:spacing w:after="0"/>
              <w:rPr>
                <w:sz w:val="20"/>
                <w:szCs w:val="20"/>
                <w:color w:val="auto"/>
              </w:rPr>
            </w:pPr>
            <w:r>
              <w:rPr>
                <w:rFonts w:ascii="Courier New" w:cs="Courier New" w:eastAsia="Courier New" w:hAnsi="Courier New"/>
                <w:sz w:val="12"/>
                <w:szCs w:val="12"/>
                <w:color w:val="auto"/>
              </w:rPr>
              <w:t>0</w:t>
            </w:r>
          </w:p>
        </w:tc>
        <w:tc>
          <w:tcPr>
            <w:tcW w:w="2340" w:type="dxa"/>
            <w:vAlign w:val="bottom"/>
          </w:tcPr>
          <w:p>
            <w:pPr>
              <w:jc w:val="right"/>
              <w:ind w:right="1201"/>
              <w:spacing w:after="0"/>
              <w:rPr>
                <w:sz w:val="20"/>
                <w:szCs w:val="20"/>
                <w:color w:val="auto"/>
              </w:rPr>
            </w:pPr>
            <w:r>
              <w:rPr>
                <w:rFonts w:ascii="Courier New" w:cs="Courier New" w:eastAsia="Courier New" w:hAnsi="Courier New"/>
                <w:sz w:val="12"/>
                <w:szCs w:val="12"/>
                <w:color w:val="auto"/>
              </w:rPr>
              <w:t>2,011,997</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Holdings Limited</w:t>
            </w: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340" w:type="dxa"/>
            <w:vAlign w:val="bottom"/>
          </w:tcPr>
          <w:p>
            <w:pPr>
              <w:spacing w:after="0"/>
              <w:rPr>
                <w:sz w:val="11"/>
                <w:szCs w:val="11"/>
                <w:color w:val="auto"/>
              </w:rPr>
            </w:pPr>
          </w:p>
        </w:tc>
      </w:tr>
    </w:tbl>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ind w:left="568"/>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Not applicable</w:t>
      </w:r>
    </w:p>
    <w:p>
      <w:pPr>
        <w:spacing w:after="0" w:line="138" w:lineRule="exact"/>
        <w:rPr>
          <w:sz w:val="20"/>
          <w:szCs w:val="20"/>
          <w:color w:val="auto"/>
        </w:rPr>
      </w:pPr>
    </w:p>
    <w:p>
      <w:pPr>
        <w:ind w:left="568" w:right="700" w:hanging="561"/>
        <w:spacing w:after="0" w:line="235"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 or control person. Not applicable</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568"/>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568"/>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10.Certifications.</w:t>
      </w:r>
    </w:p>
    <w:p>
      <w:pPr>
        <w:ind w:left="568"/>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After reasonable inquiry and to the best of my knowledge and belief, I certify that the information set forth in this statement is true, complete and correct.</w:t>
      </w:r>
    </w:p>
    <w:p>
      <w:pPr>
        <w:spacing w:after="0" w:line="134"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1"/>
          <w:szCs w:val="11"/>
          <w:color w:val="auto"/>
        </w:rPr>
        <w:t>February 12, 2019</w:t>
      </w:r>
    </w:p>
    <w:p>
      <w:pPr>
        <w:spacing w:after="0" w:line="134"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/s/Anthony Chan</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Anthony Chan</w:t>
      </w:r>
    </w:p>
    <w:p>
      <w:pPr>
        <w:ind w:left="8"/>
        <w:spacing w:after="0" w:line="237" w:lineRule="auto"/>
        <w:tabs>
          <w:tab w:leader="none" w:pos="548" w:val="left"/>
        </w:tabs>
        <w:rPr>
          <w:sz w:val="20"/>
          <w:szCs w:val="20"/>
          <w:color w:val="auto"/>
        </w:rPr>
      </w:pPr>
      <w:r>
        <w:rPr>
          <w:rFonts w:ascii="Courier New" w:cs="Courier New" w:eastAsia="Courier New" w:hAnsi="Courier New"/>
          <w:sz w:val="12"/>
          <w:szCs w:val="12"/>
          <w:color w:val="auto"/>
        </w:rPr>
        <w:t>Title:</w:t>
        <w:tab/>
        <w:t>Director</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0"/>
    </w:lvl>
  </w:abstractNum>
  <w:abstractNum w:abstractNumId="1">
    <w:nsid w:val="1BEFD79F"/>
    <w:multiLevelType w:val="hybridMultilevel"/>
    <w:lvl w:ilvl="0">
      <w:lvlJc w:val="left"/>
      <w:lvlText w:val="1"/>
      <w:numFmt w:val="bullet"/>
      <w:start w:val="1"/>
    </w:lvl>
  </w:abstractNum>
  <w:abstractNum w:abstractNumId="2">
    <w:nsid w:val="41A7C4C9"/>
    <w:multiLevelType w:val="hybridMultilevel"/>
    <w:lvl w:ilvl="0">
      <w:lvlJc w:val="left"/>
      <w:lvlText w:val="2"/>
      <w:numFmt w:val="bullet"/>
      <w:start w:val="1"/>
    </w:lvl>
    <w:lvl w:ilvl="1">
      <w:lvlJc w:val="left"/>
      <w:lvlText w:val="(%2)"/>
      <w:numFmt w:val="lowerLetter"/>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4"/>
      <w:numFmt w:val="bullet"/>
      <w:start w:val="1"/>
    </w:lvl>
  </w:abstractNum>
  <w:abstractNum w:abstractNumId="5">
    <w:nsid w:val="25E45D32"/>
    <w:multiLevelType w:val="hybridMultilevel"/>
    <w:lvl w:ilvl="0">
      <w:lvlJc w:val="left"/>
      <w:lvlText w:val="5"/>
      <w:numFmt w:val="bullet"/>
      <w:start w:val="1"/>
    </w:lvl>
  </w:abstractNum>
  <w:abstractNum w:abstractNumId="6">
    <w:nsid w:val="519B500D"/>
    <w:multiLevelType w:val="hybridMultilevel"/>
    <w:lvl w:ilvl="0">
      <w:lvlJc w:val="left"/>
      <w:lvlText w:val="6"/>
      <w:numFmt w:val="bullet"/>
      <w:start w:val="1"/>
    </w:lvl>
  </w:abstractNum>
  <w:abstractNum w:abstractNumId="7">
    <w:nsid w:val="431BD7B7"/>
    <w:multiLevelType w:val="hybridMultilevel"/>
    <w:lvl w:ilvl="0">
      <w:lvlJc w:val="left"/>
      <w:lvlText w:val="7"/>
      <w:numFmt w:val="bullet"/>
      <w:start w:val="1"/>
    </w:lvl>
  </w:abstractNum>
  <w:abstractNum w:abstractNumId="8">
    <w:nsid w:val="3F2DBA31"/>
    <w:multiLevelType w:val="hybridMultilevel"/>
    <w:lvl w:ilvl="0">
      <w:lvlJc w:val="left"/>
      <w:lvlText w:val="8"/>
      <w:numFmt w:val="bullet"/>
      <w:start w:val="1"/>
    </w:lvl>
  </w:abstractNum>
  <w:abstractNum w:abstractNumId="9">
    <w:nsid w:val="7C83E458"/>
    <w:multiLevelType w:val="hybridMultilevel"/>
    <w:lvl w:ilvl="0">
      <w:lvlJc w:val="left"/>
      <w:lvlText w:val="9"/>
      <w:numFmt w:val="bullet"/>
      <w:start w:val="1"/>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2"/>
      <w:numFmt w:val="bullet"/>
      <w:start w:val="1"/>
    </w:lvl>
    <w:lvl w:ilvl="1">
      <w:lvlJc w:val="left"/>
      <w:lvlText w:val="(%2)"/>
      <w:numFmt w:val="lowerLetter"/>
      <w:start w:val="1"/>
    </w:lvl>
  </w:abstractNum>
  <w:abstractNum w:abstractNumId="13">
    <w:nsid w:val="628C895D"/>
    <w:multiLevelType w:val="hybridMultilevel"/>
    <w:lvl w:ilvl="0">
      <w:lvlJc w:val="left"/>
      <w:lvlText w:val="3"/>
      <w:numFmt w:val="bullet"/>
      <w:start w:val="1"/>
    </w:lvl>
  </w:abstractNum>
  <w:abstractNum w:abstractNumId="14">
    <w:nsid w:val="333AB105"/>
    <w:multiLevelType w:val="hybridMultilevel"/>
    <w:lvl w:ilvl="0">
      <w:lvlJc w:val="left"/>
      <w:lvlText w:val="4"/>
      <w:numFmt w:val="bullet"/>
      <w:start w:val="1"/>
    </w:lvl>
  </w:abstractNum>
  <w:abstractNum w:abstractNumId="15">
    <w:nsid w:val="721DA317"/>
    <w:multiLevelType w:val="hybridMultilevel"/>
    <w:lvl w:ilvl="0">
      <w:lvlJc w:val="left"/>
      <w:lvlText w:val="5"/>
      <w:numFmt w:val="bullet"/>
      <w:start w:val="1"/>
    </w:lvl>
  </w:abstractNum>
  <w:abstractNum w:abstractNumId="16">
    <w:nsid w:val="2443A858"/>
    <w:multiLevelType w:val="hybridMultilevel"/>
    <w:lvl w:ilvl="0">
      <w:lvlJc w:val="left"/>
      <w:lvlText w:val="6"/>
      <w:numFmt w:val="bullet"/>
      <w:start w:val="1"/>
    </w:lvl>
  </w:abstractNum>
  <w:abstractNum w:abstractNumId="17">
    <w:nsid w:val="2D1D5AE9"/>
    <w:multiLevelType w:val="hybridMultilevel"/>
    <w:lvl w:ilvl="0">
      <w:lvlJc w:val="left"/>
      <w:lvlText w:val="7"/>
      <w:numFmt w:val="bullet"/>
      <w:start w:val="1"/>
    </w:lvl>
  </w:abstractNum>
  <w:abstractNum w:abstractNumId="18">
    <w:nsid w:val="6763845E"/>
    <w:multiLevelType w:val="hybridMultilevel"/>
    <w:lvl w:ilvl="0">
      <w:lvlJc w:val="left"/>
      <w:lvlText w:val="8"/>
      <w:numFmt w:val="bullet"/>
      <w:start w:val="1"/>
    </w:lvl>
  </w:abstractNum>
  <w:abstractNum w:abstractNumId="19">
    <w:nsid w:val="75A2A8D4"/>
    <w:multiLevelType w:val="hybridMultilevel"/>
    <w:lvl w:ilvl="0">
      <w:lvlJc w:val="left"/>
      <w:lvlText w:val="9"/>
      <w:numFmt w:val="bullet"/>
      <w:start w:val="1"/>
    </w:lvl>
  </w:abstractNum>
  <w:abstractNum w:abstractNumId="20">
    <w:nsid w:val="8EDBDAB"/>
    <w:multiLevelType w:val="hybridMultilevel"/>
    <w:lvl w:ilvl="0">
      <w:lvlJc w:val="left"/>
      <w:lvlText w:val="%1"/>
      <w:numFmt w:val="decimal"/>
      <w:start w:val="10"/>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5"/>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7"/>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2019-12-21T05:35:46Z</dcterms:created>
  <dcterms:modified xsi:type="dcterms:W3CDTF">2019-12-21T05:35:46Z</dcterms:modified>
</cp:coreProperties>
</file>