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March 2022</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29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940" w:type="dxa"/>
            <w:vAlign w:val="bottom"/>
            <w:tcBorders>
              <w:top w:val="single" w:sz="8" w:color="auto"/>
              <w:bottom w:val="single" w:sz="8" w:color="0000EE"/>
            </w:tcBorders>
          </w:tcPr>
          <w:p>
            <w:pPr>
              <w:ind w:left="20"/>
              <w:spacing w:after="0"/>
              <w:rPr>
                <w:rFonts w:ascii="Arial" w:cs="Arial" w:eastAsia="Arial" w:hAnsi="Arial"/>
                <w:sz w:val="18"/>
                <w:szCs w:val="18"/>
                <w:color w:val="0000EE"/>
                <w:w w:val="81"/>
              </w:rPr>
            </w:pPr>
            <w:hyperlink w:anchor="page4">
              <w:r>
                <w:rPr>
                  <w:rFonts w:ascii="Arial" w:cs="Arial" w:eastAsia="Arial" w:hAnsi="Arial"/>
                  <w:sz w:val="18"/>
                  <w:szCs w:val="18"/>
                  <w:color w:val="0000EE"/>
                  <w:w w:val="81"/>
                </w:rPr>
                <w:t>Press release</w:t>
              </w:r>
            </w:hyperlink>
          </w:p>
        </w:tc>
        <w:tc>
          <w:tcPr>
            <w:tcW w:w="906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6340" w:type="dxa"/>
            <w:vAlign w:val="bottom"/>
          </w:tcPr>
          <w:p>
            <w:pPr>
              <w:ind w:left="56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Zhang</w:t>
            </w:r>
          </w:p>
        </w:tc>
      </w:tr>
      <w:tr>
        <w:trPr>
          <w:trHeight w:val="195"/>
        </w:trPr>
        <w:tc>
          <w:tcPr>
            <w:tcW w:w="634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David Zhang</w:t>
            </w:r>
          </w:p>
        </w:tc>
      </w:tr>
      <w:tr>
        <w:trPr>
          <w:trHeight w:val="230"/>
        </w:trPr>
        <w:tc>
          <w:tcPr>
            <w:tcW w:w="6340" w:type="dxa"/>
            <w:vAlign w:val="bottom"/>
          </w:tcPr>
          <w:p>
            <w:pPr>
              <w:ind w:left="56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Date: March 24, 2022</w:t>
            </w:r>
          </w:p>
        </w:tc>
        <w:tc>
          <w:tcPr>
            <w:tcW w:w="4900" w:type="dxa"/>
            <w:vAlign w:val="bottom"/>
          </w:tcPr>
          <w:p>
            <w:pPr>
              <w:spacing w:after="0"/>
              <w:rPr>
                <w:sz w:val="24"/>
                <w:szCs w:val="24"/>
                <w:color w:val="auto"/>
              </w:rPr>
            </w:pPr>
          </w:p>
        </w:tc>
      </w:tr>
      <w:tr>
        <w:trPr>
          <w:trHeight w:val="432"/>
        </w:trPr>
        <w:tc>
          <w:tcPr>
            <w:tcW w:w="6340" w:type="dxa"/>
            <w:vAlign w:val="bottom"/>
          </w:tcPr>
          <w:p>
            <w:pPr>
              <w:ind w:left="5580"/>
              <w:spacing w:after="0"/>
              <w:rPr>
                <w:sz w:val="20"/>
                <w:szCs w:val="20"/>
                <w:color w:val="auto"/>
              </w:rPr>
            </w:pPr>
            <w:r>
              <w:rPr>
                <w:rFonts w:ascii="Arial" w:cs="Arial" w:eastAsia="Arial" w:hAnsi="Arial"/>
                <w:sz w:val="18"/>
                <w:szCs w:val="18"/>
                <w:color w:val="auto"/>
              </w:rPr>
              <w:t>3</w:t>
            </w:r>
          </w:p>
        </w:tc>
        <w:tc>
          <w:tcPr>
            <w:tcW w:w="490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107950</wp:posOffset>
            </wp:positionV>
            <wp:extent cx="1534160"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72" w:lineRule="exact"/>
        <w:rPr>
          <w:sz w:val="20"/>
          <w:szCs w:val="20"/>
          <w:color w:val="auto"/>
        </w:rPr>
      </w:pPr>
    </w:p>
    <w:p>
      <w:pPr>
        <w:ind w:left="3620"/>
        <w:spacing w:after="0"/>
        <w:rPr>
          <w:sz w:val="20"/>
          <w:szCs w:val="20"/>
          <w:color w:val="auto"/>
        </w:rPr>
      </w:pPr>
      <w:r>
        <w:rPr>
          <w:rFonts w:ascii="Arial" w:cs="Arial" w:eastAsia="Arial" w:hAnsi="Arial"/>
          <w:sz w:val="24"/>
          <w:szCs w:val="24"/>
          <w:b w:val="1"/>
          <w:bCs w:val="1"/>
          <w:color w:val="auto"/>
        </w:rPr>
        <w:t>iClick Interactive Asia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3340"/>
        <w:spacing w:after="0"/>
        <w:rPr>
          <w:sz w:val="20"/>
          <w:szCs w:val="20"/>
          <w:color w:val="auto"/>
        </w:rPr>
      </w:pPr>
      <w:r>
        <w:rPr>
          <w:rFonts w:ascii="Arial" w:cs="Arial" w:eastAsia="Arial" w:hAnsi="Arial"/>
          <w:sz w:val="24"/>
          <w:szCs w:val="24"/>
          <w:b w:val="1"/>
          <w:bCs w:val="1"/>
          <w:color w:val="auto"/>
        </w:rPr>
        <w:t>Reports 2021 Fourth Quarter and Full-Year</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4"/>
          <w:szCs w:val="24"/>
          <w:b w:val="1"/>
          <w:bCs w:val="1"/>
          <w:color w:val="auto"/>
        </w:rPr>
        <w:t>Unaudited Financial Results</w:t>
      </w:r>
    </w:p>
    <w:p>
      <w:pPr>
        <w:spacing w:after="0" w:line="229" w:lineRule="exact"/>
        <w:rPr>
          <w:sz w:val="20"/>
          <w:szCs w:val="20"/>
          <w:color w:val="auto"/>
        </w:rPr>
      </w:pPr>
    </w:p>
    <w:p>
      <w:pPr>
        <w:ind w:left="3360"/>
        <w:spacing w:after="0"/>
        <w:rPr>
          <w:sz w:val="20"/>
          <w:szCs w:val="20"/>
          <w:color w:val="auto"/>
        </w:rPr>
      </w:pPr>
      <w:r>
        <w:rPr>
          <w:rFonts w:ascii="Arial" w:cs="Arial" w:eastAsia="Arial" w:hAnsi="Arial"/>
          <w:sz w:val="19"/>
          <w:szCs w:val="19"/>
          <w:i w:val="1"/>
          <w:iCs w:val="1"/>
          <w:color w:val="auto"/>
        </w:rPr>
        <w:t>– Another Record Year Across Multiple Financial Metrics –</w:t>
      </w:r>
    </w:p>
    <w:p>
      <w:pPr>
        <w:spacing w:after="0" w:line="11" w:lineRule="exact"/>
        <w:rPr>
          <w:sz w:val="20"/>
          <w:szCs w:val="20"/>
          <w:color w:val="auto"/>
        </w:rPr>
      </w:pPr>
    </w:p>
    <w:p>
      <w:pPr>
        <w:ind w:left="1500"/>
        <w:spacing w:after="0"/>
        <w:rPr>
          <w:sz w:val="20"/>
          <w:szCs w:val="20"/>
          <w:color w:val="auto"/>
        </w:rPr>
      </w:pPr>
      <w:r>
        <w:rPr>
          <w:rFonts w:ascii="Arial" w:cs="Arial" w:eastAsia="Arial" w:hAnsi="Arial"/>
          <w:sz w:val="19"/>
          <w:szCs w:val="19"/>
          <w:i w:val="1"/>
          <w:iCs w:val="1"/>
          <w:color w:val="auto"/>
        </w:rPr>
        <w:t>–Enterprise Solutions Sales Books Another Year of Triple-digit Growth, Delivering US$65.1 Million Revenue</w:t>
      </w:r>
    </w:p>
    <w:p>
      <w:pPr>
        <w:ind w:left="2360"/>
        <w:spacing w:after="0"/>
        <w:rPr>
          <w:sz w:val="20"/>
          <w:szCs w:val="20"/>
          <w:color w:val="auto"/>
        </w:rPr>
      </w:pPr>
      <w:r>
        <w:rPr>
          <w:rFonts w:ascii="Arial" w:cs="Arial" w:eastAsia="Arial" w:hAnsi="Arial"/>
          <w:sz w:val="19"/>
          <w:szCs w:val="19"/>
          <w:i w:val="1"/>
          <w:iCs w:val="1"/>
          <w:color w:val="auto"/>
        </w:rPr>
        <w:t>– “SaaS+X” Model Provides Solid Foundation to Supercharge Growth of Enterprise Solutions –</w:t>
      </w:r>
    </w:p>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 xml:space="preserve">Hong Kong, March 24, 2022 </w:t>
      </w:r>
      <w:r>
        <w:rPr>
          <w:rFonts w:ascii="Arial" w:cs="Arial" w:eastAsia="Arial" w:hAnsi="Arial"/>
          <w:sz w:val="20"/>
          <w:szCs w:val="20"/>
          <w:color w:val="auto"/>
        </w:rPr>
        <w:t>-- iClick Interactive Asia Group Limited (“iClick” or the “Company”) (Nasdaq: ICLK), a leading enterprise</w:t>
      </w:r>
      <w:r>
        <w:rPr>
          <w:rFonts w:ascii="Arial" w:cs="Arial" w:eastAsia="Arial" w:hAnsi="Arial"/>
          <w:sz w:val="20"/>
          <w:szCs w:val="20"/>
          <w:b w:val="1"/>
          <w:bCs w:val="1"/>
          <w:color w:val="auto"/>
        </w:rPr>
        <w:t xml:space="preserve"> </w:t>
      </w:r>
      <w:r>
        <w:rPr>
          <w:rFonts w:ascii="Arial" w:cs="Arial" w:eastAsia="Arial" w:hAnsi="Arial"/>
          <w:sz w:val="20"/>
          <w:szCs w:val="20"/>
          <w:color w:val="auto"/>
        </w:rPr>
        <w:t>and marketing cloud platform in China that empowers worldwide brands with full-stack consumer lifecycle solutions, today announced unaudited financial results for the fourth quarter and full year ended December 31,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3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 December 31,</w:t>
            </w:r>
          </w:p>
        </w:tc>
        <w:tc>
          <w:tcPr>
            <w:tcW w:w="32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860" w:type="dxa"/>
            <w:vAlign w:val="bottom"/>
            <w:tcBorders>
              <w:top w:val="single" w:sz="8" w:color="auto"/>
            </w:tcBorders>
            <w:vMerge w:val="restart"/>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1"/>
              <w:spacing w:after="0" w:line="133" w:lineRule="exact"/>
              <w:rPr>
                <w:sz w:val="20"/>
                <w:szCs w:val="20"/>
                <w:color w:val="auto"/>
              </w:rPr>
            </w:pPr>
            <w:r>
              <w:rPr>
                <w:rFonts w:ascii="Arial" w:cs="Arial" w:eastAsia="Arial" w:hAnsi="Arial"/>
                <w:sz w:val="14"/>
                <w:szCs w:val="14"/>
                <w:b w:val="1"/>
                <w:bCs w:val="1"/>
                <w:color w:val="auto"/>
                <w:w w:val="97"/>
              </w:rPr>
              <w:t>Percentage</w:t>
            </w:r>
          </w:p>
        </w:tc>
        <w:tc>
          <w:tcPr>
            <w:tcW w:w="300" w:type="dxa"/>
            <w:vAlign w:val="bottom"/>
          </w:tcPr>
          <w:p>
            <w:pPr>
              <w:spacing w:after="0"/>
              <w:rPr>
                <w:sz w:val="11"/>
                <w:szCs w:val="11"/>
                <w:color w:val="auto"/>
              </w:rPr>
            </w:pPr>
          </w:p>
        </w:tc>
        <w:tc>
          <w:tcPr>
            <w:tcW w:w="880" w:type="dxa"/>
            <w:vAlign w:val="bottom"/>
            <w:tcBorders>
              <w:top w:val="single" w:sz="8" w:color="auto"/>
            </w:tcBorders>
            <w:vMerge w:val="restart"/>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41"/>
              <w:spacing w:after="0" w:line="133"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i w:val="1"/>
                <w:iCs w:val="1"/>
                <w:color w:val="auto"/>
              </w:rPr>
              <w:t>(US$ in thousands)</w:t>
            </w: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4660" w:type="dxa"/>
            <w:vAlign w:val="bottom"/>
            <w:vMerge w:val="continue"/>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660" w:type="dxa"/>
            <w:vAlign w:val="bottom"/>
          </w:tcPr>
          <w:p>
            <w:pPr>
              <w:spacing w:after="0"/>
              <w:rPr>
                <w:sz w:val="20"/>
                <w:szCs w:val="20"/>
                <w:color w:val="auto"/>
              </w:rPr>
            </w:pPr>
            <w:r>
              <w:rPr>
                <w:rFonts w:ascii="Arial" w:cs="Arial" w:eastAsia="Arial" w:hAnsi="Arial"/>
                <w:sz w:val="14"/>
                <w:szCs w:val="14"/>
                <w:i w:val="1"/>
                <w:iCs w:val="1"/>
                <w:color w:val="auto"/>
              </w:rPr>
              <w:t>(Unaudited)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6"/>
                <w:szCs w:val="16"/>
                <w:b w:val="1"/>
                <w:bCs w:val="1"/>
                <w:color w:val="auto"/>
              </w:rPr>
              <w:t>Financial Metrics: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6"/>
                <w:szCs w:val="16"/>
                <w:color w:val="auto"/>
              </w:rPr>
              <w:t>Revenue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6"/>
                <w:szCs w:val="16"/>
                <w:color w:val="auto"/>
              </w:rPr>
              <w:t>Marketing Solutions</w:t>
            </w:r>
          </w:p>
        </w:tc>
        <w:tc>
          <w:tcPr>
            <w:tcW w:w="860" w:type="dxa"/>
            <w:vAlign w:val="bottom"/>
          </w:tcPr>
          <w:p>
            <w:pPr>
              <w:jc w:val="right"/>
              <w:spacing w:after="0"/>
              <w:rPr>
                <w:sz w:val="20"/>
                <w:szCs w:val="20"/>
                <w:color w:val="auto"/>
              </w:rPr>
            </w:pPr>
            <w:r>
              <w:rPr>
                <w:rFonts w:ascii="Arial" w:cs="Arial" w:eastAsia="Arial" w:hAnsi="Arial"/>
                <w:sz w:val="16"/>
                <w:szCs w:val="16"/>
                <w:color w:val="auto"/>
              </w:rPr>
              <w:t>56,606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68,127</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880" w:type="dxa"/>
            <w:vAlign w:val="bottom"/>
          </w:tcPr>
          <w:p>
            <w:pPr>
              <w:jc w:val="right"/>
              <w:spacing w:after="0"/>
              <w:rPr>
                <w:sz w:val="20"/>
                <w:szCs w:val="20"/>
                <w:color w:val="auto"/>
              </w:rPr>
            </w:pPr>
            <w:r>
              <w:rPr>
                <w:rFonts w:ascii="Arial" w:cs="Arial" w:eastAsia="Arial" w:hAnsi="Arial"/>
                <w:sz w:val="16"/>
                <w:szCs w:val="16"/>
                <w:color w:val="auto"/>
              </w:rPr>
              <w:t>242,610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225,852</w:t>
            </w: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6"/>
                <w:szCs w:val="16"/>
                <w:color w:val="auto"/>
              </w:rPr>
              <w:t>Enterprise Solutions</w:t>
            </w:r>
          </w:p>
        </w:tc>
        <w:tc>
          <w:tcPr>
            <w:tcW w:w="860" w:type="dxa"/>
            <w:vAlign w:val="bottom"/>
          </w:tcPr>
          <w:p>
            <w:pPr>
              <w:jc w:val="right"/>
              <w:spacing w:after="0"/>
              <w:rPr>
                <w:sz w:val="20"/>
                <w:szCs w:val="20"/>
                <w:color w:val="auto"/>
              </w:rPr>
            </w:pPr>
            <w:r>
              <w:rPr>
                <w:rFonts w:ascii="Arial" w:cs="Arial" w:eastAsia="Arial" w:hAnsi="Arial"/>
                <w:sz w:val="16"/>
                <w:szCs w:val="16"/>
                <w:color w:val="auto"/>
              </w:rPr>
              <w:t>19,717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10,565</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87%</w:t>
            </w:r>
          </w:p>
        </w:tc>
        <w:tc>
          <w:tcPr>
            <w:tcW w:w="880" w:type="dxa"/>
            <w:vAlign w:val="bottom"/>
          </w:tcPr>
          <w:p>
            <w:pPr>
              <w:jc w:val="right"/>
              <w:spacing w:after="0"/>
              <w:rPr>
                <w:sz w:val="20"/>
                <w:szCs w:val="20"/>
                <w:color w:val="auto"/>
              </w:rPr>
            </w:pPr>
            <w:r>
              <w:rPr>
                <w:rFonts w:ascii="Arial" w:cs="Arial" w:eastAsia="Arial" w:hAnsi="Arial"/>
                <w:sz w:val="16"/>
                <w:szCs w:val="16"/>
                <w:color w:val="auto"/>
              </w:rPr>
              <w:t>65,092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28,893</w:t>
            </w: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6"/>
                <w:szCs w:val="16"/>
                <w:color w:val="auto"/>
              </w:rPr>
              <w:t>Total revenue</w:t>
            </w:r>
          </w:p>
        </w:tc>
        <w:tc>
          <w:tcPr>
            <w:tcW w:w="860" w:type="dxa"/>
            <w:vAlign w:val="bottom"/>
          </w:tcPr>
          <w:p>
            <w:pPr>
              <w:jc w:val="right"/>
              <w:spacing w:after="0"/>
              <w:rPr>
                <w:sz w:val="20"/>
                <w:szCs w:val="20"/>
                <w:color w:val="auto"/>
              </w:rPr>
            </w:pPr>
            <w:r>
              <w:rPr>
                <w:rFonts w:ascii="Arial" w:cs="Arial" w:eastAsia="Arial" w:hAnsi="Arial"/>
                <w:sz w:val="16"/>
                <w:szCs w:val="16"/>
                <w:color w:val="auto"/>
              </w:rPr>
              <w:t>76,323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78,692</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880" w:type="dxa"/>
            <w:vAlign w:val="bottom"/>
          </w:tcPr>
          <w:p>
            <w:pPr>
              <w:jc w:val="right"/>
              <w:spacing w:after="0"/>
              <w:rPr>
                <w:sz w:val="20"/>
                <w:szCs w:val="20"/>
                <w:color w:val="auto"/>
              </w:rPr>
            </w:pPr>
            <w:r>
              <w:rPr>
                <w:rFonts w:ascii="Arial" w:cs="Arial" w:eastAsia="Arial" w:hAnsi="Arial"/>
                <w:sz w:val="16"/>
                <w:szCs w:val="16"/>
                <w:color w:val="auto"/>
              </w:rPr>
              <w:t>307,702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254,745</w:t>
            </w: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6"/>
                <w:szCs w:val="16"/>
                <w:color w:val="auto"/>
              </w:rPr>
              <w:t>Gross profit</w:t>
            </w:r>
          </w:p>
        </w:tc>
        <w:tc>
          <w:tcPr>
            <w:tcW w:w="860" w:type="dxa"/>
            <w:vAlign w:val="bottom"/>
          </w:tcPr>
          <w:p>
            <w:pPr>
              <w:jc w:val="right"/>
              <w:spacing w:after="0"/>
              <w:rPr>
                <w:sz w:val="20"/>
                <w:szCs w:val="20"/>
                <w:color w:val="auto"/>
              </w:rPr>
            </w:pPr>
            <w:r>
              <w:rPr>
                <w:rFonts w:ascii="Arial" w:cs="Arial" w:eastAsia="Arial" w:hAnsi="Arial"/>
                <w:sz w:val="16"/>
                <w:szCs w:val="16"/>
                <w:color w:val="auto"/>
              </w:rPr>
              <w:t>23,550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23,264</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89,153</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73,263</w:t>
            </w: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6"/>
                <w:szCs w:val="16"/>
                <w:color w:val="auto"/>
              </w:rPr>
              <w:t>Net (loss)/income</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(7,093)</w:t>
            </w:r>
          </w:p>
        </w:tc>
        <w:tc>
          <w:tcPr>
            <w:tcW w:w="860" w:type="dxa"/>
            <w:vAlign w:val="bottom"/>
          </w:tcPr>
          <w:p>
            <w:pPr>
              <w:jc w:val="right"/>
              <w:spacing w:after="0"/>
              <w:rPr>
                <w:sz w:val="20"/>
                <w:szCs w:val="20"/>
                <w:color w:val="auto"/>
              </w:rPr>
            </w:pPr>
            <w:r>
              <w:rPr>
                <w:rFonts w:ascii="Arial" w:cs="Arial" w:eastAsia="Arial" w:hAnsi="Arial"/>
                <w:sz w:val="16"/>
                <w:szCs w:val="16"/>
                <w:color w:val="auto"/>
              </w:rPr>
              <w:t>640</w:t>
            </w:r>
          </w:p>
        </w:tc>
        <w:tc>
          <w:tcPr>
            <w:tcW w:w="2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N/M</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(16,598)</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(14,906)</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6"/>
        </w:trPr>
        <w:tc>
          <w:tcPr>
            <w:tcW w:w="4660" w:type="dxa"/>
            <w:vAlign w:val="bottom"/>
          </w:tcPr>
          <w:p>
            <w:pPr>
              <w:spacing w:after="0" w:line="236" w:lineRule="exact"/>
              <w:rPr>
                <w:sz w:val="20"/>
                <w:szCs w:val="20"/>
                <w:color w:val="auto"/>
              </w:rPr>
            </w:pPr>
            <w:r>
              <w:rPr>
                <w:rFonts w:ascii="Arial" w:cs="Arial" w:eastAsia="Arial" w:hAnsi="Arial"/>
                <w:sz w:val="16"/>
                <w:szCs w:val="16"/>
                <w:color w:val="auto"/>
              </w:rPr>
              <w:t>Adjusted EBITDA</w:t>
            </w:r>
            <w:r>
              <w:rPr>
                <w:rFonts w:ascii="Arial" w:cs="Arial" w:eastAsia="Arial" w:hAnsi="Arial"/>
                <w:sz w:val="27"/>
                <w:szCs w:val="27"/>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5,065</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(99)%</w:t>
            </w:r>
          </w:p>
        </w:tc>
        <w:tc>
          <w:tcPr>
            <w:tcW w:w="880" w:type="dxa"/>
            <w:vAlign w:val="bottom"/>
          </w:tcPr>
          <w:p>
            <w:pPr>
              <w:jc w:val="right"/>
              <w:spacing w:after="0"/>
              <w:rPr>
                <w:sz w:val="20"/>
                <w:szCs w:val="20"/>
                <w:color w:val="auto"/>
              </w:rPr>
            </w:pPr>
            <w:r>
              <w:rPr>
                <w:rFonts w:ascii="Arial" w:cs="Arial" w:eastAsia="Arial" w:hAnsi="Arial"/>
                <w:sz w:val="16"/>
                <w:szCs w:val="16"/>
                <w:color w:val="auto"/>
              </w:rPr>
              <w:t>13,412</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17,274</w:t>
            </w: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4660" w:type="dxa"/>
            <w:vAlign w:val="bottom"/>
          </w:tcPr>
          <w:p>
            <w:pPr>
              <w:spacing w:after="0" w:line="230" w:lineRule="exact"/>
              <w:rPr>
                <w:sz w:val="20"/>
                <w:szCs w:val="20"/>
                <w:color w:val="auto"/>
              </w:rPr>
            </w:pPr>
            <w:r>
              <w:rPr>
                <w:rFonts w:ascii="Arial" w:cs="Arial" w:eastAsia="Arial" w:hAnsi="Arial"/>
                <w:sz w:val="16"/>
                <w:szCs w:val="16"/>
                <w:color w:val="auto"/>
              </w:rPr>
              <w:t>Adjusted net (loss)/income</w:t>
            </w:r>
            <w:r>
              <w:rPr>
                <w:rFonts w:ascii="Arial" w:cs="Arial" w:eastAsia="Arial" w:hAnsi="Arial"/>
                <w:sz w:val="26"/>
                <w:szCs w:val="26"/>
                <w:color w:val="auto"/>
                <w:vertAlign w:val="superscript"/>
              </w:rPr>
              <w:t>1</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(2,700)</w:t>
            </w:r>
          </w:p>
        </w:tc>
        <w:tc>
          <w:tcPr>
            <w:tcW w:w="860" w:type="dxa"/>
            <w:vAlign w:val="bottom"/>
          </w:tcPr>
          <w:p>
            <w:pPr>
              <w:jc w:val="right"/>
              <w:spacing w:after="0"/>
              <w:rPr>
                <w:sz w:val="20"/>
                <w:szCs w:val="20"/>
                <w:color w:val="auto"/>
              </w:rPr>
            </w:pPr>
            <w:r>
              <w:rPr>
                <w:rFonts w:ascii="Arial" w:cs="Arial" w:eastAsia="Arial" w:hAnsi="Arial"/>
                <w:sz w:val="16"/>
                <w:szCs w:val="16"/>
                <w:color w:val="auto"/>
              </w:rPr>
              <w:t>2,091</w:t>
            </w:r>
          </w:p>
        </w:tc>
        <w:tc>
          <w:tcPr>
            <w:tcW w:w="2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N/M</w:t>
            </w:r>
          </w:p>
        </w:tc>
        <w:tc>
          <w:tcPr>
            <w:tcW w:w="880" w:type="dxa"/>
            <w:vAlign w:val="bottom"/>
          </w:tcPr>
          <w:p>
            <w:pPr>
              <w:jc w:val="right"/>
              <w:spacing w:after="0"/>
              <w:rPr>
                <w:sz w:val="20"/>
                <w:szCs w:val="20"/>
                <w:color w:val="auto"/>
              </w:rPr>
            </w:pPr>
            <w:r>
              <w:rPr>
                <w:rFonts w:ascii="Arial" w:cs="Arial" w:eastAsia="Arial" w:hAnsi="Arial"/>
                <w:sz w:val="16"/>
                <w:szCs w:val="16"/>
                <w:color w:val="auto"/>
              </w:rPr>
              <w:t>1,361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7,563</w:t>
            </w: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9"/>
        </w:trPr>
        <w:tc>
          <w:tcPr>
            <w:tcW w:w="4660" w:type="dxa"/>
            <w:vAlign w:val="bottom"/>
          </w:tcPr>
          <w:p>
            <w:pPr>
              <w:spacing w:after="0" w:line="228" w:lineRule="exact"/>
              <w:rPr>
                <w:sz w:val="20"/>
                <w:szCs w:val="20"/>
                <w:color w:val="auto"/>
              </w:rPr>
            </w:pPr>
            <w:r>
              <w:rPr>
                <w:rFonts w:ascii="Arial" w:cs="Arial" w:eastAsia="Arial" w:hAnsi="Arial"/>
                <w:sz w:val="16"/>
                <w:szCs w:val="16"/>
                <w:color w:val="auto"/>
              </w:rPr>
              <w:t>Diluted adjusted net (loss)/income per ADS</w:t>
            </w:r>
            <w:r>
              <w:rPr>
                <w:rFonts w:ascii="Arial" w:cs="Arial" w:eastAsia="Arial" w:hAnsi="Arial"/>
                <w:sz w:val="26"/>
                <w:szCs w:val="26"/>
                <w:color w:val="auto"/>
                <w:vertAlign w:val="superscript"/>
              </w:rPr>
              <w:t>1</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(0.03)</w:t>
            </w:r>
          </w:p>
        </w:tc>
        <w:tc>
          <w:tcPr>
            <w:tcW w:w="860" w:type="dxa"/>
            <w:vAlign w:val="bottom"/>
          </w:tcPr>
          <w:p>
            <w:pPr>
              <w:jc w:val="right"/>
              <w:spacing w:after="0"/>
              <w:rPr>
                <w:sz w:val="20"/>
                <w:szCs w:val="20"/>
                <w:color w:val="auto"/>
              </w:rPr>
            </w:pPr>
            <w:r>
              <w:rPr>
                <w:rFonts w:ascii="Arial" w:cs="Arial" w:eastAsia="Arial" w:hAnsi="Arial"/>
                <w:sz w:val="16"/>
                <w:szCs w:val="16"/>
                <w:color w:val="auto"/>
              </w:rPr>
              <w:t>0.02</w:t>
            </w:r>
          </w:p>
        </w:tc>
        <w:tc>
          <w:tcPr>
            <w:tcW w:w="2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N/M</w:t>
            </w: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0.09</w:t>
            </w: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6"/>
                <w:szCs w:val="16"/>
                <w:b w:val="1"/>
                <w:bCs w:val="1"/>
                <w:color w:val="auto"/>
              </w:rPr>
              <w:t>Operating Metrics: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6"/>
                <w:szCs w:val="16"/>
                <w:color w:val="auto"/>
              </w:rPr>
              <w:t>Gross billing</w:t>
            </w:r>
          </w:p>
        </w:tc>
        <w:tc>
          <w:tcPr>
            <w:tcW w:w="860" w:type="dxa"/>
            <w:vAlign w:val="bottom"/>
          </w:tcPr>
          <w:p>
            <w:pPr>
              <w:jc w:val="right"/>
              <w:spacing w:after="0"/>
              <w:rPr>
                <w:sz w:val="20"/>
                <w:szCs w:val="20"/>
                <w:color w:val="auto"/>
              </w:rPr>
            </w:pPr>
            <w:r>
              <w:rPr>
                <w:rFonts w:ascii="Arial" w:cs="Arial" w:eastAsia="Arial" w:hAnsi="Arial"/>
                <w:sz w:val="16"/>
                <w:szCs w:val="16"/>
                <w:color w:val="auto"/>
              </w:rPr>
              <w:t>207,298</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219,942</w:t>
            </w: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880" w:type="dxa"/>
            <w:vAlign w:val="bottom"/>
          </w:tcPr>
          <w:p>
            <w:pPr>
              <w:jc w:val="right"/>
              <w:spacing w:after="0"/>
              <w:rPr>
                <w:sz w:val="20"/>
                <w:szCs w:val="20"/>
                <w:color w:val="auto"/>
              </w:rPr>
            </w:pPr>
            <w:r>
              <w:rPr>
                <w:rFonts w:ascii="Arial" w:cs="Arial" w:eastAsia="Arial" w:hAnsi="Arial"/>
                <w:sz w:val="16"/>
                <w:szCs w:val="16"/>
                <w:color w:val="auto"/>
              </w:rPr>
              <w:t>796,852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677,815</w:t>
            </w: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Jian “T.J.” Tang, Chairman, Chief Executive Officer and Co-Founder of iClick, said, “iClick has once again reported another record year across a number of key metrics, even amidst a challenging environment. Our Marketing Solutions revenues managed to grow by 7% year over year despite multiple headwinds and with over 100% revenue year-over-year growth for 2021, Enterprise Solutions’ results attest to the success of our digital transformation strategy which we launched in 2019.</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While China’s entire advertising sector has experienced a substantive contraction due to the changing regulatory environment and heightened macroeconomic uncertainties, we are confident in the long-term growth potential of China’s digital advertising industry. However, giving the negative sentiment facing China-based companies, we need to fully utilize the resources we have on hand. Therefore, we have started to strategically reduce lower margin and higher risk businesses in our more capital-intensive Marketing Solutions segment in order to focus on the higher growth potential of Enterprise Solutions.</w:t>
      </w:r>
    </w:p>
    <w:p>
      <w:pPr>
        <w:spacing w:after="0" w:line="193"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1"/>
          <w:szCs w:val="11"/>
          <w:color w:val="auto"/>
        </w:rPr>
      </w:pPr>
      <w:r>
        <w:rPr>
          <w:rFonts w:ascii="Arial" w:cs="Arial" w:eastAsia="Arial" w:hAnsi="Arial"/>
          <w:sz w:val="13"/>
          <w:szCs w:val="13"/>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18"/>
          <w:szCs w:val="18"/>
          <w:color w:val="auto"/>
        </w:rPr>
        <w:t>Additionally, through our successful client collaborations over the past few years, we have learned a great deal that has shaped the vision behind our SaaS+X business model. Our unique SaaS+X model provides a strong executional framework to take advantage of what we estimate will have significant growth potential. Enterprise Solutions’ growth in 2021 of around 125% reflects the strength of our approach and gives us confidence that we will continue to generate impressive momentum throughout 2022 and beyond. Furthering our capabilities in bringing high value SaaS+X offering to clients, I am very pleased to report that we have recently acquired the remaining equity interest in Changyi Information Technology Co., Ltd, which will allow iClick to accelerate the expansion of our Enterprise Solutions business.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With solid financial foundations to withstand the uncertain macro environment, we remain confident in iClick’s business fundamentals, and we are capitalizing on our strengths as we weather the impact of the current economic and policy shifts that may impact some of our clients. As we look to 2022 and beyond, we are cognizant of the need to be nimble in our strategic allocation of resources and accelerate cross-selling opportunities and synergies between Marketing Solutions and Enterprise Solutions. Our strong key account clients are an important key differentiator for iClick which we foresee as a key growth driver going forward.</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summary, we believe we have the right approach, the right resources, and the right strategy to endure the challenges arising from the current macroeconomic shifts. We have addressed our need to be agile and adaptive while leveraging the optimal mix of sales strategies within our SaaS+X model. We are deeply committed to accomplishing our key objectives and we look forward to an amazing year of success while delivering long-term sustainable value for our clients, employees and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2021 Results: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the fourth quarter of 2021 was US$76.3 million, which is comparable to the same period of 2020.</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was US$56.6 million for the fourth quarter of 2021, decreased 17% from US$68.1 million for the fourth</w:t>
      </w:r>
      <w:r>
        <w:rPr>
          <w:rFonts w:ascii="Arial" w:cs="Arial" w:eastAsia="Arial" w:hAnsi="Arial"/>
          <w:sz w:val="20"/>
          <w:szCs w:val="20"/>
          <w:i w:val="1"/>
          <w:iCs w:val="1"/>
          <w:color w:val="auto"/>
        </w:rPr>
        <w:t xml:space="preserve"> </w:t>
      </w:r>
      <w:r>
        <w:rPr>
          <w:rFonts w:ascii="Arial" w:cs="Arial" w:eastAsia="Arial" w:hAnsi="Arial"/>
          <w:sz w:val="20"/>
          <w:szCs w:val="20"/>
          <w:color w:val="auto"/>
        </w:rPr>
        <w:t>quarter of 2020, primarily as we have started to strategically reduce lower margin and higher risk businesses within the Marketing Solutions segment in order to focus on the higher growth potential of Enterprise Solutions.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Revenue from Enterprise Solutions </w:t>
      </w:r>
      <w:r>
        <w:rPr>
          <w:rFonts w:ascii="Arial" w:cs="Arial" w:eastAsia="Arial" w:hAnsi="Arial"/>
          <w:sz w:val="20"/>
          <w:szCs w:val="20"/>
          <w:color w:val="auto"/>
        </w:rPr>
        <w:t>was US$19.7 million for the fourth quarter of 2021, up approximately 87% from US$10.6 million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fourth quarter of 2020, primarily due to the increasing need for online and offline consumer behavior data integration and digital transformation.</w:t>
      </w:r>
    </w:p>
    <w:p>
      <w:pPr>
        <w:spacing w:after="0" w:line="207"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fourth quarter of 2021 was US$23.6 million, compared with US$23.3 million for the fourth quarter of 2020, mainly due</w:t>
      </w:r>
      <w:r>
        <w:rPr>
          <w:rFonts w:ascii="Arial" w:cs="Arial" w:eastAsia="Arial" w:hAnsi="Arial"/>
          <w:sz w:val="20"/>
          <w:szCs w:val="20"/>
          <w:b w:val="1"/>
          <w:bCs w:val="1"/>
          <w:color w:val="auto"/>
        </w:rPr>
        <w:t xml:space="preserve"> </w:t>
      </w:r>
      <w:r>
        <w:rPr>
          <w:rFonts w:ascii="Arial" w:cs="Arial" w:eastAsia="Arial" w:hAnsi="Arial"/>
          <w:sz w:val="20"/>
          <w:szCs w:val="20"/>
          <w:color w:val="auto"/>
        </w:rPr>
        <w:t>to the growth from Enterprise Solutions segment, which was offset by decline in Marketing Solutions segment.</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US$28.6 million for the fourth quarter of 2021, compared with US$24.5 million for the fourth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2020. This was resulted primarily from an increase in provision of bad debt relating to the changing regulation environment and heightened macroeconomic uncertainties.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Operating loss </w:t>
      </w:r>
      <w:r>
        <w:rPr>
          <w:rFonts w:ascii="Arial" w:cs="Arial" w:eastAsia="Arial" w:hAnsi="Arial"/>
          <w:sz w:val="20"/>
          <w:szCs w:val="20"/>
          <w:color w:val="auto"/>
        </w:rPr>
        <w:t>was US$5.1 million for the fourth quarter of 2021, compared with US$1.2 million for the fourth quarter of 2020, mainly</w:t>
      </w:r>
      <w:r>
        <w:rPr>
          <w:rFonts w:ascii="Arial" w:cs="Arial" w:eastAsia="Arial" w:hAnsi="Arial"/>
          <w:sz w:val="20"/>
          <w:szCs w:val="20"/>
          <w:b w:val="1"/>
          <w:bCs w:val="1"/>
          <w:color w:val="auto"/>
        </w:rPr>
        <w:t xml:space="preserve"> </w:t>
      </w:r>
      <w:r>
        <w:rPr>
          <w:rFonts w:ascii="Arial" w:cs="Arial" w:eastAsia="Arial" w:hAnsi="Arial"/>
          <w:sz w:val="20"/>
          <w:szCs w:val="20"/>
          <w:color w:val="auto"/>
        </w:rPr>
        <w:t>attributed to increased operating expenses.</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was US$7.1 million for the fourth quarter of 2021, compared with net income of US$0.6 million for the fourth quarter of 2020,</w:t>
      </w:r>
      <w:r>
        <w:rPr>
          <w:rFonts w:ascii="Arial" w:cs="Arial" w:eastAsia="Arial" w:hAnsi="Arial"/>
          <w:sz w:val="20"/>
          <w:szCs w:val="20"/>
          <w:b w:val="1"/>
          <w:bCs w:val="1"/>
          <w:color w:val="auto"/>
        </w:rPr>
        <w:t xml:space="preserve"> </w:t>
      </w:r>
      <w:r>
        <w:rPr>
          <w:rFonts w:ascii="Arial" w:cs="Arial" w:eastAsia="Arial" w:hAnsi="Arial"/>
          <w:sz w:val="20"/>
          <w:szCs w:val="20"/>
          <w:color w:val="auto"/>
        </w:rPr>
        <w:t>primarily due to increased operating expenses and impairment of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jc w:val="both"/>
        <w:spacing w:after="0" w:line="316" w:lineRule="auto"/>
        <w:rPr>
          <w:sz w:val="20"/>
          <w:szCs w:val="20"/>
          <w:color w:val="auto"/>
        </w:rPr>
      </w:pPr>
      <w:r>
        <w:rPr>
          <w:rFonts w:ascii="Arial" w:cs="Arial" w:eastAsia="Arial" w:hAnsi="Arial"/>
          <w:sz w:val="18"/>
          <w:szCs w:val="18"/>
          <w:color w:val="auto"/>
        </w:rPr>
        <w:t>Net loss attributable to the Company’s shareholders per basic and diluted ADS for the fourth quarter of 2021 were US$0.06, compared with a net income attributable to the Company’s shareholders per basic and diluted ADS for the fourth quarter of 2020 were US$0.01.</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the fourth quarter of 2021 was an income of US$0.1 million, compared with an income of US$5.1 million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fourth quarter of 2020. For a reconciliation of the Company’s adjusted EBITDA from net (loss)/income, its most comparable GAAP measure, please refer to “Unaudited Reconciliations of GAAP and Non-GAAP Results”.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loss </w:t>
      </w:r>
      <w:r>
        <w:rPr>
          <w:rFonts w:ascii="Arial" w:cs="Arial" w:eastAsia="Arial" w:hAnsi="Arial"/>
          <w:sz w:val="20"/>
          <w:szCs w:val="20"/>
          <w:color w:val="auto"/>
        </w:rPr>
        <w:t>for the fourth quarter of 2021 was US $2.7 million, compared with adjusted net income of US $2.1 million in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2020. For a reconciliation of the Company’s adjusted net (loss)/income from net (loss)/income, its most comparable GAAP measure, please refer to “Unaudited Reconciliations of GAAP and Non-GAAP Results”.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fourth quarter of 2021 US$207.3 million, compared with US $219.9 million in the fourth quarter of 2020. The gross</w:t>
      </w:r>
      <w:r>
        <w:rPr>
          <w:rFonts w:ascii="Arial" w:cs="Arial" w:eastAsia="Arial" w:hAnsi="Arial"/>
          <w:sz w:val="20"/>
          <w:szCs w:val="20"/>
          <w:b w:val="1"/>
          <w:bCs w:val="1"/>
          <w:color w:val="auto"/>
        </w:rPr>
        <w:t xml:space="preserve"> </w:t>
      </w:r>
      <w:r>
        <w:rPr>
          <w:rFonts w:ascii="Arial" w:cs="Arial" w:eastAsia="Arial" w:hAnsi="Arial"/>
          <w:sz w:val="20"/>
          <w:szCs w:val="20"/>
          <w:color w:val="auto"/>
        </w:rPr>
        <w:t>billing decreased as we have started to strategically reduce lower margin and higher risk businesses within the Marketing Solutions segment in order to focus on the higher growth potential of Enterprise Solution.</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31, 2021, the Company had cash and cash equivalents, time deposits and restricted cash of US$88.7 million, compared with US$94.5 million as of December 31,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2021 Results:</w:t>
      </w:r>
    </w:p>
    <w:p>
      <w:pPr>
        <w:spacing w:after="0" w:line="243"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2021 was US$307.7 million, an increase of 21% from US$254.7 million in 2020, attributable to the increase in contributions</w:t>
      </w:r>
      <w:r>
        <w:rPr>
          <w:rFonts w:ascii="Arial" w:cs="Arial" w:eastAsia="Arial" w:hAnsi="Arial"/>
          <w:sz w:val="20"/>
          <w:szCs w:val="20"/>
          <w:b w:val="1"/>
          <w:bCs w:val="1"/>
          <w:color w:val="auto"/>
        </w:rPr>
        <w:t xml:space="preserve"> </w:t>
      </w:r>
      <w:r>
        <w:rPr>
          <w:rFonts w:ascii="Arial" w:cs="Arial" w:eastAsia="Arial" w:hAnsi="Arial"/>
          <w:sz w:val="20"/>
          <w:szCs w:val="20"/>
          <w:color w:val="auto"/>
        </w:rPr>
        <w:t>from Marketing Solutions and Enterprise Solutions.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US$242.6 million for 2021, up 7% from US$225.8 million for 2020, primarily as a result of</w:t>
      </w:r>
      <w:r>
        <w:rPr>
          <w:rFonts w:ascii="Arial" w:cs="Arial" w:eastAsia="Arial" w:hAnsi="Arial"/>
          <w:sz w:val="20"/>
          <w:szCs w:val="20"/>
          <w:i w:val="1"/>
          <w:iCs w:val="1"/>
          <w:color w:val="auto"/>
        </w:rPr>
        <w:t xml:space="preserve"> </w:t>
      </w:r>
      <w:r>
        <w:rPr>
          <w:rFonts w:ascii="Arial" w:cs="Arial" w:eastAsia="Arial" w:hAnsi="Arial"/>
          <w:sz w:val="20"/>
          <w:szCs w:val="20"/>
          <w:color w:val="auto"/>
        </w:rPr>
        <w:t>growing market demand from specified action marketing campaigns.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Revenue from Enterprise Solutions </w:t>
      </w:r>
      <w:r>
        <w:rPr>
          <w:rFonts w:ascii="Arial" w:cs="Arial" w:eastAsia="Arial" w:hAnsi="Arial"/>
          <w:sz w:val="20"/>
          <w:szCs w:val="20"/>
          <w:color w:val="auto"/>
        </w:rPr>
        <w:t>was US$65.1 million for 2021, up approximately 125% from US$28.9 million for 2020, primarily due to</w:t>
      </w:r>
      <w:r>
        <w:rPr>
          <w:rFonts w:ascii="Arial" w:cs="Arial" w:eastAsia="Arial" w:hAnsi="Arial"/>
          <w:sz w:val="20"/>
          <w:szCs w:val="20"/>
          <w:i w:val="1"/>
          <w:iCs w:val="1"/>
          <w:color w:val="auto"/>
        </w:rPr>
        <w:t xml:space="preserve"> </w:t>
      </w:r>
      <w:r>
        <w:rPr>
          <w:rFonts w:ascii="Arial" w:cs="Arial" w:eastAsia="Arial" w:hAnsi="Arial"/>
          <w:sz w:val="20"/>
          <w:szCs w:val="20"/>
          <w:color w:val="auto"/>
        </w:rPr>
        <w:t>the increasing need for online and offline consumer behavior data integration and digital transformation.</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increased by 22% to US$89.2 million in 2021 from US$73.3 million in 2020, mainly as a result of the growth from Enterprise</w:t>
      </w:r>
      <w:r>
        <w:rPr>
          <w:rFonts w:ascii="Arial" w:cs="Arial" w:eastAsia="Arial" w:hAnsi="Arial"/>
          <w:sz w:val="20"/>
          <w:szCs w:val="20"/>
          <w:b w:val="1"/>
          <w:bCs w:val="1"/>
          <w:color w:val="auto"/>
        </w:rPr>
        <w:t xml:space="preserve"> </w:t>
      </w:r>
      <w:r>
        <w:rPr>
          <w:rFonts w:ascii="Arial" w:cs="Arial" w:eastAsia="Arial" w:hAnsi="Arial"/>
          <w:sz w:val="20"/>
          <w:szCs w:val="20"/>
          <w:color w:val="auto"/>
        </w:rPr>
        <w:t>Solutions segment, which was offset by decline in Marketing Solutions segment.</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US$102.0 million for 2021, compared with US$75.0 million for 2020. The increased expense was resulted</w:t>
      </w:r>
      <w:r>
        <w:rPr>
          <w:rFonts w:ascii="Arial" w:cs="Arial" w:eastAsia="Arial" w:hAnsi="Arial"/>
          <w:sz w:val="20"/>
          <w:szCs w:val="20"/>
          <w:b w:val="1"/>
          <w:bCs w:val="1"/>
          <w:color w:val="auto"/>
        </w:rPr>
        <w:t xml:space="preserve"> </w:t>
      </w:r>
      <w:r>
        <w:rPr>
          <w:rFonts w:ascii="Arial" w:cs="Arial" w:eastAsia="Arial" w:hAnsi="Arial"/>
          <w:sz w:val="20"/>
          <w:szCs w:val="20"/>
          <w:color w:val="auto"/>
        </w:rPr>
        <w:t>primarily from incremental staff cost, operating expenses incurred for the expansion of business scale of US$4.5 million, share-based compensation expenses of US$7.2 million and provision of bad debt.</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Operating loss </w:t>
      </w:r>
      <w:r>
        <w:rPr>
          <w:rFonts w:ascii="Arial" w:cs="Arial" w:eastAsia="Arial" w:hAnsi="Arial"/>
          <w:sz w:val="20"/>
          <w:szCs w:val="20"/>
          <w:color w:val="auto"/>
        </w:rPr>
        <w:t>for 2021 was US$12.9 million, compared with an operating loss of US$1.8 million for 2020. This increase was as a result of</w:t>
      </w:r>
      <w:r>
        <w:rPr>
          <w:rFonts w:ascii="Arial" w:cs="Arial" w:eastAsia="Arial" w:hAnsi="Arial"/>
          <w:sz w:val="20"/>
          <w:szCs w:val="20"/>
          <w:b w:val="1"/>
          <w:bCs w:val="1"/>
          <w:color w:val="auto"/>
        </w:rPr>
        <w:t xml:space="preserve"> </w:t>
      </w:r>
      <w:r>
        <w:rPr>
          <w:rFonts w:ascii="Arial" w:cs="Arial" w:eastAsia="Arial" w:hAnsi="Arial"/>
          <w:sz w:val="20"/>
          <w:szCs w:val="20"/>
          <w:color w:val="auto"/>
        </w:rPr>
        <w:t>an increase in operating expenses, which was partially offset by the growth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744220</wp:posOffset>
            </wp:positionV>
            <wp:extent cx="2040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pay the Company after deducting rebates paid and discounts given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 w:name="page7"/>
    <w:bookmarkEnd w:id="6"/>
    <w:p>
      <w:pPr>
        <w:jc w:val="both"/>
        <w:spacing w:after="0" w:line="272" w:lineRule="auto"/>
        <w:rPr>
          <w:sz w:val="20"/>
          <w:szCs w:val="20"/>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totalled US$16.6 million for 2021, compared with US$14.9 million for 2020. The decrease was mainly attributed to fair value</w:t>
      </w:r>
      <w:r>
        <w:rPr>
          <w:rFonts w:ascii="Arial" w:cs="Arial" w:eastAsia="Arial" w:hAnsi="Arial"/>
          <w:sz w:val="19"/>
          <w:szCs w:val="19"/>
          <w:b w:val="1"/>
          <w:bCs w:val="1"/>
          <w:color w:val="auto"/>
        </w:rPr>
        <w:t xml:space="preserve"> </w:t>
      </w:r>
      <w:r>
        <w:rPr>
          <w:rFonts w:ascii="Arial" w:cs="Arial" w:eastAsia="Arial" w:hAnsi="Arial"/>
          <w:sz w:val="19"/>
          <w:szCs w:val="19"/>
          <w:color w:val="auto"/>
        </w:rPr>
        <w:t>losses on convertible notes and derivative liabilities of US$11.5 million and US$4.4 million respectively in 2020 and a growth in gross profit in 2021, which was partially offset by the incremental operating loss and impairment of equity investments.</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Net loss attributable to the Company’s shareholders per basic and diluted ADS for 2021 was US$0.14 compared with a net loss per basic and diluted ADS of US$0.16 for 2020.</w:t>
      </w:r>
    </w:p>
    <w:p>
      <w:pPr>
        <w:spacing w:after="0" w:line="198"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for 2021 was US$13.4 million, compared with US$17.3 million for 2020. For a reconciliation of the Company’s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EBITDA from net loss, its most comparable GAAP measure, please refer to “Unaudited Reconciliations of GAAP and Non-GAAP Results”.</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for 2021 was US$1.4 million, compared with an adjusted net income of US$7.6 million for 2020. For a reconciliation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Company’s adjusted net (loss)/income to net (loss)/income, its most comparable GAAP measure, please refer to “Unaudited Reconciliations of GAAP and Non-GAAP Results”.</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grew to US$796.9 million for 2021, up 18% from 2020. The increase was a result of increasing marketers’ demand especially</w:t>
      </w:r>
      <w:r>
        <w:rPr>
          <w:rFonts w:ascii="Arial" w:cs="Arial" w:eastAsia="Arial" w:hAnsi="Arial"/>
          <w:sz w:val="20"/>
          <w:szCs w:val="20"/>
          <w:b w:val="1"/>
          <w:bCs w:val="1"/>
          <w:color w:val="auto"/>
        </w:rPr>
        <w:t xml:space="preserve"> </w:t>
      </w:r>
      <w:r>
        <w:rPr>
          <w:rFonts w:ascii="Arial" w:cs="Arial" w:eastAsia="Arial" w:hAnsi="Arial"/>
          <w:sz w:val="20"/>
          <w:szCs w:val="20"/>
          <w:color w:val="auto"/>
        </w:rPr>
        <w:t>from the entertainment and media, e-commerce, personal care and beauty verticals.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December 10, 2020, the Company announced a share repurchase program in which it may purchase its own ADSs with an aggregate value of up to US$15.0 million from December 30, 2020 to December 31, 2021, which was upsized to US$25.0 million on August 25, 2021. As of December 31, 2021, the aggregate value of purchased shares was approximately US $10.9 million. Our board of directors had approved a new share repurchase program in which the company may purchase its own ADSs with an aggregate value of up to US$20.0 million from January 1, 2022 to December 31, 2022.</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Based on the information available as of the date of this press release, iClick provides the following outlook for the first quarter of 2022 and for the full year 2022: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First Quarter 2022:</w:t>
      </w:r>
    </w:p>
    <w:p>
      <w:pPr>
        <w:spacing w:after="0" w:line="108"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from Enterprise Solutions is estimated to be between US$16 million and US$17 million.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Full Year 2022:</w:t>
      </w:r>
    </w:p>
    <w:p>
      <w:pPr>
        <w:spacing w:after="0" w:line="108"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from Enterprise Solutions is estimated to be between US$90 million and US$106 million.</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both"/>
        <w:ind w:right="20"/>
        <w:spacing w:after="0" w:line="257" w:lineRule="auto"/>
        <w:rPr>
          <w:sz w:val="20"/>
          <w:szCs w:val="20"/>
          <w:color w:val="auto"/>
        </w:rPr>
      </w:pPr>
      <w:r>
        <w:rPr>
          <w:rFonts w:ascii="Arial" w:cs="Arial" w:eastAsia="Arial" w:hAnsi="Arial"/>
          <w:sz w:val="19"/>
          <w:szCs w:val="19"/>
          <w:color w:val="auto"/>
        </w:rPr>
        <w:t>We note that the advertising budgets for our clients continue to be impacted by the changing regulatory environment and macroeconomic uncertainty. For example, recent regulatory tightening on several industry verticals including online education and online gaming have affected the sentiment of advertising spending of some clients in our Marketing Solutions business. Despite these headwinds in the current commercial environment, we anticipate that brands may allocate more of their advertising budgets to mobile and online targeted marketing, with the potential to benefit our mobile and performance-focused Marketing Solutions business. Brands may also see the importance of online and offline consumer behavioural data integration and analysis, which may favour our Enterprise Solutions business in the long run. We remain vigilant in evaluating the risks posed by the changing regulatory environment and macroeconomic uncertainty and the potential impacts they have on our expectations.</w:t>
      </w:r>
    </w:p>
    <w:p>
      <w:pPr>
        <w:spacing w:after="0" w:line="207"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With iClick’s diversified customer base of stable, top-tier brands and ongoing government efforts to contain the spread of the coronavirus amid the rollout of vaccine, we remain cautiously optimistic for the remainder of 2022. However, outbreaks and resurgence of COVID-19, including recent variants around the world may continue to impact market conditions and potentially trigger a longer period of global economic slowdown. This could affect the overall sentiment and advertising budgets of our branding customers, which in turn may impact our both Marketing Solution business and Enterprise Solution business in the short term. The rapid development and fluidity of the current situation precludes any prediction as to the ultimate adverse impact of COVID-19. Management will continue to closely monitor the outbreak’s impact on our operations and financial results this year and will particularly focus on accounts receivable recoverability.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an earnings conference call at 8:00 AM U.S. Eastern Time on March 24, 2022 (8:00 PM Beijing/Hong Kong time 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March 24, 2022). Participants may join the call through either of the below methods:</w:t>
      </w:r>
    </w:p>
    <w:p>
      <w:pPr>
        <w:spacing w:after="0" w:line="194" w:lineRule="exact"/>
        <w:rPr>
          <w:sz w:val="20"/>
          <w:szCs w:val="20"/>
          <w:color w:val="auto"/>
        </w:rPr>
      </w:pPr>
    </w:p>
    <w:p>
      <w:pPr>
        <w:ind w:left="800" w:hanging="792"/>
        <w:spacing w:after="0"/>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Dial-in to the conference call</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are asked to pre-register for the call via the following link: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http://apac.directeventreg.com/registration/event/5097433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Upon registering, participants will be provided with participant dial-in numbers, Direct Event passcode and unique registrant ID.</w:t>
      </w:r>
    </w:p>
    <w:p>
      <w:pPr>
        <w:spacing w:after="0" w:line="210" w:lineRule="exact"/>
        <w:rPr>
          <w:sz w:val="20"/>
          <w:szCs w:val="20"/>
          <w:color w:val="auto"/>
        </w:rPr>
      </w:pPr>
    </w:p>
    <w:p>
      <w:pPr>
        <w:ind w:left="800" w:hanging="792"/>
        <w:spacing w:after="0"/>
        <w:tabs>
          <w:tab w:leader="none" w:pos="80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Webcast</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may also join a live and archived webcast of the call through the below link: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https://ir.i-click.com/news-events/presentations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live and archived webcast of the conference call will be available on iClick’s investor relations website at </w:t>
      </w:r>
      <w:r>
        <w:rPr>
          <w:rFonts w:ascii="Arial" w:cs="Arial" w:eastAsia="Arial" w:hAnsi="Arial"/>
          <w:sz w:val="20"/>
          <w:szCs w:val="20"/>
          <w:u w:val="single" w:color="auto"/>
          <w:color w:val="auto"/>
        </w:rPr>
        <w:t>https://ir.i-click.com</w:t>
      </w:r>
      <w:r>
        <w:rPr>
          <w:rFonts w:ascii="Arial" w:cs="Arial" w:eastAsia="Arial" w:hAnsi="Arial"/>
          <w:sz w:val="20"/>
          <w:szCs w:val="20"/>
          <w:color w:val="auto"/>
        </w:rPr>
        <w:t>.</w:t>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 replay of the call will be available approximately two hours after the end of the call through April 1, 2022. The webcast replay can be accessed through the above link. Replay may also be accessed by calling: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United States:</w:t>
            </w:r>
          </w:p>
        </w:tc>
        <w:tc>
          <w:tcPr>
            <w:tcW w:w="9360" w:type="dxa"/>
            <w:vAlign w:val="bottom"/>
          </w:tcPr>
          <w:p>
            <w:pPr>
              <w:ind w:left="340"/>
              <w:spacing w:after="0"/>
              <w:rPr>
                <w:sz w:val="20"/>
                <w:szCs w:val="20"/>
                <w:color w:val="auto"/>
              </w:rPr>
            </w:pPr>
            <w:r>
              <w:rPr>
                <w:rFonts w:ascii="Arial" w:cs="Arial" w:eastAsia="Arial" w:hAnsi="Arial"/>
                <w:sz w:val="18"/>
                <w:szCs w:val="18"/>
                <w:color w:val="auto"/>
              </w:rPr>
              <w:t>+1-646-254-3697</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International:</w:t>
            </w:r>
          </w:p>
        </w:tc>
        <w:tc>
          <w:tcPr>
            <w:tcW w:w="9360" w:type="dxa"/>
            <w:vAlign w:val="bottom"/>
          </w:tcPr>
          <w:p>
            <w:pPr>
              <w:ind w:left="340"/>
              <w:spacing w:after="0"/>
              <w:rPr>
                <w:sz w:val="20"/>
                <w:szCs w:val="20"/>
                <w:color w:val="auto"/>
              </w:rPr>
            </w:pPr>
            <w:r>
              <w:rPr>
                <w:rFonts w:ascii="Arial" w:cs="Arial" w:eastAsia="Arial" w:hAnsi="Arial"/>
                <w:sz w:val="18"/>
                <w:szCs w:val="18"/>
                <w:color w:val="auto"/>
              </w:rPr>
              <w:t>+61-2-8199-0299</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Hong Kong:</w:t>
            </w:r>
          </w:p>
        </w:tc>
        <w:tc>
          <w:tcPr>
            <w:tcW w:w="9360" w:type="dxa"/>
            <w:vAlign w:val="bottom"/>
          </w:tcPr>
          <w:p>
            <w:pPr>
              <w:ind w:left="340"/>
              <w:spacing w:after="0"/>
              <w:rPr>
                <w:sz w:val="20"/>
                <w:szCs w:val="20"/>
                <w:color w:val="auto"/>
              </w:rPr>
            </w:pPr>
            <w:r>
              <w:rPr>
                <w:rFonts w:ascii="Arial" w:cs="Arial" w:eastAsia="Arial" w:hAnsi="Arial"/>
                <w:sz w:val="18"/>
                <w:szCs w:val="18"/>
                <w:color w:val="auto"/>
              </w:rPr>
              <w:t>+852 30512780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Mainland China:</w:t>
            </w:r>
          </w:p>
        </w:tc>
        <w:tc>
          <w:tcPr>
            <w:tcW w:w="9360" w:type="dxa"/>
            <w:vAlign w:val="bottom"/>
          </w:tcPr>
          <w:p>
            <w:pPr>
              <w:ind w:left="340"/>
              <w:spacing w:after="0"/>
              <w:rPr>
                <w:sz w:val="20"/>
                <w:szCs w:val="20"/>
                <w:color w:val="auto"/>
              </w:rPr>
            </w:pPr>
            <w:r>
              <w:rPr>
                <w:rFonts w:ascii="Arial" w:cs="Arial" w:eastAsia="Arial" w:hAnsi="Arial"/>
                <w:sz w:val="18"/>
                <w:szCs w:val="18"/>
                <w:color w:val="auto"/>
              </w:rPr>
              <w:t>400 8209035</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Replay Access Code:</w:t>
            </w:r>
          </w:p>
        </w:tc>
        <w:tc>
          <w:tcPr>
            <w:tcW w:w="9360" w:type="dxa"/>
            <w:vAlign w:val="bottom"/>
          </w:tcPr>
          <w:p>
            <w:pPr>
              <w:ind w:left="340"/>
              <w:spacing w:after="0"/>
              <w:rPr>
                <w:sz w:val="20"/>
                <w:szCs w:val="20"/>
                <w:color w:val="auto"/>
              </w:rPr>
            </w:pPr>
            <w:r>
              <w:rPr>
                <w:rFonts w:ascii="Arial" w:cs="Arial" w:eastAsia="Arial" w:hAnsi="Arial"/>
                <w:sz w:val="18"/>
                <w:szCs w:val="18"/>
                <w:color w:val="auto"/>
              </w:rPr>
              <w:t>5097433</w:t>
            </w:r>
          </w:p>
        </w:tc>
      </w:tr>
      <w:tr>
        <w:trPr>
          <w:trHeight w:val="358"/>
        </w:trPr>
        <w:tc>
          <w:tcPr>
            <w:tcW w:w="190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5"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w:t>
      </w:r>
      <w:r>
        <w:rPr>
          <w:rFonts w:ascii="Arial" w:cs="Arial" w:eastAsia="Arial" w:hAnsi="Arial"/>
          <w:sz w:val="20"/>
          <w:szCs w:val="20"/>
          <w:u w:val="single" w:color="auto"/>
          <w:color w:val="0563C1"/>
        </w:rPr>
        <w:t>https://ir.i-click.com</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uses adjusted EBITDA, adjusted net (loss)/income, and diluted adjusted net (loss)/income per ADS, each a non-GAAP financial measure, in evaluating the Company’s operating results and for financial and operational decision-making purposes.</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believes that adjusted EBITDA, adjusted net (loss)/income, and diluted adjusted net (loss)/income per ADS help identify underlying trends in the Company’s business that could otherwise be distorted by the effect of the expenses and gains that the Company includes in net loss. The Company believes that adjusted EBITDA and adjusted net (loss)/income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EBITDA, adjusted net (loss)/income, and diluted adjusted net (loss)/income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(loss)/income, and diluted adjusted net (loss)/income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Safe Harbor Statement</w:t>
      </w:r>
    </w:p>
    <w:p>
      <w:pPr>
        <w:spacing w:after="0" w:line="2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00" w:type="dxa"/>
            <w:vAlign w:val="bottom"/>
          </w:tcPr>
          <w:p>
            <w:pPr>
              <w:spacing w:after="0"/>
              <w:rPr>
                <w:sz w:val="20"/>
                <w:szCs w:val="20"/>
                <w:color w:val="auto"/>
              </w:rPr>
            </w:pPr>
            <w:r>
              <w:rPr>
                <w:rFonts w:ascii="Arial" w:cs="Arial" w:eastAsia="Arial" w:hAnsi="Arial"/>
                <w:sz w:val="20"/>
                <w:szCs w:val="20"/>
                <w:b w:val="1"/>
                <w:bCs w:val="1"/>
                <w:color w:val="auto"/>
                <w:w w:val="94"/>
              </w:rPr>
              <w:t>For investor and media inquiries, please contact:</w:t>
            </w:r>
          </w:p>
        </w:tc>
        <w:tc>
          <w:tcPr>
            <w:tcW w:w="6860" w:type="dxa"/>
            <w:vAlign w:val="bottom"/>
          </w:tcPr>
          <w:p>
            <w:pPr>
              <w:spacing w:after="0"/>
              <w:rPr>
                <w:sz w:val="22"/>
                <w:szCs w:val="22"/>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20"/>
                <w:szCs w:val="20"/>
                <w:b w:val="1"/>
                <w:bCs w:val="1"/>
                <w:color w:val="auto"/>
              </w:rPr>
              <w:t>In China:</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In the United States:</w:t>
            </w:r>
          </w:p>
        </w:tc>
      </w:tr>
      <w:tr>
        <w:trPr>
          <w:trHeight w:val="235"/>
        </w:trPr>
        <w:tc>
          <w:tcPr>
            <w:tcW w:w="4400" w:type="dxa"/>
            <w:vAlign w:val="bottom"/>
          </w:tcPr>
          <w:p>
            <w:pPr>
              <w:spacing w:after="0"/>
              <w:rPr>
                <w:sz w:val="20"/>
                <w:szCs w:val="20"/>
                <w:color w:val="auto"/>
              </w:rPr>
            </w:pPr>
            <w:r>
              <w:rPr>
                <w:rFonts w:ascii="Arial" w:cs="Arial" w:eastAsia="Arial" w:hAnsi="Arial"/>
                <w:sz w:val="20"/>
                <w:szCs w:val="20"/>
                <w:b w:val="1"/>
                <w:bCs w:val="1"/>
                <w:color w:val="auto"/>
              </w:rPr>
              <w:t>iClick Interactive Asia Group Limited</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Core IR</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Lisa Li</w:t>
            </w:r>
          </w:p>
        </w:tc>
        <w:tc>
          <w:tcPr>
            <w:tcW w:w="6860" w:type="dxa"/>
            <w:vAlign w:val="bottom"/>
          </w:tcPr>
          <w:p>
            <w:pPr>
              <w:ind w:left="1220"/>
              <w:spacing w:after="0"/>
              <w:rPr>
                <w:sz w:val="20"/>
                <w:szCs w:val="20"/>
                <w:color w:val="auto"/>
              </w:rPr>
            </w:pPr>
            <w:r>
              <w:rPr>
                <w:rFonts w:ascii="Arial" w:cs="Arial" w:eastAsia="Arial" w:hAnsi="Arial"/>
                <w:sz w:val="20"/>
                <w:szCs w:val="20"/>
                <w:color w:val="auto"/>
              </w:rPr>
              <w:t>Tom Caden</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Phone: +86-21-3230-3931 #866</w:t>
            </w:r>
          </w:p>
        </w:tc>
        <w:tc>
          <w:tcPr>
            <w:tcW w:w="6860" w:type="dxa"/>
            <w:vAlign w:val="bottom"/>
          </w:tcPr>
          <w:p>
            <w:pPr>
              <w:ind w:left="1220"/>
              <w:spacing w:after="0"/>
              <w:rPr>
                <w:sz w:val="20"/>
                <w:szCs w:val="20"/>
                <w:color w:val="auto"/>
              </w:rPr>
            </w:pPr>
            <w:r>
              <w:rPr>
                <w:rFonts w:ascii="Arial" w:cs="Arial" w:eastAsia="Arial" w:hAnsi="Arial"/>
                <w:sz w:val="20"/>
                <w:szCs w:val="20"/>
                <w:color w:val="auto"/>
              </w:rPr>
              <w:t>Tel: +1-516-222-2560</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E-mail: ir@i-click.com</w:t>
            </w:r>
          </w:p>
        </w:tc>
        <w:tc>
          <w:tcPr>
            <w:tcW w:w="6860" w:type="dxa"/>
            <w:vAlign w:val="bottom"/>
          </w:tcPr>
          <w:p>
            <w:pPr>
              <w:ind w:left="1220"/>
              <w:spacing w:after="0"/>
              <w:rPr>
                <w:sz w:val="20"/>
                <w:szCs w:val="20"/>
                <w:color w:val="auto"/>
              </w:rPr>
            </w:pPr>
            <w:r>
              <w:rPr>
                <w:rFonts w:ascii="Arial" w:cs="Arial" w:eastAsia="Arial" w:hAnsi="Arial"/>
                <w:sz w:val="20"/>
                <w:szCs w:val="20"/>
                <w:color w:val="auto"/>
              </w:rPr>
              <w:t>E-mail: tomc@coreir.com</w:t>
            </w:r>
          </w:p>
        </w:tc>
      </w:tr>
      <w:tr>
        <w:trPr>
          <w:trHeight w:val="473"/>
        </w:trPr>
        <w:tc>
          <w:tcPr>
            <w:tcW w:w="4400" w:type="dxa"/>
            <w:vAlign w:val="bottom"/>
          </w:tcPr>
          <w:p>
            <w:pPr>
              <w:spacing w:after="0"/>
              <w:rPr>
                <w:sz w:val="24"/>
                <w:szCs w:val="24"/>
                <w:color w:val="auto"/>
              </w:rPr>
            </w:pPr>
          </w:p>
        </w:tc>
        <w:tc>
          <w:tcPr>
            <w:tcW w:w="6860" w:type="dxa"/>
            <w:vAlign w:val="bottom"/>
          </w:tcPr>
          <w:p>
            <w:pPr>
              <w:ind w:left="280"/>
              <w:spacing w:after="0"/>
              <w:rPr>
                <w:sz w:val="20"/>
                <w:szCs w:val="20"/>
                <w:color w:val="auto"/>
              </w:rPr>
            </w:pPr>
            <w:r>
              <w:rPr>
                <w:rFonts w:ascii="Arial" w:cs="Arial" w:eastAsia="Arial" w:hAnsi="Arial"/>
                <w:sz w:val="20"/>
                <w:szCs w:val="20"/>
                <w:color w:val="auto"/>
              </w:rPr>
              <w:t>(financial tables follow)</w:t>
            </w:r>
          </w:p>
        </w:tc>
      </w:tr>
      <w:tr>
        <w:trPr>
          <w:trHeight w:val="111"/>
        </w:trPr>
        <w:tc>
          <w:tcPr>
            <w:tcW w:w="440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Condensed Consolidated Statements of Comprehensive (Loss)/Income</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700" w:type="dxa"/>
            <w:vAlign w:val="bottom"/>
            <w:gridSpan w:val="3"/>
          </w:tcPr>
          <w:p>
            <w:pPr>
              <w:jc w:val="center"/>
              <w:ind w:left="732"/>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76,323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78,692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307,702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Cost of revenue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(52,773)</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(55,428)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(218,549)</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(181,482)</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23,550</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23,264</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89,153</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(3,197)</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(1,875)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(9,527)</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(10,608)</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(11,877)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(52,872)</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(38,028)</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(14,813)</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(10,702)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(39,643)</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(31,648)</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(28,618)</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(24,454)</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(102,042)</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140" w:type="dxa"/>
            <w:vAlign w:val="bottom"/>
          </w:tcPr>
          <w:p>
            <w:pPr>
              <w:jc w:val="right"/>
              <w:spacing w:after="0"/>
              <w:rPr>
                <w:sz w:val="20"/>
                <w:szCs w:val="20"/>
                <w:color w:val="auto"/>
              </w:rPr>
            </w:pPr>
            <w:r>
              <w:rPr>
                <w:rFonts w:ascii="Arial" w:cs="Arial" w:eastAsia="Arial" w:hAnsi="Arial"/>
                <w:sz w:val="18"/>
                <w:szCs w:val="18"/>
                <w:color w:val="auto"/>
              </w:rPr>
              <w:t>(5,068)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(12,889)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(863)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(4,089)</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(losses)/gains, net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(752)</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Fair value losses on derivative liabilities</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Fair value losses on convertible notes</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05"/>
        </w:trPr>
        <w:tc>
          <w:tcPr>
            <w:tcW w:w="5840" w:type="dxa"/>
            <w:vAlign w:val="bottom"/>
          </w:tcPr>
          <w:p>
            <w:pPr>
              <w:spacing w:after="0" w:line="205" w:lineRule="exact"/>
              <w:rPr>
                <w:sz w:val="20"/>
                <w:szCs w:val="20"/>
                <w:color w:val="auto"/>
              </w:rPr>
            </w:pPr>
            <w:r>
              <w:rPr>
                <w:rFonts w:ascii="Arial" w:cs="Arial" w:eastAsia="Arial" w:hAnsi="Arial"/>
                <w:sz w:val="18"/>
                <w:szCs w:val="18"/>
                <w:b w:val="1"/>
                <w:bCs w:val="1"/>
                <w:color w:val="auto"/>
              </w:rPr>
              <w:t>(Loss)/income before income tax expense and share of losses</w:t>
            </w: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from an equity investee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(6,399)</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(13,951)</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(13,162)</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(286)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(2,540)</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Net (loss)/income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(7,093)</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(16,598)</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1,107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(loss)/income attributable to iClick Interactive Asia</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(5,986)</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1,286</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(13,631)</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color w:val="auto"/>
              </w:rPr>
              <w:t>Net (loss)/income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(7,093)</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(16,598)</w:t>
            </w:r>
          </w:p>
        </w:tc>
        <w:tc>
          <w:tcPr>
            <w:tcW w:w="3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 net of</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US$nil tax</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(5,838)</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1,631</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(13,114)</w:t>
            </w:r>
          </w:p>
        </w:tc>
        <w:tc>
          <w:tcPr>
            <w:tcW w:w="3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(loss)/income attributable to iClick Interactive Asia</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(4,799)</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2,065</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(10,291)</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 per ADS attributable to iClick Interactive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Asia Group Limited’s ordinary shareholders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441"/>
        </w:trPr>
        <w:tc>
          <w:tcPr>
            <w:tcW w:w="584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share calculation: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140" w:type="dxa"/>
            <w:vAlign w:val="bottom"/>
          </w:tcPr>
          <w:p>
            <w:pPr>
              <w:jc w:val="right"/>
              <w:spacing w:after="0"/>
              <w:rPr>
                <w:sz w:val="20"/>
                <w:szCs w:val="20"/>
                <w:color w:val="auto"/>
              </w:rPr>
            </w:pPr>
            <w:r>
              <w:rPr>
                <w:rFonts w:ascii="Arial" w:cs="Arial" w:eastAsia="Arial" w:hAnsi="Arial"/>
                <w:sz w:val="18"/>
                <w:szCs w:val="18"/>
                <w:color w:val="auto"/>
              </w:rPr>
              <w:t>97,710,498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91,720,956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96,374,469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78,736,872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97,710,498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97,715,972</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96,374,469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78,736,872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 w:name="page12"/>
    <w:bookmarkEnd w:id="11"/>
    <w:p>
      <w:pPr>
        <w:ind w:left="344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rPr>
              <w:t>As of</w:t>
            </w:r>
          </w:p>
        </w:tc>
        <w:tc>
          <w:tcPr>
            <w:tcW w:w="170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 2021</w:t>
            </w:r>
          </w:p>
        </w:tc>
        <w:tc>
          <w:tcPr>
            <w:tcW w:w="17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Assets</w:t>
            </w:r>
          </w:p>
        </w:tc>
        <w:tc>
          <w:tcPr>
            <w:tcW w:w="1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Cash and cash equivalents, time deposits and restricted cash</w:t>
            </w:r>
          </w:p>
        </w:tc>
        <w:tc>
          <w:tcPr>
            <w:tcW w:w="1560" w:type="dxa"/>
            <w:vAlign w:val="bottom"/>
          </w:tcPr>
          <w:p>
            <w:pPr>
              <w:jc w:val="right"/>
              <w:spacing w:after="0"/>
              <w:rPr>
                <w:sz w:val="20"/>
                <w:szCs w:val="20"/>
                <w:color w:val="auto"/>
              </w:rPr>
            </w:pPr>
            <w:r>
              <w:rPr>
                <w:rFonts w:ascii="Arial" w:cs="Arial" w:eastAsia="Arial" w:hAnsi="Arial"/>
                <w:sz w:val="13"/>
                <w:szCs w:val="13"/>
                <w:color w:val="auto"/>
              </w:rPr>
              <w:t>88,717</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94,466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Accounts receivable, net of allowance for doubtful receivables of US$22,786 and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US$11,749 as of December 31, 2021 and December 31, 2020 respectively</w:t>
            </w:r>
          </w:p>
        </w:tc>
        <w:tc>
          <w:tcPr>
            <w:tcW w:w="1560" w:type="dxa"/>
            <w:vAlign w:val="bottom"/>
          </w:tcPr>
          <w:p>
            <w:pPr>
              <w:jc w:val="right"/>
              <w:spacing w:after="0"/>
              <w:rPr>
                <w:sz w:val="20"/>
                <w:szCs w:val="20"/>
                <w:color w:val="auto"/>
              </w:rPr>
            </w:pPr>
            <w:r>
              <w:rPr>
                <w:rFonts w:ascii="Arial" w:cs="Arial" w:eastAsia="Arial" w:hAnsi="Arial"/>
                <w:sz w:val="13"/>
                <w:szCs w:val="13"/>
                <w:color w:val="auto"/>
              </w:rPr>
              <w:t>187,261</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143,142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Other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75,288</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83,568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351,266</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321,176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Non-current assets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1560" w:type="dxa"/>
            <w:vAlign w:val="bottom"/>
          </w:tcPr>
          <w:p>
            <w:pPr>
              <w:jc w:val="right"/>
              <w:spacing w:after="0"/>
              <w:rPr>
                <w:sz w:val="20"/>
                <w:szCs w:val="20"/>
                <w:color w:val="auto"/>
              </w:rPr>
            </w:pPr>
            <w:r>
              <w:rPr>
                <w:rFonts w:ascii="Arial" w:cs="Arial" w:eastAsia="Arial" w:hAnsi="Arial"/>
                <w:sz w:val="13"/>
                <w:szCs w:val="13"/>
                <w:color w:val="auto"/>
              </w:rPr>
              <w:t>81,674</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74,419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Intangible assets</w:t>
            </w:r>
          </w:p>
        </w:tc>
        <w:tc>
          <w:tcPr>
            <w:tcW w:w="1560" w:type="dxa"/>
            <w:vAlign w:val="bottom"/>
          </w:tcPr>
          <w:p>
            <w:pPr>
              <w:jc w:val="right"/>
              <w:spacing w:after="0"/>
              <w:rPr>
                <w:sz w:val="20"/>
                <w:szCs w:val="20"/>
                <w:color w:val="auto"/>
              </w:rPr>
            </w:pPr>
            <w:r>
              <w:rPr>
                <w:rFonts w:ascii="Arial" w:cs="Arial" w:eastAsia="Arial" w:hAnsi="Arial"/>
                <w:sz w:val="13"/>
                <w:szCs w:val="13"/>
                <w:color w:val="auto"/>
              </w:rPr>
              <w:t>53,713</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56,431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21,081</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18,089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non-current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156,468</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148,939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507,734</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470,115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Accounts payable</w:t>
            </w:r>
          </w:p>
        </w:tc>
        <w:tc>
          <w:tcPr>
            <w:tcW w:w="1560" w:type="dxa"/>
            <w:vAlign w:val="bottom"/>
          </w:tcPr>
          <w:p>
            <w:pPr>
              <w:jc w:val="right"/>
              <w:spacing w:after="0"/>
              <w:rPr>
                <w:sz w:val="20"/>
                <w:szCs w:val="20"/>
                <w:color w:val="auto"/>
              </w:rPr>
            </w:pPr>
            <w:r>
              <w:rPr>
                <w:rFonts w:ascii="Arial" w:cs="Arial" w:eastAsia="Arial" w:hAnsi="Arial"/>
                <w:sz w:val="13"/>
                <w:szCs w:val="13"/>
                <w:color w:val="auto"/>
              </w:rPr>
              <w:t>66,587</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43,140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Bank borrowings</w:t>
            </w:r>
          </w:p>
        </w:tc>
        <w:tc>
          <w:tcPr>
            <w:tcW w:w="1560" w:type="dxa"/>
            <w:vAlign w:val="bottom"/>
          </w:tcPr>
          <w:p>
            <w:pPr>
              <w:jc w:val="right"/>
              <w:spacing w:after="0"/>
              <w:rPr>
                <w:sz w:val="20"/>
                <w:szCs w:val="20"/>
                <w:color w:val="auto"/>
              </w:rPr>
            </w:pPr>
            <w:r>
              <w:rPr>
                <w:rFonts w:ascii="Arial" w:cs="Arial" w:eastAsia="Arial" w:hAnsi="Arial"/>
                <w:sz w:val="13"/>
                <w:szCs w:val="13"/>
                <w:color w:val="auto"/>
              </w:rPr>
              <w:t>75,530</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56,040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Other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58,728</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63,667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200,845</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162,847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Non-current liabilities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Other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15,300</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28,180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non-current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15,300</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28,180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216,145</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191,027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Equity</w:t>
            </w: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Ordinary shares – Class A (US$0.001 par value; 80,000,000 shares authorized as of</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2021 and December 31, 2020, respectively; 42,865,515 shares and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40,996,215 shares issued and outstanding as of December 31, 2021 and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2020, respectively)</w:t>
            </w:r>
          </w:p>
        </w:tc>
        <w:tc>
          <w:tcPr>
            <w:tcW w:w="1560" w:type="dxa"/>
            <w:vAlign w:val="bottom"/>
          </w:tcPr>
          <w:p>
            <w:pPr>
              <w:jc w:val="right"/>
              <w:spacing w:after="0"/>
              <w:rPr>
                <w:sz w:val="20"/>
                <w:szCs w:val="20"/>
                <w:color w:val="auto"/>
              </w:rPr>
            </w:pPr>
            <w:r>
              <w:rPr>
                <w:rFonts w:ascii="Arial" w:cs="Arial" w:eastAsia="Arial" w:hAnsi="Arial"/>
                <w:sz w:val="13"/>
                <w:szCs w:val="13"/>
                <w:color w:val="auto"/>
              </w:rPr>
              <w:t>43</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gridSpan w:val="2"/>
          </w:tcPr>
          <w:p>
            <w:pPr>
              <w:spacing w:after="0"/>
              <w:rPr>
                <w:sz w:val="20"/>
                <w:szCs w:val="20"/>
                <w:color w:val="auto"/>
              </w:rPr>
            </w:pPr>
            <w:r>
              <w:rPr>
                <w:rFonts w:ascii="Arial" w:cs="Arial" w:eastAsia="Arial" w:hAnsi="Arial"/>
                <w:sz w:val="13"/>
                <w:szCs w:val="13"/>
                <w:color w:val="auto"/>
              </w:rPr>
              <w:t>Ordinary shares – Class B (US$0.001 par value; 20,000,000 shares authorized as of</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2021 and December 31, 2020, respectively; 5,034,427 shares and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4,820,608 shares issued and outstanding as of December 31, 2021 and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2020, respectively)</w:t>
            </w:r>
          </w:p>
        </w:tc>
        <w:tc>
          <w:tcPr>
            <w:tcW w:w="1560" w:type="dxa"/>
            <w:vAlign w:val="bottom"/>
          </w:tcPr>
          <w:p>
            <w:pPr>
              <w:jc w:val="right"/>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Treasury shares (2,323,802 shares and 2,396,372 shares as of December 31, 2021</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and December 31, 2020, respectively)</w:t>
            </w:r>
          </w:p>
        </w:tc>
        <w:tc>
          <w:tcPr>
            <w:tcW w:w="1840" w:type="dxa"/>
            <w:vAlign w:val="bottom"/>
            <w:gridSpan w:val="2"/>
          </w:tcPr>
          <w:p>
            <w:pPr>
              <w:jc w:val="right"/>
              <w:ind w:right="240"/>
              <w:spacing w:after="0"/>
              <w:rPr>
                <w:sz w:val="20"/>
                <w:szCs w:val="20"/>
                <w:color w:val="auto"/>
              </w:rPr>
            </w:pPr>
            <w:r>
              <w:rPr>
                <w:rFonts w:ascii="Arial" w:cs="Arial" w:eastAsia="Arial" w:hAnsi="Arial"/>
                <w:sz w:val="13"/>
                <w:szCs w:val="13"/>
                <w:color w:val="auto"/>
              </w:rPr>
              <w:t>(20,908)</w:t>
            </w:r>
          </w:p>
        </w:tc>
        <w:tc>
          <w:tcPr>
            <w:tcW w:w="1700" w:type="dxa"/>
            <w:vAlign w:val="bottom"/>
            <w:gridSpan w:val="2"/>
          </w:tcPr>
          <w:p>
            <w:pPr>
              <w:jc w:val="right"/>
              <w:ind w:right="100"/>
              <w:spacing w:after="0"/>
              <w:rPr>
                <w:sz w:val="20"/>
                <w:szCs w:val="20"/>
                <w:color w:val="auto"/>
              </w:rPr>
            </w:pPr>
            <w:r>
              <w:rPr>
                <w:rFonts w:ascii="Arial" w:cs="Arial" w:eastAsia="Arial" w:hAnsi="Arial"/>
                <w:sz w:val="13"/>
                <w:szCs w:val="13"/>
                <w:color w:val="auto"/>
              </w:rPr>
              <w:t>(10,341)</w:t>
            </w: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Other reserves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305,212</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282,397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20" w:type="dxa"/>
            <w:vAlign w:val="bottom"/>
            <w:gridSpan w:val="2"/>
          </w:tcPr>
          <w:p>
            <w:pPr>
              <w:spacing w:after="0"/>
              <w:rPr>
                <w:sz w:val="20"/>
                <w:szCs w:val="20"/>
                <w:color w:val="auto"/>
              </w:rPr>
            </w:pPr>
            <w:r>
              <w:rPr>
                <w:rFonts w:ascii="Arial" w:cs="Arial" w:eastAsia="Arial" w:hAnsi="Arial"/>
                <w:sz w:val="13"/>
                <w:szCs w:val="13"/>
                <w:color w:val="auto"/>
              </w:rPr>
              <w:t>Total iClick Interactive Asia Group Limited shareholders’ equity</w:t>
            </w:r>
          </w:p>
        </w:tc>
        <w:tc>
          <w:tcPr>
            <w:tcW w:w="1560" w:type="dxa"/>
            <w:vAlign w:val="bottom"/>
          </w:tcPr>
          <w:p>
            <w:pPr>
              <w:jc w:val="right"/>
              <w:spacing w:after="0"/>
              <w:rPr>
                <w:sz w:val="20"/>
                <w:szCs w:val="20"/>
                <w:color w:val="auto"/>
              </w:rPr>
            </w:pPr>
            <w:r>
              <w:rPr>
                <w:rFonts w:ascii="Arial" w:cs="Arial" w:eastAsia="Arial" w:hAnsi="Arial"/>
                <w:sz w:val="13"/>
                <w:szCs w:val="13"/>
                <w:color w:val="auto"/>
              </w:rPr>
              <w:t>284,352</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272,102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Noncontrolling interests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7,237</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equity</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291,589</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279,088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20" w:type="dxa"/>
            <w:vAlign w:val="bottom"/>
            <w:gridSpan w:val="2"/>
            <w:vMerge w:val="continue"/>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507,734</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470,115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220" w:type="dxa"/>
            <w:vAlign w:val="bottom"/>
            <w:tcBorders>
              <w:bottom w:val="single" w:sz="8" w:color="auto"/>
            </w:tcBorders>
          </w:tcPr>
          <w:p>
            <w:pPr>
              <w:spacing w:after="0"/>
              <w:rPr>
                <w:sz w:val="6"/>
                <w:szCs w:val="6"/>
                <w:color w:val="auto"/>
              </w:rPr>
            </w:pPr>
          </w:p>
        </w:tc>
        <w:tc>
          <w:tcPr>
            <w:tcW w:w="45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22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Reconciliations of GAAP and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Adjusted EBITDA represents net (loss)/income before (i) depreciation and amortization, (ii) interest expense, (iii) interest income, (iv) income tax expense, (v) share-based compensation, (vi) fair value losses on derivative liabilities, (vii) fair value losses on convertible notes,</w:t>
      </w:r>
    </w:p>
    <w:p>
      <w:pPr>
        <w:spacing w:after="0" w:line="1" w:lineRule="exact"/>
        <w:rPr>
          <w:sz w:val="20"/>
          <w:szCs w:val="20"/>
          <w:color w:val="auto"/>
        </w:rPr>
      </w:pPr>
    </w:p>
    <w:p>
      <w:pPr>
        <w:ind w:right="20" w:firstLine="8"/>
        <w:spacing w:after="0" w:line="269" w:lineRule="auto"/>
        <w:tabs>
          <w:tab w:leader="none" w:pos="465" w:val="left"/>
        </w:tabs>
        <w:numPr>
          <w:ilvl w:val="0"/>
          <w:numId w:val="7"/>
        </w:numPr>
        <w:rPr>
          <w:rFonts w:ascii="Arial" w:cs="Arial" w:eastAsia="Arial" w:hAnsi="Arial"/>
          <w:sz w:val="19"/>
          <w:szCs w:val="19"/>
          <w:color w:val="auto"/>
        </w:rPr>
      </w:pPr>
      <w:r>
        <w:rPr>
          <w:rFonts w:ascii="Arial" w:cs="Arial" w:eastAsia="Arial" w:hAnsi="Arial"/>
          <w:sz w:val="19"/>
          <w:szCs w:val="19"/>
          <w:color w:val="auto"/>
        </w:rPr>
        <w:t>other losses/(gains), net, (ix) convertible notes issuance cost, (x) net loss attributable to noncontrolling interests, (xi) share of losses from an equity investee, (xii) cost related to new business setup or acquisitions, and (xiii) cost related to filing of Form F-3.</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EBITDA from net (loss)/income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740" w:type="dxa"/>
            <w:vAlign w:val="bottom"/>
            <w:gridSpan w:val="3"/>
          </w:tcPr>
          <w:p>
            <w:pPr>
              <w:jc w:val="center"/>
              <w:ind w:left="693"/>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1,922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6,749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(824)</w:t>
            </w: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140" w:type="dxa"/>
            <w:vAlign w:val="bottom"/>
          </w:tcPr>
          <w:p>
            <w:pPr>
              <w:jc w:val="right"/>
              <w:spacing w:after="0"/>
              <w:rPr>
                <w:sz w:val="20"/>
                <w:szCs w:val="20"/>
                <w:color w:val="auto"/>
              </w:rPr>
            </w:pPr>
            <w:r>
              <w:rPr>
                <w:rFonts w:ascii="Arial" w:cs="Arial" w:eastAsia="Arial" w:hAnsi="Arial"/>
                <w:sz w:val="18"/>
                <w:szCs w:val="18"/>
                <w:color w:val="auto"/>
              </w:rPr>
              <w:t>(3,921)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 on convertible notes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losses/(gains), net</w:t>
            </w:r>
            <w:r>
              <w:rPr>
                <w:rFonts w:ascii="Arial" w:cs="Arial" w:eastAsia="Arial" w:hAnsi="Arial"/>
                <w:sz w:val="15"/>
                <w:szCs w:val="15"/>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1,958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(1,767)</w:t>
            </w:r>
          </w:p>
        </w:tc>
        <w:tc>
          <w:tcPr>
            <w:tcW w:w="1140" w:type="dxa"/>
            <w:vAlign w:val="bottom"/>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4</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8</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13,412</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040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50" w:lineRule="exact"/>
        <w:rPr>
          <w:sz w:val="20"/>
          <w:szCs w:val="20"/>
          <w:color w:val="auto"/>
        </w:rPr>
      </w:pPr>
    </w:p>
    <w:p>
      <w:pPr>
        <w:ind w:left="120" w:hanging="111"/>
        <w:spacing w:after="0" w:line="230" w:lineRule="auto"/>
        <w:tabs>
          <w:tab w:leader="none" w:pos="109" w:val="left"/>
        </w:tabs>
        <w:numPr>
          <w:ilvl w:val="0"/>
          <w:numId w:val="8"/>
        </w:numPr>
        <w:rPr>
          <w:rFonts w:ascii="Arial" w:cs="Arial" w:eastAsia="Arial" w:hAnsi="Arial"/>
          <w:sz w:val="12"/>
          <w:szCs w:val="12"/>
          <w:color w:val="auto"/>
        </w:rPr>
      </w:pPr>
      <w:r>
        <w:rPr>
          <w:rFonts w:ascii="Arial" w:cs="Arial" w:eastAsia="Arial" w:hAnsi="Arial"/>
          <w:sz w:val="14"/>
          <w:szCs w:val="14"/>
          <w:color w:val="auto"/>
        </w:rPr>
        <w:t>Other losses/(gains), net has been adjusted out, except for amounts of US$1,206 thousand, US$1,045 thousand, US$3,281 thousand and US$3,063 thousand in relation to government grants for the three months ended December 31, 2021 and 2020 and for the year ended December 31, 2021 and 2020, respectively.</w:t>
      </w:r>
    </w:p>
    <w:p>
      <w:pPr>
        <w:ind w:left="120" w:hanging="112"/>
        <w:spacing w:after="0" w:line="222" w:lineRule="auto"/>
        <w:tabs>
          <w:tab w:leader="none" w:pos="120" w:val="left"/>
        </w:tabs>
        <w:numPr>
          <w:ilvl w:val="0"/>
          <w:numId w:val="9"/>
        </w:numPr>
        <w:rPr>
          <w:rFonts w:ascii="Arial" w:cs="Arial" w:eastAsia="Arial" w:hAnsi="Arial"/>
          <w:sz w:val="12"/>
          <w:szCs w:val="12"/>
          <w:color w:val="auto"/>
        </w:rPr>
      </w:pPr>
      <w:r>
        <w:rPr>
          <w:rFonts w:ascii="Arial" w:cs="Arial" w:eastAsia="Arial" w:hAnsi="Arial"/>
          <w:sz w:val="14"/>
          <w:szCs w:val="14"/>
          <w:color w:val="auto"/>
        </w:rPr>
        <w:t>Convertible notes and shares issuance cost represents legal and professional fee for the issue of convertible notes and shares.</w:t>
      </w:r>
    </w:p>
    <w:p>
      <w:pPr>
        <w:ind w:left="120" w:hanging="112"/>
        <w:spacing w:after="0" w:line="221" w:lineRule="auto"/>
        <w:tabs>
          <w:tab w:leader="none" w:pos="120" w:val="left"/>
        </w:tabs>
        <w:numPr>
          <w:ilvl w:val="0"/>
          <w:numId w:val="10"/>
        </w:numPr>
        <w:rPr>
          <w:rFonts w:ascii="Arial" w:cs="Arial" w:eastAsia="Arial" w:hAnsi="Arial"/>
          <w:sz w:val="12"/>
          <w:szCs w:val="12"/>
          <w:color w:val="auto"/>
        </w:rPr>
      </w:pPr>
      <w:r>
        <w:rPr>
          <w:rFonts w:ascii="Arial" w:cs="Arial" w:eastAsia="Arial" w:hAnsi="Arial"/>
          <w:sz w:val="14"/>
          <w:szCs w:val="14"/>
          <w:color w:val="auto"/>
        </w:rPr>
        <w:t>Net loss attributable to noncontrolling interests has been adjusted back because the Company’s management regularly reviews EBITDA excluding noncontrolling interests as a measure of its operational performance.</w:t>
      </w:r>
    </w:p>
    <w:p>
      <w:pPr>
        <w:spacing w:after="0" w:line="1" w:lineRule="exact"/>
        <w:rPr>
          <w:sz w:val="20"/>
          <w:szCs w:val="20"/>
          <w:color w:val="auto"/>
        </w:rPr>
      </w:pPr>
    </w:p>
    <w:p>
      <w:pPr>
        <w:ind w:left="120" w:hanging="112"/>
        <w:spacing w:after="0" w:line="221" w:lineRule="auto"/>
        <w:tabs>
          <w:tab w:leader="none" w:pos="1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Share of losses from an equity investee represents share of losses incurred by the Company’s Thailand business operated through an equity investee over which the Company has significant influence, and which is not considered to be a part of the core business that the Company operates through its consolidated entities.</w:t>
      </w:r>
    </w:p>
    <w:p>
      <w:pPr>
        <w:ind w:left="120" w:hanging="112"/>
        <w:spacing w:after="0" w:line="222" w:lineRule="auto"/>
        <w:tabs>
          <w:tab w:leader="none" w:pos="120" w:val="left"/>
        </w:tabs>
        <w:numPr>
          <w:ilvl w:val="0"/>
          <w:numId w:val="12"/>
        </w:numPr>
        <w:rPr>
          <w:rFonts w:ascii="Arial" w:cs="Arial" w:eastAsia="Arial" w:hAnsi="Arial"/>
          <w:sz w:val="12"/>
          <w:szCs w:val="12"/>
          <w:color w:val="auto"/>
        </w:rPr>
      </w:pPr>
      <w:r>
        <w:rPr>
          <w:rFonts w:ascii="Arial" w:cs="Arial" w:eastAsia="Arial" w:hAnsi="Arial"/>
          <w:sz w:val="14"/>
          <w:szCs w:val="14"/>
          <w:color w:val="auto"/>
        </w:rPr>
        <w:t>Cost related to new business setup or acquisition represents transaction cost (e.g. legal and professional fee) in connection therewith.</w:t>
      </w:r>
    </w:p>
    <w:p>
      <w:pPr>
        <w:spacing w:after="0"/>
        <w:rPr>
          <w:rFonts w:ascii="Arial" w:cs="Arial" w:eastAsia="Arial" w:hAnsi="Arial"/>
          <w:sz w:val="12"/>
          <w:szCs w:val="12"/>
          <w:color w:val="auto"/>
        </w:rPr>
      </w:pPr>
      <w:r>
        <w:rPr>
          <w:rFonts w:ascii="Arial" w:cs="Arial" w:eastAsia="Arial" w:hAnsi="Arial"/>
          <w:sz w:val="12"/>
          <w:szCs w:val="12"/>
          <w:color w:val="auto"/>
        </w:rPr>
        <w:t xml:space="preserve">8 </w:t>
      </w:r>
      <w:r>
        <w:rPr>
          <w:rFonts w:ascii="Arial" w:cs="Arial" w:eastAsia="Arial" w:hAnsi="Arial"/>
          <w:sz w:val="14"/>
          <w:szCs w:val="14"/>
          <w:color w:val="auto"/>
        </w:rPr>
        <w:t>Cost related to the filing of Form F-3 represents audit, legal and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Adjusted net (loss)/income represents net (loss)/income before (i) share-based compensation, (ii) fair value losses on derivative liabilities,</w:t>
      </w:r>
    </w:p>
    <w:p>
      <w:pPr>
        <w:spacing w:after="0" w:line="40" w:lineRule="exact"/>
        <w:rPr>
          <w:sz w:val="20"/>
          <w:szCs w:val="20"/>
          <w:color w:val="auto"/>
        </w:rPr>
      </w:pPr>
    </w:p>
    <w:p>
      <w:pPr>
        <w:jc w:val="both"/>
        <w:ind w:firstLine="8"/>
        <w:spacing w:after="0" w:line="241" w:lineRule="auto"/>
        <w:tabs>
          <w:tab w:leader="none" w:pos="378" w:val="left"/>
        </w:tabs>
        <w:numPr>
          <w:ilvl w:val="0"/>
          <w:numId w:val="13"/>
        </w:numPr>
        <w:rPr>
          <w:rFonts w:ascii="Arial" w:cs="Arial" w:eastAsia="Arial" w:hAnsi="Arial"/>
          <w:sz w:val="20"/>
          <w:szCs w:val="20"/>
          <w:color w:val="auto"/>
        </w:rPr>
      </w:pPr>
      <w:r>
        <w:rPr>
          <w:rFonts w:ascii="Arial" w:cs="Arial" w:eastAsia="Arial" w:hAnsi="Arial"/>
          <w:sz w:val="20"/>
          <w:szCs w:val="20"/>
          <w:color w:val="auto"/>
        </w:rPr>
        <w:t>fair value losses on convertible notes, (iv) other losses/(gains), net, (v) convertible notes issuance cost, (vi) net loss attributable to noncontrolling interests, (vii) share of losses from an equity investee, (viii) cost related to new business setup or acquisitions, and (ix) cost related to filing of Form F-3. There is no material tax effects on these non-GAAP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net (loss)/income from net (loss)/income for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74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11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 on convertible notes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losses/(gains), net</w:t>
            </w:r>
            <w:r>
              <w:rPr>
                <w:rFonts w:ascii="Arial" w:cs="Arial" w:eastAsia="Arial" w:hAnsi="Arial"/>
                <w:sz w:val="15"/>
                <w:szCs w:val="15"/>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1,958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(1,767)</w:t>
            </w:r>
          </w:p>
        </w:tc>
        <w:tc>
          <w:tcPr>
            <w:tcW w:w="1140" w:type="dxa"/>
            <w:vAlign w:val="bottom"/>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4</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1,090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8</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net (loss)/income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diluted adjusted net (loss)/income per ADS for the periods indicated are calculated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700" w:type="dxa"/>
            <w:vAlign w:val="bottom"/>
            <w:gridSpan w:val="3"/>
          </w:tcPr>
          <w:p>
            <w:pPr>
              <w:jc w:val="center"/>
              <w:ind w:left="735"/>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15"/>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35"/>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(loss)/income:</w:t>
            </w: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(16,598)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(loss)/income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Adjusted net (loss)/income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Denominator for net (loss)/income per ADS - Weighted average</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97,710,498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97,715,972</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96,374,469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78,736,872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40" w:type="dxa"/>
            <w:vAlign w:val="bottom"/>
          </w:tcPr>
          <w:p>
            <w:pPr>
              <w:spacing w:after="0"/>
              <w:rPr>
                <w:sz w:val="20"/>
                <w:szCs w:val="20"/>
                <w:color w:val="auto"/>
              </w:rPr>
            </w:pPr>
            <w:r>
              <w:rPr>
                <w:rFonts w:ascii="Arial" w:cs="Arial" w:eastAsia="Arial" w:hAnsi="Arial"/>
                <w:sz w:val="18"/>
                <w:szCs w:val="18"/>
                <w:color w:val="auto"/>
              </w:rPr>
              <w:t>Denominator for diluted adjusted net (loss)/income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 Weighted average 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97,710,498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97,715,972</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101,600,479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84,782,449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0"/>
                <w:szCs w:val="20"/>
                <w:color w:val="auto"/>
              </w:rPr>
            </w:pPr>
            <w:r>
              <w:rPr>
                <w:rFonts w:ascii="Arial" w:cs="Arial" w:eastAsia="Arial" w:hAnsi="Arial"/>
                <w:sz w:val="18"/>
                <w:szCs w:val="18"/>
                <w:color w:val="auto"/>
              </w:rPr>
              <w:t>Diluted net (loss)/income per ADS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(loss)/income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Diluted adjusted net (loss)/income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lowerRoman"/>
      <w:start w:val="8"/>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4"/>
      <w:numFmt w:val="bullet"/>
      <w:start w:val="1"/>
    </w:lvl>
  </w:abstractNum>
  <w:abstractNum w:abstractNumId="9">
    <w:nsid w:val="1190CDE7"/>
    <w:multiLevelType w:val="hybridMultilevel"/>
    <w:lvl w:ilvl="0">
      <w:lvlJc w:val="left"/>
      <w:lvlText w:val="5"/>
      <w:numFmt w:val="bullet"/>
      <w:start w:val="1"/>
    </w:lvl>
  </w:abstractNum>
  <w:abstractNum w:abstractNumId="10">
    <w:nsid w:val="66EF438D"/>
    <w:multiLevelType w:val="hybridMultilevel"/>
    <w:lvl w:ilvl="0">
      <w:lvlJc w:val="left"/>
      <w:lvlText w:val="6"/>
      <w:numFmt w:val="bullet"/>
      <w:start w:val="1"/>
    </w:lvl>
  </w:abstractNum>
  <w:abstractNum w:abstractNumId="11">
    <w:nsid w:val="140E0F76"/>
    <w:multiLevelType w:val="hybridMultilevel"/>
    <w:lvl w:ilvl="0">
      <w:lvlJc w:val="left"/>
      <w:lvlText w:val="7"/>
      <w:numFmt w:val="bullet"/>
      <w:start w:val="1"/>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2022-03-24T15:03:23Z</dcterms:created>
  <dcterms:modified xsi:type="dcterms:W3CDTF">2022-03-24T15:03:23Z</dcterms:modified>
</cp:coreProperties>
</file>