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December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36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5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w w:val="98"/>
              </w:rPr>
              <w:t>Chief Executive Officer and Executive Chairman of the Board</w:t>
            </w:r>
          </w:p>
        </w:tc>
        <w:tc>
          <w:tcPr>
            <w:tcW w:w="40" w:type="dxa"/>
            <w:vAlign w:val="bottom"/>
          </w:tcPr>
          <w:p>
            <w:pPr>
              <w:spacing w:after="0"/>
              <w:rPr>
                <w:sz w:val="20"/>
                <w:szCs w:val="20"/>
                <w:color w:val="auto"/>
              </w:rPr>
            </w:pPr>
          </w:p>
        </w:tc>
      </w:tr>
      <w:tr>
        <w:trPr>
          <w:trHeight w:val="432"/>
        </w:trPr>
        <w:tc>
          <w:tcPr>
            <w:tcW w:w="6580" w:type="dxa"/>
            <w:vAlign w:val="bottom"/>
          </w:tcPr>
          <w:p>
            <w:pPr>
              <w:spacing w:after="0"/>
              <w:rPr>
                <w:sz w:val="20"/>
                <w:szCs w:val="20"/>
                <w:color w:val="auto"/>
              </w:rPr>
            </w:pPr>
            <w:r>
              <w:rPr>
                <w:rFonts w:ascii="Arial" w:cs="Arial" w:eastAsia="Arial" w:hAnsi="Arial"/>
                <w:sz w:val="18"/>
                <w:szCs w:val="18"/>
                <w:color w:val="auto"/>
              </w:rPr>
              <w:t>Date: December 17, 2018</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80" w:type="dxa"/>
            <w:vAlign w:val="bottom"/>
          </w:tcPr>
          <w:p>
            <w:pPr>
              <w:ind w:left="566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17650"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Promotes Terence Li to Chief Financial Officer</w:t>
      </w:r>
    </w:p>
    <w:p>
      <w:pPr>
        <w:spacing w:after="0" w:line="225" w:lineRule="exact"/>
        <w:rPr>
          <w:sz w:val="20"/>
          <w:szCs w:val="20"/>
          <w:color w:val="auto"/>
        </w:rPr>
      </w:pPr>
    </w:p>
    <w:p>
      <w:pPr>
        <w:ind w:right="220"/>
        <w:spacing w:after="0" w:line="347" w:lineRule="auto"/>
        <w:rPr>
          <w:sz w:val="20"/>
          <w:szCs w:val="20"/>
          <w:color w:val="auto"/>
        </w:rPr>
      </w:pPr>
      <w:r>
        <w:rPr>
          <w:rFonts w:ascii="Arial" w:cs="Arial" w:eastAsia="Arial" w:hAnsi="Arial"/>
          <w:sz w:val="16"/>
          <w:szCs w:val="16"/>
          <w:color w:val="auto"/>
        </w:rPr>
        <w:t xml:space="preserve">HONG KONG, Dec. 14, 2018 (GLOBE NEWSWIRE) — </w:t>
      </w:r>
      <w:r>
        <w:rPr>
          <w:rFonts w:ascii="Arial" w:cs="Arial" w:eastAsia="Arial" w:hAnsi="Arial"/>
          <w:sz w:val="16"/>
          <w:szCs w:val="16"/>
          <w:b w:val="1"/>
          <w:bCs w:val="1"/>
          <w:color w:val="auto"/>
        </w:rPr>
        <w:t>iClick Interactive Asia Group Limited</w:t>
      </w:r>
      <w:r>
        <w:rPr>
          <w:rFonts w:ascii="Arial" w:cs="Arial" w:eastAsia="Arial" w:hAnsi="Arial"/>
          <w:sz w:val="16"/>
          <w:szCs w:val="16"/>
          <w:color w:val="auto"/>
        </w:rPr>
        <w:t>, (NASDAQ: ICLK or the “Company”), an independent online marketing and data technology platform in China, today named Terence Li as Chief Financial Officer of the Company, effective January 1, 2019.</w:t>
      </w:r>
    </w:p>
    <w:p>
      <w:pPr>
        <w:spacing w:after="0" w:line="12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Mr. Li is currently Senior Vice President of Finance at iClick, where he leads the Company’s finance, investor relations and internal control teams. He brings 15 years’ experience in financial management, investment, and business operations to his new position. Mr. Li succeeds Ms. Jill Jiao, who is leaving the Company for personal health reasons. Ms. Jiao has been with the Company since 2014.</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pleased to congratulate Terence on his promotion to Chief Financial Officer. His breadth of financial experience and business acumen, along with his expertise in corporate governance and investment decisions, makes him a strong addition to the management team as we continue to implement our long-term growth strategy both organically and inorganically,” said Sammy Hsieh, Chief Executive Officer and Co-Founder of iClick. “As iClick continues to leverage the strength of its market-leading Chinese consumer dataset and diversified customer base, the management team looks forward to driving continued growth and value for all of our stakeholders.”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also want to express our gratitude to Jill for her professionalism and contributions to iClick and wish her all the best for the future,” Hsieh added.</w:t>
      </w:r>
    </w:p>
    <w:p>
      <w:pPr>
        <w:spacing w:after="0" w:line="23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Prior to joining iClick in 2018, Mr. Li served in management roles and advisory capacities at several start-ups, in addition to financial management and fundraising roles. He was a Vice President with iClick’s Series A investor, Sumitomo Corporation Equity Asia, and served on the board of iClick between 2009 and 2013.</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 am thrilled to play an even greater role in leading iClick’s financial and investment team at such an exciting time for the Company,” Li said. “I am confident my experience at iClick will further enhance my ability to drive internal finance controls, as well as more business and investment opportunities for the Company’s future success.”</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Mr. Li also worked at PricewaterhouseCoopers, specializing in M&amp;A due diligence and cross border tax and deal structuring projects. He received a bachelor’s degree in accounting from the HK Polytechnic University and an MBA with Distinction and Dean’s List honors from Oxford University’s Said Business School. Mr. Li is a Fellow Member of ACCA, a Member of HKICPA, and a Chartered Financial Analyst.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data technology platform that connects worldwide marketers with audiences in China. Built on cutting-edge technologies, our proprietary platform possesses omni-channel marketing capabilities and fulfills various marketing objectives in a data-driven and automated manner, helping both international and domestic marketers reach their target audiences in China. Headquartered in Hong Kong, iClick Interactive was established in 2009, currently operating in nine locations worldwide including Asia and London.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fluctuations in foreign exchange rates; and general economic conditions in China.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China: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PondelWilkinson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Evan Pondel / Laurie Berman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+1-310-279-5980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iclk@pondel.com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2019-12-08T16:53:07Z</dcterms:created>
  <dcterms:modified xsi:type="dcterms:W3CDTF">2019-12-08T16:53:07Z</dcterms:modified>
</cp:coreProperties>
</file>