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80" w:type="dxa"/>
            <w:vAlign w:val="bottom"/>
          </w:tcPr>
          <w:p>
            <w:pPr>
              <w:jc w:val="center"/>
              <w:ind w:right="1634"/>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680" w:type="dxa"/>
            <w:vAlign w:val="bottom"/>
          </w:tcPr>
          <w:p>
            <w:pPr>
              <w:ind w:left="408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tcPr>
          <w:p>
            <w:pPr>
              <w:spacing w:after="0"/>
              <w:rPr>
                <w:sz w:val="24"/>
                <w:szCs w:val="24"/>
                <w:color w:val="auto"/>
              </w:rPr>
            </w:pPr>
          </w:p>
        </w:tc>
      </w:tr>
      <w:tr>
        <w:trPr>
          <w:trHeight w:val="426"/>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9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28</w:t>
            </w:r>
          </w:p>
        </w:tc>
        <w:tc>
          <w:tcPr>
            <w:tcW w:w="40" w:type="dxa"/>
            <w:vAlign w:val="bottom"/>
          </w:tcPr>
          <w:p>
            <w:pPr>
              <w:spacing w:after="0"/>
              <w:rPr>
                <w:sz w:val="24"/>
                <w:szCs w:val="24"/>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Press release dated November 28</w:t>
            </w:r>
          </w:p>
        </w:tc>
        <w:tc>
          <w:tcPr>
            <w:tcW w:w="40" w:type="dxa"/>
            <w:vAlign w:val="bottom"/>
          </w:tcPr>
          <w:p>
            <w:pPr>
              <w:spacing w:after="0"/>
              <w:rPr>
                <w:sz w:val="24"/>
                <w:szCs w:val="24"/>
                <w:color w:val="auto"/>
              </w:rPr>
            </w:pPr>
          </w:p>
        </w:tc>
      </w:tr>
      <w:tr>
        <w:trPr>
          <w:trHeight w:val="432"/>
        </w:trPr>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8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 November 30, 2018</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17145</wp:posOffset>
            </wp:positionV>
            <wp:extent cx="1534795" cy="608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Third Quarter 2018 Unaudited 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—Third-Quarter Net Revenues Rise 43% Year on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—Gross Billing from Mobile Audience Solutions More Than Doubled from Last Year’s Third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Announces US$10.0 Million Share Repurchase Program—</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Hong Kong, November 28, 2018 </w:t>
      </w:r>
      <w:r>
        <w:rPr>
          <w:rFonts w:ascii="Arial" w:cs="Arial" w:eastAsia="Arial" w:hAnsi="Arial"/>
          <w:sz w:val="18"/>
          <w:szCs w:val="18"/>
          <w:color w:val="auto"/>
        </w:rPr>
        <w:t>— iClick Interactive Asia Group Limited (“iClick”) (NASDAQ: ICLK), a leading independent online marketing and data</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platform in China, today announced its unaudited financial results for the third quarter ended September 30, 2018, in addition to approval from its board of directors of a share repurchase program with an aggregate value of up to US$10.0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1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Percentage change</w:t>
            </w:r>
          </w:p>
        </w:tc>
        <w:tc>
          <w:tcPr>
            <w:tcW w:w="160" w:type="dxa"/>
            <w:vAlign w:val="bottom"/>
          </w:tcPr>
          <w:p>
            <w:pPr>
              <w:spacing w:after="0"/>
              <w:rPr>
                <w:sz w:val="12"/>
                <w:szCs w:val="12"/>
                <w:color w:val="auto"/>
              </w:rPr>
            </w:pPr>
          </w:p>
        </w:tc>
      </w:tr>
      <w:tr>
        <w:trPr>
          <w:trHeight w:val="119"/>
        </w:trPr>
        <w:tc>
          <w:tcPr>
            <w:tcW w:w="5580" w:type="dxa"/>
            <w:vAlign w:val="bottom"/>
          </w:tcPr>
          <w:p>
            <w:pPr>
              <w:spacing w:after="0"/>
              <w:rPr>
                <w:sz w:val="10"/>
                <w:szCs w:val="10"/>
                <w:color w:val="auto"/>
              </w:rPr>
            </w:pP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(US$ in thousands)</w:t>
            </w:r>
          </w:p>
        </w:tc>
        <w:tc>
          <w:tcPr>
            <w:tcW w:w="300" w:type="dxa"/>
            <w:vAlign w:val="bottom"/>
          </w:tcPr>
          <w:p>
            <w:pPr>
              <w:spacing w:after="0"/>
              <w:rPr>
                <w:sz w:val="10"/>
                <w:szCs w:val="10"/>
                <w:color w:val="auto"/>
              </w:rPr>
            </w:pP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(US$ in thousands)</w:t>
            </w: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71"/>
        </w:trPr>
        <w:tc>
          <w:tcPr>
            <w:tcW w:w="5580" w:type="dxa"/>
            <w:vAlign w:val="bottom"/>
          </w:tcPr>
          <w:p>
            <w:pPr>
              <w:spacing w:after="0"/>
              <w:rPr>
                <w:sz w:val="14"/>
                <w:szCs w:val="14"/>
                <w:color w:val="auto"/>
              </w:rPr>
            </w:pPr>
          </w:p>
        </w:tc>
        <w:tc>
          <w:tcPr>
            <w:tcW w:w="20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5"/>
              </w:rPr>
              <w:t>(Unaudited)</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revenues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revenues from mobile audience solutions</w:t>
            </w:r>
          </w:p>
        </w:tc>
        <w:tc>
          <w:tcPr>
            <w:tcW w:w="2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24,991</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37,781</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Net revenues from other solutions</w:t>
            </w:r>
          </w:p>
        </w:tc>
        <w:tc>
          <w:tcPr>
            <w:tcW w:w="2000" w:type="dxa"/>
            <w:vAlign w:val="bottom"/>
            <w:gridSpan w:val="2"/>
          </w:tcPr>
          <w:p>
            <w:pPr>
              <w:jc w:val="right"/>
              <w:ind w:right="228"/>
              <w:spacing w:after="0"/>
              <w:rPr>
                <w:sz w:val="20"/>
                <w:szCs w:val="20"/>
                <w:color w:val="auto"/>
              </w:rPr>
            </w:pPr>
            <w:r>
              <w:rPr>
                <w:rFonts w:ascii="Arial" w:cs="Arial" w:eastAsia="Arial" w:hAnsi="Arial"/>
                <w:sz w:val="18"/>
                <w:szCs w:val="18"/>
                <w:color w:val="auto"/>
              </w:rPr>
              <w:t>4,765</w:t>
            </w:r>
          </w:p>
        </w:tc>
        <w:tc>
          <w:tcPr>
            <w:tcW w:w="1700" w:type="dxa"/>
            <w:vAlign w:val="bottom"/>
          </w:tcPr>
          <w:p>
            <w:pPr>
              <w:jc w:val="right"/>
              <w:spacing w:after="0"/>
              <w:rPr>
                <w:sz w:val="20"/>
                <w:szCs w:val="20"/>
                <w:color w:val="auto"/>
              </w:rPr>
            </w:pPr>
            <w:r>
              <w:rPr>
                <w:rFonts w:ascii="Arial" w:cs="Arial" w:eastAsia="Arial" w:hAnsi="Arial"/>
                <w:sz w:val="18"/>
                <w:szCs w:val="18"/>
                <w:color w:val="auto"/>
              </w:rPr>
              <w:t>4,806</w:t>
            </w:r>
          </w:p>
        </w:tc>
        <w:tc>
          <w:tcPr>
            <w:tcW w:w="2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29,756</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42,587</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5580" w:type="dxa"/>
            <w:vAlign w:val="bottom"/>
          </w:tcPr>
          <w:p>
            <w:pPr>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000" w:type="dxa"/>
            <w:vAlign w:val="bottom"/>
            <w:gridSpan w:val="2"/>
          </w:tcPr>
          <w:p>
            <w:pPr>
              <w:jc w:val="right"/>
              <w:ind w:right="168"/>
              <w:spacing w:after="0"/>
              <w:rPr>
                <w:sz w:val="20"/>
                <w:szCs w:val="20"/>
                <w:color w:val="auto"/>
              </w:rPr>
            </w:pPr>
            <w:r>
              <w:rPr>
                <w:rFonts w:ascii="Arial" w:cs="Arial" w:eastAsia="Arial" w:hAnsi="Arial"/>
                <w:sz w:val="18"/>
                <w:szCs w:val="18"/>
                <w:color w:val="auto"/>
              </w:rPr>
              <w:t>(410)</w:t>
            </w:r>
          </w:p>
        </w:tc>
        <w:tc>
          <w:tcPr>
            <w:tcW w:w="1700" w:type="dxa"/>
            <w:vAlign w:val="bottom"/>
          </w:tcPr>
          <w:p>
            <w:pPr>
              <w:jc w:val="right"/>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55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Adjusted net loss</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(1,821)</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5580" w:type="dxa"/>
            <w:vAlign w:val="bottom"/>
          </w:tcPr>
          <w:p>
            <w:pPr>
              <w:spacing w:after="0" w:line="216" w:lineRule="exact"/>
              <w:rPr>
                <w:sz w:val="20"/>
                <w:szCs w:val="20"/>
                <w:color w:val="auto"/>
              </w:rPr>
            </w:pPr>
            <w:r>
              <w:rPr>
                <w:rFonts w:ascii="Arial" w:cs="Arial" w:eastAsia="Arial" w:hAnsi="Arial"/>
                <w:sz w:val="18"/>
                <w:szCs w:val="18"/>
                <w:color w:val="auto"/>
              </w:rPr>
              <w:t>Diluted adjusted net loss per ADS</w:t>
            </w:r>
            <w:r>
              <w:rPr>
                <w:rFonts w:ascii="Arial" w:cs="Arial" w:eastAsia="Arial" w:hAnsi="Arial"/>
                <w:sz w:val="23"/>
                <w:szCs w:val="23"/>
                <w:color w:val="auto"/>
                <w:vertAlign w:val="superscript"/>
              </w:rPr>
              <w:t>1</w:t>
            </w:r>
          </w:p>
        </w:tc>
        <w:tc>
          <w:tcPr>
            <w:tcW w:w="2000" w:type="dxa"/>
            <w:vAlign w:val="bottom"/>
            <w:gridSpan w:val="2"/>
          </w:tcPr>
          <w:p>
            <w:pPr>
              <w:jc w:val="right"/>
              <w:ind w:right="168"/>
              <w:spacing w:after="0"/>
              <w:rPr>
                <w:sz w:val="20"/>
                <w:szCs w:val="20"/>
                <w:color w:val="auto"/>
              </w:rPr>
            </w:pPr>
            <w:r>
              <w:rPr>
                <w:rFonts w:ascii="Arial" w:cs="Arial" w:eastAsia="Arial" w:hAnsi="Arial"/>
                <w:sz w:val="18"/>
                <w:szCs w:val="18"/>
                <w:color w:val="auto"/>
              </w:rPr>
              <w:t>(0.09)</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Gross billing</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billing from mobile audience solutions</w:t>
            </w:r>
          </w:p>
        </w:tc>
        <w:tc>
          <w:tcPr>
            <w:tcW w:w="2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41,407</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87,090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Gross billing from other solutions</w:t>
            </w:r>
          </w:p>
        </w:tc>
        <w:tc>
          <w:tcPr>
            <w:tcW w:w="2000" w:type="dxa"/>
            <w:vAlign w:val="bottom"/>
            <w:gridSpan w:val="2"/>
          </w:tcPr>
          <w:p>
            <w:pPr>
              <w:jc w:val="right"/>
              <w:ind w:right="228"/>
              <w:spacing w:after="0"/>
              <w:rPr>
                <w:sz w:val="20"/>
                <w:szCs w:val="20"/>
                <w:color w:val="auto"/>
              </w:rPr>
            </w:pPr>
            <w:r>
              <w:rPr>
                <w:rFonts w:ascii="Arial" w:cs="Arial" w:eastAsia="Arial" w:hAnsi="Arial"/>
                <w:sz w:val="18"/>
                <w:szCs w:val="18"/>
                <w:color w:val="auto"/>
              </w:rPr>
              <w:t>17,027</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17,321</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gross billing</w:t>
            </w:r>
          </w:p>
        </w:tc>
        <w:tc>
          <w:tcPr>
            <w:tcW w:w="2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58,434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104,411</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seen another quarter with significant operational achievements, delivering robust and encouraging financial metrics, record high adjusted EBITDA and historical low adjusted net loss, while making progress executing our long-term business strategy,” said Sammy Hsieh, Chief Executive Officer and Co-Founder of iClick. “Gross billing from our mobile audience solutions more than doubled from last year’s third quarter, and net revenues from this business line grew more than 50% from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00" w:hanging="332"/>
        <w:spacing w:after="0" w:line="227" w:lineRule="auto"/>
        <w:tabs>
          <w:tab w:leader="none" w:pos="335"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t>“iClick successfully raised growth capital from its convertible bond issuance during the quarter, which provided funds to support future acquisitions, continued expansion into China and international markets and enhancement of our broad product offerings,” Hsieh said. “As we continue to leverage the strength of our market leading Chinese consumer dataset and diversified customer base, we look forward to driving continued growth and value for all of our stakeholders.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announced a share repurchase program, which is a testament to our confidence in iClick’s growth prospects and provides an excellent opportunity to invest in the company’s future,” Hsieh said.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and Operational Updates: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the third quarter of 2018 grew by 43% to US$42.6 million, from US$29.8 million for the third quarter of 2017, primarily as the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net revenues from mobile audience solutions.</w:t>
      </w:r>
    </w:p>
    <w:p>
      <w:pPr>
        <w:spacing w:after="0" w:line="166"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i w:val="1"/>
          <w:iCs w:val="1"/>
          <w:color w:val="auto"/>
        </w:rPr>
        <w:t xml:space="preserve">Net revenues from mobile audience solutions </w:t>
      </w:r>
      <w:r>
        <w:rPr>
          <w:rFonts w:ascii="Arial" w:cs="Arial" w:eastAsia="Arial" w:hAnsi="Arial"/>
          <w:sz w:val="18"/>
          <w:szCs w:val="18"/>
          <w:color w:val="auto"/>
        </w:rPr>
        <w:t>increased by 51% to US$37.8 million for the third quarter of 2018, from US$25.0 million for the same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last year, primarily as the result of strong market demand in mobile audience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from other solutions </w:t>
      </w:r>
      <w:r>
        <w:rPr>
          <w:rFonts w:ascii="Arial" w:cs="Arial" w:eastAsia="Arial" w:hAnsi="Arial"/>
          <w:sz w:val="18"/>
          <w:szCs w:val="18"/>
          <w:color w:val="auto"/>
        </w:rPr>
        <w:t>was US$4.8 million for the third quarter of 2018, flat with the third quarter of 2017.</w:t>
      </w:r>
    </w:p>
    <w:p>
      <w:pPr>
        <w:spacing w:after="0" w:line="221" w:lineRule="exact"/>
        <w:rPr>
          <w:sz w:val="20"/>
          <w:szCs w:val="20"/>
          <w:color w:val="auto"/>
        </w:rPr>
      </w:pPr>
    </w:p>
    <w:p>
      <w:pPr>
        <w:jc w:val="both"/>
        <w:ind w:right="18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third quarter of 2018 increased by 44% to US$9.3 million, from US$6.5 million for the third quarter of 2017, mainly as the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gross profit from mobile audience solutions.</w:t>
      </w:r>
    </w:p>
    <w:p>
      <w:pPr>
        <w:spacing w:after="0" w:line="162" w:lineRule="exact"/>
        <w:rPr>
          <w:sz w:val="20"/>
          <w:szCs w:val="20"/>
          <w:color w:val="auto"/>
        </w:rPr>
      </w:pPr>
    </w:p>
    <w:p>
      <w:pPr>
        <w:jc w:val="both"/>
        <w:ind w:right="180"/>
        <w:spacing w:after="0" w:line="314" w:lineRule="auto"/>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were US$23.4 million for the third quarter of 2018, compared with US$9.2 million for the third quarter of last year. The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due to share-based compensation of US$11.6 million related to incentives awarded to certain employees and business consultants, as well as transaction cost of US$2.2 million directly attributable to the issuance of US$30 million of convertible notes in September 2018.</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for the third quarter of 2018 was US$14.0 million, compared with an operating loss of US$2.7 million for the third quarter of 2017,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above.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totalled US$21.8 million for the third quarter of 2018, compared with net profit of US$6.4 million for the third quarter of 2017, mainly attributed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loss of US$14.0 million in the third quarter of 2018 as described above. In addition, we recorded a fair value gain on derivative liabilities of US$7.7 million in the third quarter of 2017 in connection with our series A and B preferred shares, while we recorded fair value loss on convertible notes of US$5.4 million in the third quarter of 2018. Furthermore, we recorded an exchange gain of US$1.3 million in the third quarter of 2017, while we recorded an exchange loss of US$1.9 million for the third quarter of 2018 due to the depreciation of the Renminbi against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420"/>
        <w:spacing w:after="0" w:line="277" w:lineRule="auto"/>
        <w:rPr>
          <w:sz w:val="20"/>
          <w:szCs w:val="20"/>
          <w:color w:val="auto"/>
        </w:rPr>
      </w:pPr>
      <w:r>
        <w:rPr>
          <w:rFonts w:ascii="Arial" w:cs="Arial" w:eastAsia="Arial" w:hAnsi="Arial"/>
          <w:sz w:val="18"/>
          <w:szCs w:val="18"/>
          <w:color w:val="auto"/>
        </w:rPr>
        <w:t>Net loss attributable to the Company’s shareholders per diluted ADS was US$0.41, compared with a net profit per diluted ADS of US$0.12 for the third quarter of 2017.</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Gross billing</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US$104.4 million for the third quarter of 2018, an increase of 79% from the third quarter of 2017, primarily as the result of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growth in mobile audience solutions. Gross billing from mobile audience solutions totalled US$87.1 million for the third quarter of 2018, representing an increase of 110% from last year’s third quarter, as the result of larger mobile marketing spend by the Company’s clients. Gross billing from other solutions was US$17.3 million for the third quarter of 2018, an increase of 2% from the third quarter of 2017.</w:t>
      </w:r>
    </w:p>
    <w:p>
      <w:pPr>
        <w:spacing w:after="0" w:line="19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third quarter of 2018 was US$1.2 million, compared with a loss of US$0.4 million for the third quarter of 2017,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a substantial increase in gross profit. For a reconciliation of the Company’s adjusted EBITDA to net profit/(loss), its most comparable GAAP measure, please refer to “Unaudited Reconciliations of GAAP and Non-GAAP Results.”</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Adjusted net loss </w:t>
      </w:r>
      <w:r>
        <w:rPr>
          <w:rFonts w:ascii="Arial" w:cs="Arial" w:eastAsia="Arial" w:hAnsi="Arial"/>
          <w:sz w:val="18"/>
          <w:szCs w:val="18"/>
          <w:color w:val="auto"/>
        </w:rPr>
        <w:t>attributable to the Company’s shareholders, which excludes share-based compensation, fair value (gain)/loss on derivative liabilities,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loss on convertible notes, other (gains)/losses, net, and convertible notes issuance costs, for the third quarter of 2018 was US$0.8 million, compared with US$1.8 million for the third quarter of 2017. For a reconciliation of the Company’s adjusted net loss to net profit/(loss), its most comparable GAAP measure, please refer to “Unaudited Reconciliations of GAAP and Non-GAAP Results.”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2018, the Company’s cash and cash equivalents grew to US$49.8 million, from US$19.4 million at December 31, 2017. Time deposits amounted to US$7.0 million, compared with US$25.0 million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Based on the information available as of the date of this press release, iClick provided the following revised outlook:</w:t>
      </w:r>
    </w:p>
    <w:p>
      <w:pPr>
        <w:spacing w:after="0" w:line="225" w:lineRule="exact"/>
        <w:rPr>
          <w:sz w:val="20"/>
          <w:szCs w:val="20"/>
          <w:color w:val="auto"/>
        </w:rPr>
      </w:pPr>
    </w:p>
    <w:p>
      <w:pPr>
        <w:ind w:left="340" w:right="320" w:hanging="332"/>
        <w:spacing w:after="0" w:line="342" w:lineRule="auto"/>
        <w:tabs>
          <w:tab w:leader="none" w:pos="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revenues are estimated to be between US$160 million and US$170 million for 2018, representing 28% to 36% growth from 2017. This compares with prior guidance of US$175 million to US$180 million, with the revision principally due to depreciation of the Renminbi against the US dollar.</w:t>
      </w:r>
    </w:p>
    <w:p>
      <w:pPr>
        <w:spacing w:after="0" w:line="123" w:lineRule="exact"/>
        <w:rPr>
          <w:rFonts w:ascii="Arial" w:cs="Arial" w:eastAsia="Arial" w:hAnsi="Arial"/>
          <w:sz w:val="16"/>
          <w:szCs w:val="16"/>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billing is estimated to be between US$380 million and US$420 million for 2018, representing 53% to 69% growth from 2017.</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above outlook is based on current market conditions and reflects the Company’s preliminary estimates of market and operating conditions, expected foreign exchange rates, and customer demand, which are all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iClick’s board of directors today approved a share repurchase program in which the Company may purchase its own ADSs with an aggregate value of up to US$10.0 million over the next 12-month period, ending on November 27,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iClick expects to fund the repurchase out of its existing cash balance, including cash generated from its operations.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expects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share repurchase program does not obligate the Company to acquire any particular number of ADSs and may be suspended, terminated or extended at any time at the Company’s discretion without prior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Company will host an earnings conference call at 8:00 AM U.S. Eastern Time on November 28, 2018 (9:00 PM Beijing/Hong Kong time on November 28,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United States:</w:t>
            </w:r>
          </w:p>
        </w:tc>
        <w:tc>
          <w:tcPr>
            <w:tcW w:w="1840" w:type="dxa"/>
            <w:vAlign w:val="bottom"/>
          </w:tcPr>
          <w:p>
            <w:pPr>
              <w:ind w:left="560"/>
              <w:spacing w:after="0"/>
              <w:rPr>
                <w:sz w:val="20"/>
                <w:szCs w:val="20"/>
                <w:color w:val="auto"/>
              </w:rPr>
            </w:pPr>
            <w:r>
              <w:rPr>
                <w:rFonts w:ascii="Arial" w:cs="Arial" w:eastAsia="Arial" w:hAnsi="Arial"/>
                <w:sz w:val="18"/>
                <w:szCs w:val="18"/>
                <w:color w:val="auto"/>
                <w:w w:val="90"/>
              </w:rPr>
              <w:t>+1-845-675-0437</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International:</w:t>
            </w:r>
          </w:p>
        </w:tc>
        <w:tc>
          <w:tcPr>
            <w:tcW w:w="1840" w:type="dxa"/>
            <w:vAlign w:val="bottom"/>
          </w:tcPr>
          <w:p>
            <w:pPr>
              <w:ind w:left="560"/>
              <w:spacing w:after="0"/>
              <w:rPr>
                <w:sz w:val="20"/>
                <w:szCs w:val="20"/>
                <w:color w:val="auto"/>
              </w:rPr>
            </w:pPr>
            <w:r>
              <w:rPr>
                <w:rFonts w:ascii="Arial" w:cs="Arial" w:eastAsia="Arial" w:hAnsi="Arial"/>
                <w:sz w:val="18"/>
                <w:szCs w:val="18"/>
                <w:color w:val="auto"/>
              </w:rPr>
              <w:t>+65-6713-5090</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Hong Kong:</w:t>
            </w:r>
          </w:p>
        </w:tc>
        <w:tc>
          <w:tcPr>
            <w:tcW w:w="1840" w:type="dxa"/>
            <w:vAlign w:val="bottom"/>
          </w:tcPr>
          <w:p>
            <w:pPr>
              <w:ind w:left="560"/>
              <w:spacing w:after="0"/>
              <w:rPr>
                <w:sz w:val="20"/>
                <w:szCs w:val="20"/>
                <w:color w:val="auto"/>
              </w:rPr>
            </w:pPr>
            <w:r>
              <w:rPr>
                <w:rFonts w:ascii="Arial" w:cs="Arial" w:eastAsia="Arial" w:hAnsi="Arial"/>
                <w:sz w:val="18"/>
                <w:szCs w:val="18"/>
                <w:color w:val="auto"/>
                <w:w w:val="94"/>
              </w:rPr>
              <w:t>+852-3018-6771</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China:</w:t>
            </w:r>
          </w:p>
        </w:tc>
        <w:tc>
          <w:tcPr>
            <w:tcW w:w="1840" w:type="dxa"/>
            <w:vAlign w:val="bottom"/>
          </w:tcPr>
          <w:p>
            <w:pPr>
              <w:ind w:left="560"/>
              <w:spacing w:after="0"/>
              <w:rPr>
                <w:sz w:val="20"/>
                <w:szCs w:val="20"/>
                <w:color w:val="auto"/>
              </w:rPr>
            </w:pPr>
            <w:r>
              <w:rPr>
                <w:rFonts w:ascii="Arial" w:cs="Arial" w:eastAsia="Arial" w:hAnsi="Arial"/>
                <w:sz w:val="18"/>
                <w:szCs w:val="18"/>
                <w:color w:val="auto"/>
              </w:rPr>
              <w:t>400-620-8038</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Conference ID:</w:t>
            </w:r>
          </w:p>
        </w:tc>
        <w:tc>
          <w:tcPr>
            <w:tcW w:w="1840" w:type="dxa"/>
            <w:vAlign w:val="bottom"/>
          </w:tcPr>
          <w:p>
            <w:pPr>
              <w:ind w:left="560"/>
              <w:spacing w:after="0"/>
              <w:rPr>
                <w:sz w:val="20"/>
                <w:szCs w:val="20"/>
                <w:color w:val="auto"/>
              </w:rPr>
            </w:pPr>
            <w:r>
              <w:rPr>
                <w:rFonts w:ascii="Arial" w:cs="Arial" w:eastAsia="Arial" w:hAnsi="Arial"/>
                <w:sz w:val="18"/>
                <w:szCs w:val="18"/>
                <w:color w:val="auto"/>
              </w:rPr>
              <w:t>8894409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five minutes before the scheduled start time and ask to be connected to the call for “iClick Interactive.”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http://ir.i-click.com</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 replay of the conference call will be accessible by phone two hours after the conclusion of the live call at the following numbers until December 5,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United States:</w:t>
            </w:r>
          </w:p>
        </w:tc>
        <w:tc>
          <w:tcPr>
            <w:tcW w:w="9560" w:type="dxa"/>
            <w:vAlign w:val="bottom"/>
          </w:tcPr>
          <w:p>
            <w:pPr>
              <w:ind w:left="360"/>
              <w:spacing w:after="0"/>
              <w:rPr>
                <w:sz w:val="20"/>
                <w:szCs w:val="20"/>
                <w:color w:val="auto"/>
              </w:rPr>
            </w:pPr>
            <w:r>
              <w:rPr>
                <w:rFonts w:ascii="Arial" w:cs="Arial" w:eastAsia="Arial" w:hAnsi="Arial"/>
                <w:sz w:val="18"/>
                <w:szCs w:val="18"/>
                <w:color w:val="auto"/>
              </w:rPr>
              <w:t>+1-855-452-5696</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International:</w:t>
            </w:r>
          </w:p>
        </w:tc>
        <w:tc>
          <w:tcPr>
            <w:tcW w:w="9560" w:type="dxa"/>
            <w:vAlign w:val="bottom"/>
          </w:tcPr>
          <w:p>
            <w:pPr>
              <w:ind w:left="360"/>
              <w:spacing w:after="0"/>
              <w:rPr>
                <w:sz w:val="20"/>
                <w:szCs w:val="20"/>
                <w:color w:val="auto"/>
              </w:rPr>
            </w:pPr>
            <w:r>
              <w:rPr>
                <w:rFonts w:ascii="Arial" w:cs="Arial" w:eastAsia="Arial" w:hAnsi="Arial"/>
                <w:sz w:val="18"/>
                <w:szCs w:val="18"/>
                <w:color w:val="auto"/>
              </w:rPr>
              <w:t>+61-2-8199-0299</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Hong Kong:</w:t>
            </w:r>
          </w:p>
        </w:tc>
        <w:tc>
          <w:tcPr>
            <w:tcW w:w="9560" w:type="dxa"/>
            <w:vAlign w:val="bottom"/>
          </w:tcPr>
          <w:p>
            <w:pPr>
              <w:ind w:left="360"/>
              <w:spacing w:after="0"/>
              <w:rPr>
                <w:sz w:val="20"/>
                <w:szCs w:val="20"/>
                <w:color w:val="auto"/>
              </w:rPr>
            </w:pPr>
            <w:r>
              <w:rPr>
                <w:rFonts w:ascii="Arial" w:cs="Arial" w:eastAsia="Arial" w:hAnsi="Arial"/>
                <w:sz w:val="18"/>
                <w:szCs w:val="18"/>
                <w:color w:val="auto"/>
              </w:rPr>
              <w:t>800-963-117</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China:</w:t>
            </w:r>
          </w:p>
        </w:tc>
        <w:tc>
          <w:tcPr>
            <w:tcW w:w="9560" w:type="dxa"/>
            <w:vAlign w:val="bottom"/>
          </w:tcPr>
          <w:p>
            <w:pPr>
              <w:ind w:left="360"/>
              <w:spacing w:after="0"/>
              <w:rPr>
                <w:sz w:val="20"/>
                <w:szCs w:val="20"/>
                <w:color w:val="auto"/>
              </w:rPr>
            </w:pPr>
            <w:r>
              <w:rPr>
                <w:rFonts w:ascii="Arial" w:cs="Arial" w:eastAsia="Arial" w:hAnsi="Arial"/>
                <w:sz w:val="18"/>
                <w:szCs w:val="18"/>
                <w:color w:val="auto"/>
              </w:rPr>
              <w:t>400-632-2162</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Replay Access Code:</w:t>
            </w:r>
          </w:p>
        </w:tc>
        <w:tc>
          <w:tcPr>
            <w:tcW w:w="9560" w:type="dxa"/>
            <w:vAlign w:val="bottom"/>
          </w:tcPr>
          <w:p>
            <w:pPr>
              <w:ind w:left="360"/>
              <w:spacing w:after="0"/>
              <w:rPr>
                <w:sz w:val="20"/>
                <w:szCs w:val="20"/>
                <w:color w:val="auto"/>
              </w:rPr>
            </w:pPr>
            <w:r>
              <w:rPr>
                <w:rFonts w:ascii="Arial" w:cs="Arial" w:eastAsia="Arial" w:hAnsi="Arial"/>
                <w:sz w:val="18"/>
                <w:szCs w:val="18"/>
                <w:color w:val="auto"/>
              </w:rPr>
              <w:t>8894409</w:t>
            </w:r>
          </w:p>
        </w:tc>
      </w:tr>
      <w:tr>
        <w:trPr>
          <w:trHeight w:val="348"/>
        </w:trPr>
        <w:tc>
          <w:tcPr>
            <w:tcW w:w="190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iClick Interactive Asia Group Limited (NASDAQ:ICLK)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currently operating in nine locations worldwide including Asia and London. For more information, please visit </w:t>
      </w:r>
      <w:r>
        <w:rPr>
          <w:rFonts w:ascii="Arial" w:cs="Arial" w:eastAsia="Arial" w:hAnsi="Arial"/>
          <w:sz w:val="18"/>
          <w:szCs w:val="18"/>
          <w:u w:val="single" w:color="auto"/>
          <w:color w:val="auto"/>
        </w:rPr>
        <w:t>http://ir.i-click.com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 making purposes.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Preliminary Unaudited Financial Information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unaudited financial information set out in this press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fluctuations in foreign exchange rates; and general economic conditions in China.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w w:val="98"/>
              </w:rPr>
              <w:t>For investor and media inquiries, please contact:</w:t>
            </w:r>
          </w:p>
        </w:tc>
        <w:tc>
          <w:tcPr>
            <w:tcW w:w="7300" w:type="dxa"/>
            <w:vAlign w:val="bottom"/>
          </w:tcPr>
          <w:p>
            <w:pPr>
              <w:spacing w:after="0"/>
              <w:rPr>
                <w:sz w:val="20"/>
                <w:szCs w:val="20"/>
                <w:color w:val="auto"/>
              </w:rPr>
            </w:pPr>
          </w:p>
        </w:tc>
      </w:tr>
      <w:tr>
        <w:trPr>
          <w:trHeight w:val="414"/>
        </w:trPr>
        <w:tc>
          <w:tcPr>
            <w:tcW w:w="4160" w:type="dxa"/>
            <w:vAlign w:val="bottom"/>
          </w:tcPr>
          <w:p>
            <w:pPr>
              <w:ind w:left="140"/>
              <w:spacing w:after="0"/>
              <w:rPr>
                <w:sz w:val="20"/>
                <w:szCs w:val="20"/>
                <w:color w:val="auto"/>
              </w:rPr>
            </w:pPr>
            <w:r>
              <w:rPr>
                <w:rFonts w:ascii="Arial" w:cs="Arial" w:eastAsia="Arial" w:hAnsi="Arial"/>
                <w:sz w:val="18"/>
                <w:szCs w:val="18"/>
                <w:b w:val="1"/>
                <w:bCs w:val="1"/>
                <w:color w:val="auto"/>
              </w:rPr>
              <w:t>In China:</w:t>
            </w:r>
          </w:p>
        </w:tc>
        <w:tc>
          <w:tcPr>
            <w:tcW w:w="7300" w:type="dxa"/>
            <w:vAlign w:val="bottom"/>
          </w:tcPr>
          <w:p>
            <w:pPr>
              <w:ind w:left="42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160" w:type="dxa"/>
            <w:vAlign w:val="bottom"/>
          </w:tcPr>
          <w:p>
            <w:pPr>
              <w:ind w:left="140"/>
              <w:spacing w:after="0"/>
              <w:rPr>
                <w:sz w:val="20"/>
                <w:szCs w:val="20"/>
                <w:color w:val="auto"/>
              </w:rPr>
            </w:pPr>
            <w:r>
              <w:rPr>
                <w:rFonts w:ascii="Arial" w:cs="Arial" w:eastAsia="Arial" w:hAnsi="Arial"/>
                <w:sz w:val="18"/>
                <w:szCs w:val="18"/>
                <w:b w:val="1"/>
                <w:bCs w:val="1"/>
                <w:color w:val="auto"/>
              </w:rPr>
              <w:t>iClick Interactive Asia Group Limited</w:t>
            </w:r>
          </w:p>
        </w:tc>
        <w:tc>
          <w:tcPr>
            <w:tcW w:w="7300" w:type="dxa"/>
            <w:vAlign w:val="bottom"/>
          </w:tcPr>
          <w:p>
            <w:pPr>
              <w:ind w:left="420"/>
              <w:spacing w:after="0"/>
              <w:rPr>
                <w:sz w:val="20"/>
                <w:szCs w:val="20"/>
                <w:color w:val="auto"/>
              </w:rPr>
            </w:pPr>
            <w:r>
              <w:rPr>
                <w:rFonts w:ascii="Arial" w:cs="Arial" w:eastAsia="Arial" w:hAnsi="Arial"/>
                <w:sz w:val="18"/>
                <w:szCs w:val="18"/>
                <w:b w:val="1"/>
                <w:bCs w:val="1"/>
                <w:color w:val="auto"/>
              </w:rPr>
              <w:t>PondelWilkinson Inc.</w:t>
            </w:r>
          </w:p>
        </w:tc>
      </w:tr>
      <w:tr>
        <w:trPr>
          <w:trHeight w:val="216"/>
        </w:trPr>
        <w:tc>
          <w:tcPr>
            <w:tcW w:w="4160" w:type="dxa"/>
            <w:vAlign w:val="bottom"/>
          </w:tcPr>
          <w:p>
            <w:pPr>
              <w:ind w:left="140"/>
              <w:spacing w:after="0"/>
              <w:rPr>
                <w:sz w:val="20"/>
                <w:szCs w:val="20"/>
                <w:color w:val="auto"/>
              </w:rPr>
            </w:pPr>
            <w:r>
              <w:rPr>
                <w:rFonts w:ascii="Arial" w:cs="Arial" w:eastAsia="Arial" w:hAnsi="Arial"/>
                <w:sz w:val="18"/>
                <w:szCs w:val="18"/>
                <w:color w:val="auto"/>
              </w:rPr>
              <w:t>Lisa Li</w:t>
            </w:r>
          </w:p>
        </w:tc>
        <w:tc>
          <w:tcPr>
            <w:tcW w:w="7300" w:type="dxa"/>
            <w:vAlign w:val="bottom"/>
          </w:tcPr>
          <w:p>
            <w:pPr>
              <w:ind w:left="420"/>
              <w:spacing w:after="0"/>
              <w:rPr>
                <w:sz w:val="20"/>
                <w:szCs w:val="20"/>
                <w:color w:val="auto"/>
              </w:rPr>
            </w:pPr>
            <w:r>
              <w:rPr>
                <w:rFonts w:ascii="Arial" w:cs="Arial" w:eastAsia="Arial" w:hAnsi="Arial"/>
                <w:sz w:val="18"/>
                <w:szCs w:val="18"/>
                <w:color w:val="auto"/>
              </w:rPr>
              <w:t>Evan Pondel/Laurie Berman</w:t>
            </w:r>
          </w:p>
        </w:tc>
      </w:tr>
      <w:tr>
        <w:trPr>
          <w:trHeight w:val="216"/>
        </w:trPr>
        <w:tc>
          <w:tcPr>
            <w:tcW w:w="4160" w:type="dxa"/>
            <w:vAlign w:val="bottom"/>
          </w:tcPr>
          <w:p>
            <w:pPr>
              <w:ind w:left="140"/>
              <w:spacing w:after="0"/>
              <w:rPr>
                <w:sz w:val="20"/>
                <w:szCs w:val="20"/>
                <w:color w:val="auto"/>
              </w:rPr>
            </w:pPr>
            <w:r>
              <w:rPr>
                <w:rFonts w:ascii="Arial" w:cs="Arial" w:eastAsia="Arial" w:hAnsi="Arial"/>
                <w:sz w:val="18"/>
                <w:szCs w:val="18"/>
                <w:color w:val="auto"/>
              </w:rPr>
              <w:t>Phone: +852-3700-9065</w:t>
            </w:r>
          </w:p>
        </w:tc>
        <w:tc>
          <w:tcPr>
            <w:tcW w:w="7300" w:type="dxa"/>
            <w:vAlign w:val="bottom"/>
          </w:tcPr>
          <w:p>
            <w:pPr>
              <w:ind w:left="420"/>
              <w:spacing w:after="0"/>
              <w:rPr>
                <w:sz w:val="20"/>
                <w:szCs w:val="20"/>
                <w:color w:val="auto"/>
              </w:rPr>
            </w:pPr>
            <w:r>
              <w:rPr>
                <w:rFonts w:ascii="Arial" w:cs="Arial" w:eastAsia="Arial" w:hAnsi="Arial"/>
                <w:sz w:val="18"/>
                <w:szCs w:val="18"/>
                <w:color w:val="auto"/>
              </w:rPr>
              <w:t>Tel: +1-310-279-5980</w:t>
            </w: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E-mail: ir@i-click.com</w:t>
            </w:r>
          </w:p>
        </w:tc>
        <w:tc>
          <w:tcPr>
            <w:tcW w:w="7300" w:type="dxa"/>
            <w:vAlign w:val="bottom"/>
          </w:tcPr>
          <w:p>
            <w:pPr>
              <w:ind w:left="420"/>
              <w:spacing w:after="0"/>
              <w:rPr>
                <w:sz w:val="20"/>
                <w:szCs w:val="20"/>
                <w:color w:val="auto"/>
              </w:rPr>
            </w:pPr>
            <w:r>
              <w:rPr>
                <w:rFonts w:ascii="Arial" w:cs="Arial" w:eastAsia="Arial" w:hAnsi="Arial"/>
                <w:sz w:val="18"/>
                <w:szCs w:val="18"/>
                <w:color w:val="auto"/>
              </w:rPr>
              <w:t>E-mail: iclk@pondel.com</w:t>
            </w:r>
          </w:p>
        </w:tc>
      </w:tr>
      <w:tr>
        <w:trPr>
          <w:trHeight w:val="432"/>
        </w:trPr>
        <w:tc>
          <w:tcPr>
            <w:tcW w:w="4160" w:type="dxa"/>
            <w:vAlign w:val="bottom"/>
          </w:tcPr>
          <w:p>
            <w:pPr>
              <w:spacing w:after="0"/>
              <w:rPr>
                <w:sz w:val="24"/>
                <w:szCs w:val="24"/>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(financial tables follow)</w:t>
            </w:r>
          </w:p>
        </w:tc>
      </w:tr>
      <w:tr>
        <w:trPr>
          <w:trHeight w:val="348"/>
        </w:trPr>
        <w:tc>
          <w:tcPr>
            <w:tcW w:w="416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80" w:type="dxa"/>
            <w:vAlign w:val="bottom"/>
            <w:gridSpan w:val="3"/>
          </w:tcPr>
          <w:p>
            <w:pPr>
              <w:jc w:val="center"/>
              <w:ind w:left="732"/>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8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Net revenues</w:t>
            </w:r>
            <w:r>
              <w:rPr>
                <w:rFonts w:ascii="Arial" w:cs="Arial" w:eastAsia="Arial" w:hAnsi="Arial"/>
                <w:sz w:val="23"/>
                <w:szCs w:val="23"/>
                <w:b w:val="1"/>
                <w:bCs w:val="1"/>
                <w:color w:val="auto"/>
                <w:vertAlign w:val="superscript"/>
              </w:rPr>
              <w:t>3</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29,756</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42,587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85,497</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3</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(23,257)</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(33,255)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(65,688)</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(93,146)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(1,344)</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(5,409)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(4,578)</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(17,648)</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(2,418)</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(10,781)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(6,927)</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Pr>
          <w:p>
            <w:pPr>
              <w:jc w:val="right"/>
              <w:spacing w:after="0"/>
              <w:rPr>
                <w:sz w:val="20"/>
                <w:szCs w:val="20"/>
                <w:color w:val="auto"/>
              </w:rPr>
            </w:pPr>
            <w:r>
              <w:rPr>
                <w:rFonts w:ascii="Arial" w:cs="Arial" w:eastAsia="Arial" w:hAnsi="Arial"/>
                <w:sz w:val="18"/>
                <w:szCs w:val="18"/>
                <w:color w:val="auto"/>
              </w:rPr>
              <w:t>(2,706)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(14,024)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(9,344)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gains/(losses), net</w:t>
            </w:r>
          </w:p>
        </w:tc>
        <w:tc>
          <w:tcPr>
            <w:tcW w:w="1360" w:type="dxa"/>
            <w:vAlign w:val="bottom"/>
          </w:tcPr>
          <w:p>
            <w:pPr>
              <w:jc w:val="right"/>
              <w:spacing w:after="0"/>
              <w:rPr>
                <w:sz w:val="20"/>
                <w:szCs w:val="20"/>
                <w:color w:val="auto"/>
              </w:rPr>
            </w:pPr>
            <w:r>
              <w:rPr>
                <w:rFonts w:ascii="Arial" w:cs="Arial" w:eastAsia="Arial" w:hAnsi="Arial"/>
                <w:sz w:val="18"/>
                <w:szCs w:val="18"/>
                <w:color w:val="auto"/>
              </w:rPr>
              <w:t>1,429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1,436</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gain/(loss) on derivative liabilities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(7,056)</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Fair value loss on convertible notes</w:t>
            </w:r>
          </w:p>
        </w:tc>
        <w:tc>
          <w:tcPr>
            <w:tcW w:w="21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(5,383)</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Profit/(loss) before income tax expense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benefit/(expenses)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profit/(loss)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line="195" w:lineRule="exact"/>
              <w:rPr>
                <w:sz w:val="20"/>
                <w:szCs w:val="20"/>
                <w:color w:val="auto"/>
              </w:rPr>
            </w:pPr>
            <w:r>
              <w:rPr>
                <w:rFonts w:ascii="Arial" w:cs="Arial" w:eastAsia="Arial" w:hAnsi="Arial"/>
                <w:sz w:val="18"/>
                <w:szCs w:val="18"/>
                <w:color w:val="auto"/>
              </w:rPr>
              <w:t>Accretion to convertible redeemable preferred shares</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52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profit/(loss) attributable to iClick Interactive Asia</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Group Limited’s ordinary shareholders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(17,768)</w:t>
            </w:r>
          </w:p>
        </w:tc>
        <w:tc>
          <w:tcPr>
            <w:tcW w:w="5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profit/(loss)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(15,884)</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 net of US$nil tax</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Comprehensive income/(loss) attributable to iClick</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(22,768)</w:t>
            </w: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(15,953)</w:t>
            </w:r>
          </w:p>
        </w:tc>
        <w:tc>
          <w:tcPr>
            <w:tcW w:w="520" w:type="dxa"/>
            <w:vAlign w:val="bottom"/>
            <w:shd w:val="clear" w:color="auto" w:fill="CCEEFF"/>
          </w:tcPr>
          <w:p>
            <w:pPr>
              <w:spacing w:after="0"/>
              <w:rPr>
                <w:sz w:val="17"/>
                <w:szCs w:val="17"/>
                <w:color w:val="auto"/>
              </w:rPr>
            </w:pPr>
          </w:p>
        </w:tc>
        <w:tc>
          <w:tcPr>
            <w:tcW w:w="9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(27,020)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Interactive Asia Group Limited</w:t>
            </w:r>
          </w:p>
        </w:tc>
        <w:tc>
          <w:tcPr>
            <w:tcW w:w="13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profit/(loss) per ADS attributable to iClick Interactive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Asia Group Limited</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 Basic</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ADS used in per share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rPr>
              <w:t>calculation:</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27,265,630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52,722,561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27,244,344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52,348,326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 Diluted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49,521,078</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52,722,561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27,244,344</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52,348,326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34" w:lineRule="auto"/>
        <w:tabs>
          <w:tab w:leader="none" w:pos="335"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On January 1, 2018, the Company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49,825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Time deposit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Accounts receivable, net of allowance for doubtful receivables of US$1,478 and US$1,430 as of December 31,</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and September 30, 2018, respectively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40,798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63,082</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Rebates receivable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1,334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37,784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127,427</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1,165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Goodwill</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48,496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48,496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188,822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210,013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rPr>
              <w:t>Accounts payable (including accounts payable of the consolidated variable interest entity (“VIE”) and its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subsidiary without recourse to the Company of US$29 and US$28 as of December 31, 2017 and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September 30, 2018, respectively)</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3,904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4,670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Deferred revenue (including deferred revenue of the consolidated VIE and its subsidiary without recourse to</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the Company of US$5,986 and US$2,327 as of December 31, 2017 and September 30, 2018, respectively)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33,037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29,619</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w w:val="97"/>
              </w:rPr>
              <w:t>Accrued liabilities and other current liabilities (including accrued liabilities and other current liabilities of the</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consolidated VIE and its subsidiary without recourse to the Company of US$804 and US$373 as of</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December 31, 2017 and September 30, 2018, respectively)</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16,129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14,333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35,383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65,679</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Non-current liability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liability</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68,838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103,156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136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160"/>
              <w:spacing w:after="0" w:line="201" w:lineRule="exact"/>
              <w:rPr>
                <w:sz w:val="20"/>
                <w:szCs w:val="20"/>
                <w:color w:val="auto"/>
              </w:rPr>
            </w:pPr>
            <w:r>
              <w:rPr>
                <w:rFonts w:ascii="Arial" w:cs="Arial" w:eastAsia="Arial" w:hAnsi="Arial"/>
                <w:sz w:val="18"/>
                <w:szCs w:val="18"/>
                <w:color w:val="auto"/>
                <w:w w:val="96"/>
              </w:rPr>
              <w:t>Ordinary shares — Class A (US$0.001 par value; 80,000,000 shares authorized as of December 31, 2017</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w w:val="95"/>
              </w:rPr>
              <w:t>and September 30, 2018, respectively; 21,238,825 and 22,075,159 shares issued and outstanding as of</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December 31, 2017 and September 30, 2018, respectively)</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Ordinary shares — Class B (US$0.001 par value; 20,000,000 shares authorized as of December 31, 2017</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and September 30, 2018, respectively; 4,820,608 shares issued and outstanding as of December 31, 2017</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September 30, 2018, respectively)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160"/>
              <w:spacing w:after="0" w:line="201" w:lineRule="exact"/>
              <w:rPr>
                <w:sz w:val="20"/>
                <w:szCs w:val="20"/>
                <w:color w:val="auto"/>
              </w:rPr>
            </w:pPr>
            <w:r>
              <w:rPr>
                <w:rFonts w:ascii="Arial" w:cs="Arial" w:eastAsia="Arial" w:hAnsi="Arial"/>
                <w:sz w:val="18"/>
                <w:szCs w:val="18"/>
                <w:color w:val="auto"/>
                <w:w w:val="92"/>
              </w:rPr>
              <w:t>Treasury shares (2,123,382 shares and 1,802,039 shares as of December 31, 2017 and September 30, 2018,</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(2,093)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274,294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286,807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Statutory reserves</w:t>
            </w: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(149,004)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(173,476)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119,984</w:t>
            </w:r>
          </w:p>
        </w:tc>
        <w:tc>
          <w:tcPr>
            <w:tcW w:w="1380" w:type="dxa"/>
            <w:vAlign w:val="bottom"/>
          </w:tcPr>
          <w:p>
            <w:pPr>
              <w:jc w:val="right"/>
              <w:spacing w:after="0"/>
              <w:rPr>
                <w:sz w:val="20"/>
                <w:szCs w:val="20"/>
                <w:color w:val="auto"/>
              </w:rPr>
            </w:pPr>
            <w:r>
              <w:rPr>
                <w:rFonts w:ascii="Arial" w:cs="Arial" w:eastAsia="Arial" w:hAnsi="Arial"/>
                <w:sz w:val="18"/>
                <w:szCs w:val="18"/>
                <w:color w:val="auto"/>
              </w:rPr>
              <w:t>106,857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188,822</w:t>
            </w:r>
          </w:p>
        </w:tc>
        <w:tc>
          <w:tcPr>
            <w:tcW w:w="1380" w:type="dxa"/>
            <w:vAlign w:val="bottom"/>
          </w:tcPr>
          <w:p>
            <w:pPr>
              <w:jc w:val="right"/>
              <w:spacing w:after="0"/>
              <w:rPr>
                <w:sz w:val="20"/>
                <w:szCs w:val="20"/>
                <w:color w:val="auto"/>
              </w:rPr>
            </w:pPr>
            <w:r>
              <w:rPr>
                <w:rFonts w:ascii="Arial" w:cs="Arial" w:eastAsia="Arial" w:hAnsi="Arial"/>
                <w:sz w:val="18"/>
                <w:szCs w:val="18"/>
                <w:color w:val="auto"/>
              </w:rPr>
              <w:t>210,013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Adjusted EBITDA represents net profit/(loss) before (i) depreciation and amortization, (ii) interest expense, (iii) income tax (benefit)/ expenses, (iv) share-based compensation, (v) fair value (gain)/loss on derivative liabilities, (vi) fair value loss on convertible notes, (vii) other (gains)/ losses, net, and (viii) convertible notes issuance cost.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profit/(loss)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192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124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2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(15,884)</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Add / (less):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(benefit)/expenses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EBITDA</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7,772</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(19,743)</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(10,752)</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 / (less):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3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11,785</w:t>
            </w:r>
          </w:p>
        </w:tc>
        <w:tc>
          <w:tcPr>
            <w:tcW w:w="1240" w:type="dxa"/>
            <w:vAlign w:val="bottom"/>
          </w:tcPr>
          <w:p>
            <w:pPr>
              <w:jc w:val="right"/>
              <w:spacing w:after="0"/>
              <w:rPr>
                <w:sz w:val="20"/>
                <w:szCs w:val="20"/>
                <w:color w:val="auto"/>
              </w:rPr>
            </w:pPr>
            <w:r>
              <w:rPr>
                <w:rFonts w:ascii="Arial" w:cs="Arial" w:eastAsia="Arial" w:hAnsi="Arial"/>
                <w:sz w:val="18"/>
                <w:szCs w:val="18"/>
                <w:color w:val="auto"/>
              </w:rPr>
              <w:t>2,841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(gain)/loss on derivative liabilities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Fair value loss on convertible notes</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5,383</w:t>
            </w:r>
          </w:p>
        </w:tc>
        <w:tc>
          <w:tcPr>
            <w:tcW w:w="20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(gains)/losses, net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Convertible notes issuance cost</w:t>
            </w:r>
            <w:r>
              <w:rPr>
                <w:rFonts w:ascii="Arial" w:cs="Arial" w:eastAsia="Arial" w:hAnsi="Arial"/>
                <w:sz w:val="23"/>
                <w:szCs w:val="23"/>
                <w:b w:val="1"/>
                <w:bCs w:val="1"/>
                <w:color w:val="auto"/>
                <w:vertAlign w:val="superscript"/>
              </w:rPr>
              <w:t>4</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2,190</w:t>
            </w:r>
          </w:p>
        </w:tc>
        <w:tc>
          <w:tcPr>
            <w:tcW w:w="20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Adjusted net loss represents net profit/(loss) before (i) share-based compensation, (ii) fair value (gain)/loss on derivative liabilities, (iii) fair value loss on convertible notes, (iv) other (gains)/losses, net, and (v) convertible notes issuance cost. There is no material tax effects on these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3" w:lineRule="exact"/>
        <w:rPr>
          <w:sz w:val="20"/>
          <w:szCs w:val="20"/>
          <w:color w:val="auto"/>
        </w:rPr>
      </w:pPr>
    </w:p>
    <w:p>
      <w:pPr>
        <w:ind w:left="340" w:hanging="332"/>
        <w:spacing w:after="0" w:line="227" w:lineRule="auto"/>
        <w:tabs>
          <w:tab w:leader="none" w:pos="335"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Convertible notes issuance cost represents one-off transaction cost for the issue of convertible notes, including success fee, legal and professional fee, and consulting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table below sets forth a reconciliation of the Company’s adjusted net loss to net profit/(loss)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3"/>
            <w:vMerge w:val="continue"/>
          </w:tcPr>
          <w:p>
            <w:pPr>
              <w:spacing w:after="0"/>
              <w:rPr>
                <w:sz w:val="12"/>
                <w:szCs w:val="12"/>
                <w:color w:val="auto"/>
              </w:rPr>
            </w:pPr>
          </w:p>
        </w:tc>
        <w:tc>
          <w:tcPr>
            <w:tcW w:w="11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1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profit/(loss)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(21,754)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Add / (less):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Fair value (gain)/loss on derivative liabilities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(7,671)</w:t>
            </w:r>
          </w:p>
        </w:tc>
        <w:tc>
          <w:tcPr>
            <w:tcW w:w="3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7,056</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loss on convertible notes</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5,383</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Other (gains)/losses, net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(1,429)</w:t>
            </w:r>
          </w:p>
        </w:tc>
        <w:tc>
          <w:tcPr>
            <w:tcW w:w="3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1,574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Convertible notes issuance cost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2,190</w:t>
            </w: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Adjusted net loss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adjusted net loss per ADS for the periods indicated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jc w:val="center"/>
              <w:ind w:left="735"/>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218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13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Adjusted net loss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(1,821)</w:t>
            </w: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(7,423)</w:t>
            </w:r>
          </w:p>
        </w:tc>
        <w:tc>
          <w:tcPr>
            <w:tcW w:w="5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80" w:type="dxa"/>
            <w:vAlign w:val="bottom"/>
            <w:gridSpan w:val="2"/>
          </w:tcPr>
          <w:p>
            <w:pPr>
              <w:spacing w:after="0" w:line="201" w:lineRule="exact"/>
              <w:rPr>
                <w:sz w:val="20"/>
                <w:szCs w:val="20"/>
                <w:color w:val="auto"/>
              </w:rPr>
            </w:pPr>
            <w:r>
              <w:rPr>
                <w:rFonts w:ascii="Arial" w:cs="Arial" w:eastAsia="Arial" w:hAnsi="Arial"/>
                <w:sz w:val="18"/>
                <w:szCs w:val="18"/>
                <w:color w:val="auto"/>
              </w:rPr>
              <w:t>Accretion to convertible redeemable preferred shares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redemption value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52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ADS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 weighted average ADS outstanding</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27,265,630</w:t>
            </w:r>
          </w:p>
        </w:tc>
        <w:tc>
          <w:tcPr>
            <w:tcW w:w="52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52,722,561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27,244,344</w:t>
            </w:r>
          </w:p>
        </w:tc>
        <w:tc>
          <w:tcPr>
            <w:tcW w:w="52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52,348,326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Basic adjusted net loss per ADS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5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520" w:type="dxa"/>
            <w:vAlign w:val="bottom"/>
          </w:tcPr>
          <w:p>
            <w:pPr>
              <w:spacing w:after="0"/>
              <w:rPr>
                <w:sz w:val="22"/>
                <w:szCs w:val="22"/>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Diluted adjusted net loss per ADS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5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52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 w:name="page15"/>
    <w:bookmarkEnd w:id="14"/>
    <w:p>
      <w:pPr>
        <w:jc w:val="right"/>
        <w:ind w:right="4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Announces $10-Million Share Repurchase Program</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HONG KONG, Nov. 28, 2018 (GLOBE NEWSWIRE) — iClick Interactive Asia Group Limited (“iClick”) (NASDAQ: ICLK), a leading independent online marketing and data technology platform in China, today announced its board of directors has approved a share repurchase program in which the company may purchase its own ADSs with an aggregate value of up to US$10 million over the next 12-month period, ending 27 November 2019.</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confident in iClick’s growth prospects and believe a share repurchase program provides an excellent opportunity to invest in the company’s future,” said Sammy Hsieh, Chief Executive Officer and Co-Founder of iClick.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iClick expects to fund the repurchase from its existing cash balance, including cash generated from its operations.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expects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share repurchase program does not obligate the Company to acquire any particular number of ADSs and may be suspended, terminated or extended at any time at the Company’s discretion without prior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iClick Interactive Asia Group Limited (NASDAQ:ICLK)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currently operating in nine locations worldwide including Asia and London. For more information, please visit http://ir.i-click.com.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8100" w:type="dxa"/>
            <w:vAlign w:val="bottom"/>
          </w:tcPr>
          <w:p>
            <w:pPr>
              <w:ind w:left="42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33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8100" w:type="dxa"/>
            <w:vAlign w:val="bottom"/>
          </w:tcPr>
          <w:p>
            <w:pPr>
              <w:ind w:left="420"/>
              <w:spacing w:after="0"/>
              <w:rPr>
                <w:sz w:val="20"/>
                <w:szCs w:val="20"/>
                <w:color w:val="auto"/>
              </w:rPr>
            </w:pPr>
            <w:r>
              <w:rPr>
                <w:rFonts w:ascii="Arial" w:cs="Arial" w:eastAsia="Arial" w:hAnsi="Arial"/>
                <w:sz w:val="18"/>
                <w:szCs w:val="18"/>
                <w:b w:val="1"/>
                <w:bCs w:val="1"/>
                <w:color w:val="auto"/>
              </w:rPr>
              <w:t>PondelWilkinson Inc.</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Lisa Li</w:t>
            </w:r>
          </w:p>
        </w:tc>
        <w:tc>
          <w:tcPr>
            <w:tcW w:w="8100" w:type="dxa"/>
            <w:vAlign w:val="bottom"/>
          </w:tcPr>
          <w:p>
            <w:pPr>
              <w:ind w:left="420"/>
              <w:spacing w:after="0"/>
              <w:rPr>
                <w:sz w:val="20"/>
                <w:szCs w:val="20"/>
                <w:color w:val="auto"/>
              </w:rPr>
            </w:pPr>
            <w:r>
              <w:rPr>
                <w:rFonts w:ascii="Arial" w:cs="Arial" w:eastAsia="Arial" w:hAnsi="Arial"/>
                <w:sz w:val="18"/>
                <w:szCs w:val="18"/>
                <w:color w:val="auto"/>
              </w:rPr>
              <w:t>Evan Pondel/Laurie Berman</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Phone: +852-3700-9065</w:t>
            </w:r>
          </w:p>
        </w:tc>
        <w:tc>
          <w:tcPr>
            <w:tcW w:w="8100" w:type="dxa"/>
            <w:vAlign w:val="bottom"/>
          </w:tcPr>
          <w:p>
            <w:pPr>
              <w:ind w:left="420"/>
              <w:spacing w:after="0"/>
              <w:rPr>
                <w:sz w:val="20"/>
                <w:szCs w:val="20"/>
                <w:color w:val="auto"/>
              </w:rPr>
            </w:pPr>
            <w:r>
              <w:rPr>
                <w:rFonts w:ascii="Arial" w:cs="Arial" w:eastAsia="Arial" w:hAnsi="Arial"/>
                <w:sz w:val="18"/>
                <w:szCs w:val="18"/>
                <w:color w:val="auto"/>
              </w:rPr>
              <w:t>Tel: +1-310-279-5980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E-mail: ir@i-click.com</w:t>
            </w:r>
          </w:p>
        </w:tc>
        <w:tc>
          <w:tcPr>
            <w:tcW w:w="8100" w:type="dxa"/>
            <w:vAlign w:val="bottom"/>
          </w:tcPr>
          <w:p>
            <w:pPr>
              <w:ind w:left="420"/>
              <w:spacing w:after="0"/>
              <w:rPr>
                <w:sz w:val="20"/>
                <w:szCs w:val="20"/>
                <w:color w:val="auto"/>
              </w:rPr>
            </w:pPr>
            <w:r>
              <w:rPr>
                <w:rFonts w:ascii="Arial" w:cs="Arial" w:eastAsia="Arial" w:hAnsi="Arial"/>
                <w:sz w:val="18"/>
                <w:szCs w:val="18"/>
                <w:color w:val="auto"/>
              </w:rPr>
              <w:t>E-mail: iclk@pondel.com</w:t>
            </w:r>
          </w:p>
        </w:tc>
      </w:tr>
      <w:tr>
        <w:trPr>
          <w:trHeight w:val="348"/>
        </w:trPr>
        <w:tc>
          <w:tcPr>
            <w:tcW w:w="3360" w:type="dxa"/>
            <w:vAlign w:val="bottom"/>
            <w:tcBorders>
              <w:bottom w:val="single" w:sz="8" w:color="808080"/>
            </w:tcBorders>
          </w:tcPr>
          <w:p>
            <w:pPr>
              <w:spacing w:after="0"/>
              <w:rPr>
                <w:sz w:val="24"/>
                <w:szCs w:val="24"/>
                <w:color w:val="auto"/>
              </w:rPr>
            </w:pPr>
          </w:p>
        </w:tc>
        <w:tc>
          <w:tcPr>
            <w:tcW w:w="8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2019-12-08T16:34:48Z</dcterms:created>
  <dcterms:modified xsi:type="dcterms:W3CDTF">2019-12-08T16:34:48Z</dcterms:modified>
</cp:coreProperties>
</file>