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September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1003" w:right="8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Exhibit 23.1 of this report on Form 6-K shall be deemed to be incorporated by reference into the registration statement on Form F-3 (File No. 333-232435) of iClick Interactive Asia Group Limited (the “Company”) (including any prospectuses forming a part of such registration statement) and to be part thereof from the date on which this report is filed, to the extent not superseded by documents or reports subsequently filed or furnished.</w:t>
      </w:r>
    </w:p>
    <w:p>
      <w:pPr>
        <w:spacing w:after="0" w:line="15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Exhibits 99.1, and 99.2 of this report on Form 6-K shall be deemed to be incorporated by reference into the registration statements on Form F-3 (File Nos. 333-232435 and 333-239982) of the Company (including any prospectuses forming a part of such registration statements) and to be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The following are furnished as exhibits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92"/>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42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24"/>
                <w:szCs w:val="24"/>
                <w:color w:val="auto"/>
              </w:rPr>
            </w:pPr>
          </w:p>
        </w:tc>
      </w:tr>
      <w:tr>
        <w:trPr>
          <w:trHeight w:val="195"/>
        </w:trPr>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23.1</w:t>
            </w:r>
          </w:p>
        </w:tc>
        <w:tc>
          <w:tcPr>
            <w:tcW w:w="160" w:type="dxa"/>
            <w:vAlign w:val="bottom"/>
          </w:tcPr>
          <w:p>
            <w:pPr>
              <w:spacing w:after="0"/>
              <w:rPr>
                <w:sz w:val="16"/>
                <w:szCs w:val="16"/>
                <w:color w:val="auto"/>
              </w:rPr>
            </w:pPr>
          </w:p>
        </w:tc>
        <w:tc>
          <w:tcPr>
            <w:tcW w:w="10000" w:type="dxa"/>
            <w:vAlign w:val="bottom"/>
            <w:tcBorders>
              <w:top w:val="single" w:sz="8" w:color="auto"/>
            </w:tcBorders>
          </w:tcPr>
          <w:p>
            <w:pPr>
              <w:ind w:left="20"/>
              <w:spacing w:after="0" w:line="195"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PricewaterhouseCoopers</w:t>
              </w:r>
            </w:hyperlink>
          </w:p>
        </w:tc>
        <w:tc>
          <w:tcPr>
            <w:tcW w:w="20" w:type="dxa"/>
            <w:vAlign w:val="bottom"/>
          </w:tcPr>
          <w:p>
            <w:pPr>
              <w:spacing w:after="0"/>
              <w:rPr>
                <w:sz w:val="16"/>
                <w:szCs w:val="16"/>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0000" w:type="dxa"/>
            <w:vAlign w:val="bottom"/>
          </w:tcPr>
          <w:p>
            <w:pPr>
              <w:ind w:left="20"/>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Management’s discussion and analysis of financial condition and results of operations as of and for the six months ended June 30, 2020</w:t>
              </w:r>
            </w:hyperlink>
          </w:p>
        </w:tc>
        <w:tc>
          <w:tcPr>
            <w:tcW w:w="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10000" w:type="dxa"/>
            <w:vAlign w:val="bottom"/>
          </w:tcPr>
          <w:p>
            <w:pPr>
              <w:ind w:left="20"/>
              <w:spacing w:after="0"/>
              <w:rPr>
                <w:rFonts w:ascii="Arial" w:cs="Arial" w:eastAsia="Arial" w:hAnsi="Arial"/>
                <w:sz w:val="18"/>
                <w:szCs w:val="18"/>
                <w:u w:val="single" w:color="auto"/>
                <w:color w:val="0000EE"/>
                <w:w w:val="97"/>
              </w:rPr>
            </w:pPr>
            <w:hyperlink w:anchor="page15">
              <w:r>
                <w:rPr>
                  <w:rFonts w:ascii="Arial" w:cs="Arial" w:eastAsia="Arial" w:hAnsi="Arial"/>
                  <w:sz w:val="18"/>
                  <w:szCs w:val="18"/>
                  <w:u w:val="single" w:color="auto"/>
                  <w:color w:val="0000EE"/>
                  <w:w w:val="97"/>
                </w:rPr>
                <w:t>Unaudited interim condensed consolidated financial statements as of June 30, 2020 and for the six months ended June 30, 2020</w:t>
              </w:r>
            </w:hyperlink>
          </w:p>
        </w:tc>
        <w:tc>
          <w:tcPr>
            <w:tcW w:w="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20" w:type="dxa"/>
            <w:vAlign w:val="bottom"/>
          </w:tcPr>
          <w:p>
            <w:pPr>
              <w:spacing w:after="0"/>
              <w:rPr>
                <w:sz w:val="18"/>
                <w:szCs w:val="18"/>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0"/>
                <w:szCs w:val="20"/>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7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2020</w:t>
      </w:r>
    </w:p>
    <w:p>
      <w:pPr>
        <w:sectPr>
          <w:pgSz w:w="11900" w:h="16838" w:orient="portrait"/>
          <w:cols w:equalWidth="0" w:num="1">
            <w:col w:w="11240"/>
          </w:cols>
          <w:pgMar w:left="320" w:top="35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23.1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F-3 (No. 333-232435) of iClick Interactive Asia Group Limited of our report dated April 30, 2020 relating to the consolidated financial statements, which appears in iClick Interactive Asia Group Limited’s Annual Report on Form 20-F for the year ended December 31, 2019.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18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89" w:lineRule="exact"/>
        <w:rPr>
          <w:sz w:val="20"/>
          <w:szCs w:val="20"/>
          <w:color w:val="auto"/>
        </w:rPr>
      </w:pPr>
    </w:p>
    <w:p>
      <w:pPr>
        <w:ind w:right="140" w:firstLine="802"/>
        <w:spacing w:after="0" w:line="272" w:lineRule="auto"/>
        <w:rPr>
          <w:sz w:val="20"/>
          <w:szCs w:val="20"/>
          <w:color w:val="auto"/>
        </w:rPr>
      </w:pPr>
      <w:r>
        <w:rPr>
          <w:rFonts w:ascii="Arial" w:cs="Arial" w:eastAsia="Arial" w:hAnsi="Arial"/>
          <w:sz w:val="17"/>
          <w:szCs w:val="17"/>
          <w:color w:val="auto"/>
        </w:rPr>
        <w:t>The summary unaudited consolidated financial information for the six months ended June 30, 2019 and 2020 and as of June 30, 2020 has been derived from our unaudited interim condensed consolidated financial statements as of June 30, 2020 and for the six months ended June 30, 2019 and June 30, 2020 included in this report. Our unaudited interim condensed consolidated financial statements have been prepared on a basis consistent with our audited consolidated financial statements. The summary consolidated balance sheet data as of December 31, 2019 has been derived from our audited consolidated financial statements included in our annual report on Form 20-F for the year ended December 31, 2019 filed with the SEC on April 30, 2020 (our “2019 annual report”). The summary consolidated financial data should be read in conjunction with those financial statements and the accompanying notes and “Item 5. Operating and Financial Review and Prospects” included in our 2019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Unaudited Consolidated Statements of Operations Information</w:t>
      </w:r>
    </w:p>
    <w:p>
      <w:pPr>
        <w:spacing w:after="0" w:line="226"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3480" w:type="dxa"/>
            <w:vAlign w:val="bottom"/>
            <w:gridSpan w:val="7"/>
          </w:tcPr>
          <w:p>
            <w:pPr>
              <w:jc w:val="right"/>
              <w:ind w:right="200"/>
              <w:spacing w:after="0"/>
              <w:rPr>
                <w:sz w:val="20"/>
                <w:szCs w:val="20"/>
                <w:color w:val="auto"/>
              </w:rPr>
            </w:pPr>
            <w:r>
              <w:rPr>
                <w:rFonts w:ascii="Arial" w:cs="Arial" w:eastAsia="Arial" w:hAnsi="Arial"/>
                <w:sz w:val="16"/>
                <w:szCs w:val="16"/>
                <w:b w:val="1"/>
                <w:bCs w:val="1"/>
                <w:color w:val="auto"/>
                <w:w w:val="94"/>
              </w:rPr>
              <w:t>(US$ in thousands, except for per-share data)</w:t>
            </w:r>
          </w:p>
        </w:tc>
      </w:tr>
      <w:tr>
        <w:trPr>
          <w:trHeight w:val="374"/>
        </w:trPr>
        <w:tc>
          <w:tcPr>
            <w:tcW w:w="8840" w:type="dxa"/>
            <w:vAlign w:val="bottom"/>
            <w:gridSpan w:val="2"/>
          </w:tcPr>
          <w:p>
            <w:pPr>
              <w:spacing w:after="0"/>
              <w:rPr>
                <w:sz w:val="20"/>
                <w:szCs w:val="20"/>
                <w:color w:val="auto"/>
              </w:rPr>
            </w:pPr>
            <w:r>
              <w:rPr>
                <w:rFonts w:ascii="Arial" w:cs="Arial" w:eastAsia="Arial" w:hAnsi="Arial"/>
                <w:sz w:val="16"/>
                <w:szCs w:val="16"/>
                <w:b w:val="1"/>
                <w:bCs w:val="1"/>
                <w:color w:val="auto"/>
              </w:rPr>
              <w:t>Net revenues: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840" w:type="dxa"/>
            <w:vAlign w:val="bottom"/>
            <w:gridSpan w:val="2"/>
          </w:tcPr>
          <w:p>
            <w:pPr>
              <w:ind w:left="80"/>
              <w:spacing w:after="0"/>
              <w:rPr>
                <w:sz w:val="20"/>
                <w:szCs w:val="20"/>
                <w:color w:val="auto"/>
              </w:rPr>
            </w:pPr>
            <w:r>
              <w:rPr>
                <w:rFonts w:ascii="Arial" w:cs="Arial" w:eastAsia="Arial" w:hAnsi="Arial"/>
                <w:sz w:val="16"/>
                <w:szCs w:val="16"/>
                <w:color w:val="auto"/>
              </w:rPr>
              <w:t>Marketing solutions</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97,601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84,349</w:t>
            </w:r>
          </w:p>
        </w:tc>
      </w:tr>
      <w:tr>
        <w:trPr>
          <w:trHeight w:val="233"/>
        </w:trPr>
        <w:tc>
          <w:tcPr>
            <w:tcW w:w="8840" w:type="dxa"/>
            <w:vAlign w:val="bottom"/>
            <w:gridSpan w:val="2"/>
          </w:tcPr>
          <w:p>
            <w:pPr>
              <w:ind w:left="80"/>
              <w:spacing w:after="0"/>
              <w:rPr>
                <w:sz w:val="20"/>
                <w:szCs w:val="20"/>
                <w:color w:val="auto"/>
              </w:rPr>
            </w:pPr>
            <w:r>
              <w:rPr>
                <w:rFonts w:ascii="Arial" w:cs="Arial" w:eastAsia="Arial" w:hAnsi="Arial"/>
                <w:sz w:val="16"/>
                <w:szCs w:val="16"/>
                <w:color w:val="auto"/>
              </w:rPr>
              <w:t>Enterprise solutions</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9,547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4,216</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b w:val="1"/>
                <w:bCs w:val="1"/>
                <w:color w:val="auto"/>
              </w:rPr>
              <w:t>Total net revenues</w:t>
            </w:r>
          </w:p>
        </w:tc>
        <w:tc>
          <w:tcPr>
            <w:tcW w:w="10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20"/>
              <w:spacing w:after="0" w:line="179" w:lineRule="exact"/>
              <w:rPr>
                <w:sz w:val="20"/>
                <w:szCs w:val="20"/>
                <w:color w:val="auto"/>
              </w:rPr>
            </w:pPr>
            <w:r>
              <w:rPr>
                <w:rFonts w:ascii="Arial" w:cs="Arial" w:eastAsia="Arial" w:hAnsi="Arial"/>
                <w:sz w:val="16"/>
                <w:szCs w:val="16"/>
                <w:b w:val="1"/>
                <w:bCs w:val="1"/>
                <w:color w:val="auto"/>
              </w:rPr>
              <w:t>107,148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88,565</w:t>
            </w:r>
          </w:p>
        </w:tc>
        <w:tc>
          <w:tcPr>
            <w:tcW w:w="20" w:type="dxa"/>
            <w:vAlign w:val="bottom"/>
          </w:tcPr>
          <w:p>
            <w:pPr>
              <w:spacing w:after="0"/>
              <w:rPr>
                <w:sz w:val="15"/>
                <w:szCs w:val="15"/>
                <w:color w:val="auto"/>
              </w:rPr>
            </w:pPr>
          </w:p>
        </w:tc>
      </w:tr>
      <w:tr>
        <w:trPr>
          <w:trHeight w:val="233"/>
        </w:trPr>
        <w:tc>
          <w:tcPr>
            <w:tcW w:w="8840" w:type="dxa"/>
            <w:vAlign w:val="bottom"/>
            <w:gridSpan w:val="2"/>
          </w:tcPr>
          <w:p>
            <w:pPr>
              <w:spacing w:after="0"/>
              <w:rPr>
                <w:sz w:val="20"/>
                <w:szCs w:val="20"/>
                <w:color w:val="auto"/>
              </w:rPr>
            </w:pPr>
            <w:r>
              <w:rPr>
                <w:rFonts w:ascii="Arial" w:cs="Arial" w:eastAsia="Arial" w:hAnsi="Arial"/>
                <w:sz w:val="16"/>
                <w:szCs w:val="16"/>
                <w:color w:val="auto"/>
              </w:rPr>
              <w:t>Cost of revenues</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(77,270)</w:t>
            </w:r>
          </w:p>
        </w:tc>
        <w:tc>
          <w:tcPr>
            <w:tcW w:w="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(62,579)</w:t>
            </w:r>
          </w:p>
        </w:tc>
      </w:tr>
      <w:tr>
        <w:trPr>
          <w:trHeight w:val="213"/>
        </w:trPr>
        <w:tc>
          <w:tcPr>
            <w:tcW w:w="778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29,878</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25,986</w:t>
            </w:r>
          </w:p>
        </w:tc>
        <w:tc>
          <w:tcPr>
            <w:tcW w:w="20" w:type="dxa"/>
            <w:vAlign w:val="bottom"/>
          </w:tcPr>
          <w:p>
            <w:pPr>
              <w:spacing w:after="0"/>
              <w:rPr>
                <w:sz w:val="18"/>
                <w:szCs w:val="18"/>
                <w:color w:val="auto"/>
              </w:rPr>
            </w:pPr>
          </w:p>
        </w:tc>
      </w:tr>
      <w:tr>
        <w:trPr>
          <w:trHeight w:val="378"/>
        </w:trPr>
        <w:tc>
          <w:tcPr>
            <w:tcW w:w="884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840" w:type="dxa"/>
            <w:vAlign w:val="bottom"/>
            <w:gridSpan w:val="2"/>
          </w:tcPr>
          <w:p>
            <w:pPr>
              <w:spacing w:after="0"/>
              <w:rPr>
                <w:sz w:val="20"/>
                <w:szCs w:val="20"/>
                <w:color w:val="auto"/>
              </w:rPr>
            </w:pPr>
            <w:r>
              <w:rPr>
                <w:rFonts w:ascii="Arial" w:cs="Arial" w:eastAsia="Arial" w:hAnsi="Arial"/>
                <w:sz w:val="16"/>
                <w:szCs w:val="16"/>
                <w:color w:val="auto"/>
              </w:rPr>
              <w:t>Research and development expenses</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(2,300)</w:t>
            </w: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(2,849)</w:t>
            </w:r>
          </w:p>
        </w:tc>
      </w:tr>
      <w:tr>
        <w:trPr>
          <w:trHeight w:val="202"/>
        </w:trPr>
        <w:tc>
          <w:tcPr>
            <w:tcW w:w="8840" w:type="dxa"/>
            <w:vAlign w:val="bottom"/>
            <w:gridSpan w:val="2"/>
          </w:tcPr>
          <w:p>
            <w:pPr>
              <w:spacing w:after="0"/>
              <w:rPr>
                <w:sz w:val="20"/>
                <w:szCs w:val="20"/>
                <w:color w:val="auto"/>
              </w:rPr>
            </w:pPr>
            <w:r>
              <w:rPr>
                <w:rFonts w:ascii="Arial" w:cs="Arial" w:eastAsia="Arial" w:hAnsi="Arial"/>
                <w:sz w:val="16"/>
                <w:szCs w:val="16"/>
                <w:color w:val="auto"/>
              </w:rPr>
              <w:t>Sales and marketing expenses</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(17,116)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(20,868)</w:t>
            </w:r>
          </w:p>
        </w:tc>
      </w:tr>
      <w:tr>
        <w:trPr>
          <w:trHeight w:val="233"/>
        </w:trPr>
        <w:tc>
          <w:tcPr>
            <w:tcW w:w="77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(6,838)</w:t>
            </w:r>
          </w:p>
        </w:tc>
      </w:tr>
      <w:tr>
        <w:trPr>
          <w:trHeight w:val="223"/>
        </w:trPr>
        <w:tc>
          <w:tcPr>
            <w:tcW w:w="8840" w:type="dxa"/>
            <w:vAlign w:val="bottom"/>
            <w:gridSpan w:val="2"/>
          </w:tcPr>
          <w:p>
            <w:pPr>
              <w:spacing w:after="0"/>
              <w:rPr>
                <w:sz w:val="20"/>
                <w:szCs w:val="20"/>
                <w:color w:val="auto"/>
              </w:rPr>
            </w:pPr>
            <w:r>
              <w:rPr>
                <w:rFonts w:ascii="Arial" w:cs="Arial" w:eastAsia="Arial" w:hAnsi="Arial"/>
                <w:sz w:val="16"/>
                <w:szCs w:val="16"/>
                <w:b w:val="1"/>
                <w:bCs w:val="1"/>
                <w:color w:val="auto"/>
              </w:rPr>
              <w:t>Total operating expenses</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(30,543)</w:t>
            </w:r>
          </w:p>
        </w:tc>
        <w:tc>
          <w:tcPr>
            <w:tcW w:w="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(30,555)</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b w:val="1"/>
                <w:bCs w:val="1"/>
                <w:color w:val="auto"/>
              </w:rPr>
              <w:t>Operating loss</w:t>
            </w:r>
          </w:p>
        </w:tc>
        <w:tc>
          <w:tcPr>
            <w:tcW w:w="10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ind w:right="40"/>
              <w:spacing w:after="0" w:line="179" w:lineRule="exact"/>
              <w:rPr>
                <w:sz w:val="20"/>
                <w:szCs w:val="20"/>
                <w:color w:val="auto"/>
              </w:rPr>
            </w:pPr>
            <w:r>
              <w:rPr>
                <w:rFonts w:ascii="Arial" w:cs="Arial" w:eastAsia="Arial" w:hAnsi="Arial"/>
                <w:sz w:val="16"/>
                <w:szCs w:val="16"/>
                <w:b w:val="1"/>
                <w:bCs w:val="1"/>
                <w:color w:val="auto"/>
              </w:rPr>
              <w:t>(665)</w:t>
            </w:r>
          </w:p>
        </w:tc>
        <w:tc>
          <w:tcPr>
            <w:tcW w:w="60" w:type="dxa"/>
            <w:vAlign w:val="bottom"/>
          </w:tcPr>
          <w:p>
            <w:pPr>
              <w:spacing w:after="0"/>
              <w:rPr>
                <w:sz w:val="15"/>
                <w:szCs w:val="15"/>
                <w:color w:val="auto"/>
              </w:rPr>
            </w:pPr>
          </w:p>
        </w:tc>
        <w:tc>
          <w:tcPr>
            <w:tcW w:w="16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(4,569)</w:t>
            </w:r>
          </w:p>
        </w:tc>
        <w:tc>
          <w:tcPr>
            <w:tcW w:w="20" w:type="dxa"/>
            <w:vAlign w:val="bottom"/>
          </w:tcPr>
          <w:p>
            <w:pPr>
              <w:spacing w:after="0"/>
              <w:rPr>
                <w:sz w:val="15"/>
                <w:szCs w:val="15"/>
                <w:color w:val="auto"/>
              </w:rPr>
            </w:pPr>
          </w:p>
        </w:tc>
      </w:tr>
      <w:tr>
        <w:trPr>
          <w:trHeight w:val="203"/>
        </w:trPr>
        <w:tc>
          <w:tcPr>
            <w:tcW w:w="88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(1,015)</w:t>
            </w: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(537)</w:t>
            </w:r>
          </w:p>
        </w:tc>
      </w:tr>
      <w:tr>
        <w:trPr>
          <w:trHeight w:val="203"/>
        </w:trPr>
        <w:tc>
          <w:tcPr>
            <w:tcW w:w="884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362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214</w:t>
            </w:r>
          </w:p>
        </w:tc>
      </w:tr>
      <w:tr>
        <w:trPr>
          <w:trHeight w:val="203"/>
        </w:trPr>
        <w:tc>
          <w:tcPr>
            <w:tcW w:w="8840" w:type="dxa"/>
            <w:vAlign w:val="bottom"/>
            <w:gridSpan w:val="2"/>
          </w:tcPr>
          <w:p>
            <w:pPr>
              <w:spacing w:after="0"/>
              <w:rPr>
                <w:sz w:val="20"/>
                <w:szCs w:val="20"/>
                <w:color w:val="auto"/>
              </w:rPr>
            </w:pPr>
            <w:r>
              <w:rPr>
                <w:rFonts w:ascii="Arial" w:cs="Arial" w:eastAsia="Arial" w:hAnsi="Arial"/>
                <w:sz w:val="16"/>
                <w:szCs w:val="16"/>
                <w:color w:val="auto"/>
              </w:rPr>
              <w:t>Other gains, net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1,388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1,212</w:t>
            </w:r>
          </w:p>
        </w:tc>
      </w:tr>
      <w:tr>
        <w:trPr>
          <w:trHeight w:val="203"/>
        </w:trPr>
        <w:tc>
          <w:tcPr>
            <w:tcW w:w="8840" w:type="dxa"/>
            <w:vAlign w:val="bottom"/>
            <w:gridSpan w:val="2"/>
          </w:tcPr>
          <w:p>
            <w:pPr>
              <w:spacing w:after="0"/>
              <w:rPr>
                <w:sz w:val="20"/>
                <w:szCs w:val="20"/>
                <w:color w:val="auto"/>
              </w:rPr>
            </w:pPr>
            <w:r>
              <w:rPr>
                <w:rFonts w:ascii="Arial" w:cs="Arial" w:eastAsia="Arial" w:hAnsi="Arial"/>
                <w:sz w:val="16"/>
                <w:szCs w:val="16"/>
                <w:color w:val="auto"/>
              </w:rPr>
              <w:t>Fair value losses on convertible notes</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(3,007)</w:t>
            </w: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(1,992)</w:t>
            </w:r>
          </w:p>
        </w:tc>
      </w:tr>
      <w:tr>
        <w:trPr>
          <w:trHeight w:val="233"/>
        </w:trPr>
        <w:tc>
          <w:tcPr>
            <w:tcW w:w="8840" w:type="dxa"/>
            <w:vAlign w:val="bottom"/>
            <w:gridSpan w:val="2"/>
          </w:tcPr>
          <w:p>
            <w:pPr>
              <w:spacing w:after="0"/>
              <w:rPr>
                <w:sz w:val="20"/>
                <w:szCs w:val="20"/>
                <w:color w:val="auto"/>
              </w:rPr>
            </w:pPr>
            <w:r>
              <w:rPr>
                <w:rFonts w:ascii="Arial" w:cs="Arial" w:eastAsia="Arial" w:hAnsi="Arial"/>
                <w:sz w:val="16"/>
                <w:szCs w:val="16"/>
                <w:color w:val="auto"/>
              </w:rPr>
              <w:t>Fair value losses on derivative liabilities</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(5,123)</w:t>
            </w:r>
          </w:p>
        </w:tc>
        <w:tc>
          <w:tcPr>
            <w:tcW w:w="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b w:val="1"/>
                <w:bCs w:val="1"/>
                <w:color w:val="auto"/>
              </w:rPr>
              <w:t>Loss before income tax expense</w:t>
            </w:r>
          </w:p>
        </w:tc>
        <w:tc>
          <w:tcPr>
            <w:tcW w:w="10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ind w:right="40"/>
              <w:spacing w:after="0" w:line="179" w:lineRule="exact"/>
              <w:rPr>
                <w:sz w:val="20"/>
                <w:szCs w:val="20"/>
                <w:color w:val="auto"/>
              </w:rPr>
            </w:pPr>
            <w:r>
              <w:rPr>
                <w:rFonts w:ascii="Arial" w:cs="Arial" w:eastAsia="Arial" w:hAnsi="Arial"/>
                <w:sz w:val="16"/>
                <w:szCs w:val="16"/>
                <w:b w:val="1"/>
                <w:bCs w:val="1"/>
                <w:color w:val="auto"/>
              </w:rPr>
              <w:t>(8,060)</w:t>
            </w:r>
          </w:p>
        </w:tc>
        <w:tc>
          <w:tcPr>
            <w:tcW w:w="60" w:type="dxa"/>
            <w:vAlign w:val="bottom"/>
          </w:tcPr>
          <w:p>
            <w:pPr>
              <w:spacing w:after="0"/>
              <w:rPr>
                <w:sz w:val="15"/>
                <w:szCs w:val="15"/>
                <w:color w:val="auto"/>
              </w:rPr>
            </w:pPr>
          </w:p>
        </w:tc>
        <w:tc>
          <w:tcPr>
            <w:tcW w:w="16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(5,672)</w:t>
            </w:r>
          </w:p>
        </w:tc>
        <w:tc>
          <w:tcPr>
            <w:tcW w:w="20" w:type="dxa"/>
            <w:vAlign w:val="bottom"/>
          </w:tcPr>
          <w:p>
            <w:pPr>
              <w:spacing w:after="0"/>
              <w:rPr>
                <w:sz w:val="15"/>
                <w:szCs w:val="15"/>
                <w:color w:val="auto"/>
              </w:rPr>
            </w:pPr>
          </w:p>
        </w:tc>
      </w:tr>
      <w:tr>
        <w:trPr>
          <w:trHeight w:val="203"/>
        </w:trPr>
        <w:tc>
          <w:tcPr>
            <w:tcW w:w="8840" w:type="dxa"/>
            <w:vAlign w:val="bottom"/>
            <w:gridSpan w:val="2"/>
          </w:tcPr>
          <w:p>
            <w:pPr>
              <w:spacing w:after="0"/>
              <w:rPr>
                <w:sz w:val="20"/>
                <w:szCs w:val="20"/>
                <w:color w:val="auto"/>
              </w:rPr>
            </w:pPr>
            <w:r>
              <w:rPr>
                <w:rFonts w:ascii="Arial" w:cs="Arial" w:eastAsia="Arial" w:hAnsi="Arial"/>
                <w:sz w:val="16"/>
                <w:szCs w:val="16"/>
                <w:color w:val="auto"/>
              </w:rPr>
              <w:t>Share of losses from an equity investee</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33"/>
        </w:trPr>
        <w:tc>
          <w:tcPr>
            <w:tcW w:w="884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(320)</w:t>
            </w:r>
          </w:p>
        </w:tc>
        <w:tc>
          <w:tcPr>
            <w:tcW w:w="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b w:val="1"/>
                <w:bCs w:val="1"/>
                <w:color w:val="auto"/>
              </w:rPr>
              <w:t>Net loss</w:t>
            </w:r>
          </w:p>
        </w:tc>
        <w:tc>
          <w:tcPr>
            <w:tcW w:w="10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ind w:right="40"/>
              <w:spacing w:after="0" w:line="179" w:lineRule="exact"/>
              <w:rPr>
                <w:sz w:val="20"/>
                <w:szCs w:val="20"/>
                <w:color w:val="auto"/>
              </w:rPr>
            </w:pPr>
            <w:r>
              <w:rPr>
                <w:rFonts w:ascii="Arial" w:cs="Arial" w:eastAsia="Arial" w:hAnsi="Arial"/>
                <w:sz w:val="16"/>
                <w:szCs w:val="16"/>
                <w:b w:val="1"/>
                <w:bCs w:val="1"/>
                <w:color w:val="auto"/>
              </w:rPr>
              <w:t>(8,449)</w:t>
            </w:r>
          </w:p>
        </w:tc>
        <w:tc>
          <w:tcPr>
            <w:tcW w:w="60" w:type="dxa"/>
            <w:vAlign w:val="bottom"/>
          </w:tcPr>
          <w:p>
            <w:pPr>
              <w:spacing w:after="0"/>
              <w:rPr>
                <w:sz w:val="15"/>
                <w:szCs w:val="15"/>
                <w:color w:val="auto"/>
              </w:rPr>
            </w:pPr>
          </w:p>
        </w:tc>
        <w:tc>
          <w:tcPr>
            <w:tcW w:w="16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(5,713)</w:t>
            </w:r>
          </w:p>
        </w:tc>
        <w:tc>
          <w:tcPr>
            <w:tcW w:w="20" w:type="dxa"/>
            <w:vAlign w:val="bottom"/>
          </w:tcPr>
          <w:p>
            <w:pPr>
              <w:spacing w:after="0"/>
              <w:rPr>
                <w:sz w:val="15"/>
                <w:szCs w:val="15"/>
                <w:color w:val="auto"/>
              </w:rPr>
            </w:pPr>
          </w:p>
        </w:tc>
      </w:tr>
      <w:tr>
        <w:trPr>
          <w:trHeight w:val="233"/>
        </w:trPr>
        <w:tc>
          <w:tcPr>
            <w:tcW w:w="8840" w:type="dxa"/>
            <w:vAlign w:val="bottom"/>
            <w:gridSpan w:val="2"/>
          </w:tcPr>
          <w:p>
            <w:pPr>
              <w:spacing w:after="0"/>
              <w:rPr>
                <w:sz w:val="20"/>
                <w:szCs w:val="20"/>
                <w:color w:val="auto"/>
              </w:rPr>
            </w:pPr>
            <w:r>
              <w:rPr>
                <w:rFonts w:ascii="Arial" w:cs="Arial" w:eastAsia="Arial" w:hAnsi="Arial"/>
                <w:sz w:val="16"/>
                <w:szCs w:val="16"/>
                <w:color w:val="auto"/>
              </w:rPr>
              <w:t>Less: Net loss attributable to noncontrolling interests</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1,097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437</w:t>
            </w: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Net loss attributable to iClick Interactive Asia Group Limited’s ordinary shareholders</w:t>
            </w: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(7,352)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(5,276)</w:t>
            </w:r>
          </w:p>
        </w:tc>
        <w:tc>
          <w:tcPr>
            <w:tcW w:w="20" w:type="dxa"/>
            <w:vAlign w:val="bottom"/>
          </w:tcPr>
          <w:p>
            <w:pPr>
              <w:spacing w:after="0"/>
              <w:rPr>
                <w:sz w:val="18"/>
                <w:szCs w:val="18"/>
                <w:color w:val="auto"/>
              </w:rPr>
            </w:pPr>
          </w:p>
        </w:tc>
      </w:tr>
      <w:tr>
        <w:trPr>
          <w:trHeight w:val="374"/>
        </w:trPr>
        <w:tc>
          <w:tcPr>
            <w:tcW w:w="88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(8,449)</w:t>
            </w:r>
          </w:p>
        </w:tc>
        <w:tc>
          <w:tcPr>
            <w:tcW w:w="6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(5,713)</w:t>
            </w:r>
          </w:p>
        </w:tc>
      </w:tr>
      <w:tr>
        <w:trPr>
          <w:trHeight w:val="206"/>
        </w:trPr>
        <w:tc>
          <w:tcPr>
            <w:tcW w:w="884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Foreign currency translation adjustment, net of US$nil tax</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loss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attributable to noncontrolling interest</w:t>
      </w:r>
    </w:p>
    <w:p>
      <w:pPr>
        <w:spacing w:after="0" w:line="69" w:lineRule="exact"/>
        <w:rPr>
          <w:sz w:val="20"/>
          <w:szCs w:val="20"/>
          <w:color w:val="auto"/>
        </w:rPr>
      </w:pPr>
    </w:p>
    <w:p>
      <w:pPr>
        <w:ind w:right="2900"/>
        <w:spacing w:after="0" w:line="458" w:lineRule="auto"/>
        <w:rPr>
          <w:sz w:val="20"/>
          <w:szCs w:val="20"/>
          <w:color w:val="auto"/>
        </w:rPr>
      </w:pPr>
      <w:r>
        <w:rPr>
          <w:rFonts w:ascii="Arial" w:cs="Arial" w:eastAsia="Arial" w:hAnsi="Arial"/>
          <w:sz w:val="14"/>
          <w:szCs w:val="14"/>
          <w:b w:val="1"/>
          <w:bCs w:val="1"/>
          <w:color w:val="auto"/>
        </w:rPr>
        <w:t>Comprehensive loss attributable to iClick Interactive Asia Group Limited Net loss per share attributable to iClick Interactive Asia Group Limited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Basic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 Diluted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Weighted average number of ordinary shares used in per share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Basic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340"/>
        <w:spacing w:after="0"/>
        <w:rPr>
          <w:sz w:val="20"/>
          <w:szCs w:val="20"/>
          <w:color w:val="auto"/>
        </w:rPr>
      </w:pPr>
      <w:r>
        <w:rPr>
          <w:rFonts w:ascii="Arial" w:cs="Arial" w:eastAsia="Arial" w:hAnsi="Arial"/>
          <w:sz w:val="16"/>
          <w:szCs w:val="16"/>
          <w:color w:val="auto"/>
        </w:rPr>
        <w:t>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33020</wp:posOffset>
            </wp:positionV>
            <wp:extent cx="10712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20" w:lineRule="exact"/>
        <w:rPr>
          <w:sz w:val="20"/>
          <w:szCs w:val="20"/>
          <w:color w:val="auto"/>
        </w:rPr>
      </w:pPr>
    </w:p>
    <w:p>
      <w:pPr>
        <w:jc w:val="right"/>
        <w:ind w:right="340"/>
        <w:spacing w:after="0"/>
        <w:rPr>
          <w:sz w:val="20"/>
          <w:szCs w:val="20"/>
          <w:color w:val="auto"/>
        </w:rPr>
      </w:pPr>
      <w:r>
        <w:rPr>
          <w:rFonts w:ascii="Arial" w:cs="Arial" w:eastAsia="Arial" w:hAnsi="Arial"/>
          <w:sz w:val="16"/>
          <w:szCs w:val="16"/>
          <w:b w:val="1"/>
          <w:bCs w:val="1"/>
          <w:color w:val="auto"/>
        </w:rPr>
        <w:t>(7,837)</w:t>
      </w:r>
    </w:p>
    <w:p>
      <w:pPr>
        <w:spacing w:after="0" w:line="26"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1,115</w:t>
      </w:r>
    </w:p>
    <w:p>
      <w:pPr>
        <w:spacing w:after="0" w:line="38" w:lineRule="exact"/>
        <w:rPr>
          <w:sz w:val="20"/>
          <w:szCs w:val="20"/>
          <w:color w:val="auto"/>
        </w:rPr>
      </w:pPr>
    </w:p>
    <w:p>
      <w:pPr>
        <w:jc w:val="right"/>
        <w:ind w:right="340"/>
        <w:spacing w:after="0"/>
        <w:rPr>
          <w:sz w:val="20"/>
          <w:szCs w:val="20"/>
          <w:color w:val="auto"/>
        </w:rPr>
      </w:pPr>
      <w:r>
        <w:rPr>
          <w:rFonts w:ascii="Arial" w:cs="Arial" w:eastAsia="Arial" w:hAnsi="Arial"/>
          <w:sz w:val="16"/>
          <w:szCs w:val="16"/>
          <w:b w:val="1"/>
          <w:bCs w:val="1"/>
          <w:color w:val="auto"/>
        </w:rPr>
        <w:t>(6,722)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-107315</wp:posOffset>
            </wp:positionV>
            <wp:extent cx="10712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24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37465</wp:posOffset>
            </wp:positionV>
            <wp:extent cx="10712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54610</wp:posOffset>
            </wp:positionV>
            <wp:extent cx="1071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(0.21)</w:t>
      </w:r>
    </w:p>
    <w:p>
      <w:pPr>
        <w:spacing w:after="0" w:line="22"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(0.21)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34,795,154</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34,795,154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33020</wp:posOffset>
            </wp:positionV>
            <wp:extent cx="1062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(5,624)</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437</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-107315</wp:posOffset>
            </wp:positionV>
            <wp:extent cx="10629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37465</wp:posOffset>
            </wp:positionV>
            <wp:extent cx="1062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54610</wp:posOffset>
            </wp:positionV>
            <wp:extent cx="1062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(0.19)</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28,350,323</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28,350,323</w:t>
      </w:r>
    </w:p>
    <w:p>
      <w:pPr>
        <w:sectPr>
          <w:pgSz w:w="11900" w:h="16838" w:orient="portrait"/>
          <w:cols w:equalWidth="0" w:num="3">
            <w:col w:w="8000" w:space="720"/>
            <w:col w:w="1080" w:space="720"/>
            <w:col w:w="720"/>
          </w:cols>
          <w:pgMar w:left="320" w:top="360"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Summary Condensed Consolidated Balance Sheet Data</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78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46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(US$ 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7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39,355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36,854</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24,379</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Amount due from an equity investee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Arial" w:cs="Arial" w:eastAsia="Arial" w:hAnsi="Arial"/>
                <w:sz w:val="18"/>
                <w:szCs w:val="18"/>
                <w:color w:val="auto"/>
              </w:rPr>
              <w:t>Accounts receivable, net of allowance for credit losses of US$7,147 and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rPr>
                <w:sz w:val="20"/>
                <w:szCs w:val="20"/>
                <w:color w:val="auto"/>
              </w:rPr>
            </w:pPr>
            <w:r>
              <w:rPr>
                <w:rFonts w:ascii="Arial" w:cs="Arial" w:eastAsia="Arial" w:hAnsi="Arial"/>
                <w:sz w:val="18"/>
                <w:szCs w:val="18"/>
                <w:color w:val="auto"/>
              </w:rPr>
              <w:t>US$3,469 as of June 30, 2020 and December 31, 2019, respectively</w:t>
            </w:r>
          </w:p>
        </w:tc>
        <w:tc>
          <w:tcPr>
            <w:tcW w:w="1680" w:type="dxa"/>
            <w:vAlign w:val="bottom"/>
          </w:tcPr>
          <w:p>
            <w:pPr>
              <w:jc w:val="right"/>
              <w:spacing w:after="0"/>
              <w:rPr>
                <w:sz w:val="20"/>
                <w:szCs w:val="20"/>
                <w:color w:val="auto"/>
              </w:rPr>
            </w:pPr>
            <w:r>
              <w:rPr>
                <w:rFonts w:ascii="Arial" w:cs="Arial" w:eastAsia="Arial" w:hAnsi="Arial"/>
                <w:sz w:val="18"/>
                <w:szCs w:val="18"/>
                <w:color w:val="auto"/>
              </w:rPr>
              <w:t>123,245</w:t>
            </w: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143,971</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Rebates receivable</w:t>
            </w:r>
          </w:p>
        </w:tc>
        <w:tc>
          <w:tcPr>
            <w:tcW w:w="168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Prepaid media costs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17,337</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37"/>
        </w:trPr>
        <w:tc>
          <w:tcPr>
            <w:tcW w:w="778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229,658</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245,393</w:t>
            </w:r>
          </w:p>
        </w:tc>
        <w:tc>
          <w:tcPr>
            <w:tcW w:w="0" w:type="dxa"/>
            <w:vAlign w:val="bottom"/>
          </w:tcPr>
          <w:p>
            <w:pPr>
              <w:spacing w:after="0"/>
              <w:rPr>
                <w:sz w:val="1"/>
                <w:szCs w:val="1"/>
                <w:color w:val="auto"/>
              </w:rPr>
            </w:pPr>
          </w:p>
        </w:tc>
      </w:tr>
      <w:tr>
        <w:trPr>
          <w:trHeight w:val="459"/>
        </w:trPr>
        <w:tc>
          <w:tcPr>
            <w:tcW w:w="77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8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2"/>
                <w:szCs w:val="22"/>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Investment in an equity investee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Prepayment for long-term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Other long-term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55,175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65,710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65,710</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7780" w:type="dxa"/>
            <w:vAlign w:val="bottom"/>
          </w:tcPr>
          <w:p>
            <w:pPr>
              <w:ind w:left="160"/>
              <w:spacing w:after="0"/>
              <w:rPr>
                <w:sz w:val="20"/>
                <w:szCs w:val="20"/>
                <w:color w:val="auto"/>
              </w:rPr>
            </w:pPr>
            <w:r>
              <w:rPr>
                <w:rFonts w:ascii="Arial" w:cs="Arial" w:eastAsia="Arial" w:hAnsi="Arial"/>
                <w:sz w:val="18"/>
                <w:szCs w:val="18"/>
                <w:color w:val="auto"/>
              </w:rPr>
              <w:t>Right-of-use assets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134,603</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76,123</w:t>
            </w:r>
          </w:p>
        </w:tc>
        <w:tc>
          <w:tcPr>
            <w:tcW w:w="0" w:type="dxa"/>
            <w:vAlign w:val="bottom"/>
          </w:tcPr>
          <w:p>
            <w:pPr>
              <w:spacing w:after="0"/>
              <w:rPr>
                <w:sz w:val="1"/>
                <w:szCs w:val="1"/>
                <w:color w:val="auto"/>
              </w:rPr>
            </w:pPr>
          </w:p>
        </w:tc>
      </w:tr>
      <w:tr>
        <w:trPr>
          <w:trHeight w:val="466"/>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364,261</w:t>
            </w:r>
          </w:p>
        </w:tc>
        <w:tc>
          <w:tcPr>
            <w:tcW w:w="10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321,516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tcPr>
          <w:p>
            <w:pPr>
              <w:jc w:val="right"/>
              <w:spacing w:after="0"/>
              <w:rPr>
                <w:sz w:val="20"/>
                <w:szCs w:val="20"/>
                <w:color w:val="auto"/>
              </w:rPr>
            </w:pPr>
            <w:r>
              <w:rPr>
                <w:rFonts w:ascii="Arial" w:cs="Arial" w:eastAsia="Arial" w:hAnsi="Arial"/>
                <w:sz w:val="18"/>
                <w:szCs w:val="18"/>
                <w:color w:val="auto"/>
              </w:rPr>
              <w:t>149,269</w:t>
            </w:r>
          </w:p>
        </w:tc>
        <w:tc>
          <w:tcPr>
            <w:tcW w:w="100" w:type="dxa"/>
            <w:vAlign w:val="bottom"/>
          </w:tcPr>
          <w:p>
            <w:pPr>
              <w:spacing w:after="0"/>
              <w:rPr>
                <w:sz w:val="22"/>
                <w:szCs w:val="22"/>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203,940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164,898</w:t>
            </w: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206,960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Ordinary shares – Class A (US$0.001 par value; 80,000,000 shares authorized as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Arial" w:cs="Arial" w:eastAsia="Arial" w:hAnsi="Arial"/>
                <w:sz w:val="18"/>
                <w:szCs w:val="18"/>
                <w:color w:val="auto"/>
              </w:rPr>
              <w:t>of June 30, 2020 and December 31, 2019, respectively; 34,467,143 shares and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Arial" w:cs="Arial" w:eastAsia="Arial" w:hAnsi="Arial"/>
                <w:sz w:val="18"/>
                <w:szCs w:val="18"/>
                <w:color w:val="auto"/>
              </w:rPr>
              <w:t>23,870,027 shares issued and outstanding as of June 30, 2020 and December 31,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Arial" w:cs="Arial" w:eastAsia="Arial" w:hAnsi="Arial"/>
                <w:sz w:val="18"/>
                <w:szCs w:val="18"/>
                <w:color w:val="auto"/>
              </w:rPr>
              <w:t>2019, respectively)</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Ordinary shares – Class B (US$0.001 par value; 20,000,000 shares authorized as of</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Arial" w:cs="Arial" w:eastAsia="Arial" w:hAnsi="Arial"/>
                <w:sz w:val="18"/>
                <w:szCs w:val="18"/>
                <w:color w:val="auto"/>
              </w:rPr>
              <w:t>June 30, 2020 and December 31, 2019, respectively; 4,820,608 shares issued and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Arial" w:cs="Arial" w:eastAsia="Arial" w:hAnsi="Arial"/>
                <w:sz w:val="18"/>
                <w:szCs w:val="18"/>
                <w:color w:val="auto"/>
              </w:rPr>
              <w:t>outstanding as of June 30, 2020 and December 31, 2019, respectively)</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Treasury shares (1,542,402 and 1,744,873 shares as of June 30, 2020 and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December 31, 2019, respectively)</w:t>
            </w:r>
          </w:p>
        </w:tc>
        <w:tc>
          <w:tcPr>
            <w:tcW w:w="1680" w:type="dxa"/>
            <w:vAlign w:val="bottom"/>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29"/>
        </w:trPr>
        <w:tc>
          <w:tcPr>
            <w:tcW w:w="77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680" w:type="dxa"/>
            <w:vAlign w:val="bottom"/>
          </w:tcPr>
          <w:p>
            <w:pPr>
              <w:jc w:val="right"/>
              <w:spacing w:after="0"/>
              <w:rPr>
                <w:sz w:val="20"/>
                <w:szCs w:val="20"/>
                <w:color w:val="auto"/>
              </w:rPr>
            </w:pPr>
            <w:r>
              <w:rPr>
                <w:rFonts w:ascii="Arial" w:cs="Arial" w:eastAsia="Arial" w:hAnsi="Arial"/>
                <w:sz w:val="18"/>
                <w:szCs w:val="18"/>
                <w:color w:val="auto"/>
              </w:rPr>
              <w:t>394,533</w:t>
            </w: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305,344</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Statutory reserves</w:t>
            </w: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780" w:type="dxa"/>
            <w:vAlign w:val="bottom"/>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1680" w:type="dxa"/>
            <w:vAlign w:val="bottom"/>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37"/>
        </w:trPr>
        <w:tc>
          <w:tcPr>
            <w:tcW w:w="77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(202,339)</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60"/>
              <w:spacing w:after="0"/>
              <w:rPr>
                <w:sz w:val="20"/>
                <w:szCs w:val="20"/>
                <w:color w:val="auto"/>
              </w:rPr>
            </w:pPr>
            <w:r>
              <w:rPr>
                <w:rFonts w:ascii="Arial" w:cs="Arial" w:eastAsia="Arial" w:hAnsi="Arial"/>
                <w:sz w:val="18"/>
                <w:szCs w:val="18"/>
                <w:color w:val="auto"/>
              </w:rPr>
              <w:t>Total iClick Interactive Asia Group Limited 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180,036</w:t>
            </w:r>
          </w:p>
        </w:tc>
        <w:tc>
          <w:tcPr>
            <w:tcW w:w="1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102,101</w:t>
            </w:r>
          </w:p>
        </w:tc>
        <w:tc>
          <w:tcPr>
            <w:tcW w:w="0" w:type="dxa"/>
            <w:vAlign w:val="bottom"/>
          </w:tcPr>
          <w:p>
            <w:pPr>
              <w:spacing w:after="0"/>
              <w:rPr>
                <w:sz w:val="1"/>
                <w:szCs w:val="1"/>
                <w:color w:val="auto"/>
              </w:rPr>
            </w:pPr>
          </w:p>
        </w:tc>
      </w:tr>
      <w:tr>
        <w:trPr>
          <w:trHeight w:val="237"/>
        </w:trPr>
        <w:tc>
          <w:tcPr>
            <w:tcW w:w="778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19,327</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29"/>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Total equity</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199,363</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364,261</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Key Operating Metric</w:t>
      </w:r>
    </w:p>
    <w:p>
      <w:pPr>
        <w:spacing w:after="0" w:line="256" w:lineRule="exact"/>
        <w:rPr>
          <w:sz w:val="20"/>
          <w:szCs w:val="20"/>
          <w:color w:val="auto"/>
        </w:rPr>
      </w:pPr>
    </w:p>
    <w:p>
      <w:pPr>
        <w:ind w:right="120" w:firstLine="802"/>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clients pay us after deducting rebates paid and discounts given to clients.</w:t>
      </w:r>
    </w:p>
    <w:p>
      <w:pPr>
        <w:spacing w:after="0" w:line="130" w:lineRule="exact"/>
        <w:rPr>
          <w:sz w:val="20"/>
          <w:szCs w:val="20"/>
          <w:color w:val="auto"/>
        </w:rPr>
      </w:pPr>
    </w:p>
    <w:p>
      <w:pPr>
        <w:ind w:right="140" w:firstLine="802"/>
        <w:spacing w:after="0" w:line="296" w:lineRule="auto"/>
        <w:rPr>
          <w:sz w:val="20"/>
          <w:szCs w:val="20"/>
          <w:color w:val="auto"/>
        </w:rPr>
      </w:pPr>
      <w:r>
        <w:rPr>
          <w:rFonts w:ascii="Arial" w:cs="Arial" w:eastAsia="Arial" w:hAnsi="Arial"/>
          <w:sz w:val="16"/>
          <w:szCs w:val="16"/>
          <w:color w:val="auto"/>
        </w:rPr>
        <w:t>Our gross billing increased to US$290.8 million for the six months ended June 30, 2020, up 22.6% from US$237.2 million for the same period in 2019. The increase was primarily a result of higher demand for our marketing solutions and enterprise solutions, partially offset by depreciation of the Renminbi against the US dollar by 4% compared with the same period in 2019. Our gross billing from marketing solutions increased to US$281.2 million for the six months ended June 30, 2020, up 20.7% from US$232.9 million for the same period in 2019. Our gross billing from enterprise solutions increased to US$9.5 million for the six months ended June 30, 2020, a significant increase from US$4.2 million for the same period in 2019.</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gross billing per client increased by US$8.8 thousand, or 5.0%, from US$177.1 thousand in the six months ended June 30, 2019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US$185.9 thousand in the same period of 2020, and the total number of our clients increased by 16.8% from 1,339 in the six months ended June 30,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1,564 in the same period of 2020 primarily due to our increased ability to cater to the growing market demand for our marketing solutions and enterprise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80" w:firstLine="802"/>
        <w:spacing w:after="0" w:line="277" w:lineRule="auto"/>
        <w:rPr>
          <w:sz w:val="20"/>
          <w:szCs w:val="20"/>
          <w:color w:val="auto"/>
        </w:rPr>
      </w:pPr>
      <w:r>
        <w:rPr>
          <w:rFonts w:ascii="Arial" w:cs="Arial" w:eastAsia="Arial" w:hAnsi="Arial"/>
          <w:sz w:val="18"/>
          <w:szCs w:val="18"/>
          <w:color w:val="auto"/>
        </w:rPr>
        <w:t>We use adjusted EBITDA and adjusted net income/(loss), each a non-GAAP financial measure, in evaluating our operating results and for financial and operational decision-making purposes.</w:t>
      </w:r>
    </w:p>
    <w:p>
      <w:pPr>
        <w:spacing w:after="0" w:line="130" w:lineRule="exact"/>
        <w:rPr>
          <w:sz w:val="20"/>
          <w:szCs w:val="20"/>
          <w:color w:val="auto"/>
        </w:rPr>
      </w:pPr>
    </w:p>
    <w:p>
      <w:pPr>
        <w:ind w:right="180" w:firstLine="802"/>
        <w:spacing w:after="0" w:line="259" w:lineRule="auto"/>
        <w:rPr>
          <w:sz w:val="20"/>
          <w:szCs w:val="20"/>
          <w:color w:val="auto"/>
        </w:rPr>
      </w:pPr>
      <w:r>
        <w:rPr>
          <w:rFonts w:ascii="Arial" w:cs="Arial" w:eastAsia="Arial" w:hAnsi="Arial"/>
          <w:sz w:val="18"/>
          <w:szCs w:val="18"/>
          <w:color w:val="auto"/>
        </w:rPr>
        <w:t>We believe that adjusted EBITDA and adjusted net income/(loss) help identify underlying trends in our business that could otherwise be obscured by the effect of certain expenses and gains that we include in net loss. We believe that adjusted EBITDA and adjusted net income/(loss) provide useful information about our operating results, enhance the overall understanding of our performance and allow for greater visibility with respect to key metrics used by our management in its financial and operational decision-making.</w:t>
      </w:r>
    </w:p>
    <w:p>
      <w:pPr>
        <w:spacing w:after="0" w:line="160" w:lineRule="exact"/>
        <w:rPr>
          <w:sz w:val="20"/>
          <w:szCs w:val="20"/>
          <w:color w:val="auto"/>
        </w:rPr>
      </w:pPr>
    </w:p>
    <w:p>
      <w:pPr>
        <w:ind w:right="20" w:firstLine="802"/>
        <w:spacing w:after="0" w:line="296" w:lineRule="auto"/>
        <w:rPr>
          <w:sz w:val="20"/>
          <w:szCs w:val="20"/>
          <w:color w:val="auto"/>
        </w:rPr>
      </w:pPr>
      <w:r>
        <w:rPr>
          <w:rFonts w:ascii="Arial" w:cs="Arial" w:eastAsia="Arial" w:hAnsi="Arial"/>
          <w:sz w:val="16"/>
          <w:szCs w:val="16"/>
          <w:color w:val="auto"/>
        </w:rPr>
        <w:t>Adjusted EBITDA and adjusted net income/(loss)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income/(loss)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table below sets forth a reconciliation of our adjusted EBITDA to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89"/>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91"/>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60" w:type="dxa"/>
            <w:vAlign w:val="bottom"/>
            <w:gridSpan w:val="6"/>
          </w:tcPr>
          <w:p>
            <w:pPr>
              <w:ind w:left="720"/>
              <w:spacing w:after="0" w:line="191" w:lineRule="exact"/>
              <w:rPr>
                <w:sz w:val="20"/>
                <w:szCs w:val="20"/>
                <w:color w:val="auto"/>
              </w:rPr>
            </w:pPr>
            <w:r>
              <w:rPr>
                <w:rFonts w:ascii="Arial" w:cs="Arial" w:eastAsia="Arial" w:hAnsi="Arial"/>
                <w:sz w:val="18"/>
                <w:szCs w:val="18"/>
                <w:b w:val="1"/>
                <w:bCs w:val="1"/>
                <w:color w:val="auto"/>
              </w:rPr>
              <w:t>(US$ in thousands)</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(32,611)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(24,619)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3,487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6,656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5,226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5,584</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r>
      <w:tr>
        <w:trPr>
          <w:trHeight w:val="202"/>
        </w:trPr>
        <w:tc>
          <w:tcPr>
            <w:tcW w:w="518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EBITDA</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(3,989)</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(1,985)</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(2,768)</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(26,378)</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(17,936)</w:t>
            </w:r>
          </w:p>
        </w:tc>
        <w:tc>
          <w:tcPr>
            <w:tcW w:w="20" w:type="dxa"/>
            <w:vAlign w:val="bottom"/>
          </w:tcPr>
          <w:p>
            <w:pPr>
              <w:spacing w:after="0"/>
              <w:rPr>
                <w:sz w:val="17"/>
                <w:szCs w:val="17"/>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19,679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5,072</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Fair value losses on derivative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10,190</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Fair value losses/(gains) on convertible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(1)(7)</w:t>
            </w: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(1,710)</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4,556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4"/>
        </w:trPr>
        <w:tc>
          <w:tcPr>
            <w:tcW w:w="5180" w:type="dxa"/>
            <w:vAlign w:val="bottom"/>
          </w:tcPr>
          <w:p>
            <w:pPr>
              <w:ind w:left="18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6"/>
        </w:trPr>
        <w:tc>
          <w:tcPr>
            <w:tcW w:w="5180" w:type="dxa"/>
            <w:vAlign w:val="bottom"/>
          </w:tcPr>
          <w:p>
            <w:pPr>
              <w:ind w:left="180"/>
              <w:spacing w:after="0"/>
              <w:rPr>
                <w:sz w:val="20"/>
                <w:szCs w:val="20"/>
                <w:color w:val="auto"/>
              </w:rPr>
            </w:pPr>
            <w:r>
              <w:rPr>
                <w:rFonts w:ascii="Arial" w:cs="Arial" w:eastAsia="Arial" w:hAnsi="Arial"/>
                <w:sz w:val="18"/>
                <w:szCs w:val="18"/>
                <w:color w:val="auto"/>
              </w:rPr>
              <w:t>Cost related to the filing of Form F-3</w:t>
            </w:r>
            <w:r>
              <w:rPr>
                <w:rFonts w:ascii="Arial" w:cs="Arial" w:eastAsia="Arial" w:hAnsi="Arial"/>
                <w:sz w:val="15"/>
                <w:szCs w:val="15"/>
                <w:color w:val="auto"/>
              </w:rPr>
              <w:t>(6)</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228"/>
        </w:trPr>
        <w:tc>
          <w:tcPr>
            <w:tcW w:w="518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(7)</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2,052</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6,005</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1,564</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-2540</wp:posOffset>
            </wp:positionV>
            <wp:extent cx="38487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130" w:lineRule="exact"/>
        <w:rPr>
          <w:sz w:val="20"/>
          <w:szCs w:val="20"/>
          <w:color w:val="auto"/>
        </w:rPr>
      </w:pPr>
    </w:p>
    <w:p>
      <w:pPr>
        <w:ind w:left="500" w:right="80" w:hanging="492"/>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gains, net has been adjusted out, except for amounts of US$1,215 thousand, US$674 thousand, US$1,491 thousand, US$nil and US$131 thousand in relation to government grants for the six months ended June 30, 2020 and 2019 and the year ended December 31,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Convertible notes issuance cost represents legal and professional fees related to the issuance of convertible notes.</w:t>
      </w:r>
    </w:p>
    <w:p>
      <w:pPr>
        <w:spacing w:after="0" w:line="225" w:lineRule="exact"/>
        <w:rPr>
          <w:rFonts w:ascii="Arial" w:cs="Arial" w:eastAsia="Arial" w:hAnsi="Arial"/>
          <w:sz w:val="18"/>
          <w:szCs w:val="18"/>
          <w:color w:val="auto"/>
        </w:rPr>
      </w:pPr>
    </w:p>
    <w:p>
      <w:pPr>
        <w:ind w:left="500" w:right="102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attributable to noncontrolling interests has been adjusted back because our management regularly reviews EBITDA excluding noncontrolling interests as a measure of our operational performance.</w:t>
      </w:r>
    </w:p>
    <w:p>
      <w:pPr>
        <w:spacing w:after="0" w:line="170" w:lineRule="exact"/>
        <w:rPr>
          <w:rFonts w:ascii="Arial" w:cs="Arial" w:eastAsia="Arial" w:hAnsi="Arial"/>
          <w:sz w:val="18"/>
          <w:szCs w:val="18"/>
          <w:color w:val="auto"/>
        </w:rPr>
      </w:pPr>
    </w:p>
    <w:p>
      <w:pPr>
        <w:ind w:left="500" w:right="120" w:hanging="492"/>
        <w:spacing w:after="0" w:line="34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 of losses from an equity investee represents our share of losses incurred by our Thailand business operated through an equity investee over which we have significant influence, and which is not considered to be a part of the core business that we operate through our consolidated entities.</w:t>
      </w:r>
    </w:p>
    <w:p>
      <w:pPr>
        <w:spacing w:after="0" w:line="123" w:lineRule="exact"/>
        <w:rPr>
          <w:rFonts w:ascii="Arial" w:cs="Arial" w:eastAsia="Arial" w:hAnsi="Arial"/>
          <w:sz w:val="16"/>
          <w:szCs w:val="16"/>
          <w:color w:val="auto"/>
        </w:rPr>
      </w:pPr>
    </w:p>
    <w:p>
      <w:pPr>
        <w:ind w:left="500" w:right="26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related to new business setup or acquisition represents transaction cost for setting up our Thailand business and other acquisitions, including audit, legal and professional fees in connection therewith.</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related to the filing of Form F-3 represents cost such as audit, legal and professional fees.</w:t>
      </w:r>
    </w:p>
    <w:p>
      <w:pPr>
        <w:spacing w:after="0" w:line="225"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comparative figures for the six months ended June 30, 2019, the year ended December 31, 2019 and the year ended December 31, 2017 were restated to conform to the presentation of the figures for the six months ended June 30, 2020.</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table below sets forth a reconciliation of our adjusted net income/(loss) to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Year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60" w:type="dxa"/>
            <w:vAlign w:val="bottom"/>
            <w:gridSpan w:val="7"/>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(US$ 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(10,849)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(32,611)</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(24,619)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2,115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19,679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Fair value losses on derivative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Fair value losses/(gains) on convertible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4,837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(1)(7)</w:t>
            </w: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(1,501)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4,556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Cost related to the filing of Form F-3</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Adjusted net income/(loss)</w:t>
            </w:r>
            <w:r>
              <w:rPr>
                <w:rFonts w:ascii="Arial" w:cs="Arial" w:eastAsia="Arial" w:hAnsi="Arial"/>
                <w:sz w:val="15"/>
                <w:szCs w:val="15"/>
                <w:color w:val="auto"/>
              </w:rPr>
              <w:t>(7)</w:t>
            </w: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(1,676)</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(2,076)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w:t>
            </w:r>
          </w:p>
        </w:tc>
        <w:tc>
          <w:tcPr>
            <w:tcW w:w="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(11,067)</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 w:lineRule="exact"/>
        <w:rPr>
          <w:sz w:val="20"/>
          <w:szCs w:val="20"/>
          <w:color w:val="auto"/>
        </w:rPr>
      </w:pPr>
    </w:p>
    <w:p>
      <w:pPr>
        <w:ind w:left="500" w:right="2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gains, net has been adjusted out, except for amounts of US$1,215 thousand, US$674 thousand, US$1,491 thousand, US$nil and US$131 thousand in relation to government grants for the six months ended June 30, 2020 and 2019 and the years ended December 31, 2019, 2018 and 2017, respectively.</w:t>
      </w:r>
    </w:p>
    <w:p>
      <w:pPr>
        <w:spacing w:after="0" w:line="18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Convertible notes issuance cost represents legal and professional fees related to the issuance of convertible notes.</w:t>
      </w:r>
    </w:p>
    <w:p>
      <w:pPr>
        <w:spacing w:after="0" w:line="225"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attributable to noncontrolling interests has been adjusted back because our management regularly reviews net income/(loss) excluding noncontrolling interests as a measure of our operational performance.</w:t>
      </w:r>
    </w:p>
    <w:p>
      <w:pPr>
        <w:spacing w:after="0" w:line="170" w:lineRule="exact"/>
        <w:rPr>
          <w:rFonts w:ascii="Arial" w:cs="Arial" w:eastAsia="Arial" w:hAnsi="Arial"/>
          <w:sz w:val="18"/>
          <w:szCs w:val="18"/>
          <w:color w:val="auto"/>
        </w:rPr>
      </w:pPr>
    </w:p>
    <w:p>
      <w:pPr>
        <w:ind w:left="500" w:right="120" w:hanging="492"/>
        <w:spacing w:after="0" w:line="34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 of losses from an equity investee represents our share of losses incurred by our Thailand business operated through an equity investee over which we have significant influence, and which is not considered to be a part of the core business that we operate through our consolidated entities.</w:t>
      </w:r>
    </w:p>
    <w:p>
      <w:pPr>
        <w:spacing w:after="0" w:line="123" w:lineRule="exact"/>
        <w:rPr>
          <w:rFonts w:ascii="Arial" w:cs="Arial" w:eastAsia="Arial" w:hAnsi="Arial"/>
          <w:sz w:val="16"/>
          <w:szCs w:val="16"/>
          <w:color w:val="auto"/>
        </w:rPr>
      </w:pPr>
    </w:p>
    <w:p>
      <w:pPr>
        <w:ind w:left="500" w:right="26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related to new business setup or acquisition represents transaction cost for setting up our Thailand business and other acquisitions, including audit, legal and professional fees in connection therewith.</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related to the filing of Form F-3 represents cost such as audit, legal and professional fees.</w:t>
      </w:r>
    </w:p>
    <w:p>
      <w:pPr>
        <w:spacing w:after="0" w:line="225"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comparative figures for the six months ended June 30, 2019, the year ended December 31, 2019 and the year ended December 31, 2017 were restated to conform to the presentation of the figures for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jc w:val="both"/>
        <w:ind w:right="140" w:firstLine="802"/>
        <w:spacing w:after="0" w:line="286" w:lineRule="auto"/>
        <w:rPr>
          <w:sz w:val="20"/>
          <w:szCs w:val="20"/>
          <w:color w:val="auto"/>
        </w:rPr>
      </w:pPr>
      <w:r>
        <w:rPr>
          <w:rFonts w:ascii="Arial" w:cs="Arial" w:eastAsia="Arial" w:hAnsi="Arial"/>
          <w:sz w:val="17"/>
          <w:szCs w:val="17"/>
          <w:color w:val="auto"/>
        </w:rPr>
        <w:t>For a discussion of the material impact of recently issued accounting standards on our unaudited consolidated financial information for the six months ended June 30, 2019 and 2020 and as of June 30, 2020, please see Note 2(f) of our unaudited interim condensed consolidated financial statements as of June 30, 2020 and for the six months ended June 30, 2019 and June 30, 2020 included as Exhibit 99.2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85" w:lineRule="exact"/>
        <w:rPr>
          <w:sz w:val="20"/>
          <w:szCs w:val="20"/>
          <w:color w:val="auto"/>
        </w:rPr>
      </w:pPr>
    </w:p>
    <w:p>
      <w:pPr>
        <w:ind w:right="160" w:firstLine="802"/>
        <w:spacing w:after="0" w:line="311" w:lineRule="auto"/>
        <w:rPr>
          <w:sz w:val="20"/>
          <w:szCs w:val="20"/>
          <w:color w:val="auto"/>
        </w:rPr>
      </w:pPr>
      <w:r>
        <w:rPr>
          <w:rFonts w:ascii="Arial" w:cs="Arial" w:eastAsia="Arial" w:hAnsi="Arial"/>
          <w:sz w:val="16"/>
          <w:szCs w:val="16"/>
          <w:color w:val="auto"/>
        </w:rPr>
        <w:t>Our net revenues increased by US$18.6 million, or 21.0%, to US$107.1 million for the six months ended June 30, 2020 from US$88.6 million for the same period in 2019, primarily as a result of an increase in the revenue from our marketing solutions and the revenue contribution from our enterprise solutions, and partially offset by the depreciation of the Renminbi against the US dollar by 4% compared with the same period in 2019.</w:t>
      </w:r>
    </w:p>
    <w:p>
      <w:pPr>
        <w:spacing w:after="0" w:line="122" w:lineRule="exact"/>
        <w:rPr>
          <w:sz w:val="20"/>
          <w:szCs w:val="20"/>
          <w:color w:val="auto"/>
        </w:rPr>
      </w:pPr>
    </w:p>
    <w:p>
      <w:pPr>
        <w:ind w:right="20" w:firstLine="802"/>
        <w:spacing w:after="0" w:line="263" w:lineRule="auto"/>
        <w:rPr>
          <w:sz w:val="20"/>
          <w:szCs w:val="20"/>
          <w:color w:val="auto"/>
        </w:rPr>
      </w:pPr>
      <w:r>
        <w:rPr>
          <w:rFonts w:ascii="Arial" w:cs="Arial" w:eastAsia="Arial" w:hAnsi="Arial"/>
          <w:sz w:val="18"/>
          <w:szCs w:val="18"/>
          <w:color w:val="auto"/>
        </w:rPr>
        <w:t>Net revenues from our marketing solutions increased by US$13.3 million, or 15.7%, to US$97.6 million for the six months ended June 30, 2020 from US$84.3 million for the same period in 2019, primarily as a result of the growing market demand for our marketing solutions, especially in e-commerce, online gaming and online education sectors.</w:t>
      </w:r>
    </w:p>
    <w:p>
      <w:pPr>
        <w:spacing w:after="0" w:line="143" w:lineRule="exact"/>
        <w:rPr>
          <w:sz w:val="20"/>
          <w:szCs w:val="20"/>
          <w:color w:val="auto"/>
        </w:rPr>
      </w:pPr>
    </w:p>
    <w:p>
      <w:pPr>
        <w:ind w:right="80" w:firstLine="802"/>
        <w:spacing w:after="0" w:line="259" w:lineRule="auto"/>
        <w:rPr>
          <w:sz w:val="20"/>
          <w:szCs w:val="20"/>
          <w:color w:val="auto"/>
        </w:rPr>
      </w:pPr>
      <w:r>
        <w:rPr>
          <w:rFonts w:ascii="Arial" w:cs="Arial" w:eastAsia="Arial" w:hAnsi="Arial"/>
          <w:sz w:val="18"/>
          <w:szCs w:val="18"/>
          <w:color w:val="auto"/>
        </w:rPr>
        <w:t>Net revenues from our enterprise solutions increased significantly by US$5.3 million to US$9.5 million for the six months ended June 30, 2020 from US$4.2 million for the same period in 2019, which was primarily driven by the growing market demand for the collection of information from different consumer online and offline touchpoints, and integration of such information into a single data management platform to facilitate better informed business decisions.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198" w:lineRule="exact"/>
        <w:rPr>
          <w:sz w:val="20"/>
          <w:szCs w:val="20"/>
          <w:color w:val="auto"/>
        </w:rPr>
      </w:pPr>
    </w:p>
    <w:p>
      <w:pPr>
        <w:ind w:firstLine="802"/>
        <w:spacing w:after="0" w:line="269" w:lineRule="auto"/>
        <w:rPr>
          <w:sz w:val="20"/>
          <w:szCs w:val="20"/>
          <w:color w:val="auto"/>
        </w:rPr>
      </w:pPr>
      <w:r>
        <w:rPr>
          <w:rFonts w:ascii="Arial" w:cs="Arial" w:eastAsia="Arial" w:hAnsi="Arial"/>
          <w:sz w:val="17"/>
          <w:szCs w:val="17"/>
          <w:color w:val="auto"/>
        </w:rPr>
        <w:t>Our cost of revenues increased by US$14.7 million, or 23.5% to US$77.3 million for the six months ended June 30, 2020 from US$62.6 million for the same period in 2019, primarily due to an increase in our media cost, which was generally in line with our marketing solutions sales growth. Cost of revenues from marketing solutions increased by US$13.2 million, or 21.5% to US$74.8 million for the six months ended June 30, 2020 from US$61.5 million for the same period in 2019, which was in line with the growth of our marketing solutions business, primarily driven by higher market demand. Cost of revenue from enterprise solutions increased by US$1.5 million, to US$2.5 million for the six months ended June 30, 2020 from US$1.0 million for the same period in 2019, which was primarily due to the launch of more SaaS-based product offerings. As a result of the above, our gross profit increased by US$3.9 million, or 15.0%, to US$29.9 million for the six months ended June 30, 2020 from US$26.0 million for the same period in 2019. Our gross profit from marketing solutions remained relatively stable at US$22.8 million for the six months ended June 30, 2020 and for the same period in 2019. Our gross profit from enterprise solutions increased significantly by US$3.9 million to US$7.0 million for the six months ended June 30, 2020 from US$3.2 million for the same period in 2019.</w:t>
      </w:r>
    </w:p>
    <w:p>
      <w:pPr>
        <w:spacing w:after="0" w:line="145" w:lineRule="exact"/>
        <w:rPr>
          <w:sz w:val="20"/>
          <w:szCs w:val="20"/>
          <w:color w:val="auto"/>
        </w:rPr>
      </w:pPr>
    </w:p>
    <w:p>
      <w:pPr>
        <w:ind w:right="100" w:firstLine="802"/>
        <w:spacing w:after="0" w:line="270" w:lineRule="auto"/>
        <w:rPr>
          <w:sz w:val="20"/>
          <w:szCs w:val="20"/>
          <w:color w:val="auto"/>
        </w:rPr>
      </w:pPr>
      <w:r>
        <w:rPr>
          <w:rFonts w:ascii="Arial" w:cs="Arial" w:eastAsia="Arial" w:hAnsi="Arial"/>
          <w:sz w:val="17"/>
          <w:szCs w:val="17"/>
          <w:color w:val="auto"/>
        </w:rPr>
        <w:t>Our gross profit margin decreased to 27.9% for the six months ended June 30, 2020 from 29.3% for the same period in 2019. Gross profit margin for our marketing solutions decreased to 23.4% for the six months ended June 30, 2020 from 27.0% for the same period in 2019, primarily due to higher market demand for specified action marketing campaigns especially in sectors such as online gaming, online education and e-commerce, and lower advertising budget and spending from higher margin clients in the travel and hospitality sectors during the ongoing COVID-19 outbreak. The gross profit margin for our specified action marketing campaigns is lower than our sales agency arrangement and cost-plus marketing campaigns, as cost of revenues for our sales agency arrangement and cost-plus marketing campaigns do not include media cost. As a result, an increase in the percentage of gross billing recognized as net revenues from specified actions marketing campaigns has a positive impact on our net revenues but a negative impact on gross profit margin. Gross profit margin for our enterprise solutions remained relatively stable, which was 73.8% and 75.3% for the six months ended June 30, 2020 and for the same period in 2019,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98" w:lineRule="exact"/>
        <w:rPr>
          <w:sz w:val="20"/>
          <w:szCs w:val="20"/>
          <w:color w:val="auto"/>
        </w:rPr>
      </w:pPr>
    </w:p>
    <w:p>
      <w:pPr>
        <w:ind w:right="140" w:firstLine="802"/>
        <w:spacing w:after="0" w:line="277" w:lineRule="auto"/>
        <w:rPr>
          <w:sz w:val="20"/>
          <w:szCs w:val="20"/>
          <w:color w:val="auto"/>
        </w:rPr>
      </w:pPr>
      <w:r>
        <w:rPr>
          <w:rFonts w:ascii="Arial" w:cs="Arial" w:eastAsia="Arial" w:hAnsi="Arial"/>
          <w:sz w:val="18"/>
          <w:szCs w:val="18"/>
          <w:color w:val="auto"/>
        </w:rPr>
        <w:t>Our operating expenses remain relatively stable at US$30.5 million and US$30.6 million, respectively, for the six months ended June 30, 2020 and for the same period in 2019.</w:t>
      </w:r>
    </w:p>
    <w:p>
      <w:pPr>
        <w:spacing w:after="0" w:line="130" w:lineRule="exact"/>
        <w:rPr>
          <w:sz w:val="20"/>
          <w:szCs w:val="20"/>
          <w:color w:val="auto"/>
        </w:rPr>
      </w:pPr>
    </w:p>
    <w:p>
      <w:pPr>
        <w:ind w:left="1300" w:right="100" w:hanging="496"/>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Our sales and marketing expenses decreased by US$3.8 million, or 18.0%, to US$17.1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from US$20.9 million for the same period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ind w:left="1300"/>
        <w:spacing w:after="0"/>
        <w:rPr>
          <w:sz w:val="20"/>
          <w:szCs w:val="20"/>
          <w:color w:val="auto"/>
        </w:rPr>
      </w:pPr>
      <w:r>
        <w:rPr>
          <w:rFonts w:ascii="Arial" w:cs="Arial" w:eastAsia="Arial" w:hAnsi="Arial"/>
          <w:sz w:val="18"/>
          <w:szCs w:val="18"/>
          <w:color w:val="auto"/>
        </w:rPr>
        <w:t>primarily attributable to our postponement of marketing activities in the first half of 2020 due to the COVID-19 outbreak.</w:t>
      </w:r>
    </w:p>
    <w:p>
      <w:pPr>
        <w:spacing w:after="0" w:line="185" w:lineRule="exact"/>
        <w:rPr>
          <w:sz w:val="20"/>
          <w:szCs w:val="20"/>
          <w:color w:val="auto"/>
        </w:rPr>
      </w:pPr>
    </w:p>
    <w:p>
      <w:pPr>
        <w:jc w:val="both"/>
        <w:ind w:left="1300" w:right="440" w:hanging="496"/>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increased by US$4.3 million, or 62.7%, to US$11.1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2020 from US$6.8 million for the same period in 2019, primarily due to higher legal and professional fees in relation to our business development and financing activities.</w:t>
      </w:r>
    </w:p>
    <w:p>
      <w:pPr>
        <w:spacing w:after="0" w:line="143" w:lineRule="exact"/>
        <w:rPr>
          <w:rFonts w:ascii="Arial" w:cs="Arial" w:eastAsia="Arial" w:hAnsi="Arial"/>
          <w:sz w:val="18"/>
          <w:szCs w:val="18"/>
          <w:color w:val="auto"/>
        </w:rPr>
      </w:pPr>
    </w:p>
    <w:p>
      <w:pPr>
        <w:ind w:left="1300" w:right="20" w:hanging="496"/>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US$0.5 million, or 19.3%, to US$2.3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2020 from US$2.8 million for the same period in 2019, primarily attributable to a reduction in our share-based compensation for our research and development personnel.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ind w:right="100" w:firstLine="802"/>
        <w:spacing w:after="0" w:line="277" w:lineRule="auto"/>
        <w:rPr>
          <w:sz w:val="20"/>
          <w:szCs w:val="20"/>
          <w:color w:val="auto"/>
        </w:rPr>
      </w:pPr>
      <w:r>
        <w:rPr>
          <w:rFonts w:ascii="Arial" w:cs="Arial" w:eastAsia="Arial" w:hAnsi="Arial"/>
          <w:sz w:val="18"/>
          <w:szCs w:val="18"/>
          <w:color w:val="auto"/>
        </w:rPr>
        <w:t>Our interest expense increased by US$0.5 million to US$1.0 million for the six months ended June 30, 2020 from US$0.5 million for the same period in 2019, which was primarily due to our increased bank borrowings.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interest income was US$0.4 million and US$0.2 million for the six months ended June 30, 2020 and 2019,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85" w:lineRule="exact"/>
        <w:rPr>
          <w:sz w:val="20"/>
          <w:szCs w:val="20"/>
          <w:color w:val="auto"/>
        </w:rPr>
      </w:pPr>
    </w:p>
    <w:p>
      <w:pPr>
        <w:ind w:right="160" w:firstLine="802"/>
        <w:spacing w:after="0" w:line="277" w:lineRule="auto"/>
        <w:rPr>
          <w:sz w:val="20"/>
          <w:szCs w:val="20"/>
          <w:color w:val="auto"/>
        </w:rPr>
      </w:pPr>
      <w:r>
        <w:rPr>
          <w:rFonts w:ascii="Arial" w:cs="Arial" w:eastAsia="Arial" w:hAnsi="Arial"/>
          <w:sz w:val="18"/>
          <w:szCs w:val="18"/>
          <w:color w:val="auto"/>
        </w:rPr>
        <w:t>Our other gains, net were US$1.4 million and US$1.2 million for the six months ended June 30, 2020 and 2019, respectively, primarily due to an increase in government subsidy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Losses on Convertible Notes</w:t>
      </w:r>
    </w:p>
    <w:p>
      <w:pPr>
        <w:spacing w:after="0" w:line="198" w:lineRule="exact"/>
        <w:rPr>
          <w:sz w:val="20"/>
          <w:szCs w:val="20"/>
          <w:color w:val="auto"/>
        </w:rPr>
      </w:pPr>
    </w:p>
    <w:p>
      <w:pPr>
        <w:ind w:right="20" w:firstLine="802"/>
        <w:spacing w:after="0" w:line="263" w:lineRule="auto"/>
        <w:rPr>
          <w:sz w:val="20"/>
          <w:szCs w:val="20"/>
          <w:color w:val="auto"/>
        </w:rPr>
      </w:pPr>
      <w:r>
        <w:rPr>
          <w:rFonts w:ascii="Arial" w:cs="Arial" w:eastAsia="Arial" w:hAnsi="Arial"/>
          <w:sz w:val="18"/>
          <w:szCs w:val="18"/>
          <w:color w:val="auto"/>
        </w:rPr>
        <w:t>Our fair value losses on convertible notes increased by US$1.0 million, or 51%, to US$3.0 million for the six months ended June 30, 2020 from US$2.0 million for the same period in 2019. The amount of our fair value losses on convertible notes was primarily impacted by volatility in the price of our ADSs.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Losses on Derivative Liabilities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had fair value losses on derivative liabilities of US$5.1 million for the six months ended June 30, 2020, and nil for the same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fair value losses on derivative liabilities were primarily in relation to a call option for investors to purchase our convertible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of Losses from an Equity Investee</w:t>
      </w:r>
    </w:p>
    <w:p>
      <w:pPr>
        <w:spacing w:after="0" w:line="185"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Our share of losses of an equity investee increased as a result of our share of increased net losses from our joint venture with VGI Global Media Plc in Thailand that was set up in May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8" w:lineRule="exact"/>
        <w:rPr>
          <w:sz w:val="20"/>
          <w:szCs w:val="20"/>
          <w:color w:val="auto"/>
        </w:rPr>
      </w:pPr>
    </w:p>
    <w:p>
      <w:pPr>
        <w:ind w:right="160" w:firstLine="802"/>
        <w:spacing w:after="0" w:line="277" w:lineRule="auto"/>
        <w:rPr>
          <w:sz w:val="20"/>
          <w:szCs w:val="20"/>
          <w:color w:val="auto"/>
        </w:rPr>
      </w:pPr>
      <w:r>
        <w:rPr>
          <w:rFonts w:ascii="Arial" w:cs="Arial" w:eastAsia="Arial" w:hAnsi="Arial"/>
          <w:sz w:val="18"/>
          <w:szCs w:val="18"/>
          <w:color w:val="auto"/>
        </w:rPr>
        <w:t>Our income tax expense increased substantially to US$0.3 million for the six months ended June 30, 2020 from US$27 thousand for the same period in 2019, primarily due to the increase in the current portion of our income tax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85" w:lineRule="exact"/>
        <w:rPr>
          <w:sz w:val="20"/>
          <w:szCs w:val="20"/>
          <w:color w:val="auto"/>
        </w:rPr>
      </w:pPr>
    </w:p>
    <w:p>
      <w:pPr>
        <w:ind w:right="240" w:firstLine="802"/>
        <w:spacing w:after="0" w:line="277" w:lineRule="auto"/>
        <w:rPr>
          <w:sz w:val="20"/>
          <w:szCs w:val="20"/>
          <w:color w:val="auto"/>
        </w:rPr>
      </w:pPr>
      <w:r>
        <w:rPr>
          <w:rFonts w:ascii="Arial" w:cs="Arial" w:eastAsia="Arial" w:hAnsi="Arial"/>
          <w:sz w:val="18"/>
          <w:szCs w:val="18"/>
          <w:color w:val="auto"/>
        </w:rPr>
        <w:t>As a result of the foregoing, our net loss increased by US$2.7 million to US$8.4 million in the six months ended June 30, 2020 from US$5.7 million for the same period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2" w:name="page13"/>
    <w:bookmarkEnd w:id="12"/>
    <w:p>
      <w:pPr>
        <w:ind w:right="100" w:firstLine="802"/>
        <w:spacing w:after="0" w:line="270" w:lineRule="auto"/>
        <w:rPr>
          <w:sz w:val="20"/>
          <w:szCs w:val="20"/>
          <w:color w:val="auto"/>
        </w:rPr>
      </w:pPr>
      <w:r>
        <w:rPr>
          <w:rFonts w:ascii="Arial" w:cs="Arial" w:eastAsia="Arial" w:hAnsi="Arial"/>
          <w:sz w:val="17"/>
          <w:szCs w:val="17"/>
          <w:color w:val="auto"/>
        </w:rPr>
        <w:t>As of June 30, 2020, we had US$39.4 million in cash and cash equivalents, and borrowing capacity of US$42.0 million under our revolving credit facilities with a total principal amount of US$98.3 million. As of June 30, 2020, our cash and cash equivalents primarily consisted of cash on hand, cash held at bank, and short-term deposits placed with banks or other financial institutions, which have original maturities of three months or less. We believe that our current cash and cash equivalents, together with the borrowing capacity under our revolving credit facilities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ectPr>
          <w:pgSz w:w="11900" w:h="16838" w:orient="portrait"/>
          <w:cols w:equalWidth="0" w:num="1">
            <w:col w:w="11240"/>
          </w:cols>
          <w:pgMar w:left="320" w:top="368" w:right="339" w:bottom="1440" w:gutter="0" w:footer="0" w:header="0"/>
        </w:sectPr>
      </w:pPr>
    </w:p>
    <w:p>
      <w:pPr>
        <w:spacing w:after="0" w:line="140"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cash provided by/ (used in) operating activities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cash (used in)/provided by investing activities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cash provided by financing activities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increase in cash and cash equivalents and restricted cash</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Effect on exchange rate changes on cash and cash equivalents and restricted cash</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cash equivalents and restricted cash at the beginning of the period</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cash equivalents and restricted cash at the end of the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5715</wp:posOffset>
            </wp:positionV>
            <wp:extent cx="22028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1"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17145</wp:posOffset>
            </wp:positionV>
            <wp:extent cx="22028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 in thousands)</w:t>
      </w:r>
    </w:p>
    <w:p>
      <w:pPr>
        <w:spacing w:after="0" w:line="283" w:lineRule="exact"/>
        <w:rPr>
          <w:sz w:val="20"/>
          <w:szCs w:val="20"/>
          <w:color w:val="auto"/>
        </w:rPr>
      </w:pPr>
    </w:p>
    <w:p>
      <w:pPr>
        <w:jc w:val="both"/>
        <w:ind w:left="620"/>
        <w:spacing w:after="0"/>
        <w:tabs>
          <w:tab w:leader="none" w:pos="2160" w:val="left"/>
        </w:tabs>
        <w:rPr>
          <w:sz w:val="20"/>
          <w:szCs w:val="20"/>
          <w:color w:val="auto"/>
        </w:rPr>
      </w:pPr>
      <w:r>
        <w:rPr>
          <w:rFonts w:ascii="Arial" w:cs="Arial" w:eastAsia="Arial" w:hAnsi="Arial"/>
          <w:sz w:val="18"/>
          <w:szCs w:val="18"/>
          <w:color w:val="auto"/>
        </w:rPr>
        <w:t>3,584</w:t>
      </w:r>
      <w:r>
        <w:rPr>
          <w:sz w:val="20"/>
          <w:szCs w:val="20"/>
          <w:color w:val="auto"/>
        </w:rPr>
        <w:tab/>
      </w:r>
      <w:r>
        <w:rPr>
          <w:rFonts w:ascii="Arial" w:cs="Arial" w:eastAsia="Arial" w:hAnsi="Arial"/>
          <w:sz w:val="18"/>
          <w:szCs w:val="18"/>
          <w:color w:val="auto"/>
        </w:rPr>
        <w:t>(13,256)</w:t>
      </w:r>
    </w:p>
    <w:p>
      <w:pPr>
        <w:spacing w:after="0" w:line="36" w:lineRule="exact"/>
        <w:rPr>
          <w:sz w:val="20"/>
          <w:szCs w:val="20"/>
          <w:color w:val="auto"/>
        </w:rPr>
      </w:pPr>
    </w:p>
    <w:p>
      <w:pPr>
        <w:ind w:left="400"/>
        <w:spacing w:after="0"/>
        <w:tabs>
          <w:tab w:leader="none" w:pos="2380" w:val="left"/>
        </w:tabs>
        <w:rPr>
          <w:sz w:val="20"/>
          <w:szCs w:val="20"/>
          <w:color w:val="auto"/>
        </w:rPr>
      </w:pPr>
      <w:r>
        <w:rPr>
          <w:rFonts w:ascii="Arial" w:cs="Arial" w:eastAsia="Arial" w:hAnsi="Arial"/>
          <w:sz w:val="15"/>
          <w:szCs w:val="15"/>
          <w:color w:val="auto"/>
        </w:rPr>
        <w:t>(12,338)</w:t>
      </w:r>
      <w:r>
        <w:rPr>
          <w:sz w:val="20"/>
          <w:szCs w:val="20"/>
          <w:color w:val="auto"/>
        </w:rPr>
        <w:tab/>
      </w:r>
      <w:r>
        <w:rPr>
          <w:rFonts w:ascii="Arial" w:cs="Arial" w:eastAsia="Arial" w:hAnsi="Arial"/>
          <w:sz w:val="15"/>
          <w:szCs w:val="15"/>
          <w:color w:val="auto"/>
        </w:rPr>
        <w:t>8,654</w:t>
      </w:r>
    </w:p>
    <w:p>
      <w:pPr>
        <w:spacing w:after="0" w:line="71" w:lineRule="exact"/>
        <w:rPr>
          <w:sz w:val="20"/>
          <w:szCs w:val="20"/>
          <w:color w:val="auto"/>
        </w:rPr>
      </w:pPr>
    </w:p>
    <w:p>
      <w:pPr>
        <w:jc w:val="both"/>
        <w:ind w:left="520"/>
        <w:spacing w:after="0"/>
        <w:tabs>
          <w:tab w:leader="none" w:pos="2280" w:val="left"/>
        </w:tabs>
        <w:rPr>
          <w:sz w:val="20"/>
          <w:szCs w:val="20"/>
          <w:color w:val="auto"/>
        </w:rPr>
      </w:pPr>
      <w:r>
        <w:rPr>
          <w:rFonts w:ascii="Arial" w:cs="Arial" w:eastAsia="Arial" w:hAnsi="Arial"/>
          <w:sz w:val="18"/>
          <w:szCs w:val="18"/>
          <w:color w:val="auto"/>
        </w:rPr>
        <w:t>12,029</w:t>
      </w:r>
      <w:r>
        <w:rPr>
          <w:sz w:val="20"/>
          <w:szCs w:val="20"/>
          <w:color w:val="auto"/>
        </w:rPr>
        <w:tab/>
      </w:r>
      <w:r>
        <w:rPr>
          <w:rFonts w:ascii="Arial" w:cs="Arial" w:eastAsia="Arial" w:hAnsi="Arial"/>
          <w:sz w:val="18"/>
          <w:szCs w:val="18"/>
          <w:color w:val="auto"/>
        </w:rPr>
        <w:t>16,471</w:t>
      </w:r>
    </w:p>
    <w:p>
      <w:pPr>
        <w:spacing w:after="0" w:line="36"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15"/>
          <w:szCs w:val="15"/>
          <w:color w:val="auto"/>
        </w:rPr>
        <w:t>3,275</w:t>
      </w:r>
      <w:r>
        <w:rPr>
          <w:sz w:val="20"/>
          <w:szCs w:val="20"/>
          <w:color w:val="auto"/>
        </w:rPr>
        <w:tab/>
      </w:r>
      <w:r>
        <w:rPr>
          <w:rFonts w:ascii="Arial" w:cs="Arial" w:eastAsia="Arial" w:hAnsi="Arial"/>
          <w:sz w:val="15"/>
          <w:szCs w:val="15"/>
          <w:color w:val="auto"/>
        </w:rPr>
        <w:t>11,869</w:t>
      </w:r>
    </w:p>
    <w:p>
      <w:pPr>
        <w:spacing w:after="0" w:line="71" w:lineRule="exact"/>
        <w:rPr>
          <w:sz w:val="20"/>
          <w:szCs w:val="20"/>
          <w:color w:val="auto"/>
        </w:rPr>
      </w:pPr>
    </w:p>
    <w:p>
      <w:pPr>
        <w:jc w:val="both"/>
        <w:ind w:left="620"/>
        <w:spacing w:after="0"/>
        <w:tabs>
          <w:tab w:leader="none" w:pos="240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8"/>
          <w:szCs w:val="18"/>
          <w:color w:val="auto"/>
        </w:rPr>
        <w:t>(195)</w:t>
      </w:r>
    </w:p>
    <w:p>
      <w:pPr>
        <w:spacing w:after="0" w:line="36" w:lineRule="exact"/>
        <w:rPr>
          <w:sz w:val="20"/>
          <w:szCs w:val="20"/>
          <w:color w:val="auto"/>
        </w:rPr>
      </w:pPr>
    </w:p>
    <w:p>
      <w:pPr>
        <w:jc w:val="both"/>
        <w:ind w:left="520"/>
        <w:spacing w:after="0"/>
        <w:tabs>
          <w:tab w:leader="none" w:pos="2280" w:val="left"/>
        </w:tabs>
        <w:rPr>
          <w:sz w:val="20"/>
          <w:szCs w:val="20"/>
          <w:color w:val="auto"/>
        </w:rPr>
      </w:pPr>
      <w:r>
        <w:rPr>
          <w:rFonts w:ascii="Arial" w:cs="Arial" w:eastAsia="Arial" w:hAnsi="Arial"/>
          <w:sz w:val="18"/>
          <w:szCs w:val="18"/>
          <w:color w:val="auto"/>
        </w:rPr>
        <w:t>60,706</w:t>
      </w:r>
      <w:r>
        <w:rPr>
          <w:sz w:val="20"/>
          <w:szCs w:val="20"/>
          <w:color w:val="auto"/>
        </w:rPr>
        <w:tab/>
      </w:r>
      <w:r>
        <w:rPr>
          <w:rFonts w:ascii="Arial" w:cs="Arial" w:eastAsia="Arial" w:hAnsi="Arial"/>
          <w:sz w:val="18"/>
          <w:szCs w:val="18"/>
          <w:color w:val="auto"/>
        </w:rPr>
        <w:t>39,828</w:t>
      </w:r>
    </w:p>
    <w:p>
      <w:pPr>
        <w:spacing w:after="0" w:line="36" w:lineRule="exact"/>
        <w:rPr>
          <w:sz w:val="20"/>
          <w:szCs w:val="20"/>
          <w:color w:val="auto"/>
        </w:rPr>
      </w:pPr>
    </w:p>
    <w:p>
      <w:pPr>
        <w:jc w:val="both"/>
        <w:ind w:left="520"/>
        <w:spacing w:after="0"/>
        <w:tabs>
          <w:tab w:leader="none" w:pos="2280" w:val="left"/>
        </w:tabs>
        <w:rPr>
          <w:sz w:val="20"/>
          <w:szCs w:val="20"/>
          <w:color w:val="auto"/>
        </w:rPr>
      </w:pPr>
      <w:r>
        <w:rPr>
          <w:rFonts w:ascii="Arial" w:cs="Arial" w:eastAsia="Arial" w:hAnsi="Arial"/>
          <w:sz w:val="18"/>
          <w:szCs w:val="18"/>
          <w:color w:val="auto"/>
        </w:rPr>
        <w:t>63,734</w:t>
      </w:r>
      <w:r>
        <w:rPr>
          <w:sz w:val="20"/>
          <w:szCs w:val="20"/>
          <w:color w:val="auto"/>
        </w:rPr>
        <w:tab/>
      </w:r>
      <w:r>
        <w:rPr>
          <w:rFonts w:ascii="Arial" w:cs="Arial" w:eastAsia="Arial" w:hAnsi="Arial"/>
          <w:sz w:val="18"/>
          <w:szCs w:val="18"/>
          <w:color w:val="auto"/>
        </w:rPr>
        <w:t>51,502</w:t>
      </w:r>
    </w:p>
    <w:p>
      <w:pPr>
        <w:spacing w:after="0" w:line="629" w:lineRule="exact"/>
        <w:rPr>
          <w:sz w:val="20"/>
          <w:szCs w:val="20"/>
          <w:color w:val="auto"/>
        </w:rPr>
      </w:pPr>
    </w:p>
    <w:p>
      <w:pPr>
        <w:sectPr>
          <w:pgSz w:w="11900" w:h="16838" w:orient="portrait"/>
          <w:cols w:equalWidth="0" w:num="2">
            <w:col w:w="7720" w:space="720"/>
            <w:col w:w="2800"/>
          </w:cols>
          <w:pgMar w:left="320" w:top="368" w:right="339" w:bottom="1440" w:gutter="0" w:footer="0" w:header="0"/>
          <w:type w:val="continuous"/>
        </w:sectPr>
      </w:pPr>
    </w:p>
    <w:p>
      <w:pPr>
        <w:ind w:right="60" w:firstLine="802"/>
        <w:spacing w:after="0" w:line="293" w:lineRule="auto"/>
        <w:rPr>
          <w:sz w:val="20"/>
          <w:szCs w:val="20"/>
          <w:color w:val="auto"/>
        </w:rPr>
      </w:pPr>
      <w:r>
        <w:rPr>
          <w:rFonts w:ascii="Arial" w:cs="Arial" w:eastAsia="Arial" w:hAnsi="Arial"/>
          <w:sz w:val="16"/>
          <w:szCs w:val="16"/>
          <w:color w:val="auto"/>
        </w:rPr>
        <w:t>Net cash provided by operating activities amounted to US$3.6 million for the six months ended June 30, 2020, which was mainly attributable to a net loss of US$8.4 million and a net increase in working capital of US$1.2 million, offset by adjustments for non-cash items of US$13.2 million. The adjustments for non-cash items of US$13.2 million were primarily attributable to fair value losses on convertible notes and derivative liabilities of US$8.1 million, share-based compensation expenses of US$2.3 million and depreciation and amortization charges of US$3.5 million. The net increase in working capital of US$1.2 million was primarily attributable to a decrease in accounts payable of US$29.3 million, partially offset by a decrease in accounts receivable of US$17.5 million, a decrease in prepaid media costs of US$8.1 million and a decrease in other payables and accruals of US$5.4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220" w:firstLine="802"/>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2020 was US$12.3 million, due to an increase in prepaid long-term investment costs of US$5.8 million and an increase in short-term investments of US$4.9 million, partially offset by the net of cash received in relation to our acquisition of Optimal Power Limited in May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220" w:firstLine="802"/>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2020 was US$12.0 million, which was primarily attributable to proceeds of US$18.5 million from our private placement with several investors in June 2020, net proceeds from bank borrowings of US$5.0 million, and proceeds of US$4.0 million from the issuance of convertible notes, net of transaction expense, partially offset by our redemption of convertible notes of US$15.2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98" w:lineRule="exact"/>
        <w:rPr>
          <w:sz w:val="20"/>
          <w:szCs w:val="20"/>
          <w:color w:val="auto"/>
        </w:rPr>
      </w:pPr>
    </w:p>
    <w:p>
      <w:pPr>
        <w:ind w:right="260" w:firstLine="802"/>
        <w:spacing w:after="0" w:line="277" w:lineRule="auto"/>
        <w:rPr>
          <w:sz w:val="20"/>
          <w:szCs w:val="20"/>
          <w:color w:val="auto"/>
        </w:rPr>
      </w:pPr>
      <w:r>
        <w:rPr>
          <w:rFonts w:ascii="Arial" w:cs="Arial" w:eastAsia="Arial" w:hAnsi="Arial"/>
          <w:sz w:val="18"/>
          <w:szCs w:val="18"/>
          <w:color w:val="auto"/>
        </w:rPr>
        <w:t>In 2019 and the six months ended June 30, 2020, we had capital expenditures of US$0.7 million and US$0.2 million, respectively, mainly for the purchase of equipment and software.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of June 30, 2020, we did not have any 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Increase to our Post IPO Share Incentive Plan</w:t>
      </w:r>
    </w:p>
    <w:p>
      <w:pPr>
        <w:spacing w:after="0" w:line="225"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On August 31, 2020, our board of directors approved an increase of 1,000,000 Class A ordinary shares to the award pool under our Post-IPO Share Incentive Plan.</w:t>
      </w:r>
    </w:p>
    <w:p>
      <w:pPr>
        <w:sectPr>
          <w:pgSz w:w="11900" w:h="16838" w:orient="portrait"/>
          <w:cols w:equalWidth="0" w:num="1">
            <w:col w:w="10940"/>
          </w:cols>
          <w:pgMar w:left="320" w:top="544" w:right="6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Exhibit 99.2</w:t>
            </w:r>
          </w:p>
        </w:tc>
      </w:tr>
      <w:tr>
        <w:trPr>
          <w:trHeight w:val="432"/>
        </w:trPr>
        <w:tc>
          <w:tcPr>
            <w:tcW w:w="9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360" w:type="dxa"/>
            <w:vAlign w:val="bottom"/>
          </w:tcPr>
          <w:p>
            <w:pPr>
              <w:spacing w:after="0"/>
              <w:rPr>
                <w:sz w:val="24"/>
                <w:szCs w:val="24"/>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b w:val="1"/>
                <w:bCs w:val="1"/>
                <w:color w:val="auto"/>
              </w:rPr>
              <w:t>INDEX TO UNAUDITED INTERIM CONDENSED CONSOLIDATED FINANCIAL STATEMENTS</w:t>
            </w:r>
          </w:p>
        </w:tc>
        <w:tc>
          <w:tcPr>
            <w:tcW w:w="1360" w:type="dxa"/>
            <w:vAlign w:val="bottom"/>
          </w:tcPr>
          <w:p>
            <w:pPr>
              <w:spacing w:after="0"/>
              <w:rPr>
                <w:sz w:val="24"/>
                <w:szCs w:val="24"/>
                <w:color w:val="auto"/>
              </w:rPr>
            </w:pPr>
          </w:p>
        </w:tc>
      </w:tr>
      <w:tr>
        <w:trPr>
          <w:trHeight w:val="864"/>
        </w:trPr>
        <w:tc>
          <w:tcPr>
            <w:tcW w:w="99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Pages</w:t>
            </w:r>
          </w:p>
        </w:tc>
      </w:tr>
      <w:tr>
        <w:trPr>
          <w:trHeight w:val="418"/>
        </w:trPr>
        <w:tc>
          <w:tcPr>
            <w:tcW w:w="9900" w:type="dxa"/>
            <w:vAlign w:val="bottom"/>
          </w:tcPr>
          <w:p>
            <w:pPr>
              <w:ind w:left="60"/>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1360" w:type="dxa"/>
            <w:vAlign w:val="bottom"/>
          </w:tcPr>
          <w:p>
            <w:pPr>
              <w:spacing w:after="0"/>
              <w:rPr>
                <w:sz w:val="24"/>
                <w:szCs w:val="24"/>
                <w:color w:val="auto"/>
              </w:rPr>
            </w:pPr>
          </w:p>
        </w:tc>
      </w:tr>
      <w:tr>
        <w:trPr>
          <w:trHeight w:val="216"/>
        </w:trPr>
        <w:tc>
          <w:tcPr>
            <w:tcW w:w="9900" w:type="dxa"/>
            <w:vAlign w:val="bottom"/>
          </w:tcPr>
          <w:p>
            <w:pPr>
              <w:ind w:left="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Unaudited Interim Condensed Consolidated Balance Sheets as of December 31, 2019 and June 30, 2020</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00" w:type="dxa"/>
            <w:vAlign w:val="bottom"/>
          </w:tcPr>
          <w:p>
            <w:pPr>
              <w:ind w:left="60"/>
              <w:spacing w:after="0"/>
              <w:rPr>
                <w:rFonts w:ascii="Arial" w:cs="Arial" w:eastAsia="Arial" w:hAnsi="Arial"/>
                <w:sz w:val="18"/>
                <w:szCs w:val="18"/>
                <w:u w:val="single" w:color="auto"/>
                <w:color w:val="0000EE"/>
                <w:w w:val="93"/>
              </w:rPr>
            </w:pPr>
            <w:hyperlink w:anchor="page19">
              <w:r>
                <w:rPr>
                  <w:rFonts w:ascii="Arial" w:cs="Arial" w:eastAsia="Arial" w:hAnsi="Arial"/>
                  <w:sz w:val="18"/>
                  <w:szCs w:val="18"/>
                  <w:u w:val="single" w:color="auto"/>
                  <w:color w:val="0000EE"/>
                  <w:w w:val="93"/>
                </w:rPr>
                <w:t>Unaudited Interim Condensed Consolidated Statements of Comprehensive Loss for the Six Months Ended June 30, 2019 and 2020</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900" w:type="dxa"/>
            <w:vAlign w:val="bottom"/>
          </w:tcPr>
          <w:p>
            <w:pPr>
              <w:ind w:left="60"/>
              <w:spacing w:after="0"/>
              <w:rPr>
                <w:rFonts w:ascii="Arial" w:cs="Arial" w:eastAsia="Arial" w:hAnsi="Arial"/>
                <w:sz w:val="18"/>
                <w:szCs w:val="18"/>
                <w:u w:val="single" w:color="auto"/>
                <w:color w:val="0000EE"/>
                <w:w w:val="96"/>
              </w:rPr>
            </w:pPr>
            <w:hyperlink w:anchor="page20">
              <w:r>
                <w:rPr>
                  <w:rFonts w:ascii="Arial" w:cs="Arial" w:eastAsia="Arial" w:hAnsi="Arial"/>
                  <w:sz w:val="18"/>
                  <w:szCs w:val="18"/>
                  <w:u w:val="single" w:color="auto"/>
                  <w:color w:val="0000EE"/>
                  <w:w w:val="96"/>
                </w:rPr>
                <w:t>Unaudited Interim Condensed Consolidated Statements of Changes in Equity for the Six Months Ended June 30, 2019 and 2020</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900" w:type="dxa"/>
            <w:vAlign w:val="bottom"/>
          </w:tcPr>
          <w:p>
            <w:pPr>
              <w:ind w:left="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Unaudited Interim Condensed Consolidated Statements of Cash Flows for the Six Months Ended June 30, 2019 and 2020</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9900" w:type="dxa"/>
            <w:vAlign w:val="bottom"/>
          </w:tcPr>
          <w:p>
            <w:pPr>
              <w:ind w:left="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Notes to the Unaudited Interim Condensed Consolidated Financial Statements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1195"/>
        </w:trPr>
        <w:tc>
          <w:tcPr>
            <w:tcW w:w="9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 AND JUNE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980" w:type="dxa"/>
            <w:vAlign w:val="bottom"/>
            <w:gridSpan w:val="3"/>
          </w:tcPr>
          <w:p>
            <w:pPr>
              <w:ind w:left="1260"/>
              <w:spacing w:after="0"/>
              <w:rPr>
                <w:sz w:val="20"/>
                <w:szCs w:val="20"/>
                <w:color w:val="auto"/>
              </w:rPr>
            </w:pPr>
            <w:r>
              <w:rPr>
                <w:rFonts w:ascii="Arial" w:cs="Arial" w:eastAsia="Arial" w:hAnsi="Arial"/>
                <w:sz w:val="18"/>
                <w:szCs w:val="18"/>
                <w:color w:val="auto"/>
              </w:rPr>
              <w:t>As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gridSpan w:val="3"/>
          </w:tcPr>
          <w:p>
            <w:pPr>
              <w:ind w:left="320"/>
              <w:spacing w:after="0"/>
              <w:rPr>
                <w:sz w:val="20"/>
                <w:szCs w:val="20"/>
                <w:color w:val="auto"/>
              </w:rPr>
            </w:pPr>
            <w:r>
              <w:rPr>
                <w:rFonts w:ascii="Arial" w:cs="Arial" w:eastAsia="Arial" w:hAnsi="Arial"/>
                <w:sz w:val="18"/>
                <w:szCs w:val="18"/>
                <w:color w:val="auto"/>
              </w:rPr>
              <w:t>December 31,</w:t>
            </w:r>
          </w:p>
        </w:tc>
        <w:tc>
          <w:tcPr>
            <w:tcW w:w="940" w:type="dxa"/>
            <w:vAlign w:val="bottom"/>
          </w:tcPr>
          <w:p>
            <w:pPr>
              <w:jc w:val="right"/>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340" w:type="dxa"/>
            <w:vAlign w:val="bottom"/>
          </w:tcPr>
          <w:p>
            <w:pPr>
              <w:jc w:val="right"/>
              <w:spacing w:after="0"/>
              <w:rPr>
                <w:sz w:val="20"/>
                <w:szCs w:val="20"/>
                <w:color w:val="auto"/>
              </w:rPr>
            </w:pPr>
            <w:r>
              <w:rPr>
                <w:rFonts w:ascii="Arial" w:cs="Arial" w:eastAsia="Arial" w:hAnsi="Arial"/>
                <w:sz w:val="18"/>
                <w:szCs w:val="18"/>
                <w:color w:val="auto"/>
              </w:rPr>
              <w:t>36,854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Time deposits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34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340" w:type="dxa"/>
            <w:vAlign w:val="bottom"/>
          </w:tcPr>
          <w:p>
            <w:pPr>
              <w:jc w:val="right"/>
              <w:spacing w:after="0"/>
              <w:rPr>
                <w:sz w:val="20"/>
                <w:szCs w:val="20"/>
                <w:color w:val="auto"/>
              </w:rPr>
            </w:pPr>
            <w:r>
              <w:rPr>
                <w:rFonts w:ascii="Arial" w:cs="Arial" w:eastAsia="Arial" w:hAnsi="Arial"/>
                <w:sz w:val="18"/>
                <w:szCs w:val="18"/>
                <w:color w:val="auto"/>
              </w:rPr>
              <w:t>23,852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2(c)</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Amount due from an equity investee</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7(b)</w:t>
            </w: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 net of allowance for credit losses of</w:t>
            </w: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US$3,469 and US$7,147 as of December 31, 2019 and</w:t>
            </w: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June 30, 2020 respectively</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340" w:type="dxa"/>
            <w:vAlign w:val="bottom"/>
          </w:tcPr>
          <w:p>
            <w:pPr>
              <w:jc w:val="right"/>
              <w:spacing w:after="0"/>
              <w:rPr>
                <w:sz w:val="20"/>
                <w:szCs w:val="20"/>
                <w:color w:val="auto"/>
              </w:rPr>
            </w:pPr>
            <w:r>
              <w:rPr>
                <w:rFonts w:ascii="Arial" w:cs="Arial" w:eastAsia="Arial" w:hAnsi="Arial"/>
                <w:sz w:val="18"/>
                <w:szCs w:val="18"/>
                <w:color w:val="auto"/>
              </w:rPr>
              <w:t>143,971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Rebates receivable</w:t>
            </w:r>
          </w:p>
        </w:tc>
        <w:tc>
          <w:tcPr>
            <w:tcW w:w="3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Prepaid media costs</w:t>
            </w:r>
          </w:p>
        </w:tc>
        <w:tc>
          <w:tcPr>
            <w:tcW w:w="3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25,565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current assets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Deferred tax assets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24(e)</w:t>
            </w:r>
          </w:p>
        </w:tc>
        <w:tc>
          <w:tcPr>
            <w:tcW w:w="1340" w:type="dxa"/>
            <w:vAlign w:val="bottom"/>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Investment in an equity investee</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7(a)</w:t>
            </w: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Prepayment for long-term investments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long-term investments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340" w:type="dxa"/>
            <w:vAlign w:val="bottom"/>
          </w:tcPr>
          <w:p>
            <w:pPr>
              <w:jc w:val="right"/>
              <w:spacing w:after="0"/>
              <w:rPr>
                <w:sz w:val="20"/>
                <w:szCs w:val="20"/>
                <w:color w:val="auto"/>
              </w:rPr>
            </w:pPr>
            <w:r>
              <w:rPr>
                <w:rFonts w:ascii="Arial" w:cs="Arial" w:eastAsia="Arial" w:hAnsi="Arial"/>
                <w:sz w:val="18"/>
                <w:szCs w:val="18"/>
                <w:color w:val="auto"/>
              </w:rPr>
              <w:t>4,418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340" w:type="dxa"/>
            <w:vAlign w:val="bottom"/>
          </w:tcPr>
          <w:p>
            <w:pPr>
              <w:jc w:val="right"/>
              <w:spacing w:after="0"/>
              <w:rPr>
                <w:sz w:val="20"/>
                <w:szCs w:val="20"/>
                <w:color w:val="auto"/>
              </w:rPr>
            </w:pPr>
            <w:r>
              <w:rPr>
                <w:rFonts w:ascii="Arial" w:cs="Arial" w:eastAsia="Arial" w:hAnsi="Arial"/>
                <w:sz w:val="18"/>
                <w:szCs w:val="18"/>
                <w:color w:val="auto"/>
              </w:rPr>
              <w:t>65,710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assets</w:t>
            </w:r>
          </w:p>
        </w:tc>
        <w:tc>
          <w:tcPr>
            <w:tcW w:w="34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Right-of-use assets</w:t>
            </w:r>
          </w:p>
        </w:tc>
        <w:tc>
          <w:tcPr>
            <w:tcW w:w="34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321,516</w:t>
            </w: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w w:val="87"/>
              </w:rPr>
              <w:t>The accompanying notes are an integral part of these unaudited interim condensed consolidated financial statements.</w:t>
            </w: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tcPr>
          <w:p>
            <w:pPr>
              <w:spacing w:after="0"/>
              <w:rPr>
                <w:sz w:val="24"/>
                <w:szCs w:val="24"/>
                <w:color w:val="auto"/>
              </w:rPr>
            </w:pPr>
          </w:p>
        </w:tc>
        <w:tc>
          <w:tcPr>
            <w:tcW w:w="3420" w:type="dxa"/>
            <w:vAlign w:val="bottom"/>
          </w:tcPr>
          <w:p>
            <w:pPr>
              <w:jc w:val="right"/>
              <w:ind w:right="2350"/>
              <w:spacing w:after="0"/>
              <w:rPr>
                <w:sz w:val="20"/>
                <w:szCs w:val="20"/>
                <w:color w:val="auto"/>
              </w:rPr>
            </w:pPr>
            <w:r>
              <w:rPr>
                <w:rFonts w:ascii="Arial" w:cs="Arial" w:eastAsia="Arial" w:hAnsi="Arial"/>
                <w:sz w:val="18"/>
                <w:szCs w:val="18"/>
                <w:color w:val="auto"/>
              </w:rPr>
              <w:t>- 1 -</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 AND JUNE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980" w:type="dxa"/>
            <w:vAlign w:val="bottom"/>
            <w:gridSpan w:val="3"/>
          </w:tcPr>
          <w:p>
            <w:pPr>
              <w:ind w:left="1260"/>
              <w:spacing w:after="0"/>
              <w:rPr>
                <w:sz w:val="20"/>
                <w:szCs w:val="20"/>
                <w:color w:val="auto"/>
              </w:rPr>
            </w:pPr>
            <w:r>
              <w:rPr>
                <w:rFonts w:ascii="Arial" w:cs="Arial" w:eastAsia="Arial" w:hAnsi="Arial"/>
                <w:sz w:val="18"/>
                <w:szCs w:val="18"/>
                <w:color w:val="auto"/>
              </w:rPr>
              <w:t>As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80" w:type="dxa"/>
            <w:vAlign w:val="bottom"/>
            <w:gridSpan w:val="3"/>
          </w:tcPr>
          <w:p>
            <w:pPr>
              <w:ind w:left="320"/>
              <w:spacing w:after="0"/>
              <w:rPr>
                <w:sz w:val="20"/>
                <w:szCs w:val="20"/>
                <w:color w:val="auto"/>
              </w:rPr>
            </w:pPr>
            <w:r>
              <w:rPr>
                <w:rFonts w:ascii="Arial" w:cs="Arial" w:eastAsia="Arial" w:hAnsi="Arial"/>
                <w:sz w:val="18"/>
                <w:szCs w:val="18"/>
                <w:color w:val="auto"/>
              </w:rPr>
              <w:t>December 31,</w:t>
            </w:r>
          </w:p>
        </w:tc>
        <w:tc>
          <w:tcPr>
            <w:tcW w:w="940" w:type="dxa"/>
            <w:vAlign w:val="bottom"/>
          </w:tcPr>
          <w:p>
            <w:pPr>
              <w:jc w:val="right"/>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8"/>
                <w:szCs w:val="18"/>
                <w:color w:val="auto"/>
              </w:rPr>
            </w:pPr>
          </w:p>
        </w:tc>
      </w:tr>
      <w:tr>
        <w:trPr>
          <w:trHeight w:val="230"/>
        </w:trPr>
        <w:tc>
          <w:tcPr>
            <w:tcW w:w="4860" w:type="dxa"/>
            <w:vAlign w:val="bottom"/>
          </w:tcPr>
          <w:p>
            <w:pPr>
              <w:spacing w:after="0"/>
              <w:rPr>
                <w:sz w:val="20"/>
                <w:szCs w:val="20"/>
                <w:color w:val="auto"/>
              </w:rPr>
            </w:pP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454"/>
        </w:trPr>
        <w:tc>
          <w:tcPr>
            <w:tcW w:w="48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Accounts payable (including accounts payable of the</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consolidated variable interest entity (“VIE”) and its</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subsidiaries without recourse to the Company of</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US$27 and US$3,460 as of December 31, 2019</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and June 30, 2020, respectively)</w:t>
            </w:r>
          </w:p>
        </w:tc>
        <w:tc>
          <w:tcPr>
            <w:tcW w:w="3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66,161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36,131</w:t>
            </w: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revenue (including deferred revenue of the</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consolidated VIE and its subsidiaries without</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recourse to the Company of US$866 and</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US$551 as of December 31, 2019 and</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June 30, 2020, respectively)</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340" w:type="dxa"/>
            <w:vAlign w:val="bottom"/>
          </w:tcPr>
          <w:p>
            <w:pPr>
              <w:jc w:val="right"/>
              <w:spacing w:after="0"/>
              <w:rPr>
                <w:sz w:val="20"/>
                <w:szCs w:val="20"/>
                <w:color w:val="auto"/>
              </w:rPr>
            </w:pPr>
            <w:r>
              <w:rPr>
                <w:rFonts w:ascii="Arial" w:cs="Arial" w:eastAsia="Arial" w:hAnsi="Arial"/>
                <w:sz w:val="18"/>
                <w:szCs w:val="18"/>
                <w:color w:val="auto"/>
              </w:rPr>
              <w:t>27,089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25,785</w:t>
            </w: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Accrued liabilities and other current liabilities (including</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accrued liabilities and other current liabilities of the</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consolidated VIE and its subsidiaries without</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recourse to the Company of US$1,802 and</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US$1,417 as of December 31, 2019 and</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June 30, 2020, respectively)</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340" w:type="dxa"/>
            <w:vAlign w:val="bottom"/>
          </w:tcPr>
          <w:p>
            <w:pPr>
              <w:jc w:val="right"/>
              <w:spacing w:after="0"/>
              <w:rPr>
                <w:sz w:val="20"/>
                <w:szCs w:val="20"/>
                <w:color w:val="auto"/>
              </w:rPr>
            </w:pPr>
            <w:r>
              <w:rPr>
                <w:rFonts w:ascii="Arial" w:cs="Arial" w:eastAsia="Arial" w:hAnsi="Arial"/>
                <w:sz w:val="18"/>
                <w:szCs w:val="18"/>
                <w:color w:val="auto"/>
              </w:rPr>
              <w:t>19,937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30,974</w:t>
            </w:r>
          </w:p>
        </w:tc>
        <w:tc>
          <w:tcPr>
            <w:tcW w:w="1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Bank borrowings</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340" w:type="dxa"/>
            <w:vAlign w:val="bottom"/>
          </w:tcPr>
          <w:p>
            <w:pPr>
              <w:jc w:val="right"/>
              <w:spacing w:after="0"/>
              <w:rPr>
                <w:sz w:val="20"/>
                <w:szCs w:val="20"/>
                <w:color w:val="auto"/>
              </w:rPr>
            </w:pPr>
            <w:r>
              <w:rPr>
                <w:rFonts w:ascii="Arial" w:cs="Arial" w:eastAsia="Arial" w:hAnsi="Arial"/>
                <w:sz w:val="18"/>
                <w:szCs w:val="18"/>
                <w:color w:val="auto"/>
              </w:rPr>
              <w:t>36,851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41,980</w:t>
            </w:r>
          </w:p>
        </w:tc>
        <w:tc>
          <w:tcPr>
            <w:tcW w:w="1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340" w:type="dxa"/>
            <w:vAlign w:val="bottom"/>
          </w:tcPr>
          <w:p>
            <w:pPr>
              <w:jc w:val="right"/>
              <w:spacing w:after="0"/>
              <w:rPr>
                <w:sz w:val="20"/>
                <w:szCs w:val="20"/>
                <w:color w:val="auto"/>
              </w:rPr>
            </w:pPr>
            <w:r>
              <w:rPr>
                <w:rFonts w:ascii="Arial" w:cs="Arial" w:eastAsia="Arial" w:hAnsi="Arial"/>
                <w:sz w:val="18"/>
                <w:szCs w:val="18"/>
                <w:color w:val="auto"/>
              </w:rPr>
              <w:t>49,008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Derivatives liabilities</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9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Income tax payable</w:t>
            </w:r>
          </w:p>
        </w:tc>
        <w:tc>
          <w:tcPr>
            <w:tcW w:w="3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Lease liabilities (including lease liabilities of the</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consolidated VIE and its subsidiaries without recourse to</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the Company of US$86 and US$44 as of</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December 31, 2019 and June 30, 2020, respectively)</w:t>
            </w:r>
          </w:p>
        </w:tc>
        <w:tc>
          <w:tcPr>
            <w:tcW w:w="336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3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203,940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149,269</w:t>
            </w:r>
          </w:p>
        </w:tc>
        <w:tc>
          <w:tcPr>
            <w:tcW w:w="120" w:type="dxa"/>
            <w:vAlign w:val="bottom"/>
          </w:tcPr>
          <w:p>
            <w:pPr>
              <w:spacing w:after="0"/>
              <w:rPr>
                <w:sz w:val="19"/>
                <w:szCs w:val="19"/>
                <w:color w:val="auto"/>
              </w:rPr>
            </w:pPr>
          </w:p>
        </w:tc>
      </w:tr>
      <w:tr>
        <w:trPr>
          <w:trHeight w:val="452"/>
        </w:trPr>
        <w:tc>
          <w:tcPr>
            <w:tcW w:w="48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Other liabilities</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34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tax liabilities (including deferred tax liabilities</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of the consolidated VIE and its subsidiaries without</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recourse to the Company of US$187 and US$166 as</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of December 31, 2019 and June 30, 2020, respectively)</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24(e)</w:t>
            </w:r>
          </w:p>
        </w:tc>
        <w:tc>
          <w:tcPr>
            <w:tcW w:w="1340" w:type="dxa"/>
            <w:vAlign w:val="bottom"/>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14,276</w:t>
            </w:r>
          </w:p>
        </w:tc>
        <w:tc>
          <w:tcPr>
            <w:tcW w:w="12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Lease liabilities (including lease liabilities of the</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consolidated VIE and its subsidiaries without</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recourse to the Company of US$25 and</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US$nil as of December 31, 2019 and</w:t>
            </w:r>
          </w:p>
        </w:tc>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June 30, 2020, respectively)</w:t>
            </w:r>
          </w:p>
        </w:tc>
        <w:tc>
          <w:tcPr>
            <w:tcW w:w="336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3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120" w:type="dxa"/>
            <w:vAlign w:val="bottom"/>
          </w:tcPr>
          <w:p>
            <w:pPr>
              <w:spacing w:after="0"/>
              <w:rPr>
                <w:sz w:val="19"/>
                <w:szCs w:val="19"/>
                <w:color w:val="auto"/>
              </w:rPr>
            </w:pPr>
          </w:p>
        </w:tc>
      </w:tr>
      <w:tr>
        <w:trPr>
          <w:trHeight w:val="452"/>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3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206,960</w:t>
            </w: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164,898</w:t>
            </w:r>
          </w:p>
        </w:tc>
        <w:tc>
          <w:tcPr>
            <w:tcW w:w="120" w:type="dxa"/>
            <w:vAlign w:val="bottom"/>
          </w:tcPr>
          <w:p>
            <w:pPr>
              <w:spacing w:after="0"/>
              <w:rPr>
                <w:sz w:val="24"/>
                <w:szCs w:val="24"/>
                <w:color w:val="auto"/>
              </w:rPr>
            </w:pPr>
          </w:p>
        </w:tc>
      </w:tr>
      <w:tr>
        <w:trPr>
          <w:trHeight w:val="453"/>
        </w:trPr>
        <w:tc>
          <w:tcPr>
            <w:tcW w:w="4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w w:val="87"/>
              </w:rPr>
              <w:t>The accompanying notes are an integral part of these unaudited interim condensed consolidated financial statements.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860" w:type="dxa"/>
            <w:vAlign w:val="bottom"/>
          </w:tcPr>
          <w:p>
            <w:pPr>
              <w:spacing w:after="0"/>
              <w:rPr>
                <w:sz w:val="24"/>
                <w:szCs w:val="24"/>
                <w:color w:val="auto"/>
              </w:rPr>
            </w:pPr>
          </w:p>
        </w:tc>
        <w:tc>
          <w:tcPr>
            <w:tcW w:w="3360" w:type="dxa"/>
            <w:vAlign w:val="bottom"/>
          </w:tcPr>
          <w:p>
            <w:pPr>
              <w:jc w:val="right"/>
              <w:ind w:right="2350"/>
              <w:spacing w:after="0"/>
              <w:rPr>
                <w:sz w:val="20"/>
                <w:szCs w:val="20"/>
                <w:color w:val="auto"/>
              </w:rPr>
            </w:pPr>
            <w:r>
              <w:rPr>
                <w:rFonts w:ascii="Arial" w:cs="Arial" w:eastAsia="Arial" w:hAnsi="Arial"/>
                <w:sz w:val="18"/>
                <w:szCs w:val="18"/>
                <w:color w:val="auto"/>
              </w:rPr>
              <w:t>- 2 -</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 AND JUNE 30,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3"/>
          </w:tcPr>
          <w:p>
            <w:pPr>
              <w:ind w:left="1000"/>
              <w:spacing w:after="0"/>
              <w:rPr>
                <w:sz w:val="20"/>
                <w:szCs w:val="20"/>
                <w:color w:val="auto"/>
              </w:rPr>
            </w:pPr>
            <w:r>
              <w:rPr>
                <w:rFonts w:ascii="Arial" w:cs="Arial" w:eastAsia="Arial" w:hAnsi="Arial"/>
                <w:sz w:val="18"/>
                <w:szCs w:val="18"/>
                <w:color w:val="auto"/>
              </w:rPr>
              <w:t>As of</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3540" w:type="dxa"/>
            <w:vAlign w:val="bottom"/>
            <w:gridSpan w:val="2"/>
          </w:tcPr>
          <w:p>
            <w:pPr>
              <w:jc w:val="right"/>
              <w:ind w:right="520"/>
              <w:spacing w:after="0"/>
              <w:rPr>
                <w:sz w:val="20"/>
                <w:szCs w:val="20"/>
                <w:color w:val="auto"/>
              </w:rPr>
            </w:pPr>
            <w:r>
              <w:rPr>
                <w:rFonts w:ascii="Arial" w:cs="Arial" w:eastAsia="Arial" w:hAnsi="Arial"/>
                <w:sz w:val="18"/>
                <w:szCs w:val="18"/>
                <w:color w:val="auto"/>
              </w:rPr>
              <w:t>Note</w:t>
            </w:r>
          </w:p>
        </w:tc>
        <w:tc>
          <w:tcPr>
            <w:tcW w:w="108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Ordinary shares – Class A (US$0.001 par value;</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80,000,000  shares authorized as of December 31, 2019</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and June 30, 2020, respectively; 23,870,027 shares and</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34,467,143 shares issued and outstanding as of</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December 31, 2019 and June 30, 2020, respectively)</w:t>
            </w:r>
          </w:p>
        </w:tc>
        <w:tc>
          <w:tcPr>
            <w:tcW w:w="32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Ordinary shares – Class B (US$0.001 par value;</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20,000,000  shares authorized as of December 31, 2019</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and June 30, 2020, respectively; 4,820,608 shares</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issued and outstanding as of December 31, 2019 and</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June 30, 2020, respectively)</w:t>
            </w:r>
          </w:p>
        </w:tc>
        <w:tc>
          <w:tcPr>
            <w:tcW w:w="32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Treasury shares (1,744,873 and 1,542,402 shares as of</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December 31, 2019 and June 30, 2020, respectively)</w:t>
            </w:r>
          </w:p>
        </w:tc>
        <w:tc>
          <w:tcPr>
            <w:tcW w:w="32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(4,858)</w:t>
            </w:r>
          </w:p>
        </w:tc>
        <w:tc>
          <w:tcPr>
            <w:tcW w:w="3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305,344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Statutory reserves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Accumulated other comprehensive losses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(7,479)</w:t>
            </w:r>
          </w:p>
        </w:tc>
        <w:tc>
          <w:tcPr>
            <w:tcW w:w="3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(191,016)</w:t>
            </w:r>
          </w:p>
        </w:tc>
        <w:tc>
          <w:tcPr>
            <w:tcW w:w="3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(202,339)</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Total iClick Interactive Asia Group Limited shareholders’</w:t>
            </w:r>
          </w:p>
        </w:tc>
        <w:tc>
          <w:tcPr>
            <w:tcW w:w="3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equity</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12,455</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3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114,556</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vMerge w:val="continue"/>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321,516</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80" w:type="dxa"/>
            <w:vAlign w:val="bottom"/>
            <w:gridSpan w:val="3"/>
          </w:tcPr>
          <w:p>
            <w:pPr>
              <w:spacing w:after="0"/>
              <w:rPr>
                <w:sz w:val="20"/>
                <w:szCs w:val="20"/>
                <w:color w:val="auto"/>
              </w:rPr>
            </w:pPr>
            <w:r>
              <w:rPr>
                <w:rFonts w:ascii="Arial" w:cs="Arial" w:eastAsia="Arial" w:hAnsi="Arial"/>
                <w:sz w:val="18"/>
                <w:szCs w:val="18"/>
                <w:color w:val="auto"/>
                <w:w w:val="90"/>
              </w:rPr>
              <w:t>The accompanying notes are an integral part of these unaudited interim condensed consolidated financial statements.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4"/>
                <w:szCs w:val="24"/>
                <w:color w:val="auto"/>
              </w:rPr>
            </w:pPr>
          </w:p>
        </w:tc>
        <w:tc>
          <w:tcPr>
            <w:tcW w:w="3280" w:type="dxa"/>
            <w:vAlign w:val="bottom"/>
          </w:tcPr>
          <w:p>
            <w:pPr>
              <w:jc w:val="right"/>
              <w:ind w:right="2350"/>
              <w:spacing w:after="0"/>
              <w:rPr>
                <w:sz w:val="20"/>
                <w:szCs w:val="20"/>
                <w:color w:val="auto"/>
              </w:rPr>
            </w:pPr>
            <w:r>
              <w:rPr>
                <w:rFonts w:ascii="Arial" w:cs="Arial" w:eastAsia="Arial" w:hAnsi="Arial"/>
                <w:sz w:val="18"/>
                <w:szCs w:val="18"/>
                <w:color w:val="auto"/>
              </w:rPr>
              <w:t>- 3 -</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8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For the six months ended</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gridSpan w:val="3"/>
          </w:tcPr>
          <w:p>
            <w:pPr>
              <w:jc w:val="center"/>
              <w:ind w:left="910"/>
              <w:spacing w:after="0"/>
              <w:rPr>
                <w:sz w:val="20"/>
                <w:szCs w:val="20"/>
                <w:color w:val="auto"/>
              </w:rPr>
            </w:pPr>
            <w:r>
              <w:rPr>
                <w:rFonts w:ascii="Arial" w:cs="Arial" w:eastAsia="Arial" w:hAnsi="Arial"/>
                <w:sz w:val="18"/>
                <w:szCs w:val="18"/>
                <w:color w:val="auto"/>
                <w:w w:val="86"/>
              </w:rPr>
              <w:t>June 30,</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Note</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9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340" w:type="dxa"/>
            <w:vAlign w:val="bottom"/>
          </w:tcPr>
          <w:p>
            <w:pPr>
              <w:jc w:val="right"/>
              <w:spacing w:after="0"/>
              <w:rPr>
                <w:sz w:val="20"/>
                <w:szCs w:val="20"/>
                <w:color w:val="auto"/>
              </w:rPr>
            </w:pPr>
            <w:r>
              <w:rPr>
                <w:rFonts w:ascii="Arial" w:cs="Arial" w:eastAsia="Arial" w:hAnsi="Arial"/>
                <w:sz w:val="18"/>
                <w:szCs w:val="18"/>
                <w:color w:val="auto"/>
              </w:rPr>
              <w:t>88,565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22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(62,579)</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(77,270)</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(2,849)</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(20,868)</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(17,116)</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(6,838)</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Interest income</w:t>
            </w:r>
          </w:p>
        </w:tc>
        <w:tc>
          <w:tcPr>
            <w:tcW w:w="2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Other gains, net</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340" w:type="dxa"/>
            <w:vAlign w:val="bottom"/>
          </w:tcPr>
          <w:p>
            <w:pPr>
              <w:jc w:val="right"/>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(1,992)</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9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22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7(a)</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line="205" w:lineRule="exact"/>
              <w:rPr>
                <w:sz w:val="20"/>
                <w:szCs w:val="20"/>
                <w:color w:val="auto"/>
              </w:rPr>
            </w:pPr>
            <w:r>
              <w:rPr>
                <w:rFonts w:ascii="Arial" w:cs="Arial" w:eastAsia="Arial" w:hAnsi="Arial"/>
                <w:sz w:val="18"/>
                <w:szCs w:val="18"/>
                <w:b w:val="1"/>
                <w:bCs w:val="1"/>
                <w:color w:val="auto"/>
              </w:rPr>
              <w:t>Net loss attributable to iClick Interactive Asia</w:t>
            </w:r>
          </w:p>
        </w:tc>
        <w:tc>
          <w:tcPr>
            <w:tcW w:w="2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22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(5,276)</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228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(5,713)</w:t>
            </w:r>
          </w:p>
        </w:tc>
        <w:tc>
          <w:tcPr>
            <w:tcW w:w="3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Foreign currency translation adjustment, net of US$nil</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tax</w:t>
            </w:r>
          </w:p>
        </w:tc>
        <w:tc>
          <w:tcPr>
            <w:tcW w:w="2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loss attributable to iClick</w:t>
            </w:r>
          </w:p>
        </w:tc>
        <w:tc>
          <w:tcPr>
            <w:tcW w:w="2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22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(5,187)</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iClick</w:t>
            </w:r>
          </w:p>
        </w:tc>
        <w:tc>
          <w:tcPr>
            <w:tcW w:w="2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4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 Basic</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5"/>
        </w:trPr>
        <w:tc>
          <w:tcPr>
            <w:tcW w:w="5940" w:type="dxa"/>
            <w:vAlign w:val="bottom"/>
          </w:tcPr>
          <w:p>
            <w:pPr>
              <w:spacing w:after="0"/>
              <w:rPr>
                <w:sz w:val="20"/>
                <w:szCs w:val="20"/>
                <w:color w:val="auto"/>
              </w:rPr>
            </w:pPr>
            <w:r>
              <w:rPr>
                <w:rFonts w:ascii="Arial" w:cs="Arial" w:eastAsia="Arial" w:hAnsi="Arial"/>
                <w:sz w:val="18"/>
                <w:szCs w:val="18"/>
                <w:color w:val="auto"/>
              </w:rPr>
              <w:t>- Diluted</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w:t>
            </w: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in per share calculation:</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 Basic</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340" w:type="dxa"/>
            <w:vAlign w:val="bottom"/>
          </w:tcPr>
          <w:p>
            <w:pPr>
              <w:jc w:val="right"/>
              <w:spacing w:after="0"/>
              <w:rPr>
                <w:sz w:val="20"/>
                <w:szCs w:val="20"/>
                <w:color w:val="auto"/>
              </w:rPr>
            </w:pPr>
            <w:r>
              <w:rPr>
                <w:rFonts w:ascii="Arial" w:cs="Arial" w:eastAsia="Arial" w:hAnsi="Arial"/>
                <w:sz w:val="18"/>
                <w:szCs w:val="18"/>
                <w:color w:val="auto"/>
              </w:rPr>
              <w:t>28,350,323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34,795,154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 Diluted</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28,350,323</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34,795,154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80" w:type="dxa"/>
            <w:vAlign w:val="bottom"/>
          </w:tcPr>
          <w:p>
            <w:pPr>
              <w:spacing w:after="0"/>
              <w:rPr>
                <w:sz w:val="12"/>
                <w:szCs w:val="12"/>
                <w:color w:val="auto"/>
              </w:rPr>
            </w:pPr>
          </w:p>
        </w:tc>
        <w:tc>
          <w:tcPr>
            <w:tcW w:w="1600" w:type="dxa"/>
            <w:vAlign w:val="bottom"/>
            <w:gridSpan w:val="4"/>
          </w:tcPr>
          <w:p>
            <w:pPr>
              <w:ind w:left="320"/>
              <w:spacing w:after="0"/>
              <w:rPr>
                <w:sz w:val="20"/>
                <w:szCs w:val="20"/>
                <w:color w:val="auto"/>
              </w:rPr>
            </w:pPr>
            <w:r>
              <w:rPr>
                <w:rFonts w:ascii="Arial" w:cs="Arial" w:eastAsia="Arial" w:hAnsi="Arial"/>
                <w:sz w:val="12"/>
                <w:szCs w:val="12"/>
                <w:color w:val="auto"/>
              </w:rPr>
              <w:t>Ordinary shares</w:t>
            </w:r>
          </w:p>
        </w:tc>
        <w:tc>
          <w:tcPr>
            <w:tcW w:w="1560" w:type="dxa"/>
            <w:vAlign w:val="bottom"/>
            <w:gridSpan w:val="4"/>
          </w:tcPr>
          <w:p>
            <w:pPr>
              <w:jc w:val="right"/>
              <w:ind w:right="520"/>
              <w:spacing w:after="0"/>
              <w:rPr>
                <w:sz w:val="20"/>
                <w:szCs w:val="20"/>
                <w:color w:val="auto"/>
              </w:rPr>
            </w:pPr>
            <w:r>
              <w:rPr>
                <w:rFonts w:ascii="Arial" w:cs="Arial" w:eastAsia="Arial" w:hAnsi="Arial"/>
                <w:sz w:val="12"/>
                <w:szCs w:val="12"/>
                <w:color w:val="auto"/>
              </w:rPr>
              <w:t>Treasury shares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2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Total iClick</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Interactive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7"/>
              </w:rPr>
              <w:t>Accumulated</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99"/>
              </w:rPr>
              <w:t>Asia Group</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8"/>
              </w:rPr>
              <w:t>Additional</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other</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Limited</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Non-</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Number of</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99"/>
              </w:rPr>
              <w:t>Number of</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paid-in</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6"/>
              </w:rPr>
              <w:t>Accumulated</w:t>
            </w: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Statutory</w:t>
            </w:r>
          </w:p>
        </w:tc>
        <w:tc>
          <w:tcPr>
            <w:tcW w:w="116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comprehensive</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w w:val="83"/>
              </w:rPr>
              <w:t>shareholders’</w:t>
            </w: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w w:val="95"/>
              </w:rPr>
              <w:t>controlling</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Total</w:t>
            </w:r>
          </w:p>
        </w:tc>
      </w:tr>
      <w:tr>
        <w:trPr>
          <w:trHeight w:val="148"/>
        </w:trPr>
        <w:tc>
          <w:tcPr>
            <w:tcW w:w="25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shares</w:t>
            </w: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Amount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shares</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Amount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capital</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deficit</w:t>
            </w:r>
          </w:p>
        </w:tc>
        <w:tc>
          <w:tcPr>
            <w:tcW w:w="540" w:type="dxa"/>
            <w:vAlign w:val="bottom"/>
          </w:tcPr>
          <w:p>
            <w:pPr>
              <w:jc w:val="right"/>
              <w:spacing w:after="0"/>
              <w:rPr>
                <w:sz w:val="20"/>
                <w:szCs w:val="20"/>
                <w:color w:val="auto"/>
              </w:rPr>
            </w:pPr>
            <w:r>
              <w:rPr>
                <w:rFonts w:ascii="Arial" w:cs="Arial" w:eastAsia="Arial" w:hAnsi="Arial"/>
                <w:sz w:val="12"/>
                <w:szCs w:val="12"/>
                <w:color w:val="auto"/>
              </w:rPr>
              <w:t>reserves</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losses</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equity</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interests</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equity</w:t>
            </w:r>
          </w:p>
        </w:tc>
      </w:tr>
      <w:tr>
        <w:trPr>
          <w:trHeight w:val="282"/>
        </w:trPr>
        <w:tc>
          <w:tcPr>
            <w:tcW w:w="2580" w:type="dxa"/>
            <w:vAlign w:val="bottom"/>
          </w:tcPr>
          <w:p>
            <w:pPr>
              <w:spacing w:after="0"/>
              <w:rPr>
                <w:sz w:val="20"/>
                <w:szCs w:val="20"/>
                <w:color w:val="auto"/>
              </w:rPr>
            </w:pPr>
            <w:r>
              <w:rPr>
                <w:rFonts w:ascii="Arial" w:cs="Arial" w:eastAsia="Arial" w:hAnsi="Arial"/>
                <w:sz w:val="12"/>
                <w:szCs w:val="12"/>
                <w:b w:val="1"/>
                <w:bCs w:val="1"/>
                <w:color w:val="auto"/>
              </w:rPr>
              <w:t>Balance as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December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0"/>
        </w:trPr>
        <w:tc>
          <w:tcPr>
            <w:tcW w:w="2580" w:type="dxa"/>
            <w:vAlign w:val="bottom"/>
          </w:tcPr>
          <w:p>
            <w:pPr>
              <w:ind w:left="100"/>
              <w:spacing w:after="0"/>
              <w:rPr>
                <w:sz w:val="20"/>
                <w:szCs w:val="20"/>
                <w:color w:val="auto"/>
              </w:rPr>
            </w:pPr>
            <w:r>
              <w:rPr>
                <w:rFonts w:ascii="Arial" w:cs="Arial" w:eastAsia="Arial" w:hAnsi="Arial"/>
                <w:sz w:val="12"/>
                <w:szCs w:val="12"/>
                <w:b w:val="1"/>
                <w:bCs w:val="1"/>
                <w:color w:val="auto"/>
              </w:rPr>
              <w:t>31, 2018</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27,986,700</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1,363,860</w:t>
            </w:r>
          </w:p>
        </w:tc>
        <w:tc>
          <w:tcPr>
            <w:tcW w:w="2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(576)</w:t>
            </w:r>
          </w:p>
        </w:tc>
        <w:tc>
          <w:tcPr>
            <w:tcW w:w="560" w:type="dxa"/>
            <w:vAlign w:val="bottom"/>
          </w:tcPr>
          <w:p>
            <w:pPr>
              <w:jc w:val="right"/>
              <w:spacing w:after="0"/>
              <w:rPr>
                <w:sz w:val="20"/>
                <w:szCs w:val="20"/>
                <w:color w:val="auto"/>
              </w:rPr>
            </w:pPr>
            <w:r>
              <w:rPr>
                <w:rFonts w:ascii="Arial" w:cs="Arial" w:eastAsia="Arial" w:hAnsi="Arial"/>
                <w:sz w:val="12"/>
                <w:szCs w:val="12"/>
                <w:color w:val="auto"/>
              </w:rPr>
              <w:t>293,072</w:t>
            </w:r>
          </w:p>
        </w:tc>
        <w:tc>
          <w:tcPr>
            <w:tcW w:w="2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(181,413)</w:t>
            </w:r>
          </w:p>
        </w:tc>
        <w:tc>
          <w:tcPr>
            <w:tcW w:w="540" w:type="dxa"/>
            <w:vAlign w:val="bottom"/>
          </w:tcPr>
          <w:p>
            <w:pPr>
              <w:jc w:val="right"/>
              <w:spacing w:after="0"/>
              <w:rPr>
                <w:sz w:val="20"/>
                <w:szCs w:val="20"/>
                <w:color w:val="auto"/>
              </w:rPr>
            </w:pPr>
            <w:r>
              <w:rPr>
                <w:rFonts w:ascii="Arial" w:cs="Arial" w:eastAsia="Arial" w:hAnsi="Arial"/>
                <w:sz w:val="12"/>
                <w:szCs w:val="12"/>
                <w:color w:val="auto"/>
              </w:rPr>
              <w:t>81</w:t>
            </w:r>
          </w:p>
        </w:tc>
        <w:tc>
          <w:tcPr>
            <w:tcW w:w="1160" w:type="dxa"/>
            <w:vAlign w:val="bottom"/>
            <w:gridSpan w:val="3"/>
          </w:tcPr>
          <w:p>
            <w:pPr>
              <w:jc w:val="right"/>
              <w:ind w:right="180"/>
              <w:spacing w:after="0"/>
              <w:rPr>
                <w:sz w:val="20"/>
                <w:szCs w:val="20"/>
                <w:color w:val="auto"/>
              </w:rPr>
            </w:pPr>
            <w:r>
              <w:rPr>
                <w:rFonts w:ascii="Arial" w:cs="Arial" w:eastAsia="Arial" w:hAnsi="Arial"/>
                <w:sz w:val="12"/>
                <w:szCs w:val="12"/>
                <w:color w:val="auto"/>
              </w:rPr>
              <w:t>(5,867)</w:t>
            </w:r>
          </w:p>
        </w:tc>
        <w:tc>
          <w:tcPr>
            <w:tcW w:w="620" w:type="dxa"/>
            <w:vAlign w:val="bottom"/>
          </w:tcPr>
          <w:p>
            <w:pPr>
              <w:jc w:val="right"/>
              <w:spacing w:after="0"/>
              <w:rPr>
                <w:sz w:val="20"/>
                <w:szCs w:val="20"/>
                <w:color w:val="auto"/>
              </w:rPr>
            </w:pPr>
            <w:r>
              <w:rPr>
                <w:rFonts w:ascii="Arial" w:cs="Arial" w:eastAsia="Arial" w:hAnsi="Arial"/>
                <w:sz w:val="12"/>
                <w:szCs w:val="12"/>
                <w:color w:val="auto"/>
              </w:rPr>
              <w:t>105,325</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1,315</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106,640</w:t>
            </w:r>
          </w:p>
        </w:tc>
        <w:tc>
          <w:tcPr>
            <w:tcW w:w="40" w:type="dxa"/>
            <w:vAlign w:val="bottom"/>
          </w:tcPr>
          <w:p>
            <w:pPr>
              <w:spacing w:after="0"/>
              <w:rPr>
                <w:sz w:val="13"/>
                <w:szCs w:val="13"/>
                <w:color w:val="auto"/>
              </w:rPr>
            </w:pP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Reissuance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treasury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shares upon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exercise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employee share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options and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vesting</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of restricted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share units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(“RSUs”)</w:t>
            </w:r>
          </w:p>
        </w:tc>
        <w:tc>
          <w:tcPr>
            <w:tcW w:w="640" w:type="dxa"/>
            <w:vAlign w:val="bottom"/>
          </w:tcPr>
          <w:p>
            <w:pPr>
              <w:jc w:val="right"/>
              <w:spacing w:after="0"/>
              <w:rPr>
                <w:sz w:val="20"/>
                <w:szCs w:val="20"/>
                <w:color w:val="auto"/>
              </w:rPr>
            </w:pPr>
            <w:r>
              <w:rPr>
                <w:rFonts w:ascii="Arial" w:cs="Arial" w:eastAsia="Arial" w:hAnsi="Arial"/>
                <w:sz w:val="12"/>
                <w:szCs w:val="12"/>
                <w:color w:val="auto"/>
              </w:rPr>
              <w:t>109,926</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(109,926)</w:t>
            </w:r>
          </w:p>
        </w:tc>
        <w:tc>
          <w:tcPr>
            <w:tcW w:w="540" w:type="dxa"/>
            <w:vAlign w:val="bottom"/>
          </w:tcPr>
          <w:p>
            <w:pPr>
              <w:jc w:val="right"/>
              <w:spacing w:after="0"/>
              <w:rPr>
                <w:sz w:val="20"/>
                <w:szCs w:val="20"/>
                <w:color w:val="auto"/>
              </w:rPr>
            </w:pPr>
            <w:r>
              <w:rPr>
                <w:rFonts w:ascii="Arial" w:cs="Arial" w:eastAsia="Arial" w:hAnsi="Arial"/>
                <w:sz w:val="12"/>
                <w:szCs w:val="12"/>
                <w:color w:val="auto"/>
              </w:rPr>
              <w:t>47</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192</w:t>
            </w:r>
          </w:p>
        </w:tc>
        <w:tc>
          <w:tcPr>
            <w:tcW w:w="22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240</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240</w:t>
            </w:r>
          </w:p>
        </w:tc>
        <w:tc>
          <w:tcPr>
            <w:tcW w:w="40" w:type="dxa"/>
            <w:vAlign w:val="bottom"/>
          </w:tcPr>
          <w:p>
            <w:pPr>
              <w:spacing w:after="0"/>
              <w:rPr>
                <w:sz w:val="12"/>
                <w:szCs w:val="12"/>
                <w:color w:val="auto"/>
              </w:rPr>
            </w:pP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Share-based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compensation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expense</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1,222</w:t>
            </w:r>
          </w:p>
        </w:tc>
        <w:tc>
          <w:tcPr>
            <w:tcW w:w="22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1,222</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1,222</w:t>
            </w:r>
          </w:p>
        </w:tc>
        <w:tc>
          <w:tcPr>
            <w:tcW w:w="40" w:type="dxa"/>
            <w:vAlign w:val="bottom"/>
          </w:tcPr>
          <w:p>
            <w:pPr>
              <w:spacing w:after="0"/>
              <w:rPr>
                <w:sz w:val="12"/>
                <w:szCs w:val="12"/>
                <w:color w:val="auto"/>
              </w:rPr>
            </w:pPr>
          </w:p>
        </w:tc>
      </w:tr>
      <w:tr>
        <w:trPr>
          <w:trHeight w:val="148"/>
        </w:trPr>
        <w:tc>
          <w:tcPr>
            <w:tcW w:w="2580" w:type="dxa"/>
            <w:vAlign w:val="bottom"/>
          </w:tcPr>
          <w:p>
            <w:pPr>
              <w:spacing w:after="0"/>
              <w:rPr>
                <w:sz w:val="20"/>
                <w:szCs w:val="20"/>
                <w:color w:val="auto"/>
              </w:rPr>
            </w:pPr>
            <w:r>
              <w:rPr>
                <w:rFonts w:ascii="Arial" w:cs="Arial" w:eastAsia="Arial" w:hAnsi="Arial"/>
                <w:sz w:val="12"/>
                <w:szCs w:val="12"/>
                <w:color w:val="auto"/>
              </w:rPr>
              <w:t>RSUs vested</w:t>
            </w:r>
          </w:p>
        </w:tc>
        <w:tc>
          <w:tcPr>
            <w:tcW w:w="640" w:type="dxa"/>
            <w:vAlign w:val="bottom"/>
          </w:tcPr>
          <w:p>
            <w:pPr>
              <w:jc w:val="right"/>
              <w:spacing w:after="0"/>
              <w:rPr>
                <w:sz w:val="20"/>
                <w:szCs w:val="20"/>
                <w:color w:val="auto"/>
              </w:rPr>
            </w:pPr>
            <w:r>
              <w:rPr>
                <w:rFonts w:ascii="Arial" w:cs="Arial" w:eastAsia="Arial" w:hAnsi="Arial"/>
                <w:sz w:val="12"/>
                <w:szCs w:val="12"/>
                <w:color w:val="auto"/>
              </w:rPr>
              <w:t>11,250</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Business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combinations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(Note 4(a))</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11,815</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11,815</w:t>
            </w:r>
          </w:p>
        </w:tc>
        <w:tc>
          <w:tcPr>
            <w:tcW w:w="40" w:type="dxa"/>
            <w:vAlign w:val="bottom"/>
          </w:tcPr>
          <w:p>
            <w:pPr>
              <w:spacing w:after="0"/>
              <w:rPr>
                <w:sz w:val="12"/>
                <w:szCs w:val="12"/>
                <w:color w:val="auto"/>
              </w:rPr>
            </w:pP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Capital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injection in a</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subsidiary</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(99)</w:t>
            </w: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Repurchase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ordinary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shares</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62,787</w:t>
            </w:r>
          </w:p>
        </w:tc>
        <w:tc>
          <w:tcPr>
            <w:tcW w:w="2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(482)</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(482)</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(482)</w:t>
            </w: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Issuance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ordinary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shares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pursuant to</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convertible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notes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conversion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(Note 18)</w:t>
            </w:r>
          </w:p>
        </w:tc>
        <w:tc>
          <w:tcPr>
            <w:tcW w:w="640" w:type="dxa"/>
            <w:vAlign w:val="bottom"/>
          </w:tcPr>
          <w:p>
            <w:pPr>
              <w:jc w:val="right"/>
              <w:spacing w:after="0"/>
              <w:rPr>
                <w:sz w:val="20"/>
                <w:szCs w:val="20"/>
                <w:color w:val="auto"/>
              </w:rPr>
            </w:pPr>
            <w:r>
              <w:rPr>
                <w:rFonts w:ascii="Arial" w:cs="Arial" w:eastAsia="Arial" w:hAnsi="Arial"/>
                <w:sz w:val="12"/>
                <w:szCs w:val="12"/>
                <w:color w:val="auto"/>
              </w:rPr>
              <w:t>410,241</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4,431</w:t>
            </w:r>
          </w:p>
        </w:tc>
        <w:tc>
          <w:tcPr>
            <w:tcW w:w="22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4,431</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4,431</w:t>
            </w:r>
          </w:p>
        </w:tc>
        <w:tc>
          <w:tcPr>
            <w:tcW w:w="40" w:type="dxa"/>
            <w:vAlign w:val="bottom"/>
          </w:tcPr>
          <w:p>
            <w:pPr>
              <w:spacing w:after="0"/>
              <w:rPr>
                <w:sz w:val="12"/>
                <w:szCs w:val="12"/>
                <w:color w:val="auto"/>
              </w:rPr>
            </w:pP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Net loss for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580" w:type="dxa"/>
            <w:vAlign w:val="bottom"/>
          </w:tcPr>
          <w:p>
            <w:pPr>
              <w:ind w:left="100"/>
              <w:spacing w:after="0"/>
              <w:rPr>
                <w:sz w:val="20"/>
                <w:szCs w:val="20"/>
                <w:color w:val="auto"/>
              </w:rPr>
            </w:pPr>
            <w:r>
              <w:rPr>
                <w:rFonts w:ascii="Arial" w:cs="Arial" w:eastAsia="Arial" w:hAnsi="Arial"/>
                <w:sz w:val="12"/>
                <w:szCs w:val="12"/>
                <w:color w:val="auto"/>
              </w:rPr>
              <w:t>the period</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(5,276)</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(5,276)</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(437)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(5,713)</w:t>
            </w:r>
          </w:p>
        </w:tc>
      </w:tr>
      <w:tr>
        <w:trPr>
          <w:trHeight w:val="135"/>
        </w:trPr>
        <w:tc>
          <w:tcPr>
            <w:tcW w:w="2580" w:type="dxa"/>
            <w:vAlign w:val="bottom"/>
          </w:tcPr>
          <w:p>
            <w:pPr>
              <w:spacing w:after="0" w:line="136" w:lineRule="exact"/>
              <w:rPr>
                <w:sz w:val="20"/>
                <w:szCs w:val="20"/>
                <w:color w:val="auto"/>
              </w:rPr>
            </w:pPr>
            <w:r>
              <w:rPr>
                <w:rFonts w:ascii="Arial" w:cs="Arial" w:eastAsia="Arial" w:hAnsi="Arial"/>
                <w:sz w:val="12"/>
                <w:szCs w:val="12"/>
                <w:color w:val="auto"/>
              </w:rPr>
              <w:t>Foreign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580" w:type="dxa"/>
            <w:vAlign w:val="bottom"/>
          </w:tcPr>
          <w:p>
            <w:pPr>
              <w:ind w:left="100"/>
              <w:spacing w:after="0" w:line="135" w:lineRule="exact"/>
              <w:rPr>
                <w:sz w:val="20"/>
                <w:szCs w:val="20"/>
                <w:color w:val="auto"/>
              </w:rPr>
            </w:pPr>
            <w:r>
              <w:rPr>
                <w:rFonts w:ascii="Arial" w:cs="Arial" w:eastAsia="Arial" w:hAnsi="Arial"/>
                <w:sz w:val="12"/>
                <w:szCs w:val="12"/>
                <w:color w:val="auto"/>
              </w:rPr>
              <w:t>currency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1"/>
        </w:trPr>
        <w:tc>
          <w:tcPr>
            <w:tcW w:w="2580" w:type="dxa"/>
            <w:vAlign w:val="bottom"/>
          </w:tcPr>
          <w:p>
            <w:pPr>
              <w:ind w:left="100"/>
              <w:spacing w:after="0"/>
              <w:rPr>
                <w:sz w:val="20"/>
                <w:szCs w:val="20"/>
                <w:color w:val="auto"/>
              </w:rPr>
            </w:pPr>
            <w:r>
              <w:rPr>
                <w:rFonts w:ascii="Arial" w:cs="Arial" w:eastAsia="Arial" w:hAnsi="Arial"/>
                <w:sz w:val="12"/>
                <w:szCs w:val="12"/>
                <w:color w:val="auto"/>
              </w:rPr>
              <w:t>translation</w:t>
            </w: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89</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89</w:t>
            </w:r>
          </w:p>
        </w:tc>
        <w:tc>
          <w:tcPr>
            <w:tcW w:w="40" w:type="dxa"/>
            <w:vAlign w:val="bottom"/>
          </w:tcPr>
          <w:p>
            <w:pPr>
              <w:spacing w:after="0"/>
              <w:rPr>
                <w:sz w:val="12"/>
                <w:szCs w:val="12"/>
                <w:color w:val="auto"/>
              </w:rPr>
            </w:pPr>
          </w:p>
        </w:tc>
      </w:tr>
      <w:tr>
        <w:trPr>
          <w:trHeight w:val="134"/>
        </w:trPr>
        <w:tc>
          <w:tcPr>
            <w:tcW w:w="2580" w:type="dxa"/>
            <w:vAlign w:val="bottom"/>
          </w:tcPr>
          <w:p>
            <w:pPr>
              <w:spacing w:after="0" w:line="134" w:lineRule="exact"/>
              <w:rPr>
                <w:sz w:val="20"/>
                <w:szCs w:val="20"/>
                <w:color w:val="auto"/>
              </w:rPr>
            </w:pPr>
            <w:r>
              <w:rPr>
                <w:rFonts w:ascii="Arial" w:cs="Arial" w:eastAsia="Arial" w:hAnsi="Arial"/>
                <w:sz w:val="12"/>
                <w:szCs w:val="12"/>
                <w:b w:val="1"/>
                <w:bCs w:val="1"/>
                <w:color w:val="auto"/>
              </w:rPr>
              <w:t>Balance as of</w:t>
            </w: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3"/>
        </w:trPr>
        <w:tc>
          <w:tcPr>
            <w:tcW w:w="2580" w:type="dxa"/>
            <w:vAlign w:val="bottom"/>
          </w:tcPr>
          <w:p>
            <w:pPr>
              <w:ind w:left="100"/>
              <w:spacing w:after="0"/>
              <w:rPr>
                <w:sz w:val="20"/>
                <w:szCs w:val="20"/>
                <w:color w:val="auto"/>
              </w:rPr>
            </w:pPr>
            <w:r>
              <w:rPr>
                <w:rFonts w:ascii="Arial" w:cs="Arial" w:eastAsia="Arial" w:hAnsi="Arial"/>
                <w:sz w:val="12"/>
                <w:szCs w:val="12"/>
                <w:b w:val="1"/>
                <w:bCs w:val="1"/>
                <w:color w:val="auto"/>
              </w:rPr>
              <w:t>June 30, 2019</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28,518,117</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1,316,721</w:t>
            </w:r>
          </w:p>
        </w:tc>
        <w:tc>
          <w:tcPr>
            <w:tcW w:w="2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(1,011)</w:t>
            </w:r>
          </w:p>
        </w:tc>
        <w:tc>
          <w:tcPr>
            <w:tcW w:w="560" w:type="dxa"/>
            <w:vAlign w:val="bottom"/>
          </w:tcPr>
          <w:p>
            <w:pPr>
              <w:jc w:val="right"/>
              <w:spacing w:after="0"/>
              <w:rPr>
                <w:sz w:val="20"/>
                <w:szCs w:val="20"/>
                <w:color w:val="auto"/>
              </w:rPr>
            </w:pPr>
            <w:r>
              <w:rPr>
                <w:rFonts w:ascii="Arial" w:cs="Arial" w:eastAsia="Arial" w:hAnsi="Arial"/>
                <w:sz w:val="12"/>
                <w:szCs w:val="12"/>
                <w:color w:val="auto"/>
              </w:rPr>
              <w:t>298,917</w:t>
            </w: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(186,689)</w:t>
            </w:r>
          </w:p>
        </w:tc>
        <w:tc>
          <w:tcPr>
            <w:tcW w:w="540" w:type="dxa"/>
            <w:vAlign w:val="bottom"/>
          </w:tcPr>
          <w:p>
            <w:pPr>
              <w:jc w:val="right"/>
              <w:spacing w:after="0"/>
              <w:rPr>
                <w:sz w:val="20"/>
                <w:szCs w:val="20"/>
                <w:color w:val="auto"/>
              </w:rPr>
            </w:pPr>
            <w:r>
              <w:rPr>
                <w:rFonts w:ascii="Arial" w:cs="Arial" w:eastAsia="Arial" w:hAnsi="Arial"/>
                <w:sz w:val="12"/>
                <w:szCs w:val="12"/>
                <w:color w:val="auto"/>
              </w:rPr>
              <w:t>81</w:t>
            </w:r>
          </w:p>
        </w:tc>
        <w:tc>
          <w:tcPr>
            <w:tcW w:w="1160" w:type="dxa"/>
            <w:vAlign w:val="bottom"/>
            <w:gridSpan w:val="3"/>
          </w:tcPr>
          <w:p>
            <w:pPr>
              <w:jc w:val="right"/>
              <w:ind w:right="180"/>
              <w:spacing w:after="0"/>
              <w:rPr>
                <w:sz w:val="20"/>
                <w:szCs w:val="20"/>
                <w:color w:val="auto"/>
              </w:rPr>
            </w:pPr>
            <w:r>
              <w:rPr>
                <w:rFonts w:ascii="Arial" w:cs="Arial" w:eastAsia="Arial" w:hAnsi="Arial"/>
                <w:sz w:val="12"/>
                <w:szCs w:val="12"/>
                <w:color w:val="auto"/>
              </w:rPr>
              <w:t>(5,778)</w:t>
            </w:r>
          </w:p>
        </w:tc>
        <w:tc>
          <w:tcPr>
            <w:tcW w:w="620" w:type="dxa"/>
            <w:vAlign w:val="bottom"/>
          </w:tcPr>
          <w:p>
            <w:pPr>
              <w:jc w:val="right"/>
              <w:spacing w:after="0"/>
              <w:rPr>
                <w:sz w:val="20"/>
                <w:szCs w:val="20"/>
                <w:color w:val="auto"/>
              </w:rPr>
            </w:pPr>
            <w:r>
              <w:rPr>
                <w:rFonts w:ascii="Arial" w:cs="Arial" w:eastAsia="Arial" w:hAnsi="Arial"/>
                <w:sz w:val="12"/>
                <w:szCs w:val="12"/>
                <w:color w:val="auto"/>
              </w:rPr>
              <w:t>105,549</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12,594</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118,143</w:t>
            </w:r>
          </w:p>
        </w:tc>
        <w:tc>
          <w:tcPr>
            <w:tcW w:w="40" w:type="dxa"/>
            <w:vAlign w:val="bottom"/>
          </w:tcPr>
          <w:p>
            <w:pPr>
              <w:spacing w:after="0"/>
              <w:rPr>
                <w:sz w:val="12"/>
                <w:szCs w:val="12"/>
                <w:color w:val="auto"/>
              </w:rPr>
            </w:pPr>
          </w:p>
        </w:tc>
      </w:tr>
      <w:tr>
        <w:trPr>
          <w:trHeight w:val="20"/>
        </w:trPr>
        <w:tc>
          <w:tcPr>
            <w:tcW w:w="2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ind w:right="186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CHANGES IN EQUITY (CONTINUED) FOR THE SIX MONTHS ENDED JUNE 30, 2019 AND 2020</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980" w:type="dxa"/>
            <w:vAlign w:val="bottom"/>
          </w:tcPr>
          <w:p>
            <w:pPr>
              <w:spacing w:after="0"/>
              <w:rPr>
                <w:sz w:val="10"/>
                <w:szCs w:val="10"/>
                <w:color w:val="auto"/>
              </w:rPr>
            </w:pPr>
          </w:p>
        </w:tc>
        <w:tc>
          <w:tcPr>
            <w:tcW w:w="980" w:type="dxa"/>
            <w:vAlign w:val="bottom"/>
            <w:gridSpan w:val="3"/>
          </w:tcPr>
          <w:p>
            <w:pPr>
              <w:ind w:left="340"/>
              <w:spacing w:after="0"/>
              <w:rPr>
                <w:sz w:val="20"/>
                <w:szCs w:val="20"/>
                <w:color w:val="auto"/>
              </w:rPr>
            </w:pPr>
            <w:r>
              <w:rPr>
                <w:rFonts w:ascii="Arial" w:cs="Arial" w:eastAsia="Arial" w:hAnsi="Arial"/>
                <w:sz w:val="10"/>
                <w:szCs w:val="10"/>
                <w:color w:val="auto"/>
                <w:w w:val="87"/>
              </w:rPr>
              <w:t>Ordinary shares</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ind w:left="340"/>
              <w:spacing w:after="0"/>
              <w:rPr>
                <w:sz w:val="20"/>
                <w:szCs w:val="20"/>
                <w:color w:val="auto"/>
              </w:rPr>
            </w:pPr>
            <w:r>
              <w:rPr>
                <w:rFonts w:ascii="Arial" w:cs="Arial" w:eastAsia="Arial" w:hAnsi="Arial"/>
                <w:sz w:val="10"/>
                <w:szCs w:val="10"/>
                <w:color w:val="auto"/>
                <w:w w:val="82"/>
              </w:rPr>
              <w:t>Treasury shares</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2"/>
        </w:trPr>
        <w:tc>
          <w:tcPr>
            <w:tcW w:w="2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Total iClick</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1"/>
        </w:trPr>
        <w:tc>
          <w:tcPr>
            <w:tcW w:w="2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Interactive</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Accumulated</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Asia Group</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Additional</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other</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Limited</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Non-</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spacing w:after="0"/>
              <w:rPr>
                <w:sz w:val="10"/>
                <w:szCs w:val="10"/>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Number of</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Number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paid-in</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w w:val="89"/>
              </w:rPr>
              <w:t>Accumulated</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Statutory</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w w:val="85"/>
              </w:rPr>
              <w:t>comprehensive</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w w:val="86"/>
              </w:rPr>
              <w:t>shareholders’</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controlling</w:t>
            </w: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Total</w:t>
            </w:r>
          </w:p>
        </w:tc>
      </w:tr>
      <w:tr>
        <w:trPr>
          <w:trHeight w:val="124"/>
        </w:trPr>
        <w:tc>
          <w:tcPr>
            <w:tcW w:w="2980" w:type="dxa"/>
            <w:vAlign w:val="bottom"/>
          </w:tcPr>
          <w:p>
            <w:pPr>
              <w:spacing w:after="0"/>
              <w:rPr>
                <w:sz w:val="10"/>
                <w:szCs w:val="10"/>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shares</w:t>
            </w:r>
          </w:p>
        </w:tc>
        <w:tc>
          <w:tcPr>
            <w:tcW w:w="580" w:type="dxa"/>
            <w:vAlign w:val="bottom"/>
            <w:gridSpan w:val="2"/>
          </w:tcPr>
          <w:p>
            <w:pPr>
              <w:ind w:left="20"/>
              <w:spacing w:after="0"/>
              <w:rPr>
                <w:sz w:val="20"/>
                <w:szCs w:val="20"/>
                <w:color w:val="auto"/>
              </w:rPr>
            </w:pPr>
            <w:r>
              <w:rPr>
                <w:rFonts w:ascii="Arial" w:cs="Arial" w:eastAsia="Arial" w:hAnsi="Arial"/>
                <w:sz w:val="10"/>
                <w:szCs w:val="10"/>
                <w:color w:val="auto"/>
              </w:rPr>
              <w:t>Amount</w:t>
            </w: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shares</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w w:val="92"/>
              </w:rPr>
              <w:t>Amount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capital</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deficit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reserves</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losses</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equity</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interests</w:t>
            </w: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equity</w:t>
            </w:r>
          </w:p>
        </w:tc>
      </w:tr>
      <w:tr>
        <w:trPr>
          <w:trHeight w:val="265"/>
        </w:trPr>
        <w:tc>
          <w:tcPr>
            <w:tcW w:w="2980" w:type="dxa"/>
            <w:vAlign w:val="bottom"/>
          </w:tcPr>
          <w:p>
            <w:pPr>
              <w:spacing w:after="0"/>
              <w:rPr>
                <w:sz w:val="20"/>
                <w:szCs w:val="20"/>
                <w:color w:val="auto"/>
              </w:rPr>
            </w:pPr>
            <w:r>
              <w:rPr>
                <w:rFonts w:ascii="Arial" w:cs="Arial" w:eastAsia="Arial" w:hAnsi="Arial"/>
                <w:sz w:val="10"/>
                <w:szCs w:val="10"/>
                <w:b w:val="1"/>
                <w:bCs w:val="1"/>
                <w:color w:val="auto"/>
              </w:rPr>
              <w:t>Balance as</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b w:val="1"/>
                <w:bCs w:val="1"/>
                <w:color w:val="auto"/>
              </w:rPr>
              <w:t>of December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980" w:type="dxa"/>
            <w:vAlign w:val="bottom"/>
          </w:tcPr>
          <w:p>
            <w:pPr>
              <w:ind w:left="80"/>
              <w:spacing w:after="0"/>
              <w:rPr>
                <w:sz w:val="20"/>
                <w:szCs w:val="20"/>
                <w:color w:val="auto"/>
              </w:rPr>
            </w:pPr>
            <w:r>
              <w:rPr>
                <w:rFonts w:ascii="Arial" w:cs="Arial" w:eastAsia="Arial" w:hAnsi="Arial"/>
                <w:sz w:val="10"/>
                <w:szCs w:val="10"/>
                <w:b w:val="1"/>
                <w:bCs w:val="1"/>
                <w:color w:val="auto"/>
              </w:rPr>
              <w:t>31, 2019</w:t>
            </w:r>
          </w:p>
        </w:tc>
        <w:tc>
          <w:tcPr>
            <w:tcW w:w="560" w:type="dxa"/>
            <w:vAlign w:val="bottom"/>
          </w:tcPr>
          <w:p>
            <w:pPr>
              <w:jc w:val="right"/>
              <w:spacing w:after="0"/>
              <w:rPr>
                <w:sz w:val="20"/>
                <w:szCs w:val="20"/>
                <w:color w:val="auto"/>
              </w:rPr>
            </w:pPr>
            <w:r>
              <w:rPr>
                <w:rFonts w:ascii="Arial" w:cs="Arial" w:eastAsia="Arial" w:hAnsi="Arial"/>
                <w:sz w:val="10"/>
                <w:szCs w:val="10"/>
                <w:color w:val="auto"/>
              </w:rPr>
              <w:t>28,690,635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29</w:t>
            </w:r>
          </w:p>
        </w:tc>
        <w:tc>
          <w:tcPr>
            <w:tcW w:w="2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1,744,873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(4,858 )</w:t>
            </w:r>
          </w:p>
        </w:tc>
        <w:tc>
          <w:tcPr>
            <w:tcW w:w="560" w:type="dxa"/>
            <w:vAlign w:val="bottom"/>
          </w:tcPr>
          <w:p>
            <w:pPr>
              <w:jc w:val="right"/>
              <w:spacing w:after="0"/>
              <w:rPr>
                <w:sz w:val="20"/>
                <w:szCs w:val="20"/>
                <w:color w:val="auto"/>
              </w:rPr>
            </w:pPr>
            <w:r>
              <w:rPr>
                <w:rFonts w:ascii="Arial" w:cs="Arial" w:eastAsia="Arial" w:hAnsi="Arial"/>
                <w:sz w:val="10"/>
                <w:szCs w:val="10"/>
                <w:color w:val="auto"/>
              </w:rPr>
              <w:t>305,344</w:t>
            </w:r>
          </w:p>
        </w:tc>
        <w:tc>
          <w:tcPr>
            <w:tcW w:w="22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(191,016 )</w:t>
            </w:r>
          </w:p>
        </w:tc>
        <w:tc>
          <w:tcPr>
            <w:tcW w:w="560" w:type="dxa"/>
            <w:vAlign w:val="bottom"/>
          </w:tcPr>
          <w:p>
            <w:pPr>
              <w:jc w:val="right"/>
              <w:spacing w:after="0"/>
              <w:rPr>
                <w:sz w:val="20"/>
                <w:szCs w:val="20"/>
                <w:color w:val="auto"/>
              </w:rPr>
            </w:pPr>
            <w:r>
              <w:rPr>
                <w:rFonts w:ascii="Arial" w:cs="Arial" w:eastAsia="Arial" w:hAnsi="Arial"/>
                <w:sz w:val="10"/>
                <w:szCs w:val="10"/>
                <w:color w:val="auto"/>
              </w:rPr>
              <w:t>81</w:t>
            </w:r>
          </w:p>
        </w:tc>
        <w:tc>
          <w:tcPr>
            <w:tcW w:w="22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(7,479 )</w:t>
            </w:r>
          </w:p>
        </w:tc>
        <w:tc>
          <w:tcPr>
            <w:tcW w:w="560" w:type="dxa"/>
            <w:vAlign w:val="bottom"/>
          </w:tcPr>
          <w:p>
            <w:pPr>
              <w:jc w:val="right"/>
              <w:spacing w:after="0"/>
              <w:rPr>
                <w:sz w:val="20"/>
                <w:szCs w:val="20"/>
                <w:color w:val="auto"/>
              </w:rPr>
            </w:pPr>
            <w:r>
              <w:rPr>
                <w:rFonts w:ascii="Arial" w:cs="Arial" w:eastAsia="Arial" w:hAnsi="Arial"/>
                <w:sz w:val="10"/>
                <w:szCs w:val="10"/>
                <w:color w:val="auto"/>
              </w:rPr>
              <w:t>102,101</w:t>
            </w:r>
          </w:p>
        </w:tc>
        <w:tc>
          <w:tcPr>
            <w:tcW w:w="2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12,455</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114,556</w:t>
            </w:r>
          </w:p>
        </w:tc>
        <w:tc>
          <w:tcPr>
            <w:tcW w:w="40" w:type="dxa"/>
            <w:vAlign w:val="bottom"/>
          </w:tcPr>
          <w:p>
            <w:pPr>
              <w:spacing w:after="0"/>
              <w:rPr>
                <w:sz w:val="10"/>
                <w:szCs w:val="10"/>
                <w:color w:val="auto"/>
              </w:rPr>
            </w:pP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Cumulative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effect of</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adoption of</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new accounting</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standard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(Note 2(f))</w:t>
            </w: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(3,971 )</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(3,971 )</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(3,971 )</w:t>
            </w: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Reissuance 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treasury</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shares upon</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exercise of</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employee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share options</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and vesting</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of RSUs</w:t>
            </w:r>
          </w:p>
        </w:tc>
        <w:tc>
          <w:tcPr>
            <w:tcW w:w="560" w:type="dxa"/>
            <w:vAlign w:val="bottom"/>
          </w:tcPr>
          <w:p>
            <w:pPr>
              <w:jc w:val="right"/>
              <w:spacing w:after="0"/>
              <w:rPr>
                <w:sz w:val="20"/>
                <w:szCs w:val="20"/>
                <w:color w:val="auto"/>
              </w:rPr>
            </w:pPr>
            <w:r>
              <w:rPr>
                <w:rFonts w:ascii="Arial" w:cs="Arial" w:eastAsia="Arial" w:hAnsi="Arial"/>
                <w:sz w:val="10"/>
                <w:szCs w:val="10"/>
                <w:color w:val="auto"/>
              </w:rPr>
              <w:t>266,604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(266,604 )</w:t>
            </w:r>
          </w:p>
        </w:tc>
        <w:tc>
          <w:tcPr>
            <w:tcW w:w="2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106</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284</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390</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390</w:t>
            </w:r>
          </w:p>
        </w:tc>
        <w:tc>
          <w:tcPr>
            <w:tcW w:w="40" w:type="dxa"/>
            <w:vAlign w:val="bottom"/>
          </w:tcPr>
          <w:p>
            <w:pPr>
              <w:spacing w:after="0"/>
              <w:rPr>
                <w:sz w:val="10"/>
                <w:szCs w:val="10"/>
                <w:color w:val="auto"/>
              </w:rPr>
            </w:pP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Share-based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compensation</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expense</w:t>
            </w: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2,267</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2,267</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2,267</w:t>
            </w:r>
          </w:p>
        </w:tc>
        <w:tc>
          <w:tcPr>
            <w:tcW w:w="40" w:type="dxa"/>
            <w:vAlign w:val="bottom"/>
          </w:tcPr>
          <w:p>
            <w:pPr>
              <w:spacing w:after="0"/>
              <w:rPr>
                <w:sz w:val="10"/>
                <w:szCs w:val="10"/>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0"/>
                <w:szCs w:val="10"/>
                <w:color w:val="auto"/>
              </w:rPr>
              <w:t>RSUs vested</w:t>
            </w:r>
          </w:p>
        </w:tc>
        <w:tc>
          <w:tcPr>
            <w:tcW w:w="560" w:type="dxa"/>
            <w:vAlign w:val="bottom"/>
          </w:tcPr>
          <w:p>
            <w:pPr>
              <w:jc w:val="right"/>
              <w:spacing w:after="0"/>
              <w:rPr>
                <w:sz w:val="20"/>
                <w:szCs w:val="20"/>
                <w:color w:val="auto"/>
              </w:rPr>
            </w:pPr>
            <w:r>
              <w:rPr>
                <w:rFonts w:ascii="Arial" w:cs="Arial" w:eastAsia="Arial" w:hAnsi="Arial"/>
                <w:sz w:val="10"/>
                <w:szCs w:val="10"/>
                <w:color w:val="auto"/>
              </w:rPr>
              <w:t>118,751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Repurchase 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ordinary</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shares</w:t>
            </w: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64,133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(677 )</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(677 )</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(677 )</w:t>
            </w: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Issuance 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ordinary</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shares upon</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private investment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in public equity</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(“PIPE”)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offering</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(Note 1(b))</w:t>
            </w:r>
          </w:p>
        </w:tc>
        <w:tc>
          <w:tcPr>
            <w:tcW w:w="560" w:type="dxa"/>
            <w:vAlign w:val="bottom"/>
          </w:tcPr>
          <w:p>
            <w:pPr>
              <w:jc w:val="right"/>
              <w:spacing w:after="0"/>
              <w:rPr>
                <w:sz w:val="20"/>
                <w:szCs w:val="20"/>
                <w:color w:val="auto"/>
              </w:rPr>
            </w:pPr>
            <w:r>
              <w:rPr>
                <w:rFonts w:ascii="Arial" w:cs="Arial" w:eastAsia="Arial" w:hAnsi="Arial"/>
                <w:sz w:val="10"/>
                <w:szCs w:val="10"/>
                <w:color w:val="auto"/>
              </w:rPr>
              <w:t>2,107,400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10"/>
                <w:szCs w:val="10"/>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18,529</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18,531</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18,531</w:t>
            </w:r>
          </w:p>
        </w:tc>
        <w:tc>
          <w:tcPr>
            <w:tcW w:w="40" w:type="dxa"/>
            <w:vAlign w:val="bottom"/>
          </w:tcPr>
          <w:p>
            <w:pPr>
              <w:spacing w:after="0"/>
              <w:rPr>
                <w:sz w:val="10"/>
                <w:szCs w:val="10"/>
                <w:color w:val="auto"/>
              </w:rPr>
            </w:pP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Issuance 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ordinary</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shares pursuant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to convertible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notes conversion</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(Note 18)</w:t>
            </w:r>
          </w:p>
        </w:tc>
        <w:tc>
          <w:tcPr>
            <w:tcW w:w="560" w:type="dxa"/>
            <w:vAlign w:val="bottom"/>
          </w:tcPr>
          <w:p>
            <w:pPr>
              <w:jc w:val="right"/>
              <w:spacing w:after="0"/>
              <w:rPr>
                <w:sz w:val="20"/>
                <w:szCs w:val="20"/>
                <w:color w:val="auto"/>
              </w:rPr>
            </w:pPr>
            <w:r>
              <w:rPr>
                <w:rFonts w:ascii="Arial" w:cs="Arial" w:eastAsia="Arial" w:hAnsi="Arial"/>
                <w:sz w:val="10"/>
                <w:szCs w:val="10"/>
                <w:color w:val="auto"/>
              </w:rPr>
              <w:t>4,514,617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w:t>
            </w:r>
          </w:p>
        </w:tc>
        <w:tc>
          <w:tcPr>
            <w:tcW w:w="220" w:type="dxa"/>
            <w:vAlign w:val="bottom"/>
          </w:tcPr>
          <w:p>
            <w:pPr>
              <w:spacing w:after="0"/>
              <w:rPr>
                <w:sz w:val="10"/>
                <w:szCs w:val="10"/>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36,164</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36,168</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36,168</w:t>
            </w:r>
          </w:p>
        </w:tc>
        <w:tc>
          <w:tcPr>
            <w:tcW w:w="40" w:type="dxa"/>
            <w:vAlign w:val="bottom"/>
          </w:tcPr>
          <w:p>
            <w:pPr>
              <w:spacing w:after="0"/>
              <w:rPr>
                <w:sz w:val="10"/>
                <w:szCs w:val="10"/>
                <w:color w:val="auto"/>
              </w:rPr>
            </w:pP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Issuance of</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ordinary</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2980" w:type="dxa"/>
            <w:vAlign w:val="bottom"/>
          </w:tcPr>
          <w:p>
            <w:pPr>
              <w:ind w:left="100"/>
              <w:spacing w:after="0"/>
              <w:rPr>
                <w:sz w:val="20"/>
                <w:szCs w:val="20"/>
                <w:color w:val="auto"/>
              </w:rPr>
            </w:pPr>
            <w:r>
              <w:rPr>
                <w:rFonts w:ascii="Arial" w:cs="Arial" w:eastAsia="Arial" w:hAnsi="Arial"/>
                <w:sz w:val="10"/>
                <w:szCs w:val="10"/>
                <w:color w:val="auto"/>
              </w:rPr>
              <w:t>shares upon</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color w:val="auto"/>
              </w:rPr>
              <w:t>acquisition of</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2980" w:type="dxa"/>
            <w:vAlign w:val="bottom"/>
          </w:tcPr>
          <w:p>
            <w:pPr>
              <w:ind w:left="80"/>
              <w:spacing w:after="0"/>
              <w:rPr>
                <w:sz w:val="20"/>
                <w:szCs w:val="20"/>
                <w:color w:val="auto"/>
              </w:rPr>
            </w:pPr>
            <w:r>
              <w:rPr>
                <w:rFonts w:ascii="Arial" w:cs="Arial" w:eastAsia="Arial" w:hAnsi="Arial"/>
                <w:sz w:val="10"/>
                <w:szCs w:val="10"/>
                <w:color w:val="auto"/>
              </w:rPr>
              <w:t>Optimal Power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Limited (Note 4(c))</w:t>
            </w:r>
          </w:p>
        </w:tc>
        <w:tc>
          <w:tcPr>
            <w:tcW w:w="560" w:type="dxa"/>
            <w:vAlign w:val="bottom"/>
          </w:tcPr>
          <w:p>
            <w:pPr>
              <w:jc w:val="right"/>
              <w:spacing w:after="0"/>
              <w:rPr>
                <w:sz w:val="20"/>
                <w:szCs w:val="20"/>
                <w:color w:val="auto"/>
              </w:rPr>
            </w:pPr>
            <w:r>
              <w:rPr>
                <w:rFonts w:ascii="Arial" w:cs="Arial" w:eastAsia="Arial" w:hAnsi="Arial"/>
                <w:sz w:val="10"/>
                <w:szCs w:val="10"/>
                <w:color w:val="auto"/>
              </w:rPr>
              <w:t>3,589,744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w:t>
            </w:r>
          </w:p>
        </w:tc>
        <w:tc>
          <w:tcPr>
            <w:tcW w:w="220" w:type="dxa"/>
            <w:vAlign w:val="bottom"/>
          </w:tcPr>
          <w:p>
            <w:pPr>
              <w:spacing w:after="0"/>
              <w:rPr>
                <w:sz w:val="10"/>
                <w:szCs w:val="10"/>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31,945</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31,949</w:t>
            </w:r>
          </w:p>
        </w:tc>
        <w:tc>
          <w:tcPr>
            <w:tcW w:w="2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7,987</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39,936</w:t>
            </w:r>
          </w:p>
        </w:tc>
        <w:tc>
          <w:tcPr>
            <w:tcW w:w="40" w:type="dxa"/>
            <w:vAlign w:val="bottom"/>
          </w:tcPr>
          <w:p>
            <w:pPr>
              <w:spacing w:after="0"/>
              <w:rPr>
                <w:sz w:val="10"/>
                <w:szCs w:val="10"/>
                <w:color w:val="auto"/>
              </w:rPr>
            </w:pP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Net loss for</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4"/>
        </w:trPr>
        <w:tc>
          <w:tcPr>
            <w:tcW w:w="2980" w:type="dxa"/>
            <w:vAlign w:val="bottom"/>
          </w:tcPr>
          <w:p>
            <w:pPr>
              <w:ind w:left="80"/>
              <w:spacing w:after="0"/>
              <w:rPr>
                <w:sz w:val="20"/>
                <w:szCs w:val="20"/>
                <w:color w:val="auto"/>
              </w:rPr>
            </w:pPr>
            <w:r>
              <w:rPr>
                <w:rFonts w:ascii="Arial" w:cs="Arial" w:eastAsia="Arial" w:hAnsi="Arial"/>
                <w:sz w:val="10"/>
                <w:szCs w:val="10"/>
                <w:color w:val="auto"/>
              </w:rPr>
              <w:t>the period</w:t>
            </w: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(7,352 )</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(7,352 )</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(1,097 )</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(8,449 )</w:t>
            </w:r>
          </w:p>
        </w:tc>
      </w:tr>
      <w:tr>
        <w:trPr>
          <w:trHeight w:val="132"/>
        </w:trPr>
        <w:tc>
          <w:tcPr>
            <w:tcW w:w="2980" w:type="dxa"/>
            <w:vAlign w:val="bottom"/>
          </w:tcPr>
          <w:p>
            <w:pPr>
              <w:spacing w:after="0"/>
              <w:rPr>
                <w:sz w:val="20"/>
                <w:szCs w:val="20"/>
                <w:color w:val="auto"/>
              </w:rPr>
            </w:pPr>
            <w:r>
              <w:rPr>
                <w:rFonts w:ascii="Arial" w:cs="Arial" w:eastAsia="Arial" w:hAnsi="Arial"/>
                <w:sz w:val="10"/>
                <w:szCs w:val="10"/>
                <w:color w:val="auto"/>
              </w:rPr>
              <w:t>Foreign currency</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3"/>
        </w:trPr>
        <w:tc>
          <w:tcPr>
            <w:tcW w:w="2980" w:type="dxa"/>
            <w:vAlign w:val="bottom"/>
          </w:tcPr>
          <w:p>
            <w:pPr>
              <w:ind w:left="100"/>
              <w:spacing w:after="0"/>
              <w:rPr>
                <w:sz w:val="20"/>
                <w:szCs w:val="20"/>
                <w:color w:val="auto"/>
              </w:rPr>
            </w:pPr>
            <w:r>
              <w:rPr>
                <w:rFonts w:ascii="Arial" w:cs="Arial" w:eastAsia="Arial" w:hAnsi="Arial"/>
                <w:sz w:val="10"/>
                <w:szCs w:val="10"/>
                <w:color w:val="auto"/>
              </w:rPr>
              <w:t>translation</w:t>
            </w:r>
          </w:p>
        </w:tc>
        <w:tc>
          <w:tcPr>
            <w:tcW w:w="98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630</w:t>
            </w:r>
          </w:p>
        </w:tc>
        <w:tc>
          <w:tcPr>
            <w:tcW w:w="2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630</w:t>
            </w:r>
          </w:p>
        </w:tc>
        <w:tc>
          <w:tcPr>
            <w:tcW w:w="22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(18 )</w:t>
            </w:r>
          </w:p>
        </w:tc>
        <w:tc>
          <w:tcPr>
            <w:tcW w:w="440" w:type="dxa"/>
            <w:vAlign w:val="bottom"/>
          </w:tcPr>
          <w:p>
            <w:pPr>
              <w:jc w:val="right"/>
              <w:spacing w:after="0"/>
              <w:rPr>
                <w:sz w:val="20"/>
                <w:szCs w:val="20"/>
                <w:color w:val="auto"/>
              </w:rPr>
            </w:pPr>
            <w:r>
              <w:rPr>
                <w:rFonts w:ascii="Arial" w:cs="Arial" w:eastAsia="Arial" w:hAnsi="Arial"/>
                <w:sz w:val="10"/>
                <w:szCs w:val="10"/>
                <w:color w:val="auto"/>
              </w:rPr>
              <w:t>612</w:t>
            </w:r>
          </w:p>
        </w:tc>
        <w:tc>
          <w:tcPr>
            <w:tcW w:w="40" w:type="dxa"/>
            <w:vAlign w:val="bottom"/>
          </w:tcPr>
          <w:p>
            <w:pPr>
              <w:spacing w:after="0"/>
              <w:rPr>
                <w:sz w:val="10"/>
                <w:szCs w:val="10"/>
                <w:color w:val="auto"/>
              </w:rPr>
            </w:pPr>
          </w:p>
        </w:tc>
      </w:tr>
      <w:tr>
        <w:trPr>
          <w:trHeight w:val="125"/>
        </w:trPr>
        <w:tc>
          <w:tcPr>
            <w:tcW w:w="2980" w:type="dxa"/>
            <w:vAlign w:val="bottom"/>
          </w:tcPr>
          <w:p>
            <w:pPr>
              <w:spacing w:after="0"/>
              <w:rPr>
                <w:sz w:val="20"/>
                <w:szCs w:val="20"/>
                <w:color w:val="auto"/>
              </w:rPr>
            </w:pPr>
            <w:r>
              <w:rPr>
                <w:rFonts w:ascii="Arial" w:cs="Arial" w:eastAsia="Arial" w:hAnsi="Arial"/>
                <w:sz w:val="10"/>
                <w:szCs w:val="10"/>
                <w:b w:val="1"/>
                <w:bCs w:val="1"/>
                <w:color w:val="auto"/>
              </w:rPr>
              <w:t>Balance as</w:t>
            </w: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80" w:type="dxa"/>
            <w:vAlign w:val="bottom"/>
          </w:tcPr>
          <w:p>
            <w:pPr>
              <w:ind w:left="80"/>
              <w:spacing w:after="0"/>
              <w:rPr>
                <w:sz w:val="20"/>
                <w:szCs w:val="20"/>
                <w:color w:val="auto"/>
              </w:rPr>
            </w:pPr>
            <w:r>
              <w:rPr>
                <w:rFonts w:ascii="Arial" w:cs="Arial" w:eastAsia="Arial" w:hAnsi="Arial"/>
                <w:sz w:val="10"/>
                <w:szCs w:val="10"/>
                <w:b w:val="1"/>
                <w:bCs w:val="1"/>
                <w:color w:val="auto"/>
              </w:rPr>
              <w:t>of June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2980" w:type="dxa"/>
            <w:vAlign w:val="bottom"/>
          </w:tcPr>
          <w:p>
            <w:pPr>
              <w:ind w:left="80"/>
              <w:spacing w:after="0"/>
              <w:rPr>
                <w:sz w:val="20"/>
                <w:szCs w:val="20"/>
                <w:color w:val="auto"/>
              </w:rPr>
            </w:pPr>
            <w:r>
              <w:rPr>
                <w:rFonts w:ascii="Arial" w:cs="Arial" w:eastAsia="Arial" w:hAnsi="Arial"/>
                <w:sz w:val="10"/>
                <w:szCs w:val="10"/>
                <w:b w:val="1"/>
                <w:bCs w:val="1"/>
                <w:color w:val="auto"/>
              </w:rPr>
              <w:t>30, 2020</w:t>
            </w:r>
          </w:p>
        </w:tc>
        <w:tc>
          <w:tcPr>
            <w:tcW w:w="560" w:type="dxa"/>
            <w:vAlign w:val="bottom"/>
          </w:tcPr>
          <w:p>
            <w:pPr>
              <w:jc w:val="right"/>
              <w:spacing w:after="0"/>
              <w:rPr>
                <w:sz w:val="20"/>
                <w:szCs w:val="20"/>
                <w:color w:val="auto"/>
              </w:rPr>
            </w:pPr>
            <w:r>
              <w:rPr>
                <w:rFonts w:ascii="Arial" w:cs="Arial" w:eastAsia="Arial" w:hAnsi="Arial"/>
                <w:sz w:val="10"/>
                <w:szCs w:val="10"/>
                <w:color w:val="auto"/>
              </w:rPr>
              <w:t>39,287,751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39</w:t>
            </w:r>
          </w:p>
        </w:tc>
        <w:tc>
          <w:tcPr>
            <w:tcW w:w="2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1,542,402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(5,429 )</w:t>
            </w:r>
          </w:p>
        </w:tc>
        <w:tc>
          <w:tcPr>
            <w:tcW w:w="560" w:type="dxa"/>
            <w:vAlign w:val="bottom"/>
          </w:tcPr>
          <w:p>
            <w:pPr>
              <w:jc w:val="right"/>
              <w:spacing w:after="0"/>
              <w:rPr>
                <w:sz w:val="20"/>
                <w:szCs w:val="20"/>
                <w:color w:val="auto"/>
              </w:rPr>
            </w:pPr>
            <w:r>
              <w:rPr>
                <w:rFonts w:ascii="Arial" w:cs="Arial" w:eastAsia="Arial" w:hAnsi="Arial"/>
                <w:sz w:val="10"/>
                <w:szCs w:val="10"/>
                <w:color w:val="auto"/>
              </w:rPr>
              <w:t>394,533</w:t>
            </w:r>
          </w:p>
        </w:tc>
        <w:tc>
          <w:tcPr>
            <w:tcW w:w="22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(202,339 )</w:t>
            </w:r>
          </w:p>
        </w:tc>
        <w:tc>
          <w:tcPr>
            <w:tcW w:w="560" w:type="dxa"/>
            <w:vAlign w:val="bottom"/>
          </w:tcPr>
          <w:p>
            <w:pPr>
              <w:jc w:val="right"/>
              <w:spacing w:after="0"/>
              <w:rPr>
                <w:sz w:val="20"/>
                <w:szCs w:val="20"/>
                <w:color w:val="auto"/>
              </w:rPr>
            </w:pPr>
            <w:r>
              <w:rPr>
                <w:rFonts w:ascii="Arial" w:cs="Arial" w:eastAsia="Arial" w:hAnsi="Arial"/>
                <w:sz w:val="10"/>
                <w:szCs w:val="10"/>
                <w:color w:val="auto"/>
              </w:rPr>
              <w:t>81</w:t>
            </w:r>
          </w:p>
        </w:tc>
        <w:tc>
          <w:tcPr>
            <w:tcW w:w="22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0"/>
                <w:szCs w:val="10"/>
                <w:color w:val="auto"/>
              </w:rPr>
              <w:t>(6,849 )</w:t>
            </w:r>
          </w:p>
        </w:tc>
        <w:tc>
          <w:tcPr>
            <w:tcW w:w="560" w:type="dxa"/>
            <w:vAlign w:val="bottom"/>
          </w:tcPr>
          <w:p>
            <w:pPr>
              <w:jc w:val="right"/>
              <w:spacing w:after="0"/>
              <w:rPr>
                <w:sz w:val="20"/>
                <w:szCs w:val="20"/>
                <w:color w:val="auto"/>
              </w:rPr>
            </w:pPr>
            <w:r>
              <w:rPr>
                <w:rFonts w:ascii="Arial" w:cs="Arial" w:eastAsia="Arial" w:hAnsi="Arial"/>
                <w:sz w:val="10"/>
                <w:szCs w:val="10"/>
                <w:color w:val="auto"/>
              </w:rPr>
              <w:t>180,036</w:t>
            </w:r>
          </w:p>
        </w:tc>
        <w:tc>
          <w:tcPr>
            <w:tcW w:w="2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19,327</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199,363</w:t>
            </w:r>
          </w:p>
        </w:tc>
        <w:tc>
          <w:tcPr>
            <w:tcW w:w="40" w:type="dxa"/>
            <w:vAlign w:val="bottom"/>
          </w:tcPr>
          <w:p>
            <w:pPr>
              <w:spacing w:after="0"/>
              <w:rPr>
                <w:sz w:val="10"/>
                <w:szCs w:val="10"/>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3"/>
        </w:trPr>
        <w:tc>
          <w:tcPr>
            <w:tcW w:w="7720" w:type="dxa"/>
            <w:vAlign w:val="bottom"/>
          </w:tcPr>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772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2019 AND 2020</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(US$’000, except share data and per share data, or otherwise noted)</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7720" w:type="dxa"/>
            <w:vAlign w:val="bottom"/>
          </w:tcPr>
          <w:p>
            <w:pPr>
              <w:spacing w:after="0"/>
              <w:rPr>
                <w:sz w:val="24"/>
                <w:szCs w:val="24"/>
                <w:color w:val="auto"/>
              </w:rPr>
            </w:pPr>
          </w:p>
        </w:tc>
        <w:tc>
          <w:tcPr>
            <w:tcW w:w="2720" w:type="dxa"/>
            <w:vAlign w:val="bottom"/>
            <w:gridSpan w:val="3"/>
          </w:tcPr>
          <w:p>
            <w:pPr>
              <w:jc w:val="center"/>
              <w:ind w:left="610"/>
              <w:spacing w:after="0"/>
              <w:rPr>
                <w:sz w:val="20"/>
                <w:szCs w:val="20"/>
                <w:color w:val="auto"/>
              </w:rPr>
            </w:pPr>
            <w:r>
              <w:rPr>
                <w:rFonts w:ascii="Arial" w:cs="Arial" w:eastAsia="Arial" w:hAnsi="Arial"/>
                <w:sz w:val="18"/>
                <w:szCs w:val="18"/>
                <w:color w:val="auto"/>
                <w:w w:val="89"/>
              </w:rPr>
              <w:t>For the six months ended</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7720" w:type="dxa"/>
            <w:vAlign w:val="bottom"/>
          </w:tcPr>
          <w:p>
            <w:pPr>
              <w:spacing w:after="0"/>
              <w:rPr>
                <w:sz w:val="19"/>
                <w:szCs w:val="19"/>
                <w:color w:val="auto"/>
              </w:rPr>
            </w:pPr>
          </w:p>
        </w:tc>
        <w:tc>
          <w:tcPr>
            <w:tcW w:w="2720" w:type="dxa"/>
            <w:vAlign w:val="bottom"/>
            <w:gridSpan w:val="3"/>
          </w:tcPr>
          <w:p>
            <w:pPr>
              <w:jc w:val="center"/>
              <w:ind w:left="590"/>
              <w:spacing w:after="0"/>
              <w:rPr>
                <w:sz w:val="20"/>
                <w:szCs w:val="20"/>
                <w:color w:val="auto"/>
              </w:rPr>
            </w:pPr>
            <w:r>
              <w:rPr>
                <w:rFonts w:ascii="Arial" w:cs="Arial" w:eastAsia="Arial" w:hAnsi="Arial"/>
                <w:sz w:val="18"/>
                <w:szCs w:val="18"/>
                <w:color w:val="auto"/>
                <w:w w:val="86"/>
              </w:rPr>
              <w:t>June 30,</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(13,256)</w:t>
            </w:r>
          </w:p>
        </w:tc>
        <w:tc>
          <w:tcPr>
            <w:tcW w:w="8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3,584</w:t>
            </w:r>
          </w:p>
        </w:tc>
        <w:tc>
          <w:tcPr>
            <w:tcW w:w="60" w:type="dxa"/>
            <w:vAlign w:val="bottom"/>
          </w:tcPr>
          <w:p>
            <w:pPr>
              <w:spacing w:after="0"/>
              <w:rPr>
                <w:sz w:val="20"/>
                <w:szCs w:val="20"/>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Increase in short-term 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17,427</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(4,900)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Increase in time deposit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Acquisition of Optimal Power Limited, net of cash received</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3,001</w:t>
            </w:r>
          </w:p>
        </w:tc>
        <w:tc>
          <w:tcPr>
            <w:tcW w:w="60" w:type="dxa"/>
            <w:vAlign w:val="bottom"/>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Acquisition of Changyi (Shanghai) Information Technology Ltd.,</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net of cash received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(5,971)</w:t>
            </w:r>
          </w:p>
        </w:tc>
        <w:tc>
          <w:tcPr>
            <w:tcW w:w="8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Acquisition of Addoil Broadcasts Limited, net of cash received</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8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Capital injection to a subsidiary</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Investment in an equity investee</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Increase in other long-term investments</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(1,942)</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Increase in prepaid long-term investment costs</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(5,785)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Loan to a third party</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 (used in) investing activities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8,654</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w:t>
            </w:r>
          </w:p>
        </w:tc>
        <w:tc>
          <w:tcPr>
            <w:tcW w:w="60" w:type="dxa"/>
            <w:vAlign w:val="bottom"/>
          </w:tcPr>
          <w:p>
            <w:pPr>
              <w:spacing w:after="0"/>
              <w:rPr>
                <w:sz w:val="19"/>
                <w:szCs w:val="19"/>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Proceeds from exercise of share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19"/>
                <w:szCs w:val="19"/>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Proceeds from issuance of convertible notes, net of transaction</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3,958</w:t>
            </w:r>
          </w:p>
        </w:tc>
        <w:tc>
          <w:tcPr>
            <w:tcW w:w="60" w:type="dxa"/>
            <w:vAlign w:val="bottom"/>
          </w:tcPr>
          <w:p>
            <w:pPr>
              <w:spacing w:after="0"/>
              <w:rPr>
                <w:sz w:val="19"/>
                <w:szCs w:val="19"/>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Redemption of convertible notes</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(15,196)</w:t>
            </w: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Proceeds from bank borrowings</w:t>
            </w:r>
          </w:p>
        </w:tc>
        <w:tc>
          <w:tcPr>
            <w:tcW w:w="1580" w:type="dxa"/>
            <w:vAlign w:val="bottom"/>
          </w:tcPr>
          <w:p>
            <w:pPr>
              <w:jc w:val="right"/>
              <w:spacing w:after="0"/>
              <w:rPr>
                <w:sz w:val="20"/>
                <w:szCs w:val="20"/>
                <w:color w:val="auto"/>
              </w:rPr>
            </w:pPr>
            <w:r>
              <w:rPr>
                <w:rFonts w:ascii="Arial" w:cs="Arial" w:eastAsia="Arial" w:hAnsi="Arial"/>
                <w:sz w:val="18"/>
                <w:szCs w:val="18"/>
                <w:color w:val="auto"/>
              </w:rPr>
              <w:t>16,714</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67,796</w:t>
            </w:r>
          </w:p>
        </w:tc>
        <w:tc>
          <w:tcPr>
            <w:tcW w:w="60" w:type="dxa"/>
            <w:vAlign w:val="bottom"/>
          </w:tcPr>
          <w:p>
            <w:pPr>
              <w:spacing w:after="0"/>
              <w:rPr>
                <w:sz w:val="19"/>
                <w:szCs w:val="19"/>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Repayments of bank borrowings</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(62,775)</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Repurchase of ordinary shares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8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(677)</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Net proceeds from issuance of ordinary shares upon PIPE offering</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18,531</w:t>
            </w:r>
          </w:p>
        </w:tc>
        <w:tc>
          <w:tcPr>
            <w:tcW w:w="60" w:type="dxa"/>
            <w:vAlign w:val="bottom"/>
          </w:tcPr>
          <w:p>
            <w:pPr>
              <w:spacing w:after="0"/>
              <w:rPr>
                <w:sz w:val="20"/>
                <w:szCs w:val="20"/>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12,029</w:t>
            </w:r>
          </w:p>
        </w:tc>
        <w:tc>
          <w:tcPr>
            <w:tcW w:w="60" w:type="dxa"/>
            <w:vAlign w:val="bottom"/>
          </w:tcPr>
          <w:p>
            <w:pPr>
              <w:spacing w:after="0"/>
              <w:rPr>
                <w:sz w:val="19"/>
                <w:szCs w:val="19"/>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580" w:type="dxa"/>
            <w:vAlign w:val="bottom"/>
          </w:tcPr>
          <w:p>
            <w:pPr>
              <w:jc w:val="right"/>
              <w:spacing w:after="0"/>
              <w:rPr>
                <w:sz w:val="20"/>
                <w:szCs w:val="20"/>
                <w:color w:val="auto"/>
              </w:rPr>
            </w:pPr>
            <w:r>
              <w:rPr>
                <w:rFonts w:ascii="Arial" w:cs="Arial" w:eastAsia="Arial" w:hAnsi="Arial"/>
                <w:sz w:val="18"/>
                <w:szCs w:val="18"/>
                <w:color w:val="auto"/>
              </w:rPr>
              <w:t>11,869</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3,275</w:t>
            </w:r>
          </w:p>
        </w:tc>
        <w:tc>
          <w:tcPr>
            <w:tcW w:w="60" w:type="dxa"/>
            <w:vAlign w:val="bottom"/>
          </w:tcPr>
          <w:p>
            <w:pPr>
              <w:spacing w:after="0"/>
              <w:rPr>
                <w:sz w:val="24"/>
                <w:szCs w:val="24"/>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and restricted cash at the beginning of</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39,828</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60,706</w:t>
            </w:r>
          </w:p>
        </w:tc>
        <w:tc>
          <w:tcPr>
            <w:tcW w:w="60" w:type="dxa"/>
            <w:vAlign w:val="bottom"/>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and restricted cash</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8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05"/>
        </w:trPr>
        <w:tc>
          <w:tcPr>
            <w:tcW w:w="7720" w:type="dxa"/>
            <w:vAlign w:val="bottom"/>
          </w:tcPr>
          <w:p>
            <w:pPr>
              <w:spacing w:after="0" w:line="205" w:lineRule="exact"/>
              <w:rPr>
                <w:sz w:val="20"/>
                <w:szCs w:val="20"/>
                <w:color w:val="auto"/>
              </w:rPr>
            </w:pPr>
            <w:r>
              <w:rPr>
                <w:rFonts w:ascii="Arial" w:cs="Arial" w:eastAsia="Arial" w:hAnsi="Arial"/>
                <w:sz w:val="18"/>
                <w:szCs w:val="18"/>
                <w:b w:val="1"/>
                <w:bCs w:val="1"/>
                <w:color w:val="auto"/>
              </w:rPr>
              <w:t>Cash and cash equivalents and restricted cash at the</w:t>
            </w:r>
          </w:p>
        </w:tc>
        <w:tc>
          <w:tcPr>
            <w:tcW w:w="1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end of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51,502</w:t>
            </w: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63,734</w:t>
            </w:r>
          </w:p>
        </w:tc>
        <w:tc>
          <w:tcPr>
            <w:tcW w:w="6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74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For the six months ended</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274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720" w:type="dxa"/>
            <w:vAlign w:val="bottom"/>
          </w:tcPr>
          <w:p>
            <w:pPr>
              <w:spacing w:after="0"/>
              <w:rPr>
                <w:sz w:val="20"/>
                <w:szCs w:val="20"/>
                <w:color w:val="auto"/>
              </w:rPr>
            </w:pPr>
            <w:r>
              <w:rPr>
                <w:rFonts w:ascii="Arial" w:cs="Arial" w:eastAsia="Arial" w:hAnsi="Arial"/>
                <w:sz w:val="18"/>
                <w:szCs w:val="18"/>
                <w:b w:val="1"/>
                <w:bCs w:val="1"/>
                <w:color w:val="auto"/>
              </w:rPr>
              <w:t>Reconciliation of cash and cash equivalents and restricted</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cash within the interim condensed consolidated balance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sheets to the amounts shown in the interim condensed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consolidated statements of cash flows above:</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jc w:val="right"/>
              <w:spacing w:after="0"/>
              <w:rPr>
                <w:sz w:val="20"/>
                <w:szCs w:val="20"/>
                <w:color w:val="auto"/>
              </w:rPr>
            </w:pPr>
            <w:r>
              <w:rPr>
                <w:rFonts w:ascii="Arial" w:cs="Arial" w:eastAsia="Arial" w:hAnsi="Arial"/>
                <w:sz w:val="18"/>
                <w:szCs w:val="18"/>
                <w:color w:val="auto"/>
              </w:rPr>
              <w:t>41,928</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51,502</w:t>
            </w:r>
          </w:p>
        </w:tc>
        <w:tc>
          <w:tcPr>
            <w:tcW w:w="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Arial" w:cs="Arial" w:eastAsia="Arial" w:hAnsi="Arial"/>
                <w:sz w:val="18"/>
                <w:szCs w:val="18"/>
                <w:color w:val="auto"/>
              </w:rPr>
              <w:t>Interests paid</w:t>
            </w:r>
          </w:p>
        </w:tc>
        <w:tc>
          <w:tcPr>
            <w:tcW w:w="156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441"/>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1,993</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274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Issuance of ordinary shares upon conversion of convertible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4,431</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Issuance of ordinary shares upon acquisition of Optimal Power</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Limited</w:t>
            </w:r>
          </w:p>
        </w:tc>
        <w:tc>
          <w:tcPr>
            <w:tcW w:w="274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3" w:name="page24"/>
    <w:bookmarkEnd w:id="23"/>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0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85" w:lineRule="exact"/>
        <w:rPr>
          <w:sz w:val="20"/>
          <w:szCs w:val="20"/>
          <w:color w:val="auto"/>
        </w:rPr>
      </w:pPr>
    </w:p>
    <w:p>
      <w:pPr>
        <w:ind w:left="852" w:hanging="852"/>
        <w:spacing w:after="0"/>
        <w:tabs>
          <w:tab w:leader="none" w:pos="8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88" w:lineRule="exact"/>
        <w:rPr>
          <w:rFonts w:ascii="Arial" w:cs="Arial" w:eastAsia="Arial" w:hAnsi="Arial"/>
          <w:sz w:val="18"/>
          <w:szCs w:val="18"/>
          <w:b w:val="1"/>
          <w:bCs w:val="1"/>
          <w:color w:val="auto"/>
        </w:rPr>
      </w:pPr>
    </w:p>
    <w:p>
      <w:pPr>
        <w:jc w:val="both"/>
        <w:ind w:left="8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(“Marketing Solutions”). Starting from January 1, 2019, the Group is also engaged in the provision of software licenses and retail and customer relationship management solutions (“Enterprise Solutions”). The Group’s principal operations and geographic market are in Greater China and have offices in Hong Kong and the People’s Republic of China (the “PRC”). There are also sales teams in Singapore, Taiwan and the United Kingdom.</w:t>
      </w:r>
    </w:p>
    <w:p>
      <w:pPr>
        <w:spacing w:after="0" w:line="165" w:lineRule="exact"/>
        <w:rPr>
          <w:rFonts w:ascii="Arial" w:cs="Arial" w:eastAsia="Arial" w:hAnsi="Arial"/>
          <w:sz w:val="18"/>
          <w:szCs w:val="18"/>
          <w:b w:val="1"/>
          <w:bCs w:val="1"/>
          <w:color w:val="auto"/>
        </w:rPr>
      </w:pPr>
    </w:p>
    <w:p>
      <w:pPr>
        <w:ind w:left="8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for the subsidiaries which have been acquired during the six months ended June 30, 2020 as explained in Note 4(c), there is no change in the Company's principal subsidiaries, consolidated VIEs and VIE's subsidiaries during the period.</w:t>
      </w:r>
    </w:p>
    <w:p>
      <w:pPr>
        <w:spacing w:after="0" w:line="125" w:lineRule="exact"/>
        <w:rPr>
          <w:rFonts w:ascii="Arial" w:cs="Arial" w:eastAsia="Arial" w:hAnsi="Arial"/>
          <w:sz w:val="18"/>
          <w:szCs w:val="18"/>
          <w:b w:val="1"/>
          <w:bCs w:val="1"/>
          <w:color w:val="auto"/>
        </w:rPr>
      </w:pPr>
    </w:p>
    <w:p>
      <w:pPr>
        <w:ind w:left="852" w:hanging="852"/>
        <w:spacing w:after="0"/>
        <w:tabs>
          <w:tab w:leader="none" w:pos="8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PIPE offering</w:t>
      </w:r>
    </w:p>
    <w:p>
      <w:pPr>
        <w:spacing w:after="0" w:line="189" w:lineRule="exact"/>
        <w:rPr>
          <w:sz w:val="20"/>
          <w:szCs w:val="20"/>
          <w:color w:val="auto"/>
        </w:rPr>
      </w:pPr>
    </w:p>
    <w:p>
      <w:pPr>
        <w:ind w:left="852" w:right="20"/>
        <w:spacing w:after="0" w:line="277" w:lineRule="auto"/>
        <w:rPr>
          <w:sz w:val="20"/>
          <w:szCs w:val="20"/>
          <w:color w:val="auto"/>
        </w:rPr>
      </w:pPr>
      <w:r>
        <w:rPr>
          <w:rFonts w:ascii="Arial" w:cs="Arial" w:eastAsia="Arial" w:hAnsi="Arial"/>
          <w:sz w:val="18"/>
          <w:szCs w:val="18"/>
          <w:color w:val="auto"/>
        </w:rPr>
        <w:t>The Company completed a PIPE offering on June 22, 2020 with an issuance of a total of 2,107,400 Class A ordinary shares. The net proceeds received by the Company, after deducting offering expenses, amounted to US$18,531.</w:t>
      </w:r>
    </w:p>
    <w:p>
      <w:pPr>
        <w:spacing w:after="0" w:line="126" w:lineRule="exact"/>
        <w:rPr>
          <w:sz w:val="20"/>
          <w:szCs w:val="20"/>
          <w:color w:val="auto"/>
        </w:rPr>
      </w:pPr>
    </w:p>
    <w:p>
      <w:pPr>
        <w:ind w:left="852" w:hanging="852"/>
        <w:spacing w:after="0"/>
        <w:tabs>
          <w:tab w:leader="none" w:pos="8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85" w:lineRule="exact"/>
        <w:rPr>
          <w:sz w:val="20"/>
          <w:szCs w:val="20"/>
          <w:color w:val="auto"/>
        </w:rPr>
      </w:pPr>
    </w:p>
    <w:p>
      <w:pPr>
        <w:ind w:left="852" w:hanging="852"/>
        <w:spacing w:after="0"/>
        <w:tabs>
          <w:tab w:leader="none" w:pos="8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8" w:lineRule="exact"/>
        <w:rPr>
          <w:rFonts w:ascii="Arial" w:cs="Arial" w:eastAsia="Arial" w:hAnsi="Arial"/>
          <w:sz w:val="18"/>
          <w:szCs w:val="18"/>
          <w:b w:val="1"/>
          <w:bCs w:val="1"/>
          <w:color w:val="auto"/>
        </w:rPr>
      </w:pPr>
    </w:p>
    <w:p>
      <w:pPr>
        <w:jc w:val="both"/>
        <w:ind w:left="8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condensed consolidated financial statements have been prepared on the same basis as the audited financial statements and include all adjustments as necessary for the fair statement of the Group’s financial position as of June 30, 2020, results of operations and cash flows for the six months ended June 30, 2019 and 2020.</w:t>
      </w:r>
    </w:p>
    <w:p>
      <w:pPr>
        <w:spacing w:after="0" w:line="150" w:lineRule="exact"/>
        <w:rPr>
          <w:rFonts w:ascii="Arial" w:cs="Arial" w:eastAsia="Arial" w:hAnsi="Arial"/>
          <w:sz w:val="18"/>
          <w:szCs w:val="18"/>
          <w:b w:val="1"/>
          <w:bCs w:val="1"/>
          <w:color w:val="auto"/>
        </w:rPr>
      </w:pPr>
    </w:p>
    <w:p>
      <w:pPr>
        <w:jc w:val="both"/>
        <w:ind w:left="8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condensed consolidated balance sheet at December 31, 2019 was derived from audited annual financial statements at that date but does not contain all of the footnote disclosures required by U.S. GAAP. Therefore, these unaudited interim condensed consolidated financial statements should be read in conjunction with the consolidated financial statements and notes included in the Annual Report on Form 20-F for the fiscal year ended December 31, 2019, filed with the Securities and Exchange Commission on April 30, 2020.</w:t>
      </w:r>
    </w:p>
    <w:p>
      <w:pPr>
        <w:spacing w:after="0" w:line="130" w:lineRule="exact"/>
        <w:rPr>
          <w:rFonts w:ascii="Arial" w:cs="Arial" w:eastAsia="Arial" w:hAnsi="Arial"/>
          <w:sz w:val="18"/>
          <w:szCs w:val="18"/>
          <w:b w:val="1"/>
          <w:bCs w:val="1"/>
          <w:color w:val="auto"/>
        </w:rPr>
      </w:pPr>
    </w:p>
    <w:p>
      <w:pPr>
        <w:jc w:val="both"/>
        <w:ind w:left="8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accounting policies applied, other than the adoption of ASC 326 as disclosed in Note 2(f), are consistent with those disclosed in its audited consolidated financial statements and notes thereto for the year ended December 31, 2019 included in its Annual Report on Form 20-F for the fiscal year ended December 31, 2019, filed with the Securities and Exchange Commission on April 30, 2020. Results for the six months ended June 30, 2020 are not necessarily indicative of the results expected for the full fiscal year or for any future period.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3" w:lineRule="exact"/>
        <w:rPr>
          <w:rFonts w:ascii="Arial" w:cs="Arial" w:eastAsia="Arial" w:hAnsi="Arial"/>
          <w:sz w:val="18"/>
          <w:szCs w:val="18"/>
          <w:b w:val="1"/>
          <w:bCs w:val="1"/>
          <w:color w:val="auto"/>
        </w:rPr>
      </w:pPr>
    </w:p>
    <w:p>
      <w:pPr>
        <w:ind w:left="5572" w:hanging="106"/>
        <w:spacing w:after="0"/>
        <w:tabs>
          <w:tab w:leader="none" w:pos="55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51" w:right="339" w:bottom="1440" w:gutter="0" w:footer="0" w:header="0"/>
        </w:sectPr>
      </w:pPr>
    </w:p>
    <w:bookmarkStart w:id="24" w:name="page25"/>
    <w:bookmarkEnd w:id="24"/>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ind w:left="852" w:hanging="852"/>
        <w:spacing w:after="0"/>
        <w:tabs>
          <w:tab w:leader="none" w:pos="8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88" w:lineRule="exact"/>
        <w:rPr>
          <w:rFonts w:ascii="Arial" w:cs="Arial" w:eastAsia="Arial" w:hAnsi="Arial"/>
          <w:sz w:val="18"/>
          <w:szCs w:val="18"/>
          <w:b w:val="1"/>
          <w:bCs w:val="1"/>
          <w:color w:val="auto"/>
        </w:rPr>
      </w:pPr>
    </w:p>
    <w:p>
      <w:pPr>
        <w:jc w:val="both"/>
        <w:ind w:left="8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Company’s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159" w:lineRule="exact"/>
        <w:rPr>
          <w:rFonts w:ascii="Arial" w:cs="Arial" w:eastAsia="Arial" w:hAnsi="Arial"/>
          <w:sz w:val="18"/>
          <w:szCs w:val="18"/>
          <w:b w:val="1"/>
          <w:bCs w:val="1"/>
          <w:color w:val="auto"/>
        </w:rPr>
      </w:pPr>
    </w:p>
    <w:p>
      <w:pPr>
        <w:jc w:val="both"/>
        <w:ind w:left="852"/>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believes that revenue recognition, rebates, consolidation of VIE, determination of share-based compensation, measurement of convertible notes and derivative liability, and impairment assessment of long-lived assets and intangible assets that reflect more significant judgments and estimates used in the preparation of its unaudited interim condensed consolidated financial statements.</w:t>
      </w:r>
    </w:p>
    <w:p>
      <w:pPr>
        <w:spacing w:after="0" w:line="108" w:lineRule="exact"/>
        <w:rPr>
          <w:rFonts w:ascii="Arial" w:cs="Arial" w:eastAsia="Arial" w:hAnsi="Arial"/>
          <w:sz w:val="18"/>
          <w:szCs w:val="18"/>
          <w:b w:val="1"/>
          <w:bCs w:val="1"/>
          <w:color w:val="auto"/>
        </w:rPr>
      </w:pPr>
    </w:p>
    <w:p>
      <w:pPr>
        <w:jc w:val="both"/>
        <w:ind w:left="8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120" w:lineRule="exact"/>
        <w:rPr>
          <w:rFonts w:ascii="Arial" w:cs="Arial" w:eastAsia="Arial" w:hAnsi="Arial"/>
          <w:sz w:val="18"/>
          <w:szCs w:val="18"/>
          <w:b w:val="1"/>
          <w:bCs w:val="1"/>
          <w:color w:val="auto"/>
        </w:rPr>
      </w:pPr>
    </w:p>
    <w:p>
      <w:pPr>
        <w:ind w:left="852" w:hanging="852"/>
        <w:spacing w:after="0"/>
        <w:tabs>
          <w:tab w:leader="none" w:pos="8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88" w:lineRule="exact"/>
        <w:rPr>
          <w:rFonts w:ascii="Arial" w:cs="Arial" w:eastAsia="Arial" w:hAnsi="Arial"/>
          <w:sz w:val="18"/>
          <w:szCs w:val="18"/>
          <w:b w:val="1"/>
          <w:bCs w:val="1"/>
          <w:color w:val="auto"/>
        </w:rPr>
      </w:pPr>
    </w:p>
    <w:p>
      <w:pPr>
        <w:jc w:val="both"/>
        <w:ind w:left="8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short-term investments as of June 30, 2020 consist of certain fund investments which are required to be measured at fair value under ASC 321 “Investments—Equity Securities” (“ASC 321”). The Group has adopted the practical expedient in ASC 820 “Fair Value Measurements and Disclosures” (“ASC 820”) to estimate fair value using the net asset value per share (or its equivalent) of these investments which were without readily determinable fair value.</w:t>
      </w:r>
    </w:p>
    <w:p>
      <w:pPr>
        <w:spacing w:after="0" w:line="155" w:lineRule="exact"/>
        <w:rPr>
          <w:rFonts w:ascii="Arial" w:cs="Arial" w:eastAsia="Arial" w:hAnsi="Arial"/>
          <w:sz w:val="18"/>
          <w:szCs w:val="18"/>
          <w:b w:val="1"/>
          <w:bCs w:val="1"/>
          <w:color w:val="auto"/>
        </w:rPr>
      </w:pPr>
    </w:p>
    <w:p>
      <w:pPr>
        <w:ind w:left="852" w:hanging="852"/>
        <w:spacing w:after="0"/>
        <w:tabs>
          <w:tab w:leader="none" w:pos="8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88" w:lineRule="exact"/>
        <w:rPr>
          <w:rFonts w:ascii="Arial" w:cs="Arial" w:eastAsia="Arial" w:hAnsi="Arial"/>
          <w:sz w:val="18"/>
          <w:szCs w:val="18"/>
          <w:b w:val="1"/>
          <w:bCs w:val="1"/>
          <w:color w:val="auto"/>
        </w:rPr>
      </w:pPr>
    </w:p>
    <w:p>
      <w:pPr>
        <w:jc w:val="both"/>
        <w:ind w:left="8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142" w:lineRule="exact"/>
        <w:rPr>
          <w:rFonts w:ascii="Arial" w:cs="Arial" w:eastAsia="Arial" w:hAnsi="Arial"/>
          <w:sz w:val="18"/>
          <w:szCs w:val="18"/>
          <w:b w:val="1"/>
          <w:bCs w:val="1"/>
          <w:color w:val="auto"/>
        </w:rPr>
      </w:pPr>
    </w:p>
    <w:p>
      <w:pPr>
        <w:ind w:left="852" w:hanging="852"/>
        <w:spacing w:after="0"/>
        <w:tabs>
          <w:tab w:leader="none" w:pos="8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229" w:lineRule="exact"/>
        <w:rPr>
          <w:rFonts w:ascii="Arial" w:cs="Arial" w:eastAsia="Arial" w:hAnsi="Arial"/>
          <w:sz w:val="18"/>
          <w:szCs w:val="18"/>
          <w:b w:val="1"/>
          <w:bCs w:val="1"/>
          <w:color w:val="auto"/>
        </w:rPr>
      </w:pPr>
    </w:p>
    <w:p>
      <w:pPr>
        <w:jc w:val="both"/>
        <w:ind w:left="852"/>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Company adopted ASU No. 2017-04, Intangibles — Goodwill and Other (Topic 350): Simplifying the Test for Goodwill Impairment on January 1, 2020, and in accordance with the FASB, a company first has the option to assess qualitative factors to determine whether it is more likely than not that the fair value of a reporting unit is less than its carrying amount. In the qualitative assessment, the Company considers primary factors such as industry and market considerations, overall financial performance of the reporting unit, and other specific information related to the operations. If the Company decides, as a result of its qualitative assessment, that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will be recorded. 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 The Group performs goodwill impairment testing at the reporting unit level on December 31 annually. No impairment of goodwill was recognized for the six months ended June 30, 2019 and 2020.</w:t>
      </w:r>
    </w:p>
    <w:p>
      <w:pPr>
        <w:spacing w:after="0" w:line="184" w:lineRule="exact"/>
        <w:rPr>
          <w:rFonts w:ascii="Arial" w:cs="Arial" w:eastAsia="Arial" w:hAnsi="Arial"/>
          <w:sz w:val="18"/>
          <w:szCs w:val="18"/>
          <w:b w:val="1"/>
          <w:bCs w:val="1"/>
          <w:color w:val="auto"/>
        </w:rPr>
      </w:pPr>
    </w:p>
    <w:p>
      <w:pPr>
        <w:ind w:left="5532" w:hanging="111"/>
        <w:spacing w:after="0"/>
        <w:tabs>
          <w:tab w:leader="none" w:pos="5532"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5" w:name="page26"/>
    <w:bookmarkEnd w:id="25"/>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ind w:left="852" w:hanging="852"/>
        <w:spacing w:after="0"/>
        <w:tabs>
          <w:tab w:leader="none" w:pos="8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Current expected credit losses upon adoption of ASC 326</w:t>
      </w:r>
    </w:p>
    <w:p>
      <w:pPr>
        <w:spacing w:after="0" w:line="188" w:lineRule="exact"/>
        <w:rPr>
          <w:rFonts w:ascii="Arial" w:cs="Arial" w:eastAsia="Arial" w:hAnsi="Arial"/>
          <w:sz w:val="18"/>
          <w:szCs w:val="18"/>
          <w:b w:val="1"/>
          <w:bCs w:val="1"/>
          <w:color w:val="auto"/>
        </w:rPr>
      </w:pPr>
    </w:p>
    <w:p>
      <w:pPr>
        <w:jc w:val="both"/>
        <w:ind w:left="8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2016, the FASB issued ASU No. 2016-13, “Financial Instruments—Credit Losses (Topic 326): Measurement of Credit Losses on Financial Instruments” (“ASC 326”), which amends previously issued guidance regarding the impairment of financial instruments by creating an impairment model that is based on expected losses rather than incurred losses. The Group adopted this ASC 326 and several associated ASUs on January 1, 2020 using a modified retrospective approach, resulting in a net adjustment of US$3,971 to the opening balance of accumulated losses with a corresponding credit loss provision over accounts receivable being recognized in the consolidated balance sheet as of January 1, 2020.</w:t>
      </w:r>
    </w:p>
    <w:p>
      <w:pPr>
        <w:spacing w:after="0" w:line="165" w:lineRule="exact"/>
        <w:rPr>
          <w:rFonts w:ascii="Arial" w:cs="Arial" w:eastAsia="Arial" w:hAnsi="Arial"/>
          <w:sz w:val="18"/>
          <w:szCs w:val="18"/>
          <w:b w:val="1"/>
          <w:bCs w:val="1"/>
          <w:color w:val="auto"/>
        </w:rPr>
      </w:pPr>
    </w:p>
    <w:p>
      <w:pPr>
        <w:jc w:val="both"/>
        <w:ind w:left="85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Group’s accounts receivable, amount due from an equity investee, rebates receivable and other current assets are within the scope of ASC Topic 326. The Group has identified the relevant risk characteristics of its customers and the related receivables and other current assets which include size, type of the services the Group provides, or a combination of these characteristics. Receivables with similar risk characteristics have been grouped into pools for collective evaluation. Receivables that do not share risk characteristics are evaluated on an individual basis. Receivables evaluated individually are not included in the collective evaluation. For each pool for collective evaluation,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spacing w:after="0" w:line="144" w:lineRule="exact"/>
        <w:rPr>
          <w:rFonts w:ascii="Arial" w:cs="Arial" w:eastAsia="Arial" w:hAnsi="Arial"/>
          <w:sz w:val="18"/>
          <w:szCs w:val="18"/>
          <w:b w:val="1"/>
          <w:bCs w:val="1"/>
          <w:color w:val="auto"/>
        </w:rPr>
      </w:pPr>
    </w:p>
    <w:p>
      <w:pPr>
        <w:jc w:val="both"/>
        <w:ind w:left="8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adoption of ASC 326 does not have material impact on amount due from an equity investee, rebates receivable and other current assets. The following table summarizes the activity in the allowance for credit losses related to accounts receivable for the six months ended June 30, 2020:</w:t>
      </w:r>
    </w:p>
    <w:p>
      <w:pPr>
        <w:sectPr>
          <w:pgSz w:w="11900" w:h="16838" w:orient="portrait"/>
          <w:cols w:equalWidth="0" w:num="1">
            <w:col w:w="11232"/>
          </w:cols>
          <w:pgMar w:left="328" w:top="121" w:right="339" w:bottom="1440" w:gutter="0" w:footer="0" w:header="0"/>
        </w:sectPr>
      </w:pPr>
    </w:p>
    <w:p>
      <w:pPr>
        <w:spacing w:after="0" w:line="19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Balance as of December 31, 2019</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Adoption of ASC Topic 326</w:t>
      </w:r>
    </w:p>
    <w:p>
      <w:pPr>
        <w:spacing w:after="0" w:line="3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Balance as of January 1, 2020</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Current period provision</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Recoveries</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Accounts receivable written off</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Exchange differences</w:t>
      </w:r>
    </w:p>
    <w:p>
      <w:pPr>
        <w:spacing w:after="0" w:line="3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Balance as of June 30, 2020</w:t>
      </w:r>
    </w:p>
    <w:p>
      <w:pPr>
        <w:spacing w:after="0" w:line="266" w:lineRule="exact"/>
        <w:rPr>
          <w:sz w:val="20"/>
          <w:szCs w:val="20"/>
          <w:color w:val="auto"/>
        </w:rPr>
      </w:pPr>
    </w:p>
    <w:p>
      <w:pPr>
        <w:ind w:left="852"/>
        <w:spacing w:after="0"/>
        <w:rPr>
          <w:sz w:val="20"/>
          <w:szCs w:val="20"/>
          <w:color w:val="auto"/>
        </w:rPr>
      </w:pPr>
      <w:r>
        <w:rPr>
          <w:rFonts w:ascii="Arial" w:cs="Arial" w:eastAsia="Arial" w:hAnsi="Arial"/>
          <w:sz w:val="16"/>
          <w:szCs w:val="16"/>
          <w:color w:val="auto"/>
        </w:rPr>
        <w:t>There was no movement in the allowance for doubtful accounts during the six months ended June 30, 2019.</w:t>
      </w:r>
    </w:p>
    <w:p>
      <w:pPr>
        <w:spacing w:after="0" w:line="248" w:lineRule="exact"/>
        <w:rPr>
          <w:sz w:val="20"/>
          <w:szCs w:val="20"/>
          <w:color w:val="auto"/>
        </w:rPr>
      </w:pPr>
    </w:p>
    <w:p>
      <w:pPr>
        <w:jc w:val="center"/>
        <w:ind w:left="123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3,469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14605</wp:posOffset>
            </wp:positionV>
            <wp:extent cx="1097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7,440</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652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(570)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14605</wp:posOffset>
            </wp:positionV>
            <wp:extent cx="1097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14605</wp:posOffset>
            </wp:positionV>
            <wp:extent cx="10972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31750</wp:posOffset>
            </wp:positionV>
            <wp:extent cx="1097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2">
            <w:col w:w="9992" w:space="720"/>
            <w:col w:w="520"/>
          </w:cols>
          <w:pgMar w:left="328" w:top="121" w:right="339" w:bottom="1440" w:gutter="0" w:footer="0" w:header="0"/>
          <w:type w:val="continuous"/>
        </w:sectPr>
      </w:pPr>
    </w:p>
    <w:bookmarkStart w:id="26" w:name="page27"/>
    <w:bookmarkEnd w:id="26"/>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85" w:lineRule="exact"/>
        <w:rPr>
          <w:sz w:val="20"/>
          <w:szCs w:val="20"/>
          <w:color w:val="auto"/>
        </w:rPr>
      </w:pPr>
    </w:p>
    <w:p>
      <w:pPr>
        <w:ind w:left="852" w:hanging="852"/>
        <w:spacing w:after="0"/>
        <w:tabs>
          <w:tab w:leader="none" w:pos="8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88" w:lineRule="exact"/>
        <w:rPr>
          <w:rFonts w:ascii="Arial" w:cs="Arial" w:eastAsia="Arial" w:hAnsi="Arial"/>
          <w:sz w:val="18"/>
          <w:szCs w:val="18"/>
          <w:b w:val="1"/>
          <w:bCs w:val="1"/>
          <w:color w:val="auto"/>
        </w:rPr>
      </w:pPr>
    </w:p>
    <w:p>
      <w:pPr>
        <w:jc w:val="both"/>
        <w:ind w:left="8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Group did not early adopt and is currently evaluating the impact of adopting this ASU on its consolidated financial statements.</w:t>
      </w:r>
    </w:p>
    <w:p>
      <w:pPr>
        <w:spacing w:after="0" w:line="165" w:lineRule="exact"/>
        <w:rPr>
          <w:rFonts w:ascii="Arial" w:cs="Arial" w:eastAsia="Arial" w:hAnsi="Arial"/>
          <w:sz w:val="18"/>
          <w:szCs w:val="18"/>
          <w:b w:val="1"/>
          <w:bCs w:val="1"/>
          <w:color w:val="auto"/>
        </w:rPr>
      </w:pPr>
    </w:p>
    <w:p>
      <w:pPr>
        <w:jc w:val="both"/>
        <w:ind w:left="8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January 2020, the FASB issued ASU No. 2020-01, “Investments—Equity Securities (Topic 321), Investments—Equity Method and Joint Ventures (Topic 323), and Derivatives and Hedging (Topic 815)”, that clarifies the interactions between Topic 321, Topic 323, and Topic 815. The amendments in this ASU affect the application of the measurement alternative for certain equity securities and the equity method of accounting, and guidance for certain forward contracts and purchased options to purchase securities, that, upon settlement or exercise, would be accounted for under the equity method of accounting. The ASU is effective for public entities in fiscal years beginning after December 15, 2021, including interim periods within those fiscal years. Early adoption is permitted. The Group did not early adopt and is currently evaluating the impact of adopting this ASU on its consolidated financial statements.</w:t>
      </w:r>
    </w:p>
    <w:p>
      <w:pPr>
        <w:spacing w:after="0" w:line="136" w:lineRule="exact"/>
        <w:rPr>
          <w:rFonts w:ascii="Arial" w:cs="Arial" w:eastAsia="Arial" w:hAnsi="Arial"/>
          <w:sz w:val="18"/>
          <w:szCs w:val="18"/>
          <w:b w:val="1"/>
          <w:bCs w:val="1"/>
          <w:color w:val="auto"/>
        </w:rPr>
      </w:pPr>
    </w:p>
    <w:p>
      <w:pPr>
        <w:jc w:val="both"/>
        <w:ind w:left="8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amendments in this update are effective for all entities as of March 12, 2020 through December 31, 2022. The amendments in this update provide optional expedients and exceptions for applying generally accepted accounting principles (“GAAP”) to contracts, hedging relationships, and other transactions affected by reference rate reform if certain criteria are met. The ASU is currently not expected to have a material impact on the consolidated financial statements.</w:t>
      </w:r>
    </w:p>
    <w:p>
      <w:pPr>
        <w:spacing w:after="0" w:line="187" w:lineRule="exact"/>
        <w:rPr>
          <w:rFonts w:ascii="Arial" w:cs="Arial" w:eastAsia="Arial" w:hAnsi="Arial"/>
          <w:sz w:val="18"/>
          <w:szCs w:val="18"/>
          <w:b w:val="1"/>
          <w:bCs w:val="1"/>
          <w:color w:val="auto"/>
        </w:rPr>
      </w:pPr>
    </w:p>
    <w:p>
      <w:pPr>
        <w:ind w:left="5532" w:hanging="111"/>
        <w:spacing w:after="0"/>
        <w:tabs>
          <w:tab w:leader="none" w:pos="5532" w:val="left"/>
        </w:tabs>
        <w:numPr>
          <w:ilvl w:val="1"/>
          <w:numId w:val="1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7" w:name="page28"/>
    <w:bookmarkEnd w:id="27"/>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85" w:lineRule="exact"/>
        <w:rPr>
          <w:sz w:val="20"/>
          <w:szCs w:val="20"/>
          <w:color w:val="auto"/>
        </w:rPr>
      </w:pPr>
    </w:p>
    <w:p>
      <w:pPr>
        <w:ind w:left="852" w:hanging="852"/>
        <w:spacing w:after="0"/>
        <w:tabs>
          <w:tab w:leader="none" w:pos="8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88" w:lineRule="exact"/>
        <w:rPr>
          <w:rFonts w:ascii="Arial" w:cs="Arial" w:eastAsia="Arial" w:hAnsi="Arial"/>
          <w:sz w:val="18"/>
          <w:szCs w:val="18"/>
          <w:b w:val="1"/>
          <w:bCs w:val="1"/>
          <w:color w:val="auto"/>
        </w:rPr>
      </w:pPr>
    </w:p>
    <w:p>
      <w:pPr>
        <w:jc w:val="both"/>
        <w:ind w:left="852"/>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Group operates poses certain macro-economic and regulatory risks and uncertainties. These uncertainties extend to the ability of the Group to engage in online marketing businesses through contractual arrangements in the PRC since the internet and marketing services industries remain regulated. The Group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Group,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Group’s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Group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Group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159" w:lineRule="exact"/>
        <w:rPr>
          <w:rFonts w:ascii="Arial" w:cs="Arial" w:eastAsia="Arial" w:hAnsi="Arial"/>
          <w:sz w:val="18"/>
          <w:szCs w:val="18"/>
          <w:b w:val="1"/>
          <w:bCs w:val="1"/>
          <w:color w:val="auto"/>
        </w:rPr>
      </w:pPr>
    </w:p>
    <w:p>
      <w:pPr>
        <w:ind w:left="1272" w:hanging="422"/>
        <w:spacing w:after="0"/>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84" w:lineRule="exact"/>
        <w:rPr>
          <w:rFonts w:ascii="Arial" w:cs="Arial" w:eastAsia="Arial" w:hAnsi="Arial"/>
          <w:sz w:val="18"/>
          <w:szCs w:val="18"/>
          <w:color w:val="auto"/>
        </w:rPr>
      </w:pPr>
    </w:p>
    <w:p>
      <w:pPr>
        <w:jc w:val="both"/>
        <w:ind w:left="1272" w:hanging="422"/>
        <w:spacing w:after="0" w:line="263" w:lineRule="auto"/>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VIE Beijing OptAim Network Technology Co., Ltd. and its subsidiaries Zhiyunzhong (Shanghai) Technology Co., Ltd., Shanghai Myhayo Technology Co., Ltd. and Anhui Myhayo Technology Co., Ltd. (together, “OptAim VIE”) ;</w:t>
      </w:r>
    </w:p>
    <w:p>
      <w:pPr>
        <w:spacing w:after="0" w:line="143" w:lineRule="exact"/>
        <w:rPr>
          <w:rFonts w:ascii="Arial" w:cs="Arial" w:eastAsia="Arial" w:hAnsi="Arial"/>
          <w:sz w:val="18"/>
          <w:szCs w:val="18"/>
          <w:color w:val="auto"/>
        </w:rPr>
      </w:pPr>
    </w:p>
    <w:p>
      <w:pPr>
        <w:ind w:left="1272" w:hanging="422"/>
        <w:spacing w:after="0" w:line="308" w:lineRule="auto"/>
        <w:tabs>
          <w:tab w:leader="none" w:pos="1272" w:val="left"/>
        </w:tabs>
        <w:numPr>
          <w:ilvl w:val="1"/>
          <w:numId w:val="19"/>
        </w:numPr>
        <w:rPr>
          <w:rFonts w:ascii="Arial" w:cs="Arial" w:eastAsia="Arial" w:hAnsi="Arial"/>
          <w:sz w:val="17"/>
          <w:szCs w:val="17"/>
          <w:color w:val="auto"/>
        </w:rPr>
      </w:pPr>
      <w:r>
        <w:rPr>
          <w:rFonts w:ascii="Arial" w:cs="Arial" w:eastAsia="Arial" w:hAnsi="Arial"/>
          <w:sz w:val="17"/>
          <w:szCs w:val="17"/>
          <w:color w:val="auto"/>
        </w:rPr>
        <w:t>imposing fines, confiscating the income of the OptAim VIE or the Company’s PRC subsidiaries, or imposing other requirements with which the Company, its PRC subsidiaries, consolidated VIE and its subsidiaries may not be able to comply;</w:t>
      </w:r>
    </w:p>
    <w:p>
      <w:pPr>
        <w:spacing w:after="0" w:line="105" w:lineRule="exact"/>
        <w:rPr>
          <w:rFonts w:ascii="Arial" w:cs="Arial" w:eastAsia="Arial" w:hAnsi="Arial"/>
          <w:sz w:val="17"/>
          <w:szCs w:val="17"/>
          <w:color w:val="auto"/>
        </w:rPr>
      </w:pPr>
    </w:p>
    <w:p>
      <w:pPr>
        <w:jc w:val="both"/>
        <w:ind w:left="1272" w:hanging="422"/>
        <w:spacing w:after="0" w:line="263" w:lineRule="auto"/>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43" w:lineRule="exact"/>
        <w:rPr>
          <w:rFonts w:ascii="Arial" w:cs="Arial" w:eastAsia="Arial" w:hAnsi="Arial"/>
          <w:sz w:val="18"/>
          <w:szCs w:val="18"/>
          <w:color w:val="auto"/>
        </w:rPr>
      </w:pPr>
    </w:p>
    <w:p>
      <w:pPr>
        <w:ind w:left="1272" w:hanging="422"/>
        <w:spacing w:after="0"/>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the PRC.</w:t>
      </w:r>
    </w:p>
    <w:p>
      <w:pPr>
        <w:spacing w:after="0" w:line="211" w:lineRule="exact"/>
        <w:rPr>
          <w:rFonts w:ascii="Arial" w:cs="Arial" w:eastAsia="Arial" w:hAnsi="Arial"/>
          <w:sz w:val="18"/>
          <w:szCs w:val="18"/>
          <w:color w:val="auto"/>
        </w:rPr>
      </w:pPr>
    </w:p>
    <w:p>
      <w:pPr>
        <w:ind w:left="5532" w:hanging="111"/>
        <w:spacing w:after="0"/>
        <w:tabs>
          <w:tab w:leader="none" w:pos="5532" w:val="left"/>
        </w:tabs>
        <w:numPr>
          <w:ilvl w:val="2"/>
          <w:numId w:val="19"/>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8" w:name="page29"/>
    <w:bookmarkEnd w:id="28"/>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85" w:lineRule="exact"/>
        <w:rPr>
          <w:sz w:val="20"/>
          <w:szCs w:val="20"/>
          <w:color w:val="auto"/>
        </w:rPr>
      </w:pPr>
    </w:p>
    <w:p>
      <w:pPr>
        <w:ind w:left="852" w:hanging="852"/>
        <w:spacing w:after="0"/>
        <w:tabs>
          <w:tab w:leader="none" w:pos="8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88" w:lineRule="exact"/>
        <w:rPr>
          <w:rFonts w:ascii="Arial" w:cs="Arial" w:eastAsia="Arial" w:hAnsi="Arial"/>
          <w:sz w:val="18"/>
          <w:szCs w:val="18"/>
          <w:b w:val="1"/>
          <w:bCs w:val="1"/>
          <w:color w:val="auto"/>
        </w:rPr>
      </w:pPr>
    </w:p>
    <w:p>
      <w:pPr>
        <w:jc w:val="both"/>
        <w:ind w:left="85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If the imposition of any of these penalties precludes the Group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w:t>
      </w:r>
    </w:p>
    <w:p>
      <w:pPr>
        <w:spacing w:after="0" w:line="158" w:lineRule="exact"/>
        <w:rPr>
          <w:rFonts w:ascii="Arial" w:cs="Arial" w:eastAsia="Arial" w:hAnsi="Arial"/>
          <w:sz w:val="18"/>
          <w:szCs w:val="18"/>
          <w:b w:val="1"/>
          <w:bCs w:val="1"/>
          <w:color w:val="auto"/>
        </w:rPr>
      </w:pPr>
    </w:p>
    <w:p>
      <w:pPr>
        <w:jc w:val="both"/>
        <w:ind w:left="85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Group’s ability to use the contractual arrangements with its VIEs and the Group’s ability to conduct business through the VIEs could be severely limited.</w:t>
      </w:r>
    </w:p>
    <w:p>
      <w:pPr>
        <w:spacing w:after="0" w:line="144" w:lineRule="exact"/>
        <w:rPr>
          <w:rFonts w:ascii="Arial" w:cs="Arial" w:eastAsia="Arial" w:hAnsi="Arial"/>
          <w:sz w:val="18"/>
          <w:szCs w:val="18"/>
          <w:b w:val="1"/>
          <w:bCs w:val="1"/>
          <w:color w:val="auto"/>
        </w:rPr>
      </w:pPr>
    </w:p>
    <w:p>
      <w:pPr>
        <w:jc w:val="both"/>
        <w:ind w:left="8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VIEs also depends on the powers of attorney the founders have to vote on all matters requiring shareholder approval in the VIEs. As noted above, the Company believes these powers of attorney are legally enforceable but may not be as effective as direct equity ownership.</w:t>
      </w:r>
    </w:p>
    <w:p>
      <w:pPr>
        <w:spacing w:after="0" w:line="143" w:lineRule="exact"/>
        <w:rPr>
          <w:rFonts w:ascii="Arial" w:cs="Arial" w:eastAsia="Arial" w:hAnsi="Arial"/>
          <w:sz w:val="18"/>
          <w:szCs w:val="18"/>
          <w:b w:val="1"/>
          <w:bCs w:val="1"/>
          <w:color w:val="auto"/>
        </w:rPr>
      </w:pPr>
    </w:p>
    <w:p>
      <w:pPr>
        <w:jc w:val="both"/>
        <w:ind w:left="8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the PRC,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160" w:lineRule="exact"/>
        <w:rPr>
          <w:rFonts w:ascii="Arial" w:cs="Arial" w:eastAsia="Arial" w:hAnsi="Arial"/>
          <w:sz w:val="18"/>
          <w:szCs w:val="18"/>
          <w:b w:val="1"/>
          <w:bCs w:val="1"/>
          <w:color w:val="auto"/>
        </w:rPr>
      </w:pPr>
    </w:p>
    <w:p>
      <w:pPr>
        <w:jc w:val="both"/>
        <w:ind w:left="85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Group ’s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157" w:lineRule="exact"/>
        <w:rPr>
          <w:rFonts w:ascii="Arial" w:cs="Arial" w:eastAsia="Arial" w:hAnsi="Arial"/>
          <w:sz w:val="18"/>
          <w:szCs w:val="18"/>
          <w:b w:val="1"/>
          <w:bCs w:val="1"/>
          <w:color w:val="auto"/>
        </w:rPr>
      </w:pPr>
    </w:p>
    <w:p>
      <w:pPr>
        <w:ind w:left="5532" w:hanging="111"/>
        <w:spacing w:after="0"/>
        <w:tabs>
          <w:tab w:leader="none" w:pos="55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9" w:name="page30"/>
    <w:bookmarkEnd w:id="29"/>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85" w:lineRule="exact"/>
        <w:rPr>
          <w:sz w:val="20"/>
          <w:szCs w:val="20"/>
          <w:color w:val="auto"/>
        </w:rPr>
      </w:pPr>
    </w:p>
    <w:p>
      <w:pPr>
        <w:ind w:left="852" w:hanging="852"/>
        <w:spacing w:after="0"/>
        <w:tabs>
          <w:tab w:leader="none" w:pos="8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88" w:lineRule="exact"/>
        <w:rPr>
          <w:rFonts w:ascii="Arial" w:cs="Arial" w:eastAsia="Arial" w:hAnsi="Arial"/>
          <w:sz w:val="18"/>
          <w:szCs w:val="18"/>
          <w:b w:val="1"/>
          <w:bCs w:val="1"/>
          <w:color w:val="auto"/>
        </w:rPr>
      </w:pPr>
    </w:p>
    <w:p>
      <w:pPr>
        <w:jc w:val="both"/>
        <w:ind w:left="8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subsidiaries excluding the intercompany items with the Company’s subsidiaries was included in the accompanying financial statements as of December 31, 2019 and June 30, 2020 and for the six months ended June 30, 2019 and 2020:</w:t>
      </w:r>
    </w:p>
    <w:p>
      <w:pPr>
        <w:spacing w:after="0" w:line="202" w:lineRule="exact"/>
        <w:rPr>
          <w:sz w:val="20"/>
          <w:szCs w:val="20"/>
          <w:color w:val="auto"/>
        </w:rPr>
      </w:pPr>
    </w:p>
    <w:tbl>
      <w:tblPr>
        <w:tblLayout w:type="fixed"/>
        <w:tblInd w:w="912" w:type="dxa"/>
        <w:tblCellMar>
          <w:top w:w="0" w:type="dxa"/>
          <w:left w:w="0" w:type="dxa"/>
          <w:bottom w:w="0" w:type="dxa"/>
          <w:right w:w="0" w:type="dxa"/>
        </w:tblCellMar>
      </w:tblPr>
      <w:tr>
        <w:trPr>
          <w:trHeight w:val="206"/>
        </w:trPr>
        <w:tc>
          <w:tcPr>
            <w:tcW w:w="7120" w:type="dxa"/>
            <w:vAlign w:val="bottom"/>
          </w:tcPr>
          <w:p>
            <w:pPr>
              <w:spacing w:after="0"/>
              <w:rPr>
                <w:sz w:val="17"/>
                <w:szCs w:val="17"/>
                <w:color w:val="auto"/>
              </w:rPr>
            </w:pPr>
          </w:p>
        </w:tc>
        <w:tc>
          <w:tcPr>
            <w:tcW w:w="2440" w:type="dxa"/>
            <w:vAlign w:val="bottom"/>
            <w:gridSpan w:val="5"/>
          </w:tcPr>
          <w:p>
            <w:pPr>
              <w:jc w:val="center"/>
              <w:ind w:left="559"/>
              <w:spacing w:after="0"/>
              <w:rPr>
                <w:sz w:val="20"/>
                <w:szCs w:val="20"/>
                <w:color w:val="auto"/>
              </w:rPr>
            </w:pPr>
            <w:r>
              <w:rPr>
                <w:rFonts w:ascii="Arial" w:cs="Arial" w:eastAsia="Arial" w:hAnsi="Arial"/>
                <w:sz w:val="16"/>
                <w:szCs w:val="16"/>
                <w:color w:val="auto"/>
                <w:w w:val="98"/>
              </w:rPr>
              <w:t>As of</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20" w:type="dxa"/>
            <w:vAlign w:val="bottom"/>
          </w:tcPr>
          <w:p>
            <w:pPr>
              <w:spacing w:after="0"/>
              <w:rPr>
                <w:sz w:val="18"/>
                <w:szCs w:val="18"/>
                <w:color w:val="auto"/>
              </w:rPr>
            </w:pPr>
          </w:p>
        </w:tc>
        <w:tc>
          <w:tcPr>
            <w:tcW w:w="2440" w:type="dxa"/>
            <w:vAlign w:val="bottom"/>
            <w:gridSpan w:val="5"/>
          </w:tcPr>
          <w:p>
            <w:pPr>
              <w:ind w:left="480"/>
              <w:spacing w:after="0"/>
              <w:rPr>
                <w:sz w:val="20"/>
                <w:szCs w:val="20"/>
                <w:color w:val="auto"/>
              </w:rPr>
            </w:pPr>
            <w:r>
              <w:rPr>
                <w:rFonts w:ascii="Arial" w:cs="Arial" w:eastAsia="Arial" w:hAnsi="Arial"/>
                <w:sz w:val="16"/>
                <w:szCs w:val="16"/>
                <w:color w:val="auto"/>
              </w:rPr>
              <w:t>December 31,</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6"/>
        </w:trPr>
        <w:tc>
          <w:tcPr>
            <w:tcW w:w="7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1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0" w:type="dxa"/>
            <w:vAlign w:val="bottom"/>
          </w:tcPr>
          <w:p>
            <w:pPr>
              <w:jc w:val="right"/>
              <w:spacing w:after="0"/>
              <w:rPr>
                <w:sz w:val="20"/>
                <w:szCs w:val="20"/>
                <w:color w:val="auto"/>
              </w:rPr>
            </w:pPr>
            <w:r>
              <w:rPr>
                <w:rFonts w:ascii="Arial" w:cs="Arial" w:eastAsia="Arial" w:hAnsi="Arial"/>
                <w:sz w:val="16"/>
                <w:szCs w:val="16"/>
                <w:color w:val="auto"/>
              </w:rPr>
              <w:t>1,654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400" w:type="dxa"/>
            <w:vAlign w:val="bottom"/>
          </w:tcPr>
          <w:p>
            <w:pPr>
              <w:jc w:val="right"/>
              <w:spacing w:after="0"/>
              <w:rPr>
                <w:sz w:val="20"/>
                <w:szCs w:val="20"/>
                <w:color w:val="auto"/>
              </w:rPr>
            </w:pPr>
            <w:r>
              <w:rPr>
                <w:rFonts w:ascii="Arial" w:cs="Arial" w:eastAsia="Arial" w:hAnsi="Arial"/>
                <w:sz w:val="16"/>
                <w:szCs w:val="16"/>
                <w:color w:val="auto"/>
              </w:rPr>
              <w:t>4,328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Prepaid media costs</w:t>
            </w:r>
          </w:p>
        </w:tc>
        <w:tc>
          <w:tcPr>
            <w:tcW w:w="1400" w:type="dxa"/>
            <w:vAlign w:val="bottom"/>
          </w:tcPr>
          <w:p>
            <w:pPr>
              <w:jc w:val="right"/>
              <w:spacing w:after="0"/>
              <w:rPr>
                <w:sz w:val="20"/>
                <w:szCs w:val="20"/>
                <w:color w:val="auto"/>
              </w:rPr>
            </w:pPr>
            <w:r>
              <w:rPr>
                <w:rFonts w:ascii="Arial" w:cs="Arial" w:eastAsia="Arial" w:hAnsi="Arial"/>
                <w:sz w:val="16"/>
                <w:szCs w:val="16"/>
                <w:color w:val="auto"/>
              </w:rPr>
              <w:t>2,424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Non-current assets</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0" w:type="dxa"/>
            <w:vAlign w:val="bottom"/>
          </w:tcPr>
          <w:p>
            <w:pPr>
              <w:jc w:val="right"/>
              <w:spacing w:after="0"/>
              <w:rPr>
                <w:sz w:val="20"/>
                <w:szCs w:val="20"/>
                <w:color w:val="auto"/>
              </w:rPr>
            </w:pPr>
            <w:r>
              <w:rPr>
                <w:rFonts w:ascii="Arial" w:cs="Arial" w:eastAsia="Arial" w:hAnsi="Arial"/>
                <w:sz w:val="16"/>
                <w:szCs w:val="16"/>
                <w:color w:val="auto"/>
              </w:rPr>
              <w:t>494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Right-of-use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120" w:type="dxa"/>
            <w:vAlign w:val="bottom"/>
            <w:vMerge w:val="continue"/>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Accounts payable</w:t>
            </w: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Deferred revenue</w:t>
            </w:r>
          </w:p>
        </w:tc>
        <w:tc>
          <w:tcPr>
            <w:tcW w:w="1400" w:type="dxa"/>
            <w:vAlign w:val="bottom"/>
          </w:tcPr>
          <w:p>
            <w:pPr>
              <w:jc w:val="right"/>
              <w:spacing w:after="0"/>
              <w:rPr>
                <w:sz w:val="20"/>
                <w:szCs w:val="20"/>
                <w:color w:val="auto"/>
              </w:rPr>
            </w:pPr>
            <w:r>
              <w:rPr>
                <w:rFonts w:ascii="Arial" w:cs="Arial" w:eastAsia="Arial" w:hAnsi="Arial"/>
                <w:sz w:val="16"/>
                <w:szCs w:val="16"/>
                <w:color w:val="auto"/>
              </w:rPr>
              <w:t>866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Lease liabilities</w:t>
            </w:r>
          </w:p>
        </w:tc>
        <w:tc>
          <w:tcPr>
            <w:tcW w:w="140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Accrued liabilities and other current liabilities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Non-current liabilities</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400" w:type="dxa"/>
            <w:vAlign w:val="bottom"/>
          </w:tcPr>
          <w:p>
            <w:pPr>
              <w:jc w:val="right"/>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Lease liabilities</w:t>
            </w: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Total liabilities</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120" w:type="dxa"/>
            <w:vAlign w:val="bottom"/>
            <w:vMerge w:val="continue"/>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20" w:type="dxa"/>
            <w:vAlign w:val="bottom"/>
          </w:tcPr>
          <w:p>
            <w:pPr>
              <w:spacing w:after="0"/>
              <w:rPr>
                <w:sz w:val="24"/>
                <w:szCs w:val="24"/>
                <w:color w:val="auto"/>
              </w:rPr>
            </w:pPr>
          </w:p>
        </w:tc>
        <w:tc>
          <w:tcPr>
            <w:tcW w:w="2440" w:type="dxa"/>
            <w:vAlign w:val="bottom"/>
            <w:gridSpan w:val="5"/>
          </w:tcPr>
          <w:p>
            <w:pPr>
              <w:jc w:val="center"/>
              <w:ind w:left="559"/>
              <w:spacing w:after="0"/>
              <w:rPr>
                <w:sz w:val="20"/>
                <w:szCs w:val="20"/>
                <w:color w:val="auto"/>
              </w:rPr>
            </w:pPr>
            <w:r>
              <w:rPr>
                <w:rFonts w:ascii="Arial" w:cs="Arial" w:eastAsia="Arial" w:hAnsi="Arial"/>
                <w:sz w:val="16"/>
                <w:szCs w:val="16"/>
                <w:color w:val="auto"/>
                <w:w w:val="90"/>
              </w:rPr>
              <w:t>For the six months ended</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120" w:type="dxa"/>
            <w:vAlign w:val="bottom"/>
          </w:tcPr>
          <w:p>
            <w:pPr>
              <w:spacing w:after="0"/>
              <w:rPr>
                <w:sz w:val="17"/>
                <w:szCs w:val="17"/>
                <w:color w:val="auto"/>
              </w:rPr>
            </w:pPr>
          </w:p>
        </w:tc>
        <w:tc>
          <w:tcPr>
            <w:tcW w:w="2440" w:type="dxa"/>
            <w:vAlign w:val="bottom"/>
            <w:gridSpan w:val="5"/>
          </w:tcPr>
          <w:p>
            <w:pPr>
              <w:jc w:val="center"/>
              <w:ind w:left="539"/>
              <w:spacing w:after="0"/>
              <w:rPr>
                <w:sz w:val="20"/>
                <w:szCs w:val="20"/>
                <w:color w:val="auto"/>
              </w:rPr>
            </w:pPr>
            <w:r>
              <w:rPr>
                <w:rFonts w:ascii="Arial" w:cs="Arial" w:eastAsia="Arial" w:hAnsi="Arial"/>
                <w:sz w:val="16"/>
                <w:szCs w:val="16"/>
                <w:color w:val="auto"/>
                <w:w w:val="87"/>
              </w:rPr>
              <w:t>June 30,</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7120" w:type="dxa"/>
            <w:vAlign w:val="bottom"/>
          </w:tcPr>
          <w:p>
            <w:pPr>
              <w:spacing w:after="0"/>
              <w:rPr>
                <w:sz w:val="20"/>
                <w:szCs w:val="20"/>
                <w:color w:val="auto"/>
              </w:rPr>
            </w:pPr>
            <w:r>
              <w:rPr>
                <w:rFonts w:ascii="Arial" w:cs="Arial" w:eastAsia="Arial" w:hAnsi="Arial"/>
                <w:sz w:val="16"/>
                <w:szCs w:val="16"/>
                <w:color w:val="auto"/>
              </w:rPr>
              <w:t>Net revenues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8,468</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tcPr>
          <w:p>
            <w:pPr>
              <w:spacing w:after="0"/>
              <w:rPr>
                <w:sz w:val="20"/>
                <w:szCs w:val="20"/>
                <w:color w:val="auto"/>
              </w:rPr>
            </w:pPr>
            <w:r>
              <w:rPr>
                <w:rFonts w:ascii="Arial" w:cs="Arial" w:eastAsia="Arial" w:hAnsi="Arial"/>
                <w:sz w:val="16"/>
                <w:szCs w:val="16"/>
                <w:color w:val="auto"/>
              </w:rPr>
              <w:t>Net loss</w:t>
            </w:r>
          </w:p>
        </w:tc>
        <w:tc>
          <w:tcPr>
            <w:tcW w:w="1660" w:type="dxa"/>
            <w:vAlign w:val="bottom"/>
            <w:gridSpan w:val="3"/>
          </w:tcPr>
          <w:p>
            <w:pPr>
              <w:jc w:val="right"/>
              <w:ind w:right="180"/>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tcPr>
          <w:p>
            <w:pPr>
              <w:spacing w:after="0"/>
              <w:rPr>
                <w:sz w:val="20"/>
                <w:szCs w:val="20"/>
                <w:color w:val="auto"/>
              </w:rPr>
            </w:pPr>
            <w:r>
              <w:rPr>
                <w:rFonts w:ascii="Arial" w:cs="Arial" w:eastAsia="Arial" w:hAnsi="Arial"/>
                <w:sz w:val="16"/>
                <w:szCs w:val="16"/>
                <w:color w:val="auto"/>
              </w:rPr>
              <w:t>Net cash (used in)/provided by operating activities</w:t>
            </w:r>
          </w:p>
        </w:tc>
        <w:tc>
          <w:tcPr>
            <w:tcW w:w="1660" w:type="dxa"/>
            <w:vAlign w:val="bottom"/>
            <w:gridSpan w:val="3"/>
          </w:tcPr>
          <w:p>
            <w:pPr>
              <w:jc w:val="right"/>
              <w:ind w:right="180"/>
              <w:spacing w:after="0"/>
              <w:rPr>
                <w:sz w:val="20"/>
                <w:szCs w:val="20"/>
                <w:color w:val="auto"/>
              </w:rPr>
            </w:pPr>
            <w:r>
              <w:rPr>
                <w:rFonts w:ascii="Arial" w:cs="Arial" w:eastAsia="Arial" w:hAnsi="Arial"/>
                <w:sz w:val="16"/>
                <w:szCs w:val="16"/>
                <w:color w:val="auto"/>
              </w:rPr>
              <w:t>(1,091)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20" w:type="dxa"/>
            <w:vAlign w:val="bottom"/>
            <w:tcBorders>
              <w:right w:val="single" w:sz="8" w:color="auto"/>
            </w:tcBorders>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6"/>
                <w:szCs w:val="16"/>
                <w:color w:val="auto"/>
              </w:rPr>
              <w:t>Net (decrease)/increase in cash and cash equivalents</w:t>
            </w:r>
          </w:p>
        </w:tc>
        <w:tc>
          <w:tcPr>
            <w:tcW w:w="1660" w:type="dxa"/>
            <w:vAlign w:val="bottom"/>
            <w:gridSpan w:val="3"/>
          </w:tcPr>
          <w:p>
            <w:pPr>
              <w:jc w:val="right"/>
              <w:ind w:right="180"/>
              <w:spacing w:after="0"/>
              <w:rPr>
                <w:sz w:val="20"/>
                <w:szCs w:val="20"/>
                <w:color w:val="auto"/>
              </w:rPr>
            </w:pPr>
            <w:r>
              <w:rPr>
                <w:rFonts w:ascii="Arial" w:cs="Arial" w:eastAsia="Arial" w:hAnsi="Arial"/>
                <w:sz w:val="16"/>
                <w:szCs w:val="16"/>
                <w:color w:val="auto"/>
              </w:rPr>
              <w:t>(1,091)</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218"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30" w:name="page31"/>
    <w:bookmarkEnd w:id="30"/>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85" w:lineRule="exact"/>
        <w:rPr>
          <w:sz w:val="20"/>
          <w:szCs w:val="20"/>
          <w:color w:val="auto"/>
        </w:rPr>
      </w:pPr>
    </w:p>
    <w:p>
      <w:pPr>
        <w:ind w:left="852" w:hanging="852"/>
        <w:spacing w:after="0"/>
        <w:tabs>
          <w:tab w:leader="none" w:pos="8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88" w:lineRule="exact"/>
        <w:rPr>
          <w:rFonts w:ascii="Arial" w:cs="Arial" w:eastAsia="Arial" w:hAnsi="Arial"/>
          <w:sz w:val="18"/>
          <w:szCs w:val="18"/>
          <w:b w:val="1"/>
          <w:bCs w:val="1"/>
          <w:color w:val="auto"/>
        </w:rPr>
      </w:pPr>
    </w:p>
    <w:p>
      <w:pPr>
        <w:ind w:left="8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accordance with the VIE arrangements, the Group has the power to direct activities of the OptAim VIE, and can have assets transferred out of the OptAim VIE. Therefore, the Group considers that there is no assets of the OptAim VIE can be used only to settle their obligations.</w:t>
      </w:r>
    </w:p>
    <w:p>
      <w:pPr>
        <w:spacing w:after="0" w:line="92" w:lineRule="exact"/>
        <w:rPr>
          <w:rFonts w:ascii="Arial" w:cs="Arial" w:eastAsia="Arial" w:hAnsi="Arial"/>
          <w:sz w:val="18"/>
          <w:szCs w:val="18"/>
          <w:b w:val="1"/>
          <w:bCs w:val="1"/>
          <w:color w:val="auto"/>
        </w:rPr>
      </w:pPr>
    </w:p>
    <w:p>
      <w:pPr>
        <w:ind w:left="852" w:hanging="852"/>
        <w:spacing w:after="0"/>
        <w:tabs>
          <w:tab w:leader="none" w:pos="8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88" w:lineRule="exact"/>
        <w:rPr>
          <w:rFonts w:ascii="Arial" w:cs="Arial" w:eastAsia="Arial" w:hAnsi="Arial"/>
          <w:sz w:val="18"/>
          <w:szCs w:val="18"/>
          <w:b w:val="1"/>
          <w:bCs w:val="1"/>
          <w:color w:val="auto"/>
        </w:rPr>
      </w:pPr>
    </w:p>
    <w:p>
      <w:pPr>
        <w:jc w:val="both"/>
        <w:ind w:left="8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equity.</w:t>
      </w:r>
    </w:p>
    <w:p>
      <w:pPr>
        <w:spacing w:after="0" w:line="130" w:lineRule="exact"/>
        <w:rPr>
          <w:rFonts w:ascii="Arial" w:cs="Arial" w:eastAsia="Arial" w:hAnsi="Arial"/>
          <w:sz w:val="18"/>
          <w:szCs w:val="18"/>
          <w:b w:val="1"/>
          <w:bCs w:val="1"/>
          <w:color w:val="auto"/>
        </w:rPr>
      </w:pPr>
    </w:p>
    <w:p>
      <w:pPr>
        <w:jc w:val="both"/>
        <w:ind w:left="8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143" w:lineRule="exact"/>
        <w:rPr>
          <w:rFonts w:ascii="Arial" w:cs="Arial" w:eastAsia="Arial" w:hAnsi="Arial"/>
          <w:sz w:val="18"/>
          <w:szCs w:val="18"/>
          <w:b w:val="1"/>
          <w:bCs w:val="1"/>
          <w:color w:val="auto"/>
        </w:rPr>
      </w:pPr>
    </w:p>
    <w:p>
      <w:pPr>
        <w:jc w:val="both"/>
        <w:ind w:left="85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164" w:lineRule="exact"/>
        <w:rPr>
          <w:rFonts w:ascii="Arial" w:cs="Arial" w:eastAsia="Arial" w:hAnsi="Arial"/>
          <w:sz w:val="18"/>
          <w:szCs w:val="18"/>
          <w:b w:val="1"/>
          <w:bCs w:val="1"/>
          <w:color w:val="auto"/>
        </w:rPr>
      </w:pPr>
    </w:p>
    <w:p>
      <w:pPr>
        <w:jc w:val="both"/>
        <w:ind w:left="8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165" w:lineRule="exact"/>
        <w:rPr>
          <w:rFonts w:ascii="Arial" w:cs="Arial" w:eastAsia="Arial" w:hAnsi="Arial"/>
          <w:sz w:val="18"/>
          <w:szCs w:val="18"/>
          <w:b w:val="1"/>
          <w:bCs w:val="1"/>
          <w:color w:val="auto"/>
        </w:rPr>
      </w:pPr>
    </w:p>
    <w:p>
      <w:pPr>
        <w:ind w:left="5532" w:hanging="111"/>
        <w:spacing w:after="0"/>
        <w:tabs>
          <w:tab w:leader="none" w:pos="55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1" w:name="page32"/>
    <w:bookmarkEnd w:id="31"/>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hanging="852"/>
        <w:spacing w:after="0"/>
        <w:tabs>
          <w:tab w:leader="none" w:pos="8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85" w:lineRule="exact"/>
        <w:rPr>
          <w:sz w:val="20"/>
          <w:szCs w:val="20"/>
          <w:color w:val="auto"/>
        </w:rPr>
      </w:pPr>
    </w:p>
    <w:p>
      <w:pPr>
        <w:ind w:left="860" w:hanging="852"/>
        <w:spacing w:after="0"/>
        <w:tabs>
          <w:tab w:leader="none" w:pos="8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88" w:lineRule="exact"/>
        <w:rPr>
          <w:rFonts w:ascii="Arial" w:cs="Arial" w:eastAsia="Arial" w:hAnsi="Arial"/>
          <w:sz w:val="18"/>
          <w:szCs w:val="18"/>
          <w:b w:val="1"/>
          <w:bCs w:val="1"/>
          <w:color w:val="auto"/>
        </w:rPr>
      </w:pPr>
    </w:p>
    <w:p>
      <w:pPr>
        <w:ind w:left="1700" w:hanging="842"/>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assets and liabilities measured at fair value</w:t>
      </w:r>
    </w:p>
    <w:p>
      <w:pPr>
        <w:spacing w:after="0" w:line="185" w:lineRule="exact"/>
        <w:rPr>
          <w:sz w:val="20"/>
          <w:szCs w:val="20"/>
          <w:color w:val="auto"/>
        </w:rPr>
      </w:pPr>
    </w:p>
    <w:p>
      <w:pPr>
        <w:jc w:val="both"/>
        <w:ind w:left="1740"/>
        <w:spacing w:after="0" w:line="263" w:lineRule="auto"/>
        <w:rPr>
          <w:sz w:val="20"/>
          <w:szCs w:val="20"/>
          <w:color w:val="auto"/>
        </w:rPr>
      </w:pPr>
      <w:r>
        <w:rPr>
          <w:rFonts w:ascii="Arial" w:cs="Arial" w:eastAsia="Arial" w:hAnsi="Arial"/>
          <w:sz w:val="18"/>
          <w:szCs w:val="18"/>
          <w:color w:val="auto"/>
        </w:rPr>
        <w:t>The following table sets forth, by level within the fair value hierarchy, financial liabilities measured at fair value as of December 31, 2019 and June 30, 2020. As required by ASC 820, financial instruments are classified in their entirety based on the lowest level of input that is significant to the respective fair value measurement.</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500" w:type="dxa"/>
            <w:vAlign w:val="bottom"/>
            <w:gridSpan w:val="5"/>
          </w:tcPr>
          <w:p>
            <w:pPr>
              <w:ind w:left="1060"/>
              <w:spacing w:after="0"/>
              <w:rPr>
                <w:sz w:val="20"/>
                <w:szCs w:val="20"/>
                <w:color w:val="auto"/>
              </w:rPr>
            </w:pPr>
            <w:r>
              <w:rPr>
                <w:rFonts w:ascii="Arial" w:cs="Arial" w:eastAsia="Arial" w:hAnsi="Arial"/>
                <w:sz w:val="18"/>
                <w:szCs w:val="18"/>
                <w:b w:val="1"/>
                <w:bCs w:val="1"/>
                <w:color w:val="auto"/>
                <w:w w:val="89"/>
              </w:rPr>
              <w:t>Fair value measurements using</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Significant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Quoted prices</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other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Significant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in active market</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observable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unobservable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for identical</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inputs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inputs</w:t>
            </w:r>
          </w:p>
        </w:tc>
        <w:tc>
          <w:tcPr>
            <w:tcW w:w="1360" w:type="dxa"/>
            <w:vAlign w:val="bottom"/>
          </w:tcPr>
          <w:p>
            <w:pPr>
              <w:jc w:val="right"/>
              <w:spacing w:after="0"/>
              <w:rPr>
                <w:sz w:val="20"/>
                <w:szCs w:val="20"/>
                <w:color w:val="auto"/>
              </w:rPr>
            </w:pPr>
            <w:r>
              <w:rPr>
                <w:rFonts w:ascii="Arial" w:cs="Arial" w:eastAsia="Arial" w:hAnsi="Arial"/>
                <w:sz w:val="18"/>
                <w:szCs w:val="18"/>
                <w:color w:val="auto"/>
              </w:rPr>
              <w:t>Total fair</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assets (Level 1)</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(Level 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(Level 3)</w:t>
            </w:r>
          </w:p>
        </w:tc>
        <w:tc>
          <w:tcPr>
            <w:tcW w:w="1360" w:type="dxa"/>
            <w:vAlign w:val="bottom"/>
          </w:tcPr>
          <w:p>
            <w:pPr>
              <w:jc w:val="right"/>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458"/>
        </w:trPr>
        <w:tc>
          <w:tcPr>
            <w:tcW w:w="3360" w:type="dxa"/>
            <w:vAlign w:val="bottom"/>
          </w:tcPr>
          <w:p>
            <w:pPr>
              <w:spacing w:after="0"/>
              <w:rPr>
                <w:sz w:val="20"/>
                <w:szCs w:val="20"/>
                <w:color w:val="auto"/>
              </w:rPr>
            </w:pPr>
            <w:r>
              <w:rPr>
                <w:rFonts w:ascii="Arial" w:cs="Arial" w:eastAsia="Arial" w:hAnsi="Arial"/>
                <w:sz w:val="18"/>
                <w:szCs w:val="18"/>
                <w:b w:val="1"/>
                <w:bCs w:val="1"/>
                <w:color w:val="auto"/>
              </w:rPr>
              <w:t>As of December 31, 2019</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49,008</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49,008</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As of June 30, 2020</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Derivatives liabilities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5,123</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2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following table presents the changes in level 3 instruments for the six months ended June 30, 2020 and 2019.</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3120" w:type="dxa"/>
            <w:vAlign w:val="bottom"/>
            <w:gridSpan w:val="5"/>
          </w:tcPr>
          <w:p>
            <w:pPr>
              <w:jc w:val="center"/>
              <w:ind w:right="200"/>
              <w:spacing w:after="0"/>
              <w:rPr>
                <w:sz w:val="20"/>
                <w:szCs w:val="20"/>
                <w:color w:val="auto"/>
              </w:rPr>
            </w:pPr>
            <w:r>
              <w:rPr>
                <w:rFonts w:ascii="Arial" w:cs="Arial" w:eastAsia="Arial" w:hAnsi="Arial"/>
                <w:sz w:val="16"/>
                <w:szCs w:val="16"/>
                <w:color w:val="auto"/>
                <w:w w:val="92"/>
              </w:rPr>
              <w:t>Convertible notes at fair value</w:t>
            </w:r>
          </w:p>
        </w:tc>
        <w:tc>
          <w:tcPr>
            <w:tcW w:w="2440" w:type="dxa"/>
            <w:vAlign w:val="bottom"/>
            <w:gridSpan w:val="3"/>
          </w:tcPr>
          <w:p>
            <w:pPr>
              <w:jc w:val="center"/>
              <w:ind w:left="439"/>
              <w:spacing w:after="0"/>
              <w:rPr>
                <w:sz w:val="20"/>
                <w:szCs w:val="20"/>
                <w:color w:val="auto"/>
              </w:rPr>
            </w:pPr>
            <w:r>
              <w:rPr>
                <w:rFonts w:ascii="Arial" w:cs="Arial" w:eastAsia="Arial" w:hAnsi="Arial"/>
                <w:sz w:val="16"/>
                <w:szCs w:val="16"/>
                <w:color w:val="auto"/>
                <w:w w:val="97"/>
              </w:rPr>
              <w:t>Derivative liabilities</w:t>
            </w:r>
          </w:p>
        </w:tc>
        <w:tc>
          <w:tcPr>
            <w:tcW w:w="520" w:type="dxa"/>
            <w:vAlign w:val="bottom"/>
          </w:tcPr>
          <w:p>
            <w:pPr>
              <w:spacing w:after="0"/>
              <w:rPr>
                <w:sz w:val="17"/>
                <w:szCs w:val="17"/>
                <w:color w:val="auto"/>
              </w:rPr>
            </w:pPr>
          </w:p>
        </w:tc>
      </w:tr>
      <w:tr>
        <w:trPr>
          <w:trHeight w:val="212"/>
        </w:trPr>
        <w:tc>
          <w:tcPr>
            <w:tcW w:w="3360" w:type="dxa"/>
            <w:vAlign w:val="bottom"/>
          </w:tcPr>
          <w:p>
            <w:pPr>
              <w:spacing w:after="0"/>
              <w:rPr>
                <w:sz w:val="18"/>
                <w:szCs w:val="18"/>
                <w:color w:val="auto"/>
              </w:rPr>
            </w:pPr>
          </w:p>
        </w:tc>
        <w:tc>
          <w:tcPr>
            <w:tcW w:w="2340" w:type="dxa"/>
            <w:vAlign w:val="bottom"/>
            <w:gridSpan w:val="3"/>
          </w:tcPr>
          <w:p>
            <w:pPr>
              <w:jc w:val="center"/>
              <w:ind w:left="499"/>
              <w:spacing w:after="0"/>
              <w:rPr>
                <w:sz w:val="20"/>
                <w:szCs w:val="20"/>
                <w:color w:val="auto"/>
              </w:rPr>
            </w:pPr>
            <w:r>
              <w:rPr>
                <w:rFonts w:ascii="Arial" w:cs="Arial" w:eastAsia="Arial" w:hAnsi="Arial"/>
                <w:sz w:val="16"/>
                <w:szCs w:val="16"/>
                <w:color w:val="auto"/>
                <w:w w:val="90"/>
              </w:rPr>
              <w:t>For the six months ended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3"/>
          </w:tcPr>
          <w:p>
            <w:pPr>
              <w:jc w:val="center"/>
              <w:ind w:left="439"/>
              <w:spacing w:after="0"/>
              <w:rPr>
                <w:sz w:val="20"/>
                <w:szCs w:val="20"/>
                <w:color w:val="auto"/>
              </w:rPr>
            </w:pPr>
            <w:r>
              <w:rPr>
                <w:rFonts w:ascii="Arial" w:cs="Arial" w:eastAsia="Arial" w:hAnsi="Arial"/>
                <w:sz w:val="16"/>
                <w:szCs w:val="16"/>
                <w:color w:val="auto"/>
                <w:w w:val="90"/>
              </w:rPr>
              <w:t>For the six months ended</w:t>
            </w:r>
          </w:p>
        </w:tc>
        <w:tc>
          <w:tcPr>
            <w:tcW w:w="520" w:type="dxa"/>
            <w:vAlign w:val="bottom"/>
          </w:tcPr>
          <w:p>
            <w:pPr>
              <w:spacing w:after="0"/>
              <w:rPr>
                <w:sz w:val="18"/>
                <w:szCs w:val="18"/>
                <w:color w:val="auto"/>
              </w:rPr>
            </w:pPr>
          </w:p>
        </w:tc>
      </w:tr>
      <w:tr>
        <w:trPr>
          <w:trHeight w:val="206"/>
        </w:trPr>
        <w:tc>
          <w:tcPr>
            <w:tcW w:w="3360" w:type="dxa"/>
            <w:vAlign w:val="bottom"/>
          </w:tcPr>
          <w:p>
            <w:pPr>
              <w:spacing w:after="0"/>
              <w:rPr>
                <w:sz w:val="17"/>
                <w:szCs w:val="17"/>
                <w:color w:val="auto"/>
              </w:rPr>
            </w:pPr>
          </w:p>
        </w:tc>
        <w:tc>
          <w:tcPr>
            <w:tcW w:w="2340" w:type="dxa"/>
            <w:vAlign w:val="bottom"/>
            <w:gridSpan w:val="3"/>
          </w:tcPr>
          <w:p>
            <w:pPr>
              <w:jc w:val="center"/>
              <w:ind w:left="479"/>
              <w:spacing w:after="0"/>
              <w:rPr>
                <w:sz w:val="20"/>
                <w:szCs w:val="20"/>
                <w:color w:val="auto"/>
              </w:rPr>
            </w:pPr>
            <w:r>
              <w:rPr>
                <w:rFonts w:ascii="Arial" w:cs="Arial" w:eastAsia="Arial" w:hAnsi="Arial"/>
                <w:sz w:val="16"/>
                <w:szCs w:val="16"/>
                <w:color w:val="auto"/>
                <w:w w:val="87"/>
              </w:rPr>
              <w:t>June 30,</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3"/>
          </w:tcPr>
          <w:p>
            <w:pPr>
              <w:jc w:val="center"/>
              <w:ind w:left="459"/>
              <w:spacing w:after="0"/>
              <w:rPr>
                <w:sz w:val="20"/>
                <w:szCs w:val="20"/>
                <w:color w:val="auto"/>
              </w:rPr>
            </w:pPr>
            <w:r>
              <w:rPr>
                <w:rFonts w:ascii="Arial" w:cs="Arial" w:eastAsia="Arial" w:hAnsi="Arial"/>
                <w:sz w:val="16"/>
                <w:szCs w:val="16"/>
                <w:color w:val="auto"/>
                <w:w w:val="87"/>
              </w:rPr>
              <w:t>June 30,</w:t>
            </w:r>
          </w:p>
        </w:tc>
        <w:tc>
          <w:tcPr>
            <w:tcW w:w="52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432"/>
        </w:trPr>
        <w:tc>
          <w:tcPr>
            <w:tcW w:w="336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34,837</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49,008</w:t>
            </w:r>
          </w:p>
        </w:tc>
        <w:tc>
          <w:tcPr>
            <w:tcW w:w="200" w:type="dxa"/>
            <w:vAlign w:val="bottom"/>
          </w:tcPr>
          <w:p>
            <w:pPr>
              <w:spacing w:after="0"/>
              <w:rPr>
                <w:sz w:val="24"/>
                <w:szCs w:val="24"/>
                <w:color w:val="auto"/>
              </w:rPr>
            </w:pPr>
          </w:p>
        </w:tc>
        <w:tc>
          <w:tcPr>
            <w:tcW w:w="244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360" w:type="dxa"/>
            <w:vAlign w:val="bottom"/>
          </w:tcPr>
          <w:p>
            <w:pPr>
              <w:spacing w:after="0"/>
              <w:rPr>
                <w:sz w:val="20"/>
                <w:szCs w:val="20"/>
                <w:color w:val="auto"/>
              </w:rPr>
            </w:pPr>
            <w:r>
              <w:rPr>
                <w:rFonts w:ascii="Arial" w:cs="Arial" w:eastAsia="Arial" w:hAnsi="Arial"/>
                <w:sz w:val="16"/>
                <w:szCs w:val="16"/>
                <w:color w:val="auto"/>
              </w:rPr>
              <w:t>New issuance of convertible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6"/>
        </w:trPr>
        <w:tc>
          <w:tcPr>
            <w:tcW w:w="3360" w:type="dxa"/>
            <w:vAlign w:val="bottom"/>
          </w:tcPr>
          <w:p>
            <w:pPr>
              <w:ind w:left="120"/>
              <w:spacing w:after="0"/>
              <w:rPr>
                <w:sz w:val="20"/>
                <w:szCs w:val="20"/>
                <w:color w:val="auto"/>
              </w:rPr>
            </w:pPr>
            <w:r>
              <w:rPr>
                <w:rFonts w:ascii="Arial" w:cs="Arial" w:eastAsia="Arial" w:hAnsi="Arial"/>
                <w:sz w:val="16"/>
                <w:szCs w:val="16"/>
                <w:color w:val="auto"/>
              </w:rPr>
              <w:t>notes</w:t>
            </w:r>
          </w:p>
        </w:tc>
        <w:tc>
          <w:tcPr>
            <w:tcW w:w="2340" w:type="dxa"/>
            <w:vAlign w:val="bottom"/>
            <w:gridSpan w:val="3"/>
          </w:tcPr>
          <w:p>
            <w:pPr>
              <w:jc w:val="right"/>
              <w:ind w:right="10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4,002</w:t>
            </w:r>
          </w:p>
        </w:tc>
        <w:tc>
          <w:tcPr>
            <w:tcW w:w="200" w:type="dxa"/>
            <w:vAlign w:val="bottom"/>
          </w:tcPr>
          <w:p>
            <w:pPr>
              <w:spacing w:after="0"/>
              <w:rPr>
                <w:sz w:val="17"/>
                <w:szCs w:val="17"/>
                <w:color w:val="auto"/>
              </w:rPr>
            </w:pPr>
          </w:p>
        </w:tc>
        <w:tc>
          <w:tcPr>
            <w:tcW w:w="244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Conversion of convertible notes</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(4,431)</w:t>
            </w:r>
          </w:p>
        </w:tc>
        <w:tc>
          <w:tcPr>
            <w:tcW w:w="7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(36,168)</w:t>
            </w:r>
          </w:p>
        </w:tc>
        <w:tc>
          <w:tcPr>
            <w:tcW w:w="244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Redemption of convertible notes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(15,196)</w:t>
            </w:r>
          </w:p>
        </w:tc>
        <w:tc>
          <w:tcPr>
            <w:tcW w:w="244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Fair value changes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5,123</w:t>
            </w:r>
          </w:p>
        </w:tc>
      </w:tr>
      <w:tr>
        <w:trPr>
          <w:trHeight w:val="212"/>
        </w:trPr>
        <w:tc>
          <w:tcPr>
            <w:tcW w:w="336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360" w:type="dxa"/>
            <w:vAlign w:val="bottom"/>
          </w:tcPr>
          <w:p>
            <w:pPr>
              <w:jc w:val="right"/>
              <w:spacing w:after="0"/>
              <w:rPr>
                <w:sz w:val="20"/>
                <w:szCs w:val="20"/>
                <w:color w:val="auto"/>
              </w:rPr>
            </w:pPr>
            <w:r>
              <w:rPr>
                <w:rFonts w:ascii="Arial" w:cs="Arial" w:eastAsia="Arial" w:hAnsi="Arial"/>
                <w:sz w:val="16"/>
                <w:szCs w:val="16"/>
                <w:color w:val="auto"/>
              </w:rPr>
              <w:t>32,398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4,653</w:t>
            </w:r>
          </w:p>
        </w:tc>
        <w:tc>
          <w:tcPr>
            <w:tcW w:w="200" w:type="dxa"/>
            <w:vAlign w:val="bottom"/>
          </w:tcPr>
          <w:p>
            <w:pPr>
              <w:spacing w:after="0"/>
              <w:rPr>
                <w:sz w:val="18"/>
                <w:szCs w:val="18"/>
                <w:color w:val="auto"/>
              </w:rPr>
            </w:pPr>
          </w:p>
        </w:tc>
        <w:tc>
          <w:tcPr>
            <w:tcW w:w="244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5,123</w:t>
            </w:r>
          </w:p>
        </w:tc>
      </w:tr>
      <w:tr>
        <w:trPr>
          <w:trHeight w:val="20"/>
        </w:trPr>
        <w:tc>
          <w:tcPr>
            <w:tcW w:w="33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700" w:hanging="842"/>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Equity securities without readily determinable fair values</w:t>
      </w:r>
    </w:p>
    <w:p>
      <w:pPr>
        <w:spacing w:after="0" w:line="198" w:lineRule="exact"/>
        <w:rPr>
          <w:sz w:val="20"/>
          <w:szCs w:val="20"/>
          <w:color w:val="auto"/>
        </w:rPr>
      </w:pPr>
    </w:p>
    <w:p>
      <w:pPr>
        <w:jc w:val="both"/>
        <w:ind w:left="1740"/>
        <w:spacing w:after="0" w:line="275" w:lineRule="auto"/>
        <w:rPr>
          <w:sz w:val="20"/>
          <w:szCs w:val="20"/>
          <w:color w:val="auto"/>
        </w:rPr>
      </w:pPr>
      <w:r>
        <w:rPr>
          <w:rFonts w:ascii="Arial" w:cs="Arial" w:eastAsia="Arial" w:hAnsi="Arial"/>
          <w:sz w:val="17"/>
          <w:szCs w:val="17"/>
          <w:color w:val="auto"/>
        </w:rPr>
        <w:t>The equity securities without readily determinable fair value are recorded at fair value only if an impairment or observable price adjustment is recognized in the current period. There were no fair value changes related to equity securities classified as long-term investments for the six months ended June 30, 2019 and 2020. For the fund investments classified as short-term investments, the fair value losses recorded in the interim condensed consolidated statements of comprehensive loss amounted to US$nil and US$42 for the six months ended June 30, 2019 and 2020,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85" w:lineRule="exact"/>
        <w:rPr>
          <w:sz w:val="20"/>
          <w:szCs w:val="20"/>
          <w:color w:val="auto"/>
        </w:rPr>
      </w:pPr>
    </w:p>
    <w:p>
      <w:pPr>
        <w:ind w:left="852" w:hanging="852"/>
        <w:spacing w:after="0"/>
        <w:tabs>
          <w:tab w:leader="none" w:pos="8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84" w:lineRule="exact"/>
        <w:rPr>
          <w:rFonts w:ascii="Arial" w:cs="Arial" w:eastAsia="Arial" w:hAnsi="Arial"/>
          <w:sz w:val="18"/>
          <w:szCs w:val="18"/>
          <w:b w:val="1"/>
          <w:bCs w:val="1"/>
          <w:color w:val="auto"/>
        </w:rPr>
      </w:pPr>
    </w:p>
    <w:p>
      <w:pPr>
        <w:ind w:left="1692" w:hanging="842"/>
        <w:spacing w:after="0"/>
        <w:tabs>
          <w:tab w:leader="none" w:pos="1692"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89" w:lineRule="exact"/>
        <w:rPr>
          <w:sz w:val="20"/>
          <w:szCs w:val="20"/>
          <w:color w:val="auto"/>
        </w:rPr>
      </w:pPr>
    </w:p>
    <w:p>
      <w:pPr>
        <w:ind w:left="1732"/>
        <w:spacing w:after="0"/>
        <w:rPr>
          <w:sz w:val="20"/>
          <w:szCs w:val="20"/>
          <w:color w:val="auto"/>
        </w:rPr>
      </w:pPr>
      <w:r>
        <w:rPr>
          <w:rFonts w:ascii="Arial" w:cs="Arial" w:eastAsia="Arial" w:hAnsi="Arial"/>
          <w:sz w:val="17"/>
          <w:szCs w:val="17"/>
          <w:color w:val="auto"/>
        </w:rPr>
        <w:t>For the six months ended June 30, 2019 and 2020, no individual customer accounted for more than 10% of the net revenues.</w:t>
      </w:r>
    </w:p>
    <w:p>
      <w:pPr>
        <w:spacing w:after="0" w:line="206" w:lineRule="exact"/>
        <w:rPr>
          <w:sz w:val="20"/>
          <w:szCs w:val="20"/>
          <w:color w:val="auto"/>
        </w:rPr>
      </w:pPr>
    </w:p>
    <w:p>
      <w:pPr>
        <w:ind w:left="1692" w:hanging="842"/>
        <w:spacing w:after="0"/>
        <w:tabs>
          <w:tab w:leader="none" w:pos="16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89" w:lineRule="exact"/>
        <w:rPr>
          <w:sz w:val="20"/>
          <w:szCs w:val="20"/>
          <w:color w:val="auto"/>
        </w:rPr>
      </w:pPr>
    </w:p>
    <w:p>
      <w:pPr>
        <w:jc w:val="both"/>
        <w:ind w:left="1732"/>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loss allowances. See Note 2(f) for the determination of current expected credit losses upon adoption of ASC 326.</w:t>
      </w:r>
    </w:p>
    <w:p>
      <w:pPr>
        <w:spacing w:after="0" w:line="146" w:lineRule="exact"/>
        <w:rPr>
          <w:sz w:val="20"/>
          <w:szCs w:val="20"/>
          <w:color w:val="auto"/>
        </w:rPr>
      </w:pPr>
    </w:p>
    <w:p>
      <w:pPr>
        <w:ind w:left="1732"/>
        <w:spacing w:after="0"/>
        <w:rPr>
          <w:sz w:val="20"/>
          <w:szCs w:val="20"/>
          <w:color w:val="auto"/>
        </w:rPr>
      </w:pPr>
      <w:r>
        <w:rPr>
          <w:rFonts w:ascii="Arial" w:cs="Arial" w:eastAsia="Arial" w:hAnsi="Arial"/>
          <w:sz w:val="16"/>
          <w:szCs w:val="16"/>
          <w:color w:val="auto"/>
        </w:rPr>
        <w:t>As of December 31, 2019 and June 30, 2020, no individual customer accounted for more than 10% of the accounts receivable.</w:t>
      </w:r>
    </w:p>
    <w:p>
      <w:pPr>
        <w:spacing w:after="0" w:line="204" w:lineRule="exact"/>
        <w:rPr>
          <w:sz w:val="20"/>
          <w:szCs w:val="20"/>
          <w:color w:val="auto"/>
        </w:rPr>
      </w:pPr>
    </w:p>
    <w:p>
      <w:pPr>
        <w:ind w:left="1692" w:hanging="842"/>
        <w:spacing w:after="0"/>
        <w:tabs>
          <w:tab w:leader="none" w:pos="169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89" w:lineRule="exact"/>
        <w:rPr>
          <w:sz w:val="20"/>
          <w:szCs w:val="20"/>
          <w:color w:val="auto"/>
        </w:rPr>
      </w:pPr>
    </w:p>
    <w:p>
      <w:pPr>
        <w:jc w:val="both"/>
        <w:ind w:left="1732"/>
        <w:spacing w:after="0" w:line="269" w:lineRule="auto"/>
        <w:rPr>
          <w:sz w:val="20"/>
          <w:szCs w:val="20"/>
          <w:color w:val="auto"/>
        </w:rPr>
      </w:pPr>
      <w:r>
        <w:rPr>
          <w:rFonts w:ascii="Arial" w:cs="Arial" w:eastAsia="Arial" w:hAnsi="Arial"/>
          <w:sz w:val="17"/>
          <w:szCs w:val="17"/>
          <w:color w:val="auto"/>
        </w:rPr>
        <w:t>As of December 31, 2019 and June 30, 2020,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has not experienced any losses on its deposits of cash and cash equivalents during the six months ended June 30, 2019 and 2020 and believes that its credit risk to be minimal.</w:t>
      </w:r>
    </w:p>
    <w:p>
      <w:pPr>
        <w:spacing w:after="0" w:line="148" w:lineRule="exact"/>
        <w:rPr>
          <w:sz w:val="20"/>
          <w:szCs w:val="20"/>
          <w:color w:val="auto"/>
        </w:rPr>
      </w:pPr>
    </w:p>
    <w:p>
      <w:pPr>
        <w:ind w:left="852" w:hanging="852"/>
        <w:spacing w:after="0"/>
        <w:tabs>
          <w:tab w:leader="none" w:pos="8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5" w:lineRule="exact"/>
        <w:rPr>
          <w:sz w:val="20"/>
          <w:szCs w:val="20"/>
          <w:color w:val="auto"/>
        </w:rPr>
      </w:pPr>
    </w:p>
    <w:p>
      <w:pPr>
        <w:ind w:left="852" w:hanging="852"/>
        <w:spacing w:after="0"/>
        <w:tabs>
          <w:tab w:leader="none" w:pos="8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Changyi (Shanghai) Information Technology Ltd.</w:t>
      </w:r>
    </w:p>
    <w:p>
      <w:pPr>
        <w:spacing w:after="0" w:line="188" w:lineRule="exact"/>
        <w:rPr>
          <w:rFonts w:ascii="Arial" w:cs="Arial" w:eastAsia="Arial" w:hAnsi="Arial"/>
          <w:sz w:val="18"/>
          <w:szCs w:val="18"/>
          <w:b w:val="1"/>
          <w:bCs w:val="1"/>
          <w:color w:val="auto"/>
        </w:rPr>
      </w:pPr>
    </w:p>
    <w:p>
      <w:pPr>
        <w:jc w:val="both"/>
        <w:ind w:left="85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January 1, 2019, the Group acquired 34.38% equity interest of Changyi (Shanghai) Information Technology Ltd. (“Changyi”), a company established in the PRC and an independent software vendor based in Shanghai, the PRC. Changyi and its underlying subsidiary Suzhou Changyi Information Technology Ltd. (“Suzhou Changyi”) (collectively, “Changyi Group”) became subsidiaries of the Company effective from January 1, 2019 as the Company established control over Changyi through certain shareholder agreements since then. Other shareholders of Changyi expects the operating effectiveness brought about by the control over Changyi by the Company to be of their best interests. Changyi Group provides intelligent retail and CRM solutions to clients, allowing them to consolidate consumer’s online and offline information to provide connection within the organization and stakeholders. The Company expects to increase its market share in the data-driven Enterprise Solutions segment beyond digital marketing through Changyi Group.</w:t>
      </w:r>
    </w:p>
    <w:p>
      <w:pPr>
        <w:spacing w:after="0" w:line="178" w:lineRule="exact"/>
        <w:rPr>
          <w:rFonts w:ascii="Arial" w:cs="Arial" w:eastAsia="Arial" w:hAnsi="Arial"/>
          <w:sz w:val="18"/>
          <w:szCs w:val="18"/>
          <w:b w:val="1"/>
          <w:bCs w:val="1"/>
          <w:color w:val="auto"/>
        </w:rPr>
      </w:pPr>
    </w:p>
    <w:p>
      <w:pPr>
        <w:ind w:left="5532" w:hanging="111"/>
        <w:spacing w:after="0"/>
        <w:tabs>
          <w:tab w:leader="none" w:pos="55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3" w:name="page34"/>
    <w:bookmarkEnd w:id="33"/>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hanging="852"/>
        <w:spacing w:after="0"/>
        <w:tabs>
          <w:tab w:leader="none" w:pos="8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85" w:lineRule="exact"/>
        <w:rPr>
          <w:sz w:val="20"/>
          <w:szCs w:val="20"/>
          <w:color w:val="auto"/>
        </w:rPr>
      </w:pPr>
    </w:p>
    <w:p>
      <w:pPr>
        <w:ind w:left="860" w:hanging="852"/>
        <w:spacing w:after="0"/>
        <w:tabs>
          <w:tab w:leader="none" w:pos="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Changyi (Shanghai) Information Technology Ltd. (Continued)</w:t>
      </w:r>
    </w:p>
    <w:p>
      <w:pPr>
        <w:spacing w:after="0" w:line="188"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34.38% equity interest of Changyi amounted to RMB42.6 million (equivalent to approximately US$6,190) by cash.</w:t>
      </w:r>
    </w:p>
    <w:p>
      <w:pPr>
        <w:spacing w:after="0" w:line="143"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129"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6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Cash</w:t>
            </w:r>
          </w:p>
        </w:tc>
        <w:tc>
          <w:tcPr>
            <w:tcW w:w="172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Intangible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Deferred tax liabilities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Non-controlling interests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23"/>
        </w:trPr>
        <w:tc>
          <w:tcPr>
            <w:tcW w:w="8540" w:type="dxa"/>
            <w:vAlign w:val="bottom"/>
          </w:tcPr>
          <w:p>
            <w:pPr>
              <w:ind w:left="60"/>
              <w:spacing w:after="0"/>
              <w:rPr>
                <w:sz w:val="20"/>
                <w:szCs w:val="20"/>
                <w:color w:val="auto"/>
              </w:rPr>
            </w:pPr>
            <w:r>
              <w:rPr>
                <w:rFonts w:ascii="Arial" w:cs="Arial" w:eastAsia="Arial" w:hAnsi="Arial"/>
                <w:sz w:val="18"/>
                <w:szCs w:val="18"/>
                <w:color w:val="auto"/>
              </w:rPr>
              <w:t>Total identifiable net assets acquired</w:t>
            </w:r>
          </w:p>
        </w:tc>
        <w:tc>
          <w:tcPr>
            <w:tcW w:w="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60"/>
              <w:spacing w:after="0"/>
              <w:rPr>
                <w:sz w:val="20"/>
                <w:szCs w:val="20"/>
                <w:color w:val="auto"/>
              </w:rPr>
            </w:pPr>
            <w:r>
              <w:rPr>
                <w:rFonts w:ascii="Arial" w:cs="Arial" w:eastAsia="Arial" w:hAnsi="Arial"/>
                <w:sz w:val="18"/>
                <w:szCs w:val="18"/>
                <w:color w:val="auto"/>
              </w:rPr>
              <w:t>Goodwill (Note 13)</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60" w:right="20"/>
        <w:spacing w:after="0" w:line="277" w:lineRule="auto"/>
        <w:rPr>
          <w:sz w:val="20"/>
          <w:szCs w:val="20"/>
          <w:color w:val="auto"/>
        </w:rPr>
      </w:pPr>
      <w:r>
        <w:rPr>
          <w:rFonts w:ascii="Arial" w:cs="Arial" w:eastAsia="Arial" w:hAnsi="Arial"/>
          <w:sz w:val="18"/>
          <w:szCs w:val="18"/>
          <w:color w:val="auto"/>
        </w:rPr>
        <w:t>As of December 31, 2019, purchase consideration payable of US$6,190 was settled and there is no adjustment to the purchase consideration amounts.</w:t>
      </w:r>
    </w:p>
    <w:p>
      <w:pPr>
        <w:spacing w:after="0" w:line="130" w:lineRule="exact"/>
        <w:rPr>
          <w:sz w:val="20"/>
          <w:szCs w:val="20"/>
          <w:color w:val="auto"/>
        </w:rPr>
      </w:pPr>
    </w:p>
    <w:p>
      <w:pPr>
        <w:jc w:val="both"/>
        <w:ind w:left="860"/>
        <w:spacing w:after="0" w:line="259" w:lineRule="auto"/>
        <w:rPr>
          <w:sz w:val="20"/>
          <w:szCs w:val="20"/>
          <w:color w:val="auto"/>
        </w:rPr>
      </w:pPr>
      <w:r>
        <w:rPr>
          <w:rFonts w:ascii="Arial" w:cs="Arial" w:eastAsia="Arial" w:hAnsi="Arial"/>
          <w:sz w:val="18"/>
          <w:szCs w:val="18"/>
          <w:color w:val="auto"/>
        </w:rPr>
        <w:t>The excess of purchase price over tangible assets, identifiable intangible assets acquired and liabilities assumed was recorded as goodwill. Goodwill associated with the acquisition of Changyi was attributable to the expected synergy arising from the Enterprise Solutions operations. The acquired goodwill is not deductible for tax purposes. Acquisition-related costs were immaterial and were included in general and administrative expenses.</w:t>
      </w:r>
    </w:p>
    <w:p>
      <w:pPr>
        <w:spacing w:after="0" w:line="160" w:lineRule="exact"/>
        <w:rPr>
          <w:sz w:val="20"/>
          <w:szCs w:val="20"/>
          <w:color w:val="auto"/>
        </w:rPr>
      </w:pPr>
    </w:p>
    <w:p>
      <w:pPr>
        <w:jc w:val="both"/>
        <w:ind w:left="860"/>
        <w:spacing w:after="0" w:line="263" w:lineRule="auto"/>
        <w:rPr>
          <w:sz w:val="20"/>
          <w:szCs w:val="20"/>
          <w:color w:val="auto"/>
        </w:rPr>
      </w:pPr>
      <w:r>
        <w:rPr>
          <w:rFonts w:ascii="Arial" w:cs="Arial" w:eastAsia="Arial" w:hAnsi="Arial"/>
          <w:sz w:val="18"/>
          <w:szCs w:val="18"/>
          <w:color w:val="auto"/>
        </w:rPr>
        <w:t>In determining the fair value of the intangible assets, an income approach was used. In this approach, significant estimates consist of discount rate of 30.2% and a growth rates on revenue ranging from 10% to 30%. The estimated amounts recognized on the acquired identifiable intangible asset and its estimated useful life are shown in the following table:</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140" w:type="dxa"/>
            <w:vAlign w:val="bottom"/>
          </w:tcPr>
          <w:p>
            <w:pPr>
              <w:jc w:val="right"/>
              <w:ind w:right="70"/>
              <w:spacing w:after="0"/>
              <w:rPr>
                <w:sz w:val="20"/>
                <w:szCs w:val="20"/>
                <w:color w:val="auto"/>
              </w:rPr>
            </w:pPr>
            <w:r>
              <w:rPr>
                <w:rFonts w:ascii="Arial" w:cs="Arial" w:eastAsia="Arial" w:hAnsi="Arial"/>
                <w:sz w:val="18"/>
                <w:szCs w:val="18"/>
                <w:color w:val="auto"/>
              </w:rPr>
              <w:t>Estimated useful</w:t>
            </w:r>
          </w:p>
        </w:tc>
        <w:tc>
          <w:tcPr>
            <w:tcW w:w="1720" w:type="dxa"/>
            <w:vAlign w:val="bottom"/>
          </w:tcPr>
          <w:p>
            <w:pPr>
              <w:jc w:val="right"/>
              <w:spacing w:after="0"/>
              <w:rPr>
                <w:sz w:val="20"/>
                <w:szCs w:val="20"/>
                <w:color w:val="auto"/>
              </w:rPr>
            </w:pPr>
            <w:r>
              <w:rPr>
                <w:rFonts w:ascii="Arial" w:cs="Arial" w:eastAsia="Arial" w:hAnsi="Arial"/>
                <w:sz w:val="18"/>
                <w:szCs w:val="18"/>
                <w:color w:val="auto"/>
              </w:rPr>
              <w:t>Gross carrying</w:t>
            </w:r>
          </w:p>
        </w:tc>
      </w:tr>
      <w:tr>
        <w:trPr>
          <w:trHeight w:val="230"/>
        </w:trPr>
        <w:tc>
          <w:tcPr>
            <w:tcW w:w="4400" w:type="dxa"/>
            <w:vAlign w:val="bottom"/>
          </w:tcPr>
          <w:p>
            <w:pPr>
              <w:spacing w:after="0"/>
              <w:rPr>
                <w:sz w:val="20"/>
                <w:szCs w:val="20"/>
                <w:color w:val="auto"/>
              </w:rPr>
            </w:pPr>
          </w:p>
        </w:tc>
        <w:tc>
          <w:tcPr>
            <w:tcW w:w="4140" w:type="dxa"/>
            <w:vAlign w:val="bottom"/>
          </w:tcPr>
          <w:p>
            <w:pPr>
              <w:jc w:val="right"/>
              <w:ind w:right="70"/>
              <w:spacing w:after="0"/>
              <w:rPr>
                <w:sz w:val="20"/>
                <w:szCs w:val="20"/>
                <w:color w:val="auto"/>
              </w:rPr>
            </w:pPr>
            <w:r>
              <w:rPr>
                <w:rFonts w:ascii="Arial" w:cs="Arial" w:eastAsia="Arial" w:hAnsi="Arial"/>
                <w:sz w:val="18"/>
                <w:szCs w:val="18"/>
                <w:color w:val="auto"/>
              </w:rPr>
              <w:t>life</w:t>
            </w:r>
          </w:p>
        </w:tc>
        <w:tc>
          <w:tcPr>
            <w:tcW w:w="1720" w:type="dxa"/>
            <w:vAlign w:val="bottom"/>
          </w:tcPr>
          <w:p>
            <w:pPr>
              <w:jc w:val="right"/>
              <w:spacing w:after="0"/>
              <w:rPr>
                <w:sz w:val="20"/>
                <w:szCs w:val="20"/>
                <w:color w:val="auto"/>
              </w:rPr>
            </w:pPr>
            <w:r>
              <w:rPr>
                <w:rFonts w:ascii="Arial" w:cs="Arial" w:eastAsia="Arial" w:hAnsi="Arial"/>
                <w:sz w:val="18"/>
                <w:szCs w:val="18"/>
                <w:color w:val="auto"/>
              </w:rPr>
              <w:t>amount</w:t>
            </w:r>
          </w:p>
        </w:tc>
      </w:tr>
      <w:tr>
        <w:trPr>
          <w:trHeight w:val="458"/>
        </w:trPr>
        <w:tc>
          <w:tcPr>
            <w:tcW w:w="4400" w:type="dxa"/>
            <w:vAlign w:val="bottom"/>
          </w:tcPr>
          <w:p>
            <w:pPr>
              <w:spacing w:after="0"/>
              <w:rPr>
                <w:sz w:val="20"/>
                <w:szCs w:val="20"/>
                <w:color w:val="auto"/>
              </w:rPr>
            </w:pPr>
            <w:r>
              <w:rPr>
                <w:rFonts w:ascii="Arial" w:cs="Arial" w:eastAsia="Arial" w:hAnsi="Arial"/>
                <w:sz w:val="18"/>
                <w:szCs w:val="18"/>
                <w:color w:val="auto"/>
              </w:rPr>
              <w:t>Developed technology</w:t>
            </w:r>
          </w:p>
        </w:tc>
        <w:tc>
          <w:tcPr>
            <w:tcW w:w="4140" w:type="dxa"/>
            <w:vAlign w:val="bottom"/>
          </w:tcPr>
          <w:p>
            <w:pPr>
              <w:jc w:val="right"/>
              <w:ind w:right="70"/>
              <w:spacing w:after="0"/>
              <w:rPr>
                <w:sz w:val="20"/>
                <w:szCs w:val="20"/>
                <w:color w:val="auto"/>
              </w:rPr>
            </w:pPr>
            <w:r>
              <w:rPr>
                <w:rFonts w:ascii="Arial" w:cs="Arial" w:eastAsia="Arial" w:hAnsi="Arial"/>
                <w:sz w:val="18"/>
                <w:szCs w:val="18"/>
                <w:color w:val="auto"/>
              </w:rPr>
              <w:t>5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Customer relationship</w:t>
            </w:r>
          </w:p>
        </w:tc>
        <w:tc>
          <w:tcPr>
            <w:tcW w:w="4140" w:type="dxa"/>
            <w:vAlign w:val="bottom"/>
          </w:tcPr>
          <w:p>
            <w:pPr>
              <w:jc w:val="right"/>
              <w:ind w:right="70"/>
              <w:spacing w:after="0"/>
              <w:rPr>
                <w:sz w:val="20"/>
                <w:szCs w:val="20"/>
                <w:color w:val="auto"/>
              </w:rPr>
            </w:pPr>
            <w:r>
              <w:rPr>
                <w:rFonts w:ascii="Arial" w:cs="Arial" w:eastAsia="Arial" w:hAnsi="Arial"/>
                <w:sz w:val="18"/>
                <w:szCs w:val="18"/>
                <w:color w:val="auto"/>
              </w:rPr>
              <w:t>5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Contract backlog</w:t>
            </w:r>
          </w:p>
        </w:tc>
        <w:tc>
          <w:tcPr>
            <w:tcW w:w="4140" w:type="dxa"/>
            <w:vAlign w:val="bottom"/>
          </w:tcPr>
          <w:p>
            <w:pPr>
              <w:jc w:val="right"/>
              <w:ind w:right="70"/>
              <w:spacing w:after="0"/>
              <w:rPr>
                <w:sz w:val="20"/>
                <w:szCs w:val="20"/>
                <w:color w:val="auto"/>
              </w:rPr>
            </w:pPr>
            <w:r>
              <w:rPr>
                <w:rFonts w:ascii="Arial" w:cs="Arial" w:eastAsia="Arial" w:hAnsi="Arial"/>
                <w:sz w:val="18"/>
                <w:szCs w:val="18"/>
                <w:color w:val="auto"/>
              </w:rPr>
              <w:t>3 years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44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r>
      <w:tr>
        <w:trPr>
          <w:trHeight w:val="20"/>
        </w:trPr>
        <w:tc>
          <w:tcPr>
            <w:tcW w:w="4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860"/>
        <w:spacing w:after="0" w:line="263" w:lineRule="auto"/>
        <w:rPr>
          <w:sz w:val="20"/>
          <w:szCs w:val="20"/>
          <w:color w:val="auto"/>
        </w:rPr>
      </w:pPr>
      <w:r>
        <w:rPr>
          <w:rFonts w:ascii="Arial" w:cs="Arial" w:eastAsia="Arial" w:hAnsi="Arial"/>
          <w:sz w:val="18"/>
          <w:szCs w:val="18"/>
          <w:color w:val="auto"/>
        </w:rPr>
        <w:t>Pro-forma results related to the acquisition in accordance ASC 805 have not been presented because the acquisition of Changyi Group is not material, where net revenue and net loss of the acquired entity is less than 5% of the Company’s consolidated net revenue and net loss for the six months ended June 30,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85" w:lineRule="exact"/>
        <w:rPr>
          <w:sz w:val="20"/>
          <w:szCs w:val="20"/>
          <w:color w:val="auto"/>
        </w:rPr>
      </w:pPr>
    </w:p>
    <w:p>
      <w:pPr>
        <w:ind w:left="852" w:hanging="852"/>
        <w:spacing w:after="0"/>
        <w:tabs>
          <w:tab w:leader="none" w:pos="8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Addoil Broadcasts Limited</w:t>
      </w:r>
    </w:p>
    <w:p>
      <w:pPr>
        <w:spacing w:after="0" w:line="188" w:lineRule="exact"/>
        <w:rPr>
          <w:rFonts w:ascii="Arial" w:cs="Arial" w:eastAsia="Arial" w:hAnsi="Arial"/>
          <w:sz w:val="18"/>
          <w:szCs w:val="18"/>
          <w:b w:val="1"/>
          <w:bCs w:val="1"/>
          <w:color w:val="auto"/>
        </w:rPr>
      </w:pPr>
    </w:p>
    <w:p>
      <w:pPr>
        <w:jc w:val="both"/>
        <w:ind w:left="8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February 2019, the Company acquired 100% equity interest of Addoil Broadcasts Limited (“Addoil”), a company incorporated in Hong Kong. Addoil and its underlying subsidiary (together, “Addoil Group”) are engaged in the business of developing and operating a mobile application that collects and utilizes data from users who use its social functionalities to share food and travel related contents.</w:t>
      </w:r>
    </w:p>
    <w:p>
      <w:pPr>
        <w:spacing w:after="0" w:line="138" w:lineRule="exact"/>
        <w:rPr>
          <w:rFonts w:ascii="Arial" w:cs="Arial" w:eastAsia="Arial" w:hAnsi="Arial"/>
          <w:sz w:val="18"/>
          <w:szCs w:val="18"/>
          <w:b w:val="1"/>
          <w:bCs w:val="1"/>
          <w:color w:val="auto"/>
        </w:rPr>
      </w:pPr>
    </w:p>
    <w:p>
      <w:pPr>
        <w:jc w:val="both"/>
        <w:ind w:left="85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Addoil Group amounted to US$1,218 by cash. The acquisition was recorded as a business combination. The following table summarizes the estimated fair values of the assets acquired and liabilities assumed at the date of acquisition:</w:t>
      </w:r>
    </w:p>
    <w:p>
      <w:pPr>
        <w:spacing w:after="0" w:line="143" w:lineRule="exact"/>
        <w:rPr>
          <w:rFonts w:ascii="Arial" w:cs="Arial" w:eastAsia="Arial" w:hAnsi="Arial"/>
          <w:sz w:val="18"/>
          <w:szCs w:val="18"/>
          <w:b w:val="1"/>
          <w:bCs w:val="1"/>
          <w:color w:val="auto"/>
        </w:rPr>
      </w:pPr>
    </w:p>
    <w:p>
      <w:pPr>
        <w:ind w:left="852"/>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39" w:lineRule="exact"/>
        <w:rPr>
          <w:sz w:val="20"/>
          <w:szCs w:val="20"/>
          <w:color w:val="auto"/>
        </w:rPr>
      </w:pPr>
    </w:p>
    <w:tbl>
      <w:tblPr>
        <w:tblLayout w:type="fixed"/>
        <w:tblInd w:w="852" w:type="dxa"/>
        <w:tblCellMar>
          <w:top w:w="0" w:type="dxa"/>
          <w:left w:w="0" w:type="dxa"/>
          <w:bottom w:w="0" w:type="dxa"/>
          <w:right w:w="0" w:type="dxa"/>
        </w:tblCellMar>
      </w:tblP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6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Cash</w:t>
            </w: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Right-of-use asset</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gridSpan w:val="2"/>
          </w:tcPr>
          <w:p>
            <w:pPr>
              <w:ind w:left="60"/>
              <w:spacing w:after="0"/>
              <w:rPr>
                <w:sz w:val="20"/>
                <w:szCs w:val="20"/>
                <w:color w:val="auto"/>
              </w:rPr>
            </w:pPr>
            <w:r>
              <w:rPr>
                <w:rFonts w:ascii="Arial" w:cs="Arial" w:eastAsia="Arial" w:hAnsi="Arial"/>
                <w:sz w:val="18"/>
                <w:szCs w:val="18"/>
                <w:color w:val="auto"/>
              </w:rPr>
              <w:t>Current liabilities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540" w:type="dxa"/>
            <w:vAlign w:val="bottom"/>
          </w:tcPr>
          <w:p>
            <w:pPr>
              <w:ind w:left="60"/>
              <w:spacing w:after="0"/>
              <w:rPr>
                <w:sz w:val="20"/>
                <w:szCs w:val="20"/>
                <w:color w:val="auto"/>
              </w:rPr>
            </w:pPr>
            <w:r>
              <w:rPr>
                <w:rFonts w:ascii="Arial" w:cs="Arial" w:eastAsia="Arial" w:hAnsi="Arial"/>
                <w:sz w:val="18"/>
                <w:szCs w:val="18"/>
                <w:color w:val="auto"/>
              </w:rPr>
              <w:t>Total identifiable net assets acquired</w:t>
            </w:r>
          </w:p>
        </w:tc>
        <w:tc>
          <w:tcPr>
            <w:tcW w:w="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60"/>
              <w:spacing w:after="0"/>
              <w:rPr>
                <w:sz w:val="20"/>
                <w:szCs w:val="20"/>
                <w:color w:val="auto"/>
              </w:rPr>
            </w:pPr>
            <w:r>
              <w:rPr>
                <w:rFonts w:ascii="Arial" w:cs="Arial" w:eastAsia="Arial" w:hAnsi="Arial"/>
                <w:sz w:val="18"/>
                <w:szCs w:val="18"/>
                <w:color w:val="auto"/>
              </w:rPr>
              <w:t>Goodwill (Note 13)</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52" w:right="20"/>
        <w:spacing w:after="0" w:line="277" w:lineRule="auto"/>
        <w:rPr>
          <w:sz w:val="20"/>
          <w:szCs w:val="20"/>
          <w:color w:val="auto"/>
        </w:rPr>
      </w:pPr>
      <w:r>
        <w:rPr>
          <w:rFonts w:ascii="Arial" w:cs="Arial" w:eastAsia="Arial" w:hAnsi="Arial"/>
          <w:sz w:val="18"/>
          <w:szCs w:val="18"/>
          <w:color w:val="auto"/>
        </w:rPr>
        <w:t>As of December 31, 2019, purchase consideration payable of US$1,218 was settled and there is no adjustment to the purchase consideration amounts.</w:t>
      </w:r>
    </w:p>
    <w:p>
      <w:pPr>
        <w:spacing w:after="0" w:line="130" w:lineRule="exact"/>
        <w:rPr>
          <w:sz w:val="20"/>
          <w:szCs w:val="20"/>
          <w:color w:val="auto"/>
        </w:rPr>
      </w:pPr>
    </w:p>
    <w:p>
      <w:pPr>
        <w:jc w:val="both"/>
        <w:ind w:left="852"/>
        <w:spacing w:after="0" w:line="259" w:lineRule="auto"/>
        <w:rPr>
          <w:sz w:val="20"/>
          <w:szCs w:val="20"/>
          <w:color w:val="auto"/>
        </w:rPr>
      </w:pPr>
      <w:r>
        <w:rPr>
          <w:rFonts w:ascii="Arial" w:cs="Arial" w:eastAsia="Arial" w:hAnsi="Arial"/>
          <w:sz w:val="18"/>
          <w:szCs w:val="18"/>
          <w:color w:val="auto"/>
        </w:rPr>
        <w:t>The excess of purchase price over tangible assets and liabilities assumed was recorded as goodwill. Goodwill associated with the acquisition of Addoil Group was attributable to the expected synergy arising from the consolidated Marketing Solutions business. The acquired goodwill is not deductible for tax purposes. Acquisition-related costs were immaterial and were included in general and administrative expenses for the year ended December 31, 2019.</w:t>
      </w:r>
    </w:p>
    <w:p>
      <w:pPr>
        <w:spacing w:after="0" w:line="160" w:lineRule="exact"/>
        <w:rPr>
          <w:sz w:val="20"/>
          <w:szCs w:val="20"/>
          <w:color w:val="auto"/>
        </w:rPr>
      </w:pPr>
    </w:p>
    <w:p>
      <w:pPr>
        <w:jc w:val="both"/>
        <w:ind w:left="852"/>
        <w:spacing w:after="0" w:line="263" w:lineRule="auto"/>
        <w:rPr>
          <w:sz w:val="20"/>
          <w:szCs w:val="20"/>
          <w:color w:val="auto"/>
        </w:rPr>
      </w:pPr>
      <w:r>
        <w:rPr>
          <w:rFonts w:ascii="Arial" w:cs="Arial" w:eastAsia="Arial" w:hAnsi="Arial"/>
          <w:sz w:val="18"/>
          <w:szCs w:val="18"/>
          <w:color w:val="auto"/>
        </w:rPr>
        <w:t>Pro-forma results related to the acquisition in accordance ASC 805 have not been presented because the acquisition of Addoil Group is not material, where net revenue and net loss of the acquired entity is less than 5% of the Company’s consolidated net revenue and net loss for the six months ended June 30, 2019.</w:t>
      </w:r>
    </w:p>
    <w:p>
      <w:pPr>
        <w:spacing w:after="0" w:line="139" w:lineRule="exact"/>
        <w:rPr>
          <w:sz w:val="20"/>
          <w:szCs w:val="20"/>
          <w:color w:val="auto"/>
        </w:rPr>
      </w:pPr>
    </w:p>
    <w:p>
      <w:pPr>
        <w:ind w:left="852" w:hanging="852"/>
        <w:spacing w:after="0"/>
        <w:tabs>
          <w:tab w:leader="none" w:pos="8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Optimal Power Limited</w:t>
      </w:r>
    </w:p>
    <w:p>
      <w:pPr>
        <w:spacing w:after="0" w:line="188" w:lineRule="exact"/>
        <w:rPr>
          <w:rFonts w:ascii="Arial" w:cs="Arial" w:eastAsia="Arial" w:hAnsi="Arial"/>
          <w:sz w:val="18"/>
          <w:szCs w:val="18"/>
          <w:b w:val="1"/>
          <w:bCs w:val="1"/>
          <w:color w:val="auto"/>
        </w:rPr>
      </w:pPr>
    </w:p>
    <w:p>
      <w:pPr>
        <w:jc w:val="both"/>
        <w:ind w:left="85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May 2020, the Company acquired 80% equity interest of Optimal Power Limited ("Optimal"), a company incorporated in the British Virgin Islands. Optimal, through its wholly-owned subsidiary, has a business cooperation agreement entered into with a global media asset owner to act as its authorized digital advertising representative in the PRC for a period of 30 years. The agreement is essentially an advertising contract. The Company expects to increase its market share in the Marketing Solutions segment in the PRC upon acquisition of this advertising contract.</w:t>
      </w:r>
    </w:p>
    <w:p>
      <w:pPr>
        <w:spacing w:after="0" w:line="116" w:lineRule="exact"/>
        <w:rPr>
          <w:rFonts w:ascii="Arial" w:cs="Arial" w:eastAsia="Arial" w:hAnsi="Arial"/>
          <w:sz w:val="18"/>
          <w:szCs w:val="18"/>
          <w:b w:val="1"/>
          <w:bCs w:val="1"/>
          <w:color w:val="auto"/>
        </w:rPr>
      </w:pPr>
    </w:p>
    <w:p>
      <w:pPr>
        <w:ind w:left="8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determined to be an asset acquisition as Optimal did not contain outputs or a substantive process as at the date of acquisition, therefore it does not constitute a business under ASC 805.</w:t>
      </w:r>
    </w:p>
    <w:p>
      <w:pPr>
        <w:spacing w:after="0" w:line="143" w:lineRule="exact"/>
        <w:rPr>
          <w:rFonts w:ascii="Arial" w:cs="Arial" w:eastAsia="Arial" w:hAnsi="Arial"/>
          <w:sz w:val="18"/>
          <w:szCs w:val="18"/>
          <w:b w:val="1"/>
          <w:bCs w:val="1"/>
          <w:color w:val="auto"/>
        </w:rPr>
      </w:pPr>
    </w:p>
    <w:p>
      <w:pPr>
        <w:ind w:left="8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issued 3,589,744 Class A ordinary shares to the seller with a fair value of US$31,949, determined based on the for 80% equity interest of Optimal.</w:t>
      </w:r>
    </w:p>
    <w:p>
      <w:pPr>
        <w:spacing w:after="0" w:line="170" w:lineRule="exact"/>
        <w:rPr>
          <w:rFonts w:ascii="Arial" w:cs="Arial" w:eastAsia="Arial" w:hAnsi="Arial"/>
          <w:sz w:val="18"/>
          <w:szCs w:val="18"/>
          <w:b w:val="1"/>
          <w:bCs w:val="1"/>
          <w:color w:val="auto"/>
        </w:rPr>
      </w:pPr>
    </w:p>
    <w:p>
      <w:pPr>
        <w:ind w:left="5532" w:hanging="111"/>
        <w:spacing w:after="0"/>
        <w:tabs>
          <w:tab w:leader="none" w:pos="55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5" w:name="page36"/>
    <w:bookmarkEnd w:id="35"/>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85" w:lineRule="exact"/>
        <w:rPr>
          <w:sz w:val="20"/>
          <w:szCs w:val="20"/>
          <w:color w:val="auto"/>
        </w:rPr>
      </w:pPr>
    </w:p>
    <w:p>
      <w:pPr>
        <w:ind w:left="852" w:hanging="852"/>
        <w:spacing w:after="0"/>
        <w:tabs>
          <w:tab w:leader="none" w:pos="85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Optimal Power Limited (Continued)</w:t>
      </w:r>
    </w:p>
    <w:p>
      <w:pPr>
        <w:spacing w:after="0" w:line="188" w:lineRule="exact"/>
        <w:rPr>
          <w:rFonts w:ascii="Arial" w:cs="Arial" w:eastAsia="Arial" w:hAnsi="Arial"/>
          <w:sz w:val="18"/>
          <w:szCs w:val="18"/>
          <w:b w:val="1"/>
          <w:bCs w:val="1"/>
          <w:color w:val="auto"/>
        </w:rPr>
      </w:pPr>
    </w:p>
    <w:p>
      <w:pPr>
        <w:ind w:left="85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estimated fair values of assets acquired and liabilities assumed at the date of acquisition:</w:t>
      </w:r>
    </w:p>
    <w:p>
      <w:pPr>
        <w:spacing w:after="0" w:line="239" w:lineRule="exact"/>
        <w:rPr>
          <w:sz w:val="20"/>
          <w:szCs w:val="20"/>
          <w:color w:val="auto"/>
        </w:rPr>
      </w:pPr>
    </w:p>
    <w:tbl>
      <w:tblPr>
        <w:tblLayout w:type="fixed"/>
        <w:tblInd w:w="912"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Intangible asset</w:t>
            </w:r>
          </w:p>
        </w:tc>
        <w:tc>
          <w:tcPr>
            <w:tcW w:w="1740" w:type="dxa"/>
            <w:vAlign w:val="bottom"/>
          </w:tcPr>
          <w:p>
            <w:pPr>
              <w:jc w:val="right"/>
              <w:spacing w:after="0"/>
              <w:rPr>
                <w:sz w:val="20"/>
                <w:szCs w:val="20"/>
                <w:color w:val="auto"/>
              </w:rPr>
            </w:pPr>
            <w:r>
              <w:rPr>
                <w:rFonts w:ascii="Arial" w:cs="Arial" w:eastAsia="Arial" w:hAnsi="Arial"/>
                <w:sz w:val="18"/>
                <w:szCs w:val="18"/>
                <w:color w:val="auto"/>
              </w:rPr>
              <w:t>53,287</w:t>
            </w:r>
          </w:p>
        </w:tc>
        <w:tc>
          <w:tcPr>
            <w:tcW w:w="60" w:type="dxa"/>
            <w:vAlign w:val="bottom"/>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Other liabilities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(13,322)</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(7,987)</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identifiable net assets acquired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31,949</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52"/>
        <w:spacing w:after="0" w:line="277" w:lineRule="auto"/>
        <w:rPr>
          <w:sz w:val="20"/>
          <w:szCs w:val="20"/>
          <w:color w:val="auto"/>
        </w:rPr>
      </w:pPr>
      <w:r>
        <w:rPr>
          <w:rFonts w:ascii="Arial" w:cs="Arial" w:eastAsia="Arial" w:hAnsi="Arial"/>
          <w:sz w:val="18"/>
          <w:szCs w:val="18"/>
          <w:color w:val="auto"/>
        </w:rPr>
        <w:t>The intangible asset represents the advertising contract, which is amortized using the straight-line method over the estimated useful life of 30 years.</w:t>
      </w:r>
    </w:p>
    <w:p>
      <w:pPr>
        <w:spacing w:after="0" w:line="139" w:lineRule="exact"/>
        <w:rPr>
          <w:sz w:val="20"/>
          <w:szCs w:val="20"/>
          <w:color w:val="auto"/>
        </w:rPr>
      </w:pPr>
    </w:p>
    <w:p>
      <w:pPr>
        <w:ind w:left="852" w:hanging="852"/>
        <w:spacing w:after="0"/>
        <w:tabs>
          <w:tab w:leader="none" w:pos="8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time deposits</w:t>
      </w:r>
    </w:p>
    <w:p>
      <w:pPr>
        <w:spacing w:after="0" w:line="188" w:lineRule="exact"/>
        <w:rPr>
          <w:rFonts w:ascii="Arial" w:cs="Arial" w:eastAsia="Arial" w:hAnsi="Arial"/>
          <w:sz w:val="18"/>
          <w:szCs w:val="18"/>
          <w:b w:val="1"/>
          <w:bCs w:val="1"/>
          <w:color w:val="auto"/>
        </w:rPr>
      </w:pPr>
    </w:p>
    <w:p>
      <w:pPr>
        <w:ind w:left="8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short-term deposits placed with banks or other financial institutions which have original maturities of three months or less.</w:t>
      </w:r>
    </w:p>
    <w:p>
      <w:pPr>
        <w:spacing w:after="0" w:line="129" w:lineRule="exact"/>
        <w:rPr>
          <w:rFonts w:ascii="Arial" w:cs="Arial" w:eastAsia="Arial" w:hAnsi="Arial"/>
          <w:sz w:val="18"/>
          <w:szCs w:val="18"/>
          <w:b w:val="1"/>
          <w:bCs w:val="1"/>
          <w:color w:val="auto"/>
        </w:rPr>
      </w:pPr>
    </w:p>
    <w:p>
      <w:pPr>
        <w:ind w:left="852"/>
        <w:spacing w:after="0"/>
        <w:rPr>
          <w:rFonts w:ascii="Arial" w:cs="Arial" w:eastAsia="Arial" w:hAnsi="Arial"/>
          <w:sz w:val="18"/>
          <w:szCs w:val="18"/>
          <w:b w:val="1"/>
          <w:bCs w:val="1"/>
          <w:color w:val="auto"/>
        </w:rPr>
      </w:pPr>
      <w:r>
        <w:rPr>
          <w:rFonts w:ascii="Arial" w:cs="Arial" w:eastAsia="Arial" w:hAnsi="Arial"/>
          <w:sz w:val="16"/>
          <w:szCs w:val="16"/>
          <w:color w:val="auto"/>
        </w:rPr>
        <w:t>As of June 30, 2020, the Group had time deposits of US$473 (December 31, 2019: US$410) with an average original maturity of 6.5 months</w:t>
      </w:r>
    </w:p>
    <w:p>
      <w:pPr>
        <w:spacing w:after="0" w:line="46" w:lineRule="exact"/>
        <w:rPr>
          <w:rFonts w:ascii="Arial" w:cs="Arial" w:eastAsia="Arial" w:hAnsi="Arial"/>
          <w:sz w:val="18"/>
          <w:szCs w:val="18"/>
          <w:b w:val="1"/>
          <w:bCs w:val="1"/>
          <w:color w:val="auto"/>
        </w:rPr>
      </w:pPr>
    </w:p>
    <w:p>
      <w:pPr>
        <w:ind w:left="852"/>
        <w:spacing w:after="0"/>
        <w:rPr>
          <w:rFonts w:ascii="Arial" w:cs="Arial" w:eastAsia="Arial" w:hAnsi="Arial"/>
          <w:sz w:val="18"/>
          <w:szCs w:val="18"/>
          <w:b w:val="1"/>
          <w:bCs w:val="1"/>
          <w:color w:val="auto"/>
        </w:rPr>
      </w:pPr>
      <w:r>
        <w:rPr>
          <w:rFonts w:ascii="Arial" w:cs="Arial" w:eastAsia="Arial" w:hAnsi="Arial"/>
          <w:sz w:val="18"/>
          <w:szCs w:val="18"/>
          <w:color w:val="auto"/>
        </w:rPr>
        <w:t>(December 31, 2019: 3.2 months) and were denominated in US$ (December 31, 2019: US$).</w:t>
      </w:r>
    </w:p>
    <w:p>
      <w:pPr>
        <w:spacing w:after="0" w:line="170" w:lineRule="exact"/>
        <w:rPr>
          <w:rFonts w:ascii="Arial" w:cs="Arial" w:eastAsia="Arial" w:hAnsi="Arial"/>
          <w:sz w:val="18"/>
          <w:szCs w:val="18"/>
          <w:b w:val="1"/>
          <w:bCs w:val="1"/>
          <w:color w:val="auto"/>
        </w:rPr>
      </w:pPr>
    </w:p>
    <w:p>
      <w:pPr>
        <w:ind w:left="852"/>
        <w:spacing w:after="0"/>
        <w:rPr>
          <w:rFonts w:ascii="Arial" w:cs="Arial" w:eastAsia="Arial" w:hAnsi="Arial"/>
          <w:sz w:val="18"/>
          <w:szCs w:val="18"/>
          <w:b w:val="1"/>
          <w:bCs w:val="1"/>
          <w:color w:val="auto"/>
        </w:rPr>
      </w:pPr>
      <w:r>
        <w:rPr>
          <w:rFonts w:ascii="Arial" w:cs="Arial" w:eastAsia="Arial" w:hAnsi="Arial"/>
          <w:sz w:val="17"/>
          <w:szCs w:val="17"/>
          <w:color w:val="auto"/>
        </w:rPr>
        <w:t>Cash and cash equivalents and time deposits as of December 31, 2019 and June 30, 2020 primarily consist of the following currencies:</w:t>
      </w:r>
    </w:p>
    <w:p>
      <w:pPr>
        <w:spacing w:after="0" w:line="255" w:lineRule="exact"/>
        <w:rPr>
          <w:sz w:val="20"/>
          <w:szCs w:val="20"/>
          <w:color w:val="auto"/>
        </w:rPr>
      </w:pPr>
    </w:p>
    <w:tbl>
      <w:tblPr>
        <w:tblLayout w:type="fixed"/>
        <w:tblInd w:w="912"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As of</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4600" w:type="dxa"/>
            <w:vAlign w:val="bottom"/>
            <w:gridSpan w:val="3"/>
          </w:tcPr>
          <w:p>
            <w:pPr>
              <w:ind w:left="2380"/>
              <w:spacing w:after="0"/>
              <w:rPr>
                <w:sz w:val="20"/>
                <w:szCs w:val="20"/>
                <w:color w:val="auto"/>
              </w:rPr>
            </w:pPr>
            <w:r>
              <w:rPr>
                <w:rFonts w:ascii="Arial" w:cs="Arial" w:eastAsia="Arial" w:hAnsi="Arial"/>
                <w:sz w:val="16"/>
                <w:szCs w:val="16"/>
                <w:color w:val="auto"/>
              </w:rPr>
              <w:t>December 31, 2019</w:t>
            </w:r>
          </w:p>
        </w:tc>
        <w:tc>
          <w:tcPr>
            <w:tcW w:w="1420" w:type="dxa"/>
            <w:vAlign w:val="bottom"/>
            <w:gridSpan w:val="2"/>
          </w:tcPr>
          <w:p>
            <w:pPr>
              <w:ind w:left="500"/>
              <w:spacing w:after="0"/>
              <w:rPr>
                <w:sz w:val="20"/>
                <w:szCs w:val="20"/>
                <w:color w:val="auto"/>
              </w:rPr>
            </w:pPr>
            <w:r>
              <w:rPr>
                <w:rFonts w:ascii="Arial" w:cs="Arial" w:eastAsia="Arial" w:hAnsi="Arial"/>
                <w:sz w:val="16"/>
                <w:szCs w:val="16"/>
                <w:color w:val="auto"/>
                <w:w w:val="88"/>
              </w:rPr>
              <w:t>June 30, 2020</w:t>
            </w:r>
          </w:p>
        </w:tc>
        <w:tc>
          <w:tcPr>
            <w:tcW w:w="700" w:type="dxa"/>
            <w:vAlign w:val="bottom"/>
          </w:tcPr>
          <w:p>
            <w:pPr>
              <w:spacing w:after="0"/>
              <w:rPr>
                <w:sz w:val="18"/>
                <w:szCs w:val="18"/>
                <w:color w:val="auto"/>
              </w:rPr>
            </w:pPr>
          </w:p>
        </w:tc>
      </w:tr>
      <w:tr>
        <w:trPr>
          <w:trHeight w:val="212"/>
        </w:trPr>
        <w:tc>
          <w:tcPr>
            <w:tcW w:w="3500" w:type="dxa"/>
            <w:vAlign w:val="bottom"/>
          </w:tcPr>
          <w:p>
            <w:pPr>
              <w:spacing w:after="0"/>
              <w:rPr>
                <w:sz w:val="18"/>
                <w:szCs w:val="18"/>
                <w:color w:val="auto"/>
              </w:rPr>
            </w:pP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Amount in</w:t>
            </w:r>
          </w:p>
        </w:tc>
        <w:tc>
          <w:tcPr>
            <w:tcW w:w="1460" w:type="dxa"/>
            <w:vAlign w:val="bottom"/>
            <w:gridSpan w:val="2"/>
          </w:tcPr>
          <w:p>
            <w:pPr>
              <w:jc w:val="right"/>
              <w:ind w:right="420"/>
              <w:spacing w:after="0"/>
              <w:rPr>
                <w:sz w:val="20"/>
                <w:szCs w:val="20"/>
                <w:color w:val="auto"/>
              </w:rPr>
            </w:pPr>
            <w:r>
              <w:rPr>
                <w:rFonts w:ascii="Arial" w:cs="Arial" w:eastAsia="Arial" w:hAnsi="Arial"/>
                <w:sz w:val="16"/>
                <w:szCs w:val="16"/>
                <w:color w:val="auto"/>
              </w:rPr>
              <w:t>US$</w:t>
            </w:r>
          </w:p>
        </w:tc>
        <w:tc>
          <w:tcPr>
            <w:tcW w:w="1420" w:type="dxa"/>
            <w:vAlign w:val="bottom"/>
            <w:gridSpan w:val="2"/>
          </w:tcPr>
          <w:p>
            <w:pPr>
              <w:jc w:val="right"/>
              <w:ind w:right="580"/>
              <w:spacing w:after="0"/>
              <w:rPr>
                <w:sz w:val="20"/>
                <w:szCs w:val="20"/>
                <w:color w:val="auto"/>
              </w:rPr>
            </w:pPr>
            <w:r>
              <w:rPr>
                <w:rFonts w:ascii="Arial" w:cs="Arial" w:eastAsia="Arial" w:hAnsi="Arial"/>
                <w:sz w:val="16"/>
                <w:szCs w:val="16"/>
                <w:color w:val="auto"/>
              </w:rPr>
              <w:t>Amount in</w:t>
            </w:r>
          </w:p>
        </w:tc>
        <w:tc>
          <w:tcPr>
            <w:tcW w:w="700" w:type="dxa"/>
            <w:vAlign w:val="bottom"/>
          </w:tcPr>
          <w:p>
            <w:pPr>
              <w:jc w:val="right"/>
              <w:spacing w:after="0"/>
              <w:rPr>
                <w:sz w:val="20"/>
                <w:szCs w:val="20"/>
                <w:color w:val="auto"/>
              </w:rPr>
            </w:pPr>
            <w:r>
              <w:rPr>
                <w:rFonts w:ascii="Arial" w:cs="Arial" w:eastAsia="Arial" w:hAnsi="Arial"/>
                <w:sz w:val="16"/>
                <w:szCs w:val="16"/>
                <w:color w:val="auto"/>
              </w:rPr>
              <w:t>US$</w:t>
            </w:r>
          </w:p>
        </w:tc>
      </w:tr>
      <w:tr>
        <w:trPr>
          <w:trHeight w:val="206"/>
        </w:trPr>
        <w:tc>
          <w:tcPr>
            <w:tcW w:w="3500" w:type="dxa"/>
            <w:vAlign w:val="bottom"/>
          </w:tcPr>
          <w:p>
            <w:pPr>
              <w:spacing w:after="0"/>
              <w:rPr>
                <w:sz w:val="17"/>
                <w:szCs w:val="17"/>
                <w:color w:val="auto"/>
              </w:rPr>
            </w:pP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thousand</w:t>
            </w:r>
          </w:p>
        </w:tc>
        <w:tc>
          <w:tcPr>
            <w:tcW w:w="1460" w:type="dxa"/>
            <w:vAlign w:val="bottom"/>
            <w:gridSpan w:val="2"/>
          </w:tcPr>
          <w:p>
            <w:pPr>
              <w:jc w:val="right"/>
              <w:ind w:right="420"/>
              <w:spacing w:after="0"/>
              <w:rPr>
                <w:sz w:val="20"/>
                <w:szCs w:val="20"/>
                <w:color w:val="auto"/>
              </w:rPr>
            </w:pPr>
            <w:r>
              <w:rPr>
                <w:rFonts w:ascii="Arial" w:cs="Arial" w:eastAsia="Arial" w:hAnsi="Arial"/>
                <w:sz w:val="16"/>
                <w:szCs w:val="16"/>
                <w:color w:val="auto"/>
              </w:rPr>
              <w:t>equivalent</w:t>
            </w:r>
          </w:p>
        </w:tc>
        <w:tc>
          <w:tcPr>
            <w:tcW w:w="1420" w:type="dxa"/>
            <w:vAlign w:val="bottom"/>
            <w:gridSpan w:val="2"/>
          </w:tcPr>
          <w:p>
            <w:pPr>
              <w:jc w:val="right"/>
              <w:ind w:right="580"/>
              <w:spacing w:after="0"/>
              <w:rPr>
                <w:sz w:val="20"/>
                <w:szCs w:val="20"/>
                <w:color w:val="auto"/>
              </w:rPr>
            </w:pPr>
            <w:r>
              <w:rPr>
                <w:rFonts w:ascii="Arial" w:cs="Arial" w:eastAsia="Arial" w:hAnsi="Arial"/>
                <w:sz w:val="16"/>
                <w:szCs w:val="16"/>
                <w:color w:val="auto"/>
              </w:rPr>
              <w:t>thousand</w:t>
            </w:r>
          </w:p>
        </w:tc>
        <w:tc>
          <w:tcPr>
            <w:tcW w:w="700" w:type="dxa"/>
            <w:vAlign w:val="bottom"/>
          </w:tcPr>
          <w:p>
            <w:pPr>
              <w:jc w:val="right"/>
              <w:spacing w:after="0"/>
              <w:rPr>
                <w:sz w:val="20"/>
                <w:szCs w:val="20"/>
                <w:color w:val="auto"/>
              </w:rPr>
            </w:pPr>
            <w:r>
              <w:rPr>
                <w:rFonts w:ascii="Arial" w:cs="Arial" w:eastAsia="Arial" w:hAnsi="Arial"/>
                <w:sz w:val="16"/>
                <w:szCs w:val="16"/>
                <w:color w:val="auto"/>
                <w:w w:val="93"/>
              </w:rPr>
              <w:t>equivalent</w:t>
            </w:r>
          </w:p>
        </w:tc>
      </w:tr>
      <w:tr>
        <w:trPr>
          <w:trHeight w:val="432"/>
        </w:trPr>
        <w:tc>
          <w:tcPr>
            <w:tcW w:w="3500" w:type="dxa"/>
            <w:vAlign w:val="bottom"/>
          </w:tcPr>
          <w:p>
            <w:pPr>
              <w:spacing w:after="0"/>
              <w:rPr>
                <w:sz w:val="20"/>
                <w:szCs w:val="20"/>
                <w:color w:val="auto"/>
              </w:rPr>
            </w:pPr>
            <w:r>
              <w:rPr>
                <w:rFonts w:ascii="Arial" w:cs="Arial" w:eastAsia="Arial" w:hAnsi="Arial"/>
                <w:sz w:val="16"/>
                <w:szCs w:val="16"/>
                <w:color w:val="auto"/>
              </w:rPr>
              <w:t>RMB</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84,034</w:t>
            </w:r>
          </w:p>
        </w:tc>
        <w:tc>
          <w:tcPr>
            <w:tcW w:w="1040" w:type="dxa"/>
            <w:vAlign w:val="bottom"/>
          </w:tcPr>
          <w:p>
            <w:pPr>
              <w:jc w:val="right"/>
              <w:spacing w:after="0"/>
              <w:rPr>
                <w:sz w:val="20"/>
                <w:szCs w:val="20"/>
                <w:color w:val="auto"/>
              </w:rPr>
            </w:pPr>
            <w:r>
              <w:rPr>
                <w:rFonts w:ascii="Arial" w:cs="Arial" w:eastAsia="Arial" w:hAnsi="Arial"/>
                <w:sz w:val="16"/>
                <w:szCs w:val="16"/>
                <w:color w:val="auto"/>
              </w:rPr>
              <w:t>11,776</w:t>
            </w:r>
          </w:p>
        </w:tc>
        <w:tc>
          <w:tcPr>
            <w:tcW w:w="420" w:type="dxa"/>
            <w:vAlign w:val="bottom"/>
          </w:tcPr>
          <w:p>
            <w:pPr>
              <w:spacing w:after="0"/>
              <w:rPr>
                <w:sz w:val="24"/>
                <w:szCs w:val="24"/>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74,116</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10,424</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HK$</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8,329</w:t>
            </w:r>
          </w:p>
        </w:tc>
        <w:tc>
          <w:tcPr>
            <w:tcW w:w="1040" w:type="dxa"/>
            <w:vAlign w:val="bottom"/>
          </w:tcPr>
          <w:p>
            <w:pPr>
              <w:jc w:val="right"/>
              <w:spacing w:after="0"/>
              <w:rPr>
                <w:sz w:val="20"/>
                <w:szCs w:val="20"/>
                <w:color w:val="auto"/>
              </w:rPr>
            </w:pPr>
            <w:r>
              <w:rPr>
                <w:rFonts w:ascii="Arial" w:cs="Arial" w:eastAsia="Arial" w:hAnsi="Arial"/>
                <w:sz w:val="16"/>
                <w:szCs w:val="16"/>
                <w:color w:val="auto"/>
              </w:rPr>
              <w:t>1,061</w:t>
            </w:r>
          </w:p>
        </w:tc>
        <w:tc>
          <w:tcPr>
            <w:tcW w:w="4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30,852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3,981</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US$</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24,175</w:t>
            </w:r>
          </w:p>
        </w:tc>
        <w:tc>
          <w:tcPr>
            <w:tcW w:w="1040" w:type="dxa"/>
            <w:vAlign w:val="bottom"/>
          </w:tcPr>
          <w:p>
            <w:pPr>
              <w:jc w:val="right"/>
              <w:spacing w:after="0"/>
              <w:rPr>
                <w:sz w:val="20"/>
                <w:szCs w:val="20"/>
                <w:color w:val="auto"/>
              </w:rPr>
            </w:pPr>
            <w:r>
              <w:rPr>
                <w:rFonts w:ascii="Arial" w:cs="Arial" w:eastAsia="Arial" w:hAnsi="Arial"/>
                <w:sz w:val="16"/>
                <w:szCs w:val="16"/>
                <w:color w:val="auto"/>
              </w:rPr>
              <w:t>24,175</w:t>
            </w:r>
          </w:p>
        </w:tc>
        <w:tc>
          <w:tcPr>
            <w:tcW w:w="4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24,956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24,956</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Singapore dollars</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c>
          <w:tcPr>
            <w:tcW w:w="4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397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New Taiwan dollars</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931</w:t>
            </w: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1,754</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Japanese Yen</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4,550</w:t>
            </w: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966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3500" w:type="dxa"/>
            <w:vAlign w:val="bottom"/>
          </w:tcPr>
          <w:p>
            <w:pPr>
              <w:spacing w:after="0"/>
              <w:rPr>
                <w:sz w:val="20"/>
                <w:szCs w:val="20"/>
                <w:color w:val="auto"/>
              </w:rPr>
            </w:pPr>
            <w:r>
              <w:rPr>
                <w:rFonts w:ascii="Arial" w:cs="Arial" w:eastAsia="Arial" w:hAnsi="Arial"/>
                <w:sz w:val="16"/>
                <w:szCs w:val="16"/>
                <w:color w:val="auto"/>
              </w:rPr>
              <w:t>Others</w:t>
            </w:r>
          </w:p>
        </w:tc>
        <w:tc>
          <w:tcPr>
            <w:tcW w:w="3140" w:type="dxa"/>
            <w:vAlign w:val="bottom"/>
          </w:tcPr>
          <w:p>
            <w:pPr>
              <w:jc w:val="right"/>
              <w:ind w:right="159"/>
              <w:spacing w:after="0"/>
              <w:rPr>
                <w:sz w:val="20"/>
                <w:szCs w:val="20"/>
                <w:color w:val="auto"/>
              </w:rPr>
            </w:pPr>
            <w:r>
              <w:rPr>
                <w:rFonts w:ascii="Arial" w:cs="Arial" w:eastAsia="Arial" w:hAnsi="Arial"/>
                <w:sz w:val="16"/>
                <w:szCs w:val="16"/>
                <w:color w:val="auto"/>
              </w:rPr>
              <w:t>72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420" w:type="dxa"/>
            <w:vAlign w:val="bottom"/>
          </w:tcPr>
          <w:p>
            <w:pPr>
              <w:spacing w:after="0"/>
              <w:rPr>
                <w:sz w:val="19"/>
                <w:szCs w:val="19"/>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130</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3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37,264</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39,828</w:t>
            </w:r>
          </w:p>
        </w:tc>
      </w:tr>
      <w:tr>
        <w:trPr>
          <w:trHeight w:val="20"/>
        </w:trPr>
        <w:tc>
          <w:tcPr>
            <w:tcW w:w="3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852" w:hanging="852"/>
        <w:spacing w:after="0"/>
        <w:tabs>
          <w:tab w:leader="none" w:pos="8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02" w:lineRule="exact"/>
        <w:rPr>
          <w:rFonts w:ascii="Arial" w:cs="Arial" w:eastAsia="Arial" w:hAnsi="Arial"/>
          <w:sz w:val="18"/>
          <w:szCs w:val="18"/>
          <w:b w:val="1"/>
          <w:bCs w:val="1"/>
          <w:color w:val="auto"/>
        </w:rPr>
      </w:pPr>
    </w:p>
    <w:p>
      <w:pPr>
        <w:jc w:val="both"/>
        <w:ind w:left="8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June 30, 2020, the Group’s restricted cash of US$24,379 (December 31, 2019: US$23,852) represented bank balances held in restricted bank accounts pursuant to certain short term loan agreements (see Note 17 for details) and carried fixed interest at a weighted average rate of 0.65% (December 31, 2019: 1.85%) per annum, out of which US$21,981 (December 31, 2019: US$21,463) and US$2,398 (December 31, 2019: US$2,389) are denominated in US$ and HK$, respectively.</w:t>
      </w:r>
    </w:p>
    <w:p>
      <w:pPr>
        <w:spacing w:after="0" w:line="186" w:lineRule="exact"/>
        <w:rPr>
          <w:rFonts w:ascii="Arial" w:cs="Arial" w:eastAsia="Arial" w:hAnsi="Arial"/>
          <w:sz w:val="18"/>
          <w:szCs w:val="18"/>
          <w:b w:val="1"/>
          <w:bCs w:val="1"/>
          <w:color w:val="auto"/>
        </w:rPr>
      </w:pPr>
    </w:p>
    <w:p>
      <w:pPr>
        <w:ind w:left="5532" w:hanging="111"/>
        <w:spacing w:after="0"/>
        <w:tabs>
          <w:tab w:leader="none" w:pos="5532" w:val="left"/>
        </w:tabs>
        <w:numPr>
          <w:ilvl w:val="1"/>
          <w:numId w:val="43"/>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6" w:name="page37"/>
    <w:bookmarkEnd w:id="36"/>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w:t>
      </w:r>
    </w:p>
    <w:p>
      <w:pPr>
        <w:spacing w:after="0" w:line="185" w:lineRule="exact"/>
        <w:rPr>
          <w:sz w:val="20"/>
          <w:szCs w:val="20"/>
          <w:color w:val="auto"/>
        </w:rPr>
      </w:pPr>
    </w:p>
    <w:p>
      <w:pPr>
        <w:ind w:left="852" w:hanging="852"/>
        <w:spacing w:after="0"/>
        <w:tabs>
          <w:tab w:leader="none" w:pos="8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an equity investee</w:t>
      </w:r>
    </w:p>
    <w:p>
      <w:pPr>
        <w:spacing w:after="0" w:line="188" w:lineRule="exact"/>
        <w:rPr>
          <w:rFonts w:ascii="Arial" w:cs="Arial" w:eastAsia="Arial" w:hAnsi="Arial"/>
          <w:sz w:val="18"/>
          <w:szCs w:val="18"/>
          <w:b w:val="1"/>
          <w:bCs w:val="1"/>
          <w:color w:val="auto"/>
        </w:rPr>
      </w:pPr>
    </w:p>
    <w:p>
      <w:pPr>
        <w:jc w:val="both"/>
        <w:ind w:left="8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May 31, 2019, the Company and VGI Global Media PLC (“VGI”), an online-to-offline solutions provider across advertising, payment and logistics platforms in Thailand, jointly established a new company namely V-Click Technology Company Limited (“V-Click”). VGI holds a majority stake of 51% in V-Click and the Company holds the remaining 49% stake. The investment was accounted for as an equity-method investment due to the significant influence the Company has over the operating and financial policies of the equity investee.</w:t>
      </w:r>
    </w:p>
    <w:p>
      <w:pPr>
        <w:spacing w:after="0" w:line="144" w:lineRule="exact"/>
        <w:rPr>
          <w:rFonts w:ascii="Arial" w:cs="Arial" w:eastAsia="Arial" w:hAnsi="Arial"/>
          <w:sz w:val="18"/>
          <w:szCs w:val="18"/>
          <w:b w:val="1"/>
          <w:bCs w:val="1"/>
          <w:color w:val="auto"/>
        </w:rPr>
      </w:pPr>
    </w:p>
    <w:p>
      <w:pPr>
        <w:ind w:left="852"/>
        <w:spacing w:after="0"/>
        <w:rPr>
          <w:rFonts w:ascii="Arial" w:cs="Arial" w:eastAsia="Arial" w:hAnsi="Arial"/>
          <w:sz w:val="18"/>
          <w:szCs w:val="18"/>
          <w:b w:val="1"/>
          <w:bCs w:val="1"/>
          <w:color w:val="auto"/>
        </w:rPr>
      </w:pPr>
      <w:r>
        <w:rPr>
          <w:rFonts w:ascii="Arial" w:cs="Arial" w:eastAsia="Arial" w:hAnsi="Arial"/>
          <w:sz w:val="17"/>
          <w:szCs w:val="17"/>
          <w:color w:val="auto"/>
        </w:rPr>
        <w:t>Movements on the Group’s investment in an equity investee during the six months ended June 30, 2019 and 2020 were as follows:</w:t>
      </w:r>
    </w:p>
    <w:p>
      <w:pPr>
        <w:spacing w:after="0" w:line="250"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600" w:type="dxa"/>
            <w:vAlign w:val="bottom"/>
            <w:gridSpan w:val="3"/>
          </w:tcPr>
          <w:p>
            <w:pPr>
              <w:jc w:val="center"/>
              <w:ind w:left="410"/>
              <w:spacing w:after="0"/>
              <w:rPr>
                <w:sz w:val="20"/>
                <w:szCs w:val="20"/>
                <w:color w:val="auto"/>
              </w:rPr>
            </w:pPr>
            <w:r>
              <w:rPr>
                <w:rFonts w:ascii="Arial" w:cs="Arial" w:eastAsia="Arial" w:hAnsi="Arial"/>
                <w:sz w:val="18"/>
                <w:szCs w:val="18"/>
                <w:color w:val="auto"/>
                <w:w w:val="89"/>
              </w:rPr>
              <w:t>For the six months ended</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7100" w:type="dxa"/>
            <w:vAlign w:val="bottom"/>
          </w:tcPr>
          <w:p>
            <w:pPr>
              <w:spacing w:after="0"/>
              <w:rPr>
                <w:sz w:val="19"/>
                <w:szCs w:val="19"/>
                <w:color w:val="auto"/>
              </w:rPr>
            </w:pPr>
          </w:p>
        </w:tc>
        <w:tc>
          <w:tcPr>
            <w:tcW w:w="260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r>
      <w:tr>
        <w:trPr>
          <w:trHeight w:val="458"/>
        </w:trPr>
        <w:tc>
          <w:tcPr>
            <w:tcW w:w="7100" w:type="dxa"/>
            <w:vAlign w:val="bottom"/>
          </w:tcPr>
          <w:p>
            <w:pPr>
              <w:spacing w:after="0"/>
              <w:rPr>
                <w:sz w:val="20"/>
                <w:szCs w:val="20"/>
                <w:color w:val="auto"/>
              </w:rPr>
            </w:pPr>
            <w:r>
              <w:rPr>
                <w:rFonts w:ascii="Arial" w:cs="Arial" w:eastAsia="Arial" w:hAnsi="Arial"/>
                <w:sz w:val="18"/>
                <w:szCs w:val="18"/>
                <w:color w:val="auto"/>
              </w:rPr>
              <w:t>Balance at the beginning of period</w:t>
            </w:r>
          </w:p>
        </w:tc>
        <w:tc>
          <w:tcPr>
            <w:tcW w:w="260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4"/>
                <w:szCs w:val="24"/>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Cost of investment</w:t>
            </w:r>
          </w:p>
        </w:tc>
        <w:tc>
          <w:tcPr>
            <w:tcW w:w="1420" w:type="dxa"/>
            <w:vAlign w:val="bottom"/>
          </w:tcPr>
          <w:p>
            <w:pPr>
              <w:jc w:val="right"/>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Capital injection</w:t>
            </w:r>
          </w:p>
        </w:tc>
        <w:tc>
          <w:tcPr>
            <w:tcW w:w="260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Share of losses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Exchange differences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Balance at the end of period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52" w:right="20"/>
        <w:spacing w:after="0" w:line="308" w:lineRule="auto"/>
        <w:rPr>
          <w:sz w:val="20"/>
          <w:szCs w:val="20"/>
          <w:color w:val="auto"/>
        </w:rPr>
      </w:pPr>
      <w:r>
        <w:rPr>
          <w:rFonts w:ascii="Arial" w:cs="Arial" w:eastAsia="Arial" w:hAnsi="Arial"/>
          <w:sz w:val="17"/>
          <w:szCs w:val="17"/>
          <w:color w:val="auto"/>
        </w:rPr>
        <w:t>The Group recognized its share of the equity investee’s loss of US$14 and US$69 for the six months ended June 30, 2019 and 2020, respectively. There was no indicator of impairment noted for this equity-method investment as of December 31, 2019 and June 30, 2020.</w:t>
      </w:r>
    </w:p>
    <w:p>
      <w:pPr>
        <w:spacing w:after="0" w:line="102" w:lineRule="exact"/>
        <w:rPr>
          <w:sz w:val="20"/>
          <w:szCs w:val="20"/>
          <w:color w:val="auto"/>
        </w:rPr>
      </w:pPr>
    </w:p>
    <w:p>
      <w:pPr>
        <w:ind w:left="852" w:hanging="852"/>
        <w:spacing w:after="0"/>
        <w:tabs>
          <w:tab w:leader="none" w:pos="8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Amount due from an equity investee</w:t>
      </w:r>
    </w:p>
    <w:p>
      <w:pPr>
        <w:spacing w:after="0" w:line="189" w:lineRule="exact"/>
        <w:rPr>
          <w:sz w:val="20"/>
          <w:szCs w:val="20"/>
          <w:color w:val="auto"/>
        </w:rPr>
      </w:pPr>
    </w:p>
    <w:p>
      <w:pPr>
        <w:ind w:left="852"/>
        <w:spacing w:after="0" w:line="277" w:lineRule="auto"/>
        <w:rPr>
          <w:sz w:val="20"/>
          <w:szCs w:val="20"/>
          <w:color w:val="auto"/>
        </w:rPr>
      </w:pPr>
      <w:r>
        <w:rPr>
          <w:rFonts w:ascii="Arial" w:cs="Arial" w:eastAsia="Arial" w:hAnsi="Arial"/>
          <w:sz w:val="18"/>
          <w:szCs w:val="18"/>
          <w:color w:val="auto"/>
        </w:rPr>
        <w:t>As of December 31, 2019 and June 30, 2020, the amount was due from V-Click in relation to a cash advance of US$155 and US$199, respectively, which was unsecured, interest-free and repayable on demand.</w:t>
      </w:r>
    </w:p>
    <w:p>
      <w:pPr>
        <w:spacing w:after="0" w:line="126" w:lineRule="exact"/>
        <w:rPr>
          <w:sz w:val="20"/>
          <w:szCs w:val="20"/>
          <w:color w:val="auto"/>
        </w:rPr>
      </w:pPr>
    </w:p>
    <w:p>
      <w:pPr>
        <w:ind w:left="852" w:hanging="852"/>
        <w:spacing w:after="0"/>
        <w:tabs>
          <w:tab w:leader="none" w:pos="8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investments</w:t>
      </w:r>
    </w:p>
    <w:p>
      <w:pPr>
        <w:spacing w:after="0" w:line="188" w:lineRule="exact"/>
        <w:rPr>
          <w:rFonts w:ascii="Arial" w:cs="Arial" w:eastAsia="Arial" w:hAnsi="Arial"/>
          <w:sz w:val="18"/>
          <w:szCs w:val="18"/>
          <w:b w:val="1"/>
          <w:bCs w:val="1"/>
          <w:color w:val="auto"/>
        </w:rPr>
      </w:pPr>
    </w:p>
    <w:p>
      <w:pPr>
        <w:jc w:val="both"/>
        <w:ind w:left="8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other long-term investments consist of securities without readily determinable fair value and over which the Group has neither significant influence nor control through investments in common stock or in-substance common stock. There was no change in fair value related to the investments for the six months ended June 30, 2019 and 2020. The investments are not considered material to the Group’s financial position.</w:t>
      </w:r>
    </w:p>
    <w:p>
      <w:pPr>
        <w:spacing w:after="0" w:line="159" w:lineRule="exact"/>
        <w:rPr>
          <w:rFonts w:ascii="Arial" w:cs="Arial" w:eastAsia="Arial" w:hAnsi="Arial"/>
          <w:sz w:val="18"/>
          <w:szCs w:val="18"/>
          <w:b w:val="1"/>
          <w:bCs w:val="1"/>
          <w:color w:val="auto"/>
        </w:rPr>
      </w:pPr>
    </w:p>
    <w:p>
      <w:pPr>
        <w:ind w:left="8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June 30, 2020, the Group had long-term investments in equity securities without readily determinable fair value at an amount of US$1,503 and US$3,445, respectively.</w:t>
      </w:r>
    </w:p>
    <w:p>
      <w:pPr>
        <w:spacing w:after="0" w:line="129" w:lineRule="exact"/>
        <w:rPr>
          <w:rFonts w:ascii="Arial" w:cs="Arial" w:eastAsia="Arial" w:hAnsi="Arial"/>
          <w:sz w:val="18"/>
          <w:szCs w:val="18"/>
          <w:b w:val="1"/>
          <w:bCs w:val="1"/>
          <w:color w:val="auto"/>
        </w:rPr>
      </w:pPr>
    </w:p>
    <w:p>
      <w:pPr>
        <w:ind w:left="8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of December 31, 2019 and June 30, 2020, the Group had prepayments of US$1,000 and US$6,785, respectively, for certain long-term equity investments. As of the date of these interim condensed consolidated financial statements, the investments have not been completed.</w:t>
      </w:r>
    </w:p>
    <w:p>
      <w:pPr>
        <w:spacing w:after="0" w:line="123" w:lineRule="exact"/>
        <w:rPr>
          <w:rFonts w:ascii="Arial" w:cs="Arial" w:eastAsia="Arial" w:hAnsi="Arial"/>
          <w:sz w:val="18"/>
          <w:szCs w:val="18"/>
          <w:b w:val="1"/>
          <w:bCs w:val="1"/>
          <w:color w:val="auto"/>
        </w:rPr>
      </w:pPr>
    </w:p>
    <w:p>
      <w:pPr>
        <w:ind w:left="5532" w:hanging="111"/>
        <w:spacing w:after="0"/>
        <w:tabs>
          <w:tab w:leader="none" w:pos="55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7" w:name="page38"/>
    <w:bookmarkEnd w:id="37"/>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hanging="852"/>
        <w:spacing w:after="0"/>
        <w:tabs>
          <w:tab w:leader="none" w:pos="8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gridSpan w:val="4"/>
          </w:tcPr>
          <w:p>
            <w:pPr>
              <w:ind w:left="1540"/>
              <w:spacing w:after="0"/>
              <w:rPr>
                <w:sz w:val="20"/>
                <w:szCs w:val="20"/>
                <w:color w:val="auto"/>
              </w:rPr>
            </w:pPr>
            <w:r>
              <w:rPr>
                <w:rFonts w:ascii="Arial" w:cs="Arial" w:eastAsia="Arial" w:hAnsi="Arial"/>
                <w:sz w:val="18"/>
                <w:szCs w:val="18"/>
                <w:color w:val="auto"/>
              </w:rPr>
              <w:t>As of</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4"/>
          </w:tcPr>
          <w:p>
            <w:pPr>
              <w:ind w:left="580"/>
              <w:spacing w:after="0"/>
              <w:rPr>
                <w:sz w:val="20"/>
                <w:szCs w:val="20"/>
                <w:color w:val="auto"/>
              </w:rPr>
            </w:pPr>
            <w:r>
              <w:rPr>
                <w:rFonts w:ascii="Arial" w:cs="Arial" w:eastAsia="Arial" w:hAnsi="Arial"/>
                <w:sz w:val="18"/>
                <w:szCs w:val="18"/>
                <w:color w:val="auto"/>
              </w:rPr>
              <w:t>December 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Accounts receivable, gross</w:t>
            </w:r>
          </w:p>
        </w:tc>
        <w:tc>
          <w:tcPr>
            <w:tcW w:w="1600" w:type="dxa"/>
            <w:vAlign w:val="bottom"/>
          </w:tcPr>
          <w:p>
            <w:pPr>
              <w:jc w:val="right"/>
              <w:spacing w:after="0"/>
              <w:rPr>
                <w:sz w:val="20"/>
                <w:szCs w:val="20"/>
                <w:color w:val="auto"/>
              </w:rPr>
            </w:pPr>
            <w:r>
              <w:rPr>
                <w:rFonts w:ascii="Arial" w:cs="Arial" w:eastAsia="Arial" w:hAnsi="Arial"/>
                <w:sz w:val="18"/>
                <w:szCs w:val="18"/>
                <w:color w:val="auto"/>
              </w:rPr>
              <w:t>147,440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Less: Allowance for credit losses (Note 2(f))</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(3,469)</w:t>
            </w:r>
          </w:p>
        </w:tc>
        <w:tc>
          <w:tcPr>
            <w:tcW w:w="5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143,971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10</w:t>
            </w:r>
          </w:p>
        </w:tc>
        <w:tc>
          <w:tcPr>
            <w:tcW w:w="716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Other assets</w:t>
            </w: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vMerge w:val="continue"/>
          </w:tcPr>
          <w:p>
            <w:pPr>
              <w:spacing w:after="0"/>
              <w:rPr>
                <w:sz w:val="24"/>
                <w:szCs w:val="24"/>
                <w:color w:val="auto"/>
              </w:rPr>
            </w:pPr>
          </w:p>
        </w:tc>
        <w:tc>
          <w:tcPr>
            <w:tcW w:w="716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Other assets consist of the following:</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gridSpan w:val="4"/>
          </w:tcPr>
          <w:p>
            <w:pPr>
              <w:ind w:left="1520"/>
              <w:spacing w:after="0"/>
              <w:rPr>
                <w:sz w:val="20"/>
                <w:szCs w:val="20"/>
                <w:color w:val="auto"/>
              </w:rPr>
            </w:pPr>
            <w:r>
              <w:rPr>
                <w:rFonts w:ascii="Arial" w:cs="Arial" w:eastAsia="Arial" w:hAnsi="Arial"/>
                <w:sz w:val="18"/>
                <w:szCs w:val="18"/>
                <w:color w:val="auto"/>
              </w:rPr>
              <w:t>As of</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4"/>
          </w:tcPr>
          <w:p>
            <w:pPr>
              <w:ind w:left="600"/>
              <w:spacing w:after="0"/>
              <w:rPr>
                <w:sz w:val="20"/>
                <w:szCs w:val="20"/>
                <w:color w:val="auto"/>
              </w:rPr>
            </w:pPr>
            <w:r>
              <w:rPr>
                <w:rFonts w:ascii="Arial" w:cs="Arial" w:eastAsia="Arial" w:hAnsi="Arial"/>
                <w:sz w:val="18"/>
                <w:szCs w:val="18"/>
                <w:color w:val="auto"/>
              </w:rPr>
              <w:t>December 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b w:val="1"/>
                <w:bCs w:val="1"/>
                <w:color w:val="auto"/>
              </w:rPr>
              <w:t>Current</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Deposits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4,859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Prepayments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Loan and interest receivable (Note)</w:t>
            </w:r>
          </w:p>
        </w:tc>
        <w:tc>
          <w:tcPr>
            <w:tcW w:w="2400" w:type="dxa"/>
            <w:vAlign w:val="bottom"/>
            <w:gridSpan w:val="4"/>
          </w:tcPr>
          <w:p>
            <w:pPr>
              <w:jc w:val="right"/>
              <w:ind w:righ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VAT receivable</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Others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978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8,983</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b w:val="1"/>
                <w:bCs w:val="1"/>
                <w:color w:val="auto"/>
              </w:rPr>
              <w:t>Non-current</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160" w:type="dxa"/>
            <w:vAlign w:val="bottom"/>
            <w:gridSpan w:val="2"/>
          </w:tcPr>
          <w:p>
            <w:pPr>
              <w:ind w:left="400"/>
              <w:spacing w:after="0"/>
              <w:rPr>
                <w:sz w:val="20"/>
                <w:szCs w:val="20"/>
                <w:color w:val="auto"/>
              </w:rPr>
            </w:pPr>
            <w:r>
              <w:rPr>
                <w:rFonts w:ascii="Arial" w:cs="Arial" w:eastAsia="Arial" w:hAnsi="Arial"/>
                <w:sz w:val="18"/>
                <w:szCs w:val="18"/>
                <w:color w:val="auto"/>
              </w:rPr>
              <w:t>Rental deposits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Note:</w:t>
      </w:r>
    </w:p>
    <w:p>
      <w:pPr>
        <w:spacing w:after="0" w:line="198" w:lineRule="exact"/>
        <w:rPr>
          <w:sz w:val="20"/>
          <w:szCs w:val="20"/>
          <w:color w:val="auto"/>
        </w:rPr>
      </w:pPr>
    </w:p>
    <w:p>
      <w:pPr>
        <w:jc w:val="both"/>
        <w:ind w:left="860" w:right="20"/>
        <w:spacing w:after="0" w:line="263" w:lineRule="auto"/>
        <w:rPr>
          <w:sz w:val="20"/>
          <w:szCs w:val="20"/>
          <w:color w:val="auto"/>
        </w:rPr>
      </w:pPr>
      <w:r>
        <w:rPr>
          <w:rFonts w:ascii="Arial" w:cs="Arial" w:eastAsia="Arial" w:hAnsi="Arial"/>
          <w:sz w:val="18"/>
          <w:szCs w:val="18"/>
          <w:color w:val="auto"/>
        </w:rPr>
        <w:t>As of June 30, 2020, the amount represents a loan of HK$15.6 million (equivalent to US$2,013) to a third party which was interest-bearing at 9% per annum, unsecured, and due in August 2020, and the corresponding interest receivable of HK$0.5 million (equivalent to US$67) which was repayable on demand.</w:t>
      </w:r>
    </w:p>
    <w:p>
      <w:pPr>
        <w:spacing w:after="0" w:line="180" w:lineRule="exact"/>
        <w:rPr>
          <w:sz w:val="20"/>
          <w:szCs w:val="20"/>
          <w:color w:val="auto"/>
        </w:rPr>
      </w:pPr>
    </w:p>
    <w:p>
      <w:pPr>
        <w:ind w:left="860" w:hanging="852"/>
        <w:spacing w:after="0"/>
        <w:tabs>
          <w:tab w:leader="none" w:pos="8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8"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80" w:type="dxa"/>
            <w:vAlign w:val="bottom"/>
            <w:gridSpan w:val="3"/>
          </w:tcPr>
          <w:p>
            <w:pPr>
              <w:ind w:left="1520"/>
              <w:spacing w:after="0"/>
              <w:rPr>
                <w:sz w:val="20"/>
                <w:szCs w:val="20"/>
                <w:color w:val="auto"/>
              </w:rPr>
            </w:pPr>
            <w:r>
              <w:rPr>
                <w:rFonts w:ascii="Arial" w:cs="Arial" w:eastAsia="Arial" w:hAnsi="Arial"/>
                <w:sz w:val="18"/>
                <w:szCs w:val="18"/>
                <w:color w:val="auto"/>
              </w:rPr>
              <w:t>As of</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80" w:type="dxa"/>
            <w:vAlign w:val="bottom"/>
            <w:gridSpan w:val="3"/>
          </w:tcPr>
          <w:p>
            <w:pPr>
              <w:ind w:left="600"/>
              <w:spacing w:after="0"/>
              <w:rPr>
                <w:sz w:val="20"/>
                <w:szCs w:val="20"/>
                <w:color w:val="auto"/>
              </w:rPr>
            </w:pPr>
            <w:r>
              <w:rPr>
                <w:rFonts w:ascii="Arial" w:cs="Arial" w:eastAsia="Arial" w:hAnsi="Arial"/>
                <w:sz w:val="18"/>
                <w:szCs w:val="18"/>
                <w:color w:val="auto"/>
              </w:rPr>
              <w:t>December 31,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320" w:type="dxa"/>
            <w:vAlign w:val="bottom"/>
          </w:tcPr>
          <w:p>
            <w:pPr>
              <w:ind w:left="920"/>
              <w:spacing w:after="0"/>
              <w:rPr>
                <w:sz w:val="20"/>
                <w:szCs w:val="20"/>
                <w:color w:val="auto"/>
              </w:rPr>
            </w:pPr>
            <w:r>
              <w:rPr>
                <w:rFonts w:ascii="Arial" w:cs="Arial" w:eastAsia="Arial" w:hAnsi="Arial"/>
                <w:sz w:val="18"/>
                <w:szCs w:val="18"/>
                <w:b w:val="1"/>
                <w:bCs w:val="1"/>
                <w:color w:val="auto"/>
              </w:rPr>
              <w:t>Cost:</w:t>
            </w:r>
          </w:p>
        </w:tc>
        <w:tc>
          <w:tcPr>
            <w:tcW w:w="3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160"/>
              <w:spacing w:after="0"/>
              <w:rPr>
                <w:sz w:val="20"/>
                <w:szCs w:val="20"/>
                <w:color w:val="auto"/>
              </w:rPr>
            </w:pPr>
            <w:r>
              <w:rPr>
                <w:rFonts w:ascii="Arial" w:cs="Arial" w:eastAsia="Arial" w:hAnsi="Arial"/>
                <w:sz w:val="18"/>
                <w:szCs w:val="18"/>
                <w:color w:val="auto"/>
              </w:rPr>
              <w:t>Office equipment</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4,541</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160"/>
              <w:spacing w:after="0"/>
              <w:rPr>
                <w:sz w:val="20"/>
                <w:szCs w:val="20"/>
                <w:color w:val="auto"/>
              </w:rPr>
            </w:pPr>
            <w:r>
              <w:rPr>
                <w:rFonts w:ascii="Arial" w:cs="Arial" w:eastAsia="Arial" w:hAnsi="Arial"/>
                <w:sz w:val="18"/>
                <w:szCs w:val="18"/>
                <w:color w:val="auto"/>
              </w:rPr>
              <w:t>Leasehold improvements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160"/>
              <w:spacing w:after="0"/>
              <w:rPr>
                <w:sz w:val="20"/>
                <w:szCs w:val="20"/>
                <w:color w:val="auto"/>
              </w:rPr>
            </w:pPr>
            <w:r>
              <w:rPr>
                <w:rFonts w:ascii="Arial" w:cs="Arial" w:eastAsia="Arial" w:hAnsi="Arial"/>
                <w:sz w:val="18"/>
                <w:szCs w:val="18"/>
                <w:color w:val="auto"/>
              </w:rPr>
              <w:t>Furniture and fixtures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920"/>
              <w:spacing w:after="0"/>
              <w:rPr>
                <w:sz w:val="20"/>
                <w:szCs w:val="20"/>
                <w:color w:val="auto"/>
              </w:rPr>
            </w:pPr>
            <w:r>
              <w:rPr>
                <w:rFonts w:ascii="Arial" w:cs="Arial" w:eastAsia="Arial" w:hAnsi="Arial"/>
                <w:sz w:val="18"/>
                <w:szCs w:val="18"/>
                <w:color w:val="auto"/>
              </w:rPr>
              <w:t>Total cost</w:t>
            </w:r>
          </w:p>
        </w:tc>
        <w:tc>
          <w:tcPr>
            <w:tcW w:w="336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920"/>
              <w:spacing w:after="0"/>
              <w:rPr>
                <w:sz w:val="20"/>
                <w:szCs w:val="20"/>
                <w:color w:val="auto"/>
              </w:rPr>
            </w:pPr>
            <w:r>
              <w:rPr>
                <w:rFonts w:ascii="Arial" w:cs="Arial" w:eastAsia="Arial" w:hAnsi="Arial"/>
                <w:sz w:val="18"/>
                <w:szCs w:val="18"/>
                <w:color w:val="auto"/>
              </w:rPr>
              <w:t>Less: Accumulated depreciation</w:t>
            </w:r>
          </w:p>
        </w:tc>
        <w:tc>
          <w:tcPr>
            <w:tcW w:w="5240" w:type="dxa"/>
            <w:vAlign w:val="bottom"/>
            <w:gridSpan w:val="3"/>
          </w:tcPr>
          <w:p>
            <w:pPr>
              <w:jc w:val="right"/>
              <w:ind w:right="200"/>
              <w:spacing w:after="0"/>
              <w:rPr>
                <w:sz w:val="20"/>
                <w:szCs w:val="20"/>
                <w:color w:val="auto"/>
              </w:rPr>
            </w:pPr>
            <w:r>
              <w:rPr>
                <w:rFonts w:ascii="Arial" w:cs="Arial" w:eastAsia="Arial" w:hAnsi="Arial"/>
                <w:sz w:val="18"/>
                <w:szCs w:val="18"/>
                <w:color w:val="auto"/>
              </w:rPr>
              <w:t>(6,266)</w:t>
            </w:r>
          </w:p>
        </w:tc>
        <w:tc>
          <w:tcPr>
            <w:tcW w:w="5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30"/>
        </w:trPr>
        <w:tc>
          <w:tcPr>
            <w:tcW w:w="4320" w:type="dxa"/>
            <w:vAlign w:val="bottom"/>
          </w:tcPr>
          <w:p>
            <w:pPr>
              <w:ind w:left="920"/>
              <w:spacing w:after="0"/>
              <w:rPr>
                <w:sz w:val="20"/>
                <w:szCs w:val="20"/>
                <w:color w:val="auto"/>
              </w:rPr>
            </w:pPr>
            <w:r>
              <w:rPr>
                <w:rFonts w:ascii="Arial" w:cs="Arial" w:eastAsia="Arial" w:hAnsi="Arial"/>
                <w:sz w:val="18"/>
                <w:szCs w:val="18"/>
                <w:color w:val="auto"/>
              </w:rPr>
              <w:t>Exchange differences</w:t>
            </w:r>
          </w:p>
        </w:tc>
        <w:tc>
          <w:tcPr>
            <w:tcW w:w="5240" w:type="dxa"/>
            <w:vAlign w:val="bottom"/>
            <w:gridSpan w:val="3"/>
          </w:tcPr>
          <w:p>
            <w:pPr>
              <w:jc w:val="right"/>
              <w:ind w:right="200"/>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320" w:type="dxa"/>
            <w:vAlign w:val="bottom"/>
          </w:tcPr>
          <w:p>
            <w:pPr>
              <w:ind w:left="920"/>
              <w:spacing w:after="0"/>
              <w:rPr>
                <w:sz w:val="20"/>
                <w:szCs w:val="20"/>
                <w:color w:val="auto"/>
              </w:rPr>
            </w:pPr>
            <w:r>
              <w:rPr>
                <w:rFonts w:ascii="Arial" w:cs="Arial" w:eastAsia="Arial" w:hAnsi="Arial"/>
                <w:sz w:val="18"/>
                <w:szCs w:val="18"/>
                <w:color w:val="auto"/>
              </w:rPr>
              <w:t>Property and equipment, net</w:t>
            </w:r>
          </w:p>
        </w:tc>
        <w:tc>
          <w:tcPr>
            <w:tcW w:w="336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360" w:type="dxa"/>
            <w:vAlign w:val="bottom"/>
            <w:vMerge w:val="restart"/>
          </w:tcPr>
          <w:p>
            <w:pPr>
              <w:jc w:val="right"/>
              <w:ind w:right="1770"/>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hanging="852"/>
        <w:spacing w:after="0"/>
        <w:tabs>
          <w:tab w:leader="none" w:pos="8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88"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Depreciation of property and equipment recognized for the six months ended June 30, 2019 and 2020 are summarized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66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For the six months ended</w:t>
            </w:r>
          </w:p>
        </w:tc>
        <w:tc>
          <w:tcPr>
            <w:tcW w:w="540" w:type="dxa"/>
            <w:vAlign w:val="bottom"/>
          </w:tcPr>
          <w:p>
            <w:pPr>
              <w:spacing w:after="0"/>
              <w:rPr>
                <w:sz w:val="18"/>
                <w:szCs w:val="18"/>
                <w:color w:val="auto"/>
              </w:rPr>
            </w:pPr>
          </w:p>
        </w:tc>
      </w:tr>
      <w:tr>
        <w:trPr>
          <w:trHeight w:val="229"/>
        </w:trPr>
        <w:tc>
          <w:tcPr>
            <w:tcW w:w="7020" w:type="dxa"/>
            <w:vAlign w:val="bottom"/>
          </w:tcPr>
          <w:p>
            <w:pPr>
              <w:spacing w:after="0"/>
              <w:rPr>
                <w:sz w:val="19"/>
                <w:szCs w:val="19"/>
                <w:color w:val="auto"/>
              </w:rPr>
            </w:pPr>
          </w:p>
        </w:tc>
        <w:tc>
          <w:tcPr>
            <w:tcW w:w="2660" w:type="dxa"/>
            <w:vAlign w:val="bottom"/>
            <w:gridSpan w:val="3"/>
          </w:tcPr>
          <w:p>
            <w:pPr>
              <w:jc w:val="center"/>
              <w:ind w:left="410"/>
              <w:spacing w:after="0"/>
              <w:rPr>
                <w:sz w:val="20"/>
                <w:szCs w:val="20"/>
                <w:color w:val="auto"/>
              </w:rPr>
            </w:pPr>
            <w:r>
              <w:rPr>
                <w:rFonts w:ascii="Arial" w:cs="Arial" w:eastAsia="Arial" w:hAnsi="Arial"/>
                <w:sz w:val="18"/>
                <w:szCs w:val="18"/>
                <w:color w:val="auto"/>
                <w:w w:val="86"/>
              </w:rPr>
              <w:t>June 30,</w:t>
            </w:r>
          </w:p>
        </w:tc>
        <w:tc>
          <w:tcPr>
            <w:tcW w:w="540" w:type="dxa"/>
            <w:vAlign w:val="bottom"/>
          </w:tcPr>
          <w:p>
            <w:pPr>
              <w:spacing w:after="0"/>
              <w:rPr>
                <w:sz w:val="19"/>
                <w:szCs w:val="19"/>
                <w:color w:val="auto"/>
              </w:rPr>
            </w:pPr>
          </w:p>
        </w:tc>
      </w:tr>
      <w:tr>
        <w:trPr>
          <w:trHeight w:val="230"/>
        </w:trPr>
        <w:tc>
          <w:tcPr>
            <w:tcW w:w="70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458"/>
        </w:trPr>
        <w:tc>
          <w:tcPr>
            <w:tcW w:w="702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7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852"/>
        <w:spacing w:after="0"/>
        <w:tabs>
          <w:tab w:leader="none" w:pos="8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02"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 of the following:</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70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December 31,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color w:val="auto"/>
              </w:rPr>
              <w:t>Cost:</w:t>
            </w:r>
          </w:p>
        </w:tc>
        <w:tc>
          <w:tcPr>
            <w:tcW w:w="156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Computer software</w:t>
            </w:r>
          </w:p>
        </w:tc>
        <w:tc>
          <w:tcPr>
            <w:tcW w:w="1560" w:type="dxa"/>
            <w:vAlign w:val="bottom"/>
          </w:tcPr>
          <w:p>
            <w:pPr>
              <w:jc w:val="right"/>
              <w:spacing w:after="0"/>
              <w:rPr>
                <w:sz w:val="20"/>
                <w:szCs w:val="20"/>
                <w:color w:val="auto"/>
              </w:rPr>
            </w:pPr>
            <w:r>
              <w:rPr>
                <w:rFonts w:ascii="Arial" w:cs="Arial" w:eastAsia="Arial" w:hAnsi="Arial"/>
                <w:sz w:val="18"/>
                <w:szCs w:val="18"/>
                <w:color w:val="auto"/>
              </w:rPr>
              <w:t>22,615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Developed technologies</w:t>
            </w:r>
          </w:p>
        </w:tc>
        <w:tc>
          <w:tcPr>
            <w:tcW w:w="15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Customer relationship</w:t>
            </w:r>
          </w:p>
        </w:tc>
        <w:tc>
          <w:tcPr>
            <w:tcW w:w="1560" w:type="dxa"/>
            <w:vAlign w:val="bottom"/>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40"/>
              <w:spacing w:after="0"/>
              <w:rPr>
                <w:sz w:val="20"/>
                <w:szCs w:val="20"/>
                <w:color w:val="auto"/>
              </w:rPr>
            </w:pPr>
            <w:r>
              <w:rPr>
                <w:rFonts w:ascii="Arial" w:cs="Arial" w:eastAsia="Arial" w:hAnsi="Arial"/>
                <w:sz w:val="18"/>
                <w:szCs w:val="18"/>
                <w:color w:val="auto"/>
              </w:rPr>
              <w:t>Contract backlog</w:t>
            </w:r>
          </w:p>
        </w:tc>
        <w:tc>
          <w:tcPr>
            <w:tcW w:w="156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Advertising contract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(19,910)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(22,588)</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Exchange differences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Amortization expense recognized for the six months ended June 30, 2019 and 2020 are summarized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64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For the six months ended</w:t>
            </w:r>
          </w:p>
        </w:tc>
        <w:tc>
          <w:tcPr>
            <w:tcW w:w="560" w:type="dxa"/>
            <w:vAlign w:val="bottom"/>
          </w:tcPr>
          <w:p>
            <w:pPr>
              <w:spacing w:after="0"/>
              <w:rPr>
                <w:sz w:val="18"/>
                <w:szCs w:val="18"/>
                <w:color w:val="auto"/>
              </w:rPr>
            </w:pPr>
          </w:p>
        </w:tc>
      </w:tr>
      <w:tr>
        <w:trPr>
          <w:trHeight w:val="229"/>
        </w:trPr>
        <w:tc>
          <w:tcPr>
            <w:tcW w:w="7020" w:type="dxa"/>
            <w:vAlign w:val="bottom"/>
          </w:tcPr>
          <w:p>
            <w:pPr>
              <w:spacing w:after="0"/>
              <w:rPr>
                <w:sz w:val="19"/>
                <w:szCs w:val="19"/>
                <w:color w:val="auto"/>
              </w:rPr>
            </w:pPr>
          </w:p>
        </w:tc>
        <w:tc>
          <w:tcPr>
            <w:tcW w:w="264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560" w:type="dxa"/>
            <w:vAlign w:val="bottom"/>
          </w:tcPr>
          <w:p>
            <w:pPr>
              <w:spacing w:after="0"/>
              <w:rPr>
                <w:sz w:val="19"/>
                <w:szCs w:val="19"/>
                <w:color w:val="auto"/>
              </w:rPr>
            </w:pPr>
          </w:p>
        </w:tc>
      </w:tr>
      <w:tr>
        <w:trPr>
          <w:trHeight w:val="230"/>
        </w:trPr>
        <w:tc>
          <w:tcPr>
            <w:tcW w:w="70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458"/>
        </w:trPr>
        <w:tc>
          <w:tcPr>
            <w:tcW w:w="7020" w:type="dxa"/>
            <w:vAlign w:val="bottom"/>
          </w:tcPr>
          <w:p>
            <w:pPr>
              <w:spacing w:after="0"/>
              <w:rPr>
                <w:sz w:val="20"/>
                <w:szCs w:val="20"/>
                <w:color w:val="auto"/>
              </w:rPr>
            </w:pPr>
            <w:r>
              <w:rPr>
                <w:rFonts w:ascii="Arial" w:cs="Arial" w:eastAsia="Arial" w:hAnsi="Arial"/>
                <w:sz w:val="18"/>
                <w:szCs w:val="18"/>
                <w:color w:val="auto"/>
              </w:rPr>
              <w:t>Cost of revenues</w:t>
            </w:r>
          </w:p>
        </w:tc>
        <w:tc>
          <w:tcPr>
            <w:tcW w:w="1540" w:type="dxa"/>
            <w:vAlign w:val="bottom"/>
          </w:tcPr>
          <w:p>
            <w:pPr>
              <w:jc w:val="right"/>
              <w:spacing w:after="0"/>
              <w:rPr>
                <w:sz w:val="20"/>
                <w:szCs w:val="20"/>
                <w:color w:val="auto"/>
              </w:rPr>
            </w:pPr>
            <w:r>
              <w:rPr>
                <w:rFonts w:ascii="Arial" w:cs="Arial" w:eastAsia="Arial" w:hAnsi="Arial"/>
                <w:sz w:val="18"/>
                <w:szCs w:val="18"/>
                <w:color w:val="auto"/>
              </w:rPr>
              <w:t>2,417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2,666</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2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r>
      <w:tr>
        <w:trPr>
          <w:trHeight w:val="20"/>
        </w:trPr>
        <w:tc>
          <w:tcPr>
            <w:tcW w:w="7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60" w:right="20"/>
        <w:spacing w:after="0" w:line="277" w:lineRule="auto"/>
        <w:rPr>
          <w:sz w:val="20"/>
          <w:szCs w:val="20"/>
          <w:color w:val="auto"/>
        </w:rPr>
      </w:pPr>
      <w:r>
        <w:rPr>
          <w:rFonts w:ascii="Arial" w:cs="Arial" w:eastAsia="Arial" w:hAnsi="Arial"/>
          <w:sz w:val="18"/>
          <w:szCs w:val="18"/>
          <w:color w:val="auto"/>
        </w:rPr>
        <w:t>The estimated aggregate amortization expense for the remainder of 2020 as of June 30, 2020 and each of the four years ending December 31, 2024 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920"/>
              <w:spacing w:after="0"/>
              <w:rPr>
                <w:sz w:val="20"/>
                <w:szCs w:val="20"/>
                <w:color w:val="auto"/>
              </w:rPr>
            </w:pPr>
            <w:r>
              <w:rPr>
                <w:rFonts w:ascii="Arial" w:cs="Arial" w:eastAsia="Arial" w:hAnsi="Arial"/>
                <w:sz w:val="18"/>
                <w:szCs w:val="18"/>
                <w:color w:val="auto"/>
              </w:rPr>
              <w:t>Remainder of 2020</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920"/>
              <w:spacing w:after="0"/>
              <w:rPr>
                <w:sz w:val="20"/>
                <w:szCs w:val="20"/>
                <w:color w:val="auto"/>
              </w:rPr>
            </w:pPr>
            <w:r>
              <w:rPr>
                <w:rFonts w:ascii="Arial" w:cs="Arial" w:eastAsia="Arial" w:hAnsi="Arial"/>
                <w:sz w:val="18"/>
                <w:szCs w:val="18"/>
                <w:color w:val="auto"/>
              </w:rPr>
              <w:t>2021</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920"/>
              <w:spacing w:after="0"/>
              <w:rPr>
                <w:sz w:val="20"/>
                <w:szCs w:val="20"/>
                <w:color w:val="auto"/>
              </w:rPr>
            </w:pPr>
            <w:r>
              <w:rPr>
                <w:rFonts w:ascii="Arial" w:cs="Arial" w:eastAsia="Arial" w:hAnsi="Arial"/>
                <w:sz w:val="18"/>
                <w:szCs w:val="18"/>
                <w:color w:val="auto"/>
              </w:rPr>
              <w:t>2022</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920"/>
              <w:spacing w:after="0"/>
              <w:rPr>
                <w:sz w:val="20"/>
                <w:szCs w:val="20"/>
                <w:color w:val="auto"/>
              </w:rPr>
            </w:pPr>
            <w:r>
              <w:rPr>
                <w:rFonts w:ascii="Arial" w:cs="Arial" w:eastAsia="Arial" w:hAnsi="Arial"/>
                <w:sz w:val="18"/>
                <w:szCs w:val="18"/>
                <w:color w:val="auto"/>
              </w:rPr>
              <w:t>2023</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920"/>
              <w:spacing w:after="0"/>
              <w:rPr>
                <w:sz w:val="20"/>
                <w:szCs w:val="20"/>
                <w:color w:val="auto"/>
              </w:rPr>
            </w:pPr>
            <w:r>
              <w:rPr>
                <w:rFonts w:ascii="Arial" w:cs="Arial" w:eastAsia="Arial" w:hAnsi="Arial"/>
                <w:sz w:val="18"/>
                <w:szCs w:val="18"/>
                <w:color w:val="auto"/>
              </w:rPr>
              <w:t>2024 onwards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46,912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560" w:type="dxa"/>
            <w:vAlign w:val="bottom"/>
            <w:vMerge w:val="restart"/>
          </w:tcPr>
          <w:p>
            <w:pPr>
              <w:jc w:val="right"/>
              <w:ind w:right="3510"/>
              <w:spacing w:after="0"/>
              <w:rPr>
                <w:sz w:val="20"/>
                <w:szCs w:val="20"/>
                <w:color w:val="auto"/>
              </w:rPr>
            </w:pPr>
            <w:r>
              <w:rPr>
                <w:rFonts w:ascii="Arial" w:cs="Arial" w:eastAsia="Arial" w:hAnsi="Arial"/>
                <w:sz w:val="18"/>
                <w:szCs w:val="18"/>
                <w:color w:val="auto"/>
              </w:rPr>
              <w:t>-24-</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6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9" w:name="page40"/>
    <w:bookmarkEnd w:id="39"/>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88"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Movements on goodwill during the periods were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Marketing</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Enterprise</w:t>
            </w:r>
          </w:p>
        </w:tc>
        <w:tc>
          <w:tcPr>
            <w:tcW w:w="1220" w:type="dxa"/>
            <w:vAlign w:val="bottom"/>
          </w:tcPr>
          <w:p>
            <w:pPr>
              <w:spacing w:after="0"/>
              <w:rPr>
                <w:sz w:val="18"/>
                <w:szCs w:val="18"/>
                <w:color w:val="auto"/>
              </w:rPr>
            </w:pPr>
          </w:p>
        </w:tc>
      </w:tr>
      <w:tr>
        <w:trPr>
          <w:trHeight w:val="230"/>
        </w:trPr>
        <w:tc>
          <w:tcPr>
            <w:tcW w:w="61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Solutions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Solutions</w:t>
            </w:r>
          </w:p>
        </w:tc>
        <w:tc>
          <w:tcPr>
            <w:tcW w:w="1220" w:type="dxa"/>
            <w:vAlign w:val="bottom"/>
          </w:tcPr>
          <w:p>
            <w:pPr>
              <w:jc w:val="right"/>
              <w:spacing w:after="0"/>
              <w:rPr>
                <w:sz w:val="20"/>
                <w:szCs w:val="20"/>
                <w:color w:val="auto"/>
              </w:rPr>
            </w:pPr>
            <w:r>
              <w:rPr>
                <w:rFonts w:ascii="Arial" w:cs="Arial" w:eastAsia="Arial" w:hAnsi="Arial"/>
                <w:sz w:val="18"/>
                <w:szCs w:val="18"/>
                <w:color w:val="auto"/>
              </w:rPr>
              <w:t>Total</w:t>
            </w:r>
          </w:p>
        </w:tc>
      </w:tr>
      <w:tr>
        <w:trPr>
          <w:trHeight w:val="458"/>
        </w:trPr>
        <w:tc>
          <w:tcPr>
            <w:tcW w:w="612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48,496</w:t>
            </w:r>
          </w:p>
        </w:tc>
        <w:tc>
          <w:tcPr>
            <w:tcW w:w="2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48,496</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Goodwill arising from acquisitions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w:t>
            </w: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Balance as of June 30, 2019, December 31, 2019 and</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120" w:type="dxa"/>
            <w:vAlign w:val="bottom"/>
          </w:tcPr>
          <w:p>
            <w:pPr>
              <w:ind w:left="120"/>
              <w:spacing w:after="0"/>
              <w:rPr>
                <w:sz w:val="20"/>
                <w:szCs w:val="20"/>
                <w:color w:val="auto"/>
              </w:rPr>
            </w:pPr>
            <w:r>
              <w:rPr>
                <w:rFonts w:ascii="Arial" w:cs="Arial" w:eastAsia="Arial" w:hAnsi="Arial"/>
                <w:sz w:val="18"/>
                <w:szCs w:val="18"/>
                <w:color w:val="auto"/>
              </w:rPr>
              <w:t>June 30,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49,621</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65,710</w:t>
            </w:r>
          </w:p>
        </w:tc>
      </w:tr>
      <w:tr>
        <w:trPr>
          <w:trHeight w:val="20"/>
        </w:trPr>
        <w:tc>
          <w:tcPr>
            <w:tcW w:w="6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860" w:right="20"/>
        <w:spacing w:after="0" w:line="263"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using a two-step process. Based on the annual impairment tests performed at the year-end dates and no other impairment indicators being identified at the end of interim reporting periods, no impairment of goodwill was recorded for all periods presented.</w:t>
      </w:r>
    </w:p>
    <w:p>
      <w:pPr>
        <w:spacing w:after="0" w:line="153" w:lineRule="exact"/>
        <w:rPr>
          <w:sz w:val="20"/>
          <w:szCs w:val="20"/>
          <w:color w:val="auto"/>
        </w:rPr>
      </w:pPr>
    </w:p>
    <w:p>
      <w:pPr>
        <w:ind w:left="860" w:hanging="852"/>
        <w:spacing w:after="0"/>
        <w:tabs>
          <w:tab w:leader="none" w:pos="8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Lease accounting</w:t>
      </w:r>
    </w:p>
    <w:p>
      <w:pPr>
        <w:spacing w:after="0" w:line="188" w:lineRule="exact"/>
        <w:rPr>
          <w:rFonts w:ascii="Arial" w:cs="Arial" w:eastAsia="Arial" w:hAnsi="Arial"/>
          <w:sz w:val="18"/>
          <w:szCs w:val="18"/>
          <w:b w:val="1"/>
          <w:bCs w:val="1"/>
          <w:color w:val="auto"/>
        </w:rPr>
      </w:pPr>
    </w:p>
    <w:p>
      <w:pPr>
        <w:jc w:val="both"/>
        <w:ind w:left="8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adopted ASC 842 as of January 1, 2019. As part of the implementation, the Company recognized its lease liabilities, including the current and non-current portions, within its condensed interim consolidated balance sheet as of the adoption date, which represents the present value of the Company’s obligation related to the estimated future lease payments. The Company also recognized a right-of-use (“ROU”) asset which represents the right to use the leased asset over the period of the lease. The ROU asset was calculated as the lease liability less any asset or liability balances that existed at the time of adoption. The amortization expense of ROU assets amounted to US$653 and US$682 for the six months ended June 30, 2019 and 2020, respectively.</w:t>
      </w:r>
    </w:p>
    <w:p>
      <w:pPr>
        <w:spacing w:after="0" w:line="137" w:lineRule="exact"/>
        <w:rPr>
          <w:rFonts w:ascii="Arial" w:cs="Arial" w:eastAsia="Arial" w:hAnsi="Arial"/>
          <w:sz w:val="18"/>
          <w:szCs w:val="18"/>
          <w:b w:val="1"/>
          <w:bCs w:val="1"/>
          <w:color w:val="auto"/>
        </w:rPr>
      </w:pPr>
    </w:p>
    <w:p>
      <w:pPr>
        <w:jc w:val="both"/>
        <w:ind w:left="8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lease term is generally specified in the lease agreement,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The lease terms of the Company’s operating leases generally range from 12 months to 39 months, and the weighted average remaining lease term is 18 months as of June 30, 2020.</w:t>
      </w:r>
    </w:p>
    <w:p>
      <w:pPr>
        <w:spacing w:after="0" w:line="130" w:lineRule="exact"/>
        <w:rPr>
          <w:rFonts w:ascii="Arial" w:cs="Arial" w:eastAsia="Arial" w:hAnsi="Arial"/>
          <w:sz w:val="18"/>
          <w:szCs w:val="18"/>
          <w:b w:val="1"/>
          <w:bCs w:val="1"/>
          <w:color w:val="auto"/>
        </w:rPr>
      </w:pPr>
    </w:p>
    <w:p>
      <w:pPr>
        <w:jc w:val="both"/>
        <w:ind w:left="8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To determine the estimated future lease payments, the Company reviews each of its lease agreements to identify the various payment components. The Company includes only the actual lease components in its determination of future lease payments for all the leases. Once the estimated future lease payments are determined, the Company uses a discount rate to calculate the present value of the future lease payments. As of June 30, 2020, a weighted average discount rate of 7.00% has been applied to the remaining lease payments to calculate the lease liabilities included within the interim condensed consolidated balance sheet. This represents the incremental borrowing rate the Company would be subject to on borrowings from its available revolving debt agreements.</w:t>
      </w:r>
    </w:p>
    <w:p>
      <w:pPr>
        <w:spacing w:after="0" w:line="150"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maturity of the Company’s operating lease liabilities as of June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ind w:left="920"/>
              <w:spacing w:after="0"/>
              <w:rPr>
                <w:sz w:val="20"/>
                <w:szCs w:val="20"/>
                <w:color w:val="auto"/>
              </w:rPr>
            </w:pPr>
            <w:r>
              <w:rPr>
                <w:rFonts w:ascii="Arial" w:cs="Arial" w:eastAsia="Arial" w:hAnsi="Arial"/>
                <w:sz w:val="18"/>
                <w:szCs w:val="18"/>
                <w:color w:val="auto"/>
              </w:rPr>
              <w:t>Remainder of 2020</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920"/>
              <w:spacing w:after="0"/>
              <w:rPr>
                <w:sz w:val="20"/>
                <w:szCs w:val="20"/>
                <w:color w:val="auto"/>
              </w:rPr>
            </w:pPr>
            <w:r>
              <w:rPr>
                <w:rFonts w:ascii="Arial" w:cs="Arial" w:eastAsia="Arial" w:hAnsi="Arial"/>
                <w:sz w:val="18"/>
                <w:szCs w:val="18"/>
                <w:color w:val="auto"/>
              </w:rPr>
              <w:t>2021</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40" w:type="dxa"/>
            <w:vAlign w:val="bottom"/>
          </w:tcPr>
          <w:p>
            <w:pPr>
              <w:ind w:left="920"/>
              <w:spacing w:after="0"/>
              <w:rPr>
                <w:sz w:val="20"/>
                <w:szCs w:val="20"/>
                <w:color w:val="auto"/>
              </w:rPr>
            </w:pPr>
            <w:r>
              <w:rPr>
                <w:rFonts w:ascii="Arial" w:cs="Arial" w:eastAsia="Arial" w:hAnsi="Arial"/>
                <w:sz w:val="18"/>
                <w:szCs w:val="18"/>
                <w:color w:val="auto"/>
              </w:rPr>
              <w:t>Total operating lease payments (undiscounted)</w:t>
            </w:r>
          </w:p>
        </w:tc>
        <w:tc>
          <w:tcPr>
            <w:tcW w:w="458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920"/>
              <w:spacing w:after="0"/>
              <w:rPr>
                <w:sz w:val="20"/>
                <w:szCs w:val="20"/>
                <w:color w:val="auto"/>
              </w:rPr>
            </w:pPr>
            <w:r>
              <w:rPr>
                <w:rFonts w:ascii="Arial" w:cs="Arial" w:eastAsia="Arial" w:hAnsi="Arial"/>
                <w:sz w:val="18"/>
                <w:szCs w:val="18"/>
                <w:color w:val="auto"/>
              </w:rPr>
              <w:t>Less: Imputed interest</w:t>
            </w:r>
          </w:p>
        </w:tc>
        <w:tc>
          <w:tcPr>
            <w:tcW w:w="642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840" w:type="dxa"/>
            <w:vAlign w:val="bottom"/>
          </w:tcPr>
          <w:p>
            <w:pPr>
              <w:ind w:left="920"/>
              <w:spacing w:after="0"/>
              <w:rPr>
                <w:sz w:val="20"/>
                <w:szCs w:val="20"/>
                <w:color w:val="auto"/>
              </w:rPr>
            </w:pPr>
            <w:r>
              <w:rPr>
                <w:rFonts w:ascii="Arial" w:cs="Arial" w:eastAsia="Arial" w:hAnsi="Arial"/>
                <w:sz w:val="18"/>
                <w:szCs w:val="18"/>
                <w:color w:val="auto"/>
              </w:rPr>
              <w:t>Total operating lease liabilities (discounted)</w:t>
            </w:r>
          </w:p>
        </w:tc>
        <w:tc>
          <w:tcPr>
            <w:tcW w:w="45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580" w:type="dxa"/>
            <w:vAlign w:val="bottom"/>
            <w:vMerge w:val="restart"/>
          </w:tcPr>
          <w:p>
            <w:pPr>
              <w:jc w:val="right"/>
              <w:ind w:right="3510"/>
              <w:spacing w:after="0"/>
              <w:rPr>
                <w:sz w:val="20"/>
                <w:szCs w:val="20"/>
                <w:color w:val="auto"/>
              </w:rPr>
            </w:pPr>
            <w:r>
              <w:rPr>
                <w:rFonts w:ascii="Arial" w:cs="Arial" w:eastAsia="Arial" w:hAnsi="Arial"/>
                <w:sz w:val="18"/>
                <w:szCs w:val="18"/>
                <w:color w:val="auto"/>
              </w:rPr>
              <w:t>-25-</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0" w:name="page41"/>
    <w:bookmarkEnd w:id="40"/>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hanging="852"/>
        <w:spacing w:after="0"/>
        <w:tabs>
          <w:tab w:leader="none" w:pos="8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Lease accounting (Continued)</w:t>
      </w:r>
    </w:p>
    <w:p>
      <w:pPr>
        <w:spacing w:after="0" w:line="188" w:lineRule="exact"/>
        <w:rPr>
          <w:rFonts w:ascii="Arial" w:cs="Arial" w:eastAsia="Arial" w:hAnsi="Arial"/>
          <w:sz w:val="18"/>
          <w:szCs w:val="18"/>
          <w:b w:val="1"/>
          <w:bCs w:val="1"/>
          <w:color w:val="auto"/>
        </w:rPr>
      </w:pPr>
    </w:p>
    <w:p>
      <w:pPr>
        <w:jc w:val="both"/>
        <w:ind w:left="86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Lease expense for these leases is recognized on a straight-line basis over the lease term. For short-term leases over which the Company has elected not to apply the recognition requirements of ASC 842, the Company has recognized the lease payments as expenses on a straight-line basis over the lease term. For the six months ended June 30, 2019 and 2020, total lease cost is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8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For the six months ended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Operating lease cost relating to the operating lease liabilities</w:t>
            </w:r>
          </w:p>
        </w:tc>
        <w:tc>
          <w:tcPr>
            <w:tcW w:w="1420" w:type="dxa"/>
            <w:vAlign w:val="bottom"/>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Operating lease cost relating to short-term leases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vMerge w:val="restart"/>
          </w:tcPr>
          <w:p>
            <w:pPr>
              <w:ind w:left="340"/>
              <w:spacing w:after="0"/>
              <w:rPr>
                <w:sz w:val="20"/>
                <w:szCs w:val="20"/>
                <w:color w:val="auto"/>
              </w:rPr>
            </w:pPr>
            <w:r>
              <w:rPr>
                <w:rFonts w:ascii="Arial" w:cs="Arial" w:eastAsia="Arial" w:hAnsi="Arial"/>
                <w:sz w:val="18"/>
                <w:szCs w:val="18"/>
                <w:color w:val="auto"/>
                <w:w w:val="95"/>
              </w:rPr>
              <w:t>Supplemental cash flow information related to the Company’s operating leases for the periods:</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8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For the six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Cash paid for amounts included in the measurement of</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1420" w:type="dxa"/>
            <w:vAlign w:val="bottom"/>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ROU assets obtained in exchange for operating lease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24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15</w:t>
            </w:r>
          </w:p>
        </w:tc>
        <w:tc>
          <w:tcPr>
            <w:tcW w:w="7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Deferred revenue</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97"/>
              </w:rPr>
              <w:t>As of</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color w:val="auto"/>
              </w:rPr>
              <w:t>December 31,</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Deferred revenue, current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27,089</w:t>
            </w:r>
          </w:p>
        </w:tc>
        <w:tc>
          <w:tcPr>
            <w:tcW w:w="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Changes in deferred revenue balance for the six months ended June 30, 2019 and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40" w:type="dxa"/>
            <w:vAlign w:val="bottom"/>
            <w:gridSpan w:val="5"/>
          </w:tcPr>
          <w:p>
            <w:pPr>
              <w:jc w:val="center"/>
              <w:ind w:right="140"/>
              <w:spacing w:after="0"/>
              <w:rPr>
                <w:sz w:val="20"/>
                <w:szCs w:val="20"/>
                <w:color w:val="auto"/>
              </w:rPr>
            </w:pPr>
            <w:r>
              <w:rPr>
                <w:rFonts w:ascii="Arial" w:cs="Arial" w:eastAsia="Arial" w:hAnsi="Arial"/>
                <w:sz w:val="18"/>
                <w:szCs w:val="18"/>
                <w:color w:val="auto"/>
                <w:w w:val="89"/>
              </w:rPr>
              <w:t>For the six months ended</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gridSpan w:val="3"/>
          </w:tcPr>
          <w:p>
            <w:pPr>
              <w:jc w:val="center"/>
              <w:ind w:left="870"/>
              <w:spacing w:after="0"/>
              <w:rPr>
                <w:sz w:val="20"/>
                <w:szCs w:val="20"/>
                <w:color w:val="auto"/>
              </w:rPr>
            </w:pPr>
            <w:r>
              <w:rPr>
                <w:rFonts w:ascii="Arial" w:cs="Arial" w:eastAsia="Arial" w:hAnsi="Arial"/>
                <w:sz w:val="18"/>
                <w:szCs w:val="18"/>
                <w:color w:val="auto"/>
                <w:w w:val="86"/>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780" w:type="dxa"/>
            <w:vAlign w:val="bottom"/>
          </w:tcPr>
          <w:p>
            <w:pPr>
              <w:ind w:left="920"/>
              <w:spacing w:after="0"/>
              <w:rPr>
                <w:sz w:val="20"/>
                <w:szCs w:val="20"/>
                <w:color w:val="auto"/>
              </w:rPr>
            </w:pPr>
            <w:r>
              <w:rPr>
                <w:rFonts w:ascii="Arial" w:cs="Arial" w:eastAsia="Arial" w:hAnsi="Arial"/>
                <w:sz w:val="18"/>
                <w:szCs w:val="18"/>
                <w:color w:val="auto"/>
              </w:rPr>
              <w:t>Balance at the beginning of period</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27,191</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920"/>
              <w:spacing w:after="0"/>
              <w:rPr>
                <w:sz w:val="20"/>
                <w:szCs w:val="20"/>
                <w:color w:val="auto"/>
              </w:rPr>
            </w:pPr>
            <w:r>
              <w:rPr>
                <w:rFonts w:ascii="Arial" w:cs="Arial" w:eastAsia="Arial" w:hAnsi="Arial"/>
                <w:sz w:val="18"/>
                <w:szCs w:val="18"/>
                <w:color w:val="auto"/>
              </w:rPr>
              <w:t>Additions to deferred revenue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388,885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920"/>
              <w:spacing w:after="0"/>
              <w:rPr>
                <w:sz w:val="20"/>
                <w:szCs w:val="20"/>
                <w:color w:val="auto"/>
              </w:rPr>
            </w:pPr>
            <w:r>
              <w:rPr>
                <w:rFonts w:ascii="Arial" w:cs="Arial" w:eastAsia="Arial" w:hAnsi="Arial"/>
                <w:sz w:val="18"/>
                <w:szCs w:val="18"/>
                <w:color w:val="auto"/>
              </w:rPr>
              <w:t>Recognition of deferred revenue as revenues</w:t>
            </w:r>
          </w:p>
        </w:tc>
        <w:tc>
          <w:tcPr>
            <w:tcW w:w="4920" w:type="dxa"/>
            <w:vAlign w:val="bottom"/>
            <w:gridSpan w:val="3"/>
          </w:tcPr>
          <w:p>
            <w:pPr>
              <w:jc w:val="right"/>
              <w:ind w:right="200"/>
              <w:spacing w:after="0"/>
              <w:rPr>
                <w:sz w:val="20"/>
                <w:szCs w:val="20"/>
                <w:color w:val="auto"/>
              </w:rPr>
            </w:pPr>
            <w:r>
              <w:rPr>
                <w:rFonts w:ascii="Arial" w:cs="Arial" w:eastAsia="Arial" w:hAnsi="Arial"/>
                <w:sz w:val="18"/>
                <w:szCs w:val="18"/>
                <w:color w:val="auto"/>
              </w:rPr>
              <w:t>(372,673)</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(189,045)</w:t>
            </w:r>
          </w:p>
        </w:tc>
        <w:tc>
          <w:tcPr>
            <w:tcW w:w="0" w:type="dxa"/>
            <w:vAlign w:val="bottom"/>
          </w:tcPr>
          <w:p>
            <w:pPr>
              <w:spacing w:after="0"/>
              <w:rPr>
                <w:sz w:val="1"/>
                <w:szCs w:val="1"/>
                <w:color w:val="auto"/>
              </w:rPr>
            </w:pPr>
          </w:p>
        </w:tc>
      </w:tr>
      <w:tr>
        <w:trPr>
          <w:trHeight w:val="230"/>
        </w:trPr>
        <w:tc>
          <w:tcPr>
            <w:tcW w:w="4780" w:type="dxa"/>
            <w:vAlign w:val="bottom"/>
          </w:tcPr>
          <w:p>
            <w:pPr>
              <w:ind w:left="920"/>
              <w:spacing w:after="0"/>
              <w:rPr>
                <w:sz w:val="20"/>
                <w:szCs w:val="20"/>
                <w:color w:val="auto"/>
              </w:rPr>
            </w:pPr>
            <w:r>
              <w:rPr>
                <w:rFonts w:ascii="Arial" w:cs="Arial" w:eastAsia="Arial" w:hAnsi="Arial"/>
                <w:sz w:val="18"/>
                <w:szCs w:val="18"/>
                <w:color w:val="auto"/>
              </w:rPr>
              <w:t>Exchange differences</w:t>
            </w:r>
          </w:p>
        </w:tc>
        <w:tc>
          <w:tcPr>
            <w:tcW w:w="4920" w:type="dxa"/>
            <w:vAlign w:val="bottom"/>
            <w:gridSpan w:val="3"/>
          </w:tcPr>
          <w:p>
            <w:pPr>
              <w:jc w:val="right"/>
              <w:ind w:right="200"/>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920"/>
              <w:spacing w:after="0"/>
              <w:rPr>
                <w:sz w:val="20"/>
                <w:szCs w:val="20"/>
                <w:color w:val="auto"/>
              </w:rPr>
            </w:pPr>
            <w:r>
              <w:rPr>
                <w:rFonts w:ascii="Arial" w:cs="Arial" w:eastAsia="Arial" w:hAnsi="Arial"/>
                <w:sz w:val="18"/>
                <w:szCs w:val="18"/>
                <w:color w:val="auto"/>
              </w:rPr>
              <w:t>Balance at the end of period</w:t>
            </w:r>
          </w:p>
        </w:tc>
        <w:tc>
          <w:tcPr>
            <w:tcW w:w="3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43,215</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40" w:type="dxa"/>
            <w:vAlign w:val="bottom"/>
            <w:vMerge w:val="restart"/>
          </w:tcPr>
          <w:p>
            <w:pPr>
              <w:jc w:val="right"/>
              <w:ind w:right="2110"/>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16</w:t>
            </w:r>
          </w:p>
        </w:tc>
        <w:tc>
          <w:tcPr>
            <w:tcW w:w="9600" w:type="dxa"/>
            <w:vAlign w:val="bottom"/>
          </w:tcPr>
          <w:p>
            <w:pPr>
              <w:jc w:val="right"/>
              <w:ind w:right="6250"/>
              <w:spacing w:after="0"/>
              <w:rPr>
                <w:sz w:val="20"/>
                <w:szCs w:val="20"/>
                <w:color w:val="auto"/>
              </w:rPr>
            </w:pPr>
            <w:r>
              <w:rPr>
                <w:rFonts w:ascii="Arial" w:cs="Arial" w:eastAsia="Arial" w:hAnsi="Arial"/>
                <w:sz w:val="18"/>
                <w:szCs w:val="18"/>
                <w:b w:val="1"/>
                <w:bCs w:val="1"/>
                <w:color w:val="auto"/>
              </w:rPr>
              <w:t>Accrued liabilities and other liabilities</w:t>
            </w:r>
          </w:p>
        </w:tc>
        <w:tc>
          <w:tcPr>
            <w:tcW w:w="1000" w:type="dxa"/>
            <w:vAlign w:val="bottom"/>
          </w:tcPr>
          <w:p>
            <w:pPr>
              <w:spacing w:after="0"/>
              <w:rPr>
                <w:sz w:val="20"/>
                <w:szCs w:val="20"/>
                <w:color w:val="auto"/>
              </w:rPr>
            </w:pPr>
          </w:p>
        </w:tc>
      </w:tr>
      <w:tr>
        <w:trPr>
          <w:trHeight w:val="445"/>
        </w:trPr>
        <w:tc>
          <w:tcPr>
            <w:tcW w:w="520" w:type="dxa"/>
            <w:vAlign w:val="bottom"/>
          </w:tcPr>
          <w:p>
            <w:pPr>
              <w:spacing w:after="0"/>
              <w:rPr>
                <w:sz w:val="24"/>
                <w:szCs w:val="24"/>
                <w:color w:val="auto"/>
              </w:rPr>
            </w:pPr>
          </w:p>
        </w:tc>
        <w:tc>
          <w:tcPr>
            <w:tcW w:w="9600" w:type="dxa"/>
            <w:vAlign w:val="bottom"/>
          </w:tcPr>
          <w:p>
            <w:pPr>
              <w:jc w:val="right"/>
              <w:ind w:right="330"/>
              <w:spacing w:after="0"/>
              <w:rPr>
                <w:sz w:val="20"/>
                <w:szCs w:val="20"/>
                <w:color w:val="auto"/>
              </w:rPr>
            </w:pPr>
            <w:r>
              <w:rPr>
                <w:rFonts w:ascii="Arial" w:cs="Arial" w:eastAsia="Arial" w:hAnsi="Arial"/>
                <w:sz w:val="18"/>
                <w:szCs w:val="18"/>
                <w:color w:val="auto"/>
              </w:rPr>
              <w:t>As of</w:t>
            </w:r>
          </w:p>
        </w:tc>
        <w:tc>
          <w:tcPr>
            <w:tcW w:w="100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9600" w:type="dxa"/>
            <w:vAlign w:val="bottom"/>
          </w:tcPr>
          <w:p>
            <w:pPr>
              <w:jc w:val="right"/>
              <w:ind w:right="590"/>
              <w:spacing w:after="0"/>
              <w:rPr>
                <w:sz w:val="20"/>
                <w:szCs w:val="20"/>
                <w:color w:val="auto"/>
              </w:rPr>
            </w:pPr>
            <w:r>
              <w:rPr>
                <w:rFonts w:ascii="Arial" w:cs="Arial" w:eastAsia="Arial" w:hAnsi="Arial"/>
                <w:sz w:val="18"/>
                <w:szCs w:val="18"/>
                <w:color w:val="auto"/>
              </w:rPr>
              <w:t>December 31,</w:t>
            </w:r>
          </w:p>
        </w:tc>
        <w:tc>
          <w:tcPr>
            <w:tcW w:w="1000" w:type="dxa"/>
            <w:vAlign w:val="bottom"/>
          </w:tcPr>
          <w:p>
            <w:pPr>
              <w:jc w:val="right"/>
              <w:spacing w:after="0"/>
              <w:rPr>
                <w:sz w:val="20"/>
                <w:szCs w:val="20"/>
                <w:color w:val="auto"/>
              </w:rPr>
            </w:pPr>
            <w:r>
              <w:rPr>
                <w:rFonts w:ascii="Arial" w:cs="Arial" w:eastAsia="Arial" w:hAnsi="Arial"/>
                <w:sz w:val="18"/>
                <w:szCs w:val="18"/>
                <w:color w:val="auto"/>
              </w:rPr>
              <w:t>June 30,</w:t>
            </w:r>
          </w:p>
        </w:tc>
      </w:tr>
      <w:tr>
        <w:trPr>
          <w:trHeight w:val="230"/>
        </w:trPr>
        <w:tc>
          <w:tcPr>
            <w:tcW w:w="520" w:type="dxa"/>
            <w:vAlign w:val="bottom"/>
          </w:tcPr>
          <w:p>
            <w:pPr>
              <w:spacing w:after="0"/>
              <w:rPr>
                <w:sz w:val="20"/>
                <w:szCs w:val="20"/>
                <w:color w:val="auto"/>
              </w:rPr>
            </w:pPr>
          </w:p>
        </w:tc>
        <w:tc>
          <w:tcPr>
            <w:tcW w:w="960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r>
    </w:tbl>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Rebates payable to customers</w:t>
            </w:r>
          </w:p>
        </w:tc>
        <w:tc>
          <w:tcPr>
            <w:tcW w:w="1560" w:type="dxa"/>
            <w:vAlign w:val="bottom"/>
          </w:tcPr>
          <w:p>
            <w:pPr>
              <w:jc w:val="right"/>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1560" w:type="dxa"/>
            <w:vAlign w:val="bottom"/>
          </w:tcPr>
          <w:p>
            <w:pPr>
              <w:jc w:val="right"/>
              <w:spacing w:after="0"/>
              <w:rPr>
                <w:sz w:val="20"/>
                <w:szCs w:val="20"/>
                <w:color w:val="auto"/>
              </w:rPr>
            </w:pPr>
            <w:r>
              <w:rPr>
                <w:rFonts w:ascii="Arial" w:cs="Arial" w:eastAsia="Arial" w:hAnsi="Arial"/>
                <w:sz w:val="18"/>
                <w:szCs w:val="18"/>
                <w:color w:val="auto"/>
              </w:rPr>
              <w:t>3,440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Security deposit received from customers</w:t>
            </w:r>
          </w:p>
        </w:tc>
        <w:tc>
          <w:tcPr>
            <w:tcW w:w="156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560" w:type="dxa"/>
            <w:vAlign w:val="bottom"/>
          </w:tcPr>
          <w:p>
            <w:pPr>
              <w:jc w:val="right"/>
              <w:spacing w:after="0"/>
              <w:rPr>
                <w:sz w:val="20"/>
                <w:szCs w:val="20"/>
                <w:color w:val="auto"/>
              </w:rPr>
            </w:pPr>
            <w:r>
              <w:rPr>
                <w:rFonts w:ascii="Arial" w:cs="Arial" w:eastAsia="Arial" w:hAnsi="Arial"/>
                <w:sz w:val="18"/>
                <w:szCs w:val="18"/>
                <w:color w:val="auto"/>
              </w:rPr>
              <w:t>4,756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60" w:type="dxa"/>
            <w:vAlign w:val="bottom"/>
          </w:tcPr>
          <w:p>
            <w:pPr>
              <w:jc w:val="right"/>
              <w:spacing w:after="0"/>
              <w:rPr>
                <w:sz w:val="20"/>
                <w:szCs w:val="20"/>
                <w:color w:val="auto"/>
              </w:rPr>
            </w:pPr>
            <w:r>
              <w:rPr>
                <w:rFonts w:ascii="Arial" w:cs="Arial" w:eastAsia="Arial" w:hAnsi="Arial"/>
                <w:sz w:val="18"/>
                <w:szCs w:val="18"/>
                <w:color w:val="auto"/>
              </w:rPr>
              <w:t>3,853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Accrued marketing and hosting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2,486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Advance from a non-controlling interest (Note)</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Convertible notes consideration received in advance (Note 18(d))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Others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Non-current</w:t>
            </w: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As of June 30, 2020, the amount represents an advance from a non-controlling interest for the purpose of replenishment of working capital of certain subsidiaries of the Company, which was unsecured, interest-free, and repayable on demand.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17</w:t>
            </w:r>
          </w:p>
        </w:tc>
        <w:tc>
          <w:tcPr>
            <w:tcW w:w="7380" w:type="dxa"/>
            <w:vAlign w:val="bottom"/>
          </w:tcPr>
          <w:p>
            <w:pPr>
              <w:ind w:left="340"/>
              <w:spacing w:after="0"/>
              <w:rPr>
                <w:sz w:val="20"/>
                <w:szCs w:val="20"/>
                <w:color w:val="auto"/>
              </w:rPr>
            </w:pPr>
            <w:r>
              <w:rPr>
                <w:rFonts w:ascii="Arial" w:cs="Arial" w:eastAsia="Arial" w:hAnsi="Arial"/>
                <w:sz w:val="18"/>
                <w:szCs w:val="18"/>
                <w:b w:val="1"/>
                <w:bCs w:val="1"/>
                <w:color w:val="auto"/>
              </w:rPr>
              <w:t>Bank borrowings</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1"/>
        </w:trPr>
        <w:tc>
          <w:tcPr>
            <w:tcW w:w="5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w w:val="92"/>
              </w:rPr>
              <w:t>As of</w:t>
            </w:r>
          </w:p>
        </w:tc>
        <w:tc>
          <w:tcPr>
            <w:tcW w:w="142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820" w:type="dxa"/>
            <w:vAlign w:val="bottom"/>
            <w:gridSpan w:val="2"/>
          </w:tcPr>
          <w:p>
            <w:pPr>
              <w:ind w:left="540"/>
              <w:spacing w:after="0"/>
              <w:rPr>
                <w:sz w:val="20"/>
                <w:szCs w:val="20"/>
                <w:color w:val="auto"/>
              </w:rPr>
            </w:pPr>
            <w:r>
              <w:rPr>
                <w:rFonts w:ascii="Arial" w:cs="Arial" w:eastAsia="Arial" w:hAnsi="Arial"/>
                <w:sz w:val="18"/>
                <w:szCs w:val="18"/>
                <w:color w:val="auto"/>
              </w:rPr>
              <w:t>December 31,</w:t>
            </w:r>
          </w:p>
        </w:tc>
        <w:tc>
          <w:tcPr>
            <w:tcW w:w="1420" w:type="dxa"/>
            <w:vAlign w:val="bottom"/>
          </w:tcPr>
          <w:p>
            <w:pPr>
              <w:jc w:val="right"/>
              <w:spacing w:after="0"/>
              <w:rPr>
                <w:sz w:val="20"/>
                <w:szCs w:val="20"/>
                <w:color w:val="auto"/>
              </w:rPr>
            </w:pPr>
            <w:r>
              <w:rPr>
                <w:rFonts w:ascii="Arial" w:cs="Arial" w:eastAsia="Arial" w:hAnsi="Arial"/>
                <w:sz w:val="18"/>
                <w:szCs w:val="18"/>
                <w:color w:val="auto"/>
              </w:rPr>
              <w:t>June 30,</w:t>
            </w:r>
          </w:p>
        </w:tc>
      </w:tr>
      <w:tr>
        <w:trPr>
          <w:trHeight w:val="230"/>
        </w:trPr>
        <w:tc>
          <w:tcPr>
            <w:tcW w:w="5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445"/>
        </w:trPr>
        <w:tc>
          <w:tcPr>
            <w:tcW w:w="520" w:type="dxa"/>
            <w:vAlign w:val="bottom"/>
          </w:tcPr>
          <w:p>
            <w:pPr>
              <w:spacing w:after="0"/>
              <w:rPr>
                <w:sz w:val="24"/>
                <w:szCs w:val="24"/>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1-year revolving loans denominated in RMB (Note (iii), (v), (viii),</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520" w:type="dxa"/>
            <w:vAlign w:val="bottom"/>
          </w:tcPr>
          <w:p>
            <w:pPr>
              <w:spacing w:after="0"/>
              <w:rPr>
                <w:sz w:val="19"/>
                <w:szCs w:val="19"/>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(ix), (x))</w:t>
            </w:r>
          </w:p>
        </w:tc>
        <w:tc>
          <w:tcPr>
            <w:tcW w:w="1560" w:type="dxa"/>
            <w:vAlign w:val="bottom"/>
          </w:tcPr>
          <w:p>
            <w:pPr>
              <w:jc w:val="right"/>
              <w:spacing w:after="0"/>
              <w:rPr>
                <w:sz w:val="20"/>
                <w:szCs w:val="20"/>
                <w:color w:val="auto"/>
              </w:rPr>
            </w:pPr>
            <w:r>
              <w:rPr>
                <w:rFonts w:ascii="Arial" w:cs="Arial" w:eastAsia="Arial" w:hAnsi="Arial"/>
                <w:sz w:val="18"/>
                <w:szCs w:val="18"/>
                <w:color w:val="auto"/>
              </w:rPr>
              <w:t>9,636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20,565</w:t>
            </w:r>
          </w:p>
        </w:tc>
      </w:tr>
      <w:tr>
        <w:trPr>
          <w:trHeight w:val="230"/>
        </w:trPr>
        <w:tc>
          <w:tcPr>
            <w:tcW w:w="5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Half-year revolving loan denominated in RMB (Note (i))</w:t>
            </w:r>
          </w:p>
        </w:tc>
        <w:tc>
          <w:tcPr>
            <w:tcW w:w="1560" w:type="dxa"/>
            <w:vAlign w:val="bottom"/>
          </w:tcPr>
          <w:p>
            <w:pPr>
              <w:jc w:val="right"/>
              <w:spacing w:after="0"/>
              <w:rPr>
                <w:sz w:val="20"/>
                <w:szCs w:val="20"/>
                <w:color w:val="auto"/>
              </w:rPr>
            </w:pPr>
            <w:r>
              <w:rPr>
                <w:rFonts w:ascii="Arial" w:cs="Arial" w:eastAsia="Arial" w:hAnsi="Arial"/>
                <w:sz w:val="18"/>
                <w:szCs w:val="18"/>
                <w:color w:val="auto"/>
              </w:rPr>
              <w:t>9,851</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30"/>
        </w:trPr>
        <w:tc>
          <w:tcPr>
            <w:tcW w:w="5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1-year revolving loan denominated in US$ (Note (iv), (vi))</w:t>
            </w:r>
          </w:p>
        </w:tc>
        <w:tc>
          <w:tcPr>
            <w:tcW w:w="1560" w:type="dxa"/>
            <w:vAlign w:val="bottom"/>
          </w:tcPr>
          <w:p>
            <w:pPr>
              <w:jc w:val="right"/>
              <w:spacing w:after="0"/>
              <w:rPr>
                <w:sz w:val="20"/>
                <w:szCs w:val="20"/>
                <w:color w:val="auto"/>
              </w:rPr>
            </w:pPr>
            <w:r>
              <w:rPr>
                <w:rFonts w:ascii="Arial" w:cs="Arial" w:eastAsia="Arial" w:hAnsi="Arial"/>
                <w:sz w:val="18"/>
                <w:szCs w:val="18"/>
                <w:color w:val="auto"/>
              </w:rPr>
              <w:t>8,584</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8,584</w:t>
            </w:r>
          </w:p>
        </w:tc>
      </w:tr>
      <w:tr>
        <w:trPr>
          <w:trHeight w:val="229"/>
        </w:trPr>
        <w:tc>
          <w:tcPr>
            <w:tcW w:w="5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Revolving service trade loan denominated in HK$ (Note (ii))</w:t>
            </w:r>
          </w:p>
        </w:tc>
        <w:tc>
          <w:tcPr>
            <w:tcW w:w="1560" w:type="dxa"/>
            <w:vAlign w:val="bottom"/>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Rollover period revolving loan denominated in US$ (Note (vii)</w:t>
            </w:r>
          </w:p>
        </w:tc>
        <w:tc>
          <w:tcPr>
            <w:tcW w:w="1560" w:type="dxa"/>
            <w:vAlign w:val="bottom"/>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520" w:type="dxa"/>
            <w:vAlign w:val="bottom"/>
          </w:tcPr>
          <w:p>
            <w:pPr>
              <w:spacing w:after="0"/>
              <w:rPr>
                <w:sz w:val="20"/>
                <w:szCs w:val="20"/>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Revolving service trade loan denominated in HK$ (Note (vii))</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23"/>
        </w:trPr>
        <w:tc>
          <w:tcPr>
            <w:tcW w:w="5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36,851</w:t>
            </w:r>
          </w:p>
        </w:tc>
        <w:tc>
          <w:tcPr>
            <w:tcW w:w="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41,980</w:t>
            </w:r>
          </w:p>
        </w:tc>
      </w:tr>
      <w:tr>
        <w:trPr>
          <w:trHeight w:val="20"/>
        </w:trPr>
        <w:tc>
          <w:tcPr>
            <w:tcW w:w="5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Note:</w:t>
      </w:r>
    </w:p>
    <w:p>
      <w:pPr>
        <w:spacing w:after="0" w:line="198" w:lineRule="exact"/>
        <w:rPr>
          <w:sz w:val="20"/>
          <w:szCs w:val="20"/>
          <w:color w:val="auto"/>
        </w:rPr>
      </w:pPr>
    </w:p>
    <w:p>
      <w:pPr>
        <w:jc w:val="both"/>
        <w:ind w:left="1700" w:hanging="842"/>
        <w:spacing w:after="0" w:line="273" w:lineRule="auto"/>
        <w:tabs>
          <w:tab w:leader="none" w:pos="1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February 12, 2019, the Company, through a PRC subsidiary, entered into two facility agreements for working capital loans with a bank, which provided for a RMB32 million (equivalent to US$5,000) half-year revolving loan, respectively. Out of the US5,000 loan facilities, the PRC subsidiary had utilized RMB20.3 million (equivalent to US$2,845) and RMB20 million (equivalent to US$2,813) as of December 31, 2019 and June 30, 2020, respectively. Corporate guarantee by the Company and deposits of the Company are provided as pledge to secure the obligations under this revolving loan. The interest rate of this loan facility is fixed at 4.75% per annum in 2019 and reduced to 4.70% in 2020 first half.</w:t>
      </w:r>
    </w:p>
    <w:p>
      <w:pPr>
        <w:spacing w:after="0" w:line="164" w:lineRule="exact"/>
        <w:rPr>
          <w:rFonts w:ascii="Arial" w:cs="Arial" w:eastAsia="Arial" w:hAnsi="Arial"/>
          <w:sz w:val="17"/>
          <w:szCs w:val="17"/>
          <w:color w:val="auto"/>
        </w:rPr>
      </w:pPr>
    </w:p>
    <w:p>
      <w:pPr>
        <w:ind w:left="5540" w:hanging="111"/>
        <w:spacing w:after="0"/>
        <w:tabs>
          <w:tab w:leader="none" w:pos="5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right="8080" w:hanging="852"/>
        <w:spacing w:after="0" w:line="522" w:lineRule="auto"/>
        <w:tabs>
          <w:tab w:leader="none" w:pos="841"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color w:val="auto"/>
        </w:rPr>
        <w:t>Note: (Continued)</w:t>
      </w:r>
    </w:p>
    <w:p>
      <w:pPr>
        <w:jc w:val="both"/>
        <w:ind w:left="1692" w:hanging="842"/>
        <w:spacing w:after="0" w:line="272" w:lineRule="auto"/>
        <w:tabs>
          <w:tab w:leader="none" w:pos="1692" w:val="left"/>
        </w:tabs>
        <w:numPr>
          <w:ilvl w:val="1"/>
          <w:numId w:val="56"/>
        </w:numPr>
        <w:rPr>
          <w:rFonts w:ascii="Arial" w:cs="Arial" w:eastAsia="Arial" w:hAnsi="Arial"/>
          <w:sz w:val="17"/>
          <w:szCs w:val="17"/>
          <w:color w:val="auto"/>
        </w:rPr>
      </w:pPr>
      <w:r>
        <w:rPr>
          <w:rFonts w:ascii="Arial" w:cs="Arial" w:eastAsia="Arial" w:hAnsi="Arial"/>
          <w:sz w:val="17"/>
          <w:szCs w:val="17"/>
          <w:color w:val="auto"/>
        </w:rPr>
        <w:t>On March 18, 2019, the Company, through its Hong Kong subsidiaries, entered into a facility agreement for factoring loans with a bank amounting to a total of HK$24 million (equivalent to US$3,097). Out of this loan facility, the Hong Kong subsidiaries had utilized HK$4.2 million (equivalent to US$538) and HK$0.2 million (equivalent to US$31) as of December 31, 2019 and June 30, 2020, respectively. Corporate guarantee by the Company and accounts receivable of certain subsidiaries of the Company are provided as pledge to secure the obligations under this revolving loan. The interest rate of this loan facility is at 4.25% per annum over 1-month Hong Kong Interbank Offered Rate (“HIBOR”) for loan in HKD, 2.00% per annum over 1-month HIBOR for loan in RMB, 4.25% per annum over 1-month London Interbank Offered Rate (“LIBOR”) for loan in USD.</w:t>
      </w:r>
    </w:p>
    <w:p>
      <w:pPr>
        <w:spacing w:after="0" w:line="136" w:lineRule="exact"/>
        <w:rPr>
          <w:rFonts w:ascii="Arial" w:cs="Arial" w:eastAsia="Arial" w:hAnsi="Arial"/>
          <w:sz w:val="17"/>
          <w:szCs w:val="17"/>
          <w:color w:val="auto"/>
        </w:rPr>
      </w:pPr>
    </w:p>
    <w:p>
      <w:pPr>
        <w:jc w:val="both"/>
        <w:ind w:left="1692" w:hanging="842"/>
        <w:spacing w:after="0" w:line="290" w:lineRule="auto"/>
        <w:tabs>
          <w:tab w:leader="none" w:pos="1692" w:val="left"/>
        </w:tabs>
        <w:numPr>
          <w:ilvl w:val="1"/>
          <w:numId w:val="56"/>
        </w:numPr>
        <w:rPr>
          <w:rFonts w:ascii="Arial" w:cs="Arial" w:eastAsia="Arial" w:hAnsi="Arial"/>
          <w:sz w:val="16"/>
          <w:szCs w:val="16"/>
          <w:color w:val="auto"/>
        </w:rPr>
      </w:pPr>
      <w:r>
        <w:rPr>
          <w:rFonts w:ascii="Arial" w:cs="Arial" w:eastAsia="Arial" w:hAnsi="Arial"/>
          <w:sz w:val="16"/>
          <w:szCs w:val="16"/>
          <w:color w:val="auto"/>
        </w:rPr>
        <w:t>On March 13, 2019, the Company, through its PRC subsidiary, entered into a facility agreement for working capital loans with a bank, which provided for a US$13,600 one-year revolving loan. On September 24, 2019, this loan was subsequently amended which provide for an additional US$30,000 one-year revolving loan. Out of this loan facility, the PRC subsidiary had utilized RMB20.3 million (equivalent to US$2,840) and RMB44.7 million (equivalent to US$6,289) as of December 31, 2019 and June 30, 2020, respectively. Corporate guarantee by the Company and deposits and accounts receivable of certain subsidiaries of the Company are provided as pledge to secure the obligations under this revolving loan. The interest rate of this loan facility is either (i) 5.22% in RMB, or (ii) 1-month LIBOR plus 3.00% per annum if the loan is drawn down in US$. The total balance of US$2,840 and US$6,289 as of December 31, 2019 and June 30, 2020 was wholly drawn down in RMB, respectively.</w:t>
      </w:r>
    </w:p>
    <w:p>
      <w:pPr>
        <w:spacing w:after="0" w:line="124" w:lineRule="exact"/>
        <w:rPr>
          <w:rFonts w:ascii="Arial" w:cs="Arial" w:eastAsia="Arial" w:hAnsi="Arial"/>
          <w:sz w:val="16"/>
          <w:szCs w:val="16"/>
          <w:color w:val="auto"/>
        </w:rPr>
      </w:pPr>
    </w:p>
    <w:p>
      <w:pPr>
        <w:jc w:val="both"/>
        <w:ind w:left="1692" w:hanging="842"/>
        <w:spacing w:after="0" w:line="257" w:lineRule="auto"/>
        <w:tabs>
          <w:tab w:leader="none" w:pos="16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 May 23, 2019, the Company, through its Hong Kong subsidiary, entered into a facility agreement for working capital loans with a bank, which provides for a US$18,000 one-year revolving loan. Out of this loan facility, the Hong Kong subsidiary had utilized US$6,984 as of December 31, 2019 and June 30, 2020, respectively. Corporate guarantee of the Company and deposits of a subsidiary of the Company are provided as pledge to secure the obligations under this revolving loan. The interest rate of this loan facility is 1.00% per annum over deposit rate on the pledged deposit.</w:t>
      </w:r>
    </w:p>
    <w:p>
      <w:pPr>
        <w:spacing w:after="0" w:line="147" w:lineRule="exact"/>
        <w:rPr>
          <w:rFonts w:ascii="Arial" w:cs="Arial" w:eastAsia="Arial" w:hAnsi="Arial"/>
          <w:sz w:val="18"/>
          <w:szCs w:val="18"/>
          <w:color w:val="auto"/>
        </w:rPr>
      </w:pPr>
    </w:p>
    <w:p>
      <w:pPr>
        <w:jc w:val="both"/>
        <w:ind w:left="1692" w:hanging="842"/>
        <w:spacing w:after="0" w:line="254" w:lineRule="auto"/>
        <w:tabs>
          <w:tab w:leader="none" w:pos="16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 August 29, 2019, the Company, through its PRC subsidiaries, entered into a facility agreement for working capital loans with a bank, which provides for a RMB18.5 million (equivalent to US$2,602) one-year revolving loan. Out of this loan facility, the PRC subsidiary had utilized RMB18.5 million (equivalent to US$2,592) and RMB18.5 million (equivalent to US$2,602) as of December 31, 2019 and June 30, 2020, respectively. Corporate guarantee of the Company and deposits of a Hong Kong subsidiary of the Company are provided as pledge to secure the obligations under this revolving loan. The interest rate of this loan facility was the benchmark interest rate determined by the People’s Bank of China for loans over one year granted by financial institutions plus 0.97% per annum. This loan was subsequently renewed in September 2019 whereby the interest rate of this loan facility was amended to be fixed at 5.22% per annum.</w:t>
      </w:r>
    </w:p>
    <w:p>
      <w:pPr>
        <w:spacing w:after="0" w:line="151" w:lineRule="exact"/>
        <w:rPr>
          <w:rFonts w:ascii="Arial" w:cs="Arial" w:eastAsia="Arial" w:hAnsi="Arial"/>
          <w:sz w:val="18"/>
          <w:szCs w:val="18"/>
          <w:color w:val="auto"/>
        </w:rPr>
      </w:pPr>
    </w:p>
    <w:p>
      <w:pPr>
        <w:jc w:val="both"/>
        <w:ind w:left="1692" w:hanging="842"/>
        <w:spacing w:after="0" w:line="275" w:lineRule="auto"/>
        <w:tabs>
          <w:tab w:leader="none" w:pos="1692" w:val="left"/>
        </w:tabs>
        <w:numPr>
          <w:ilvl w:val="1"/>
          <w:numId w:val="56"/>
        </w:numPr>
        <w:rPr>
          <w:rFonts w:ascii="Arial" w:cs="Arial" w:eastAsia="Arial" w:hAnsi="Arial"/>
          <w:sz w:val="17"/>
          <w:szCs w:val="17"/>
          <w:color w:val="auto"/>
        </w:rPr>
      </w:pPr>
      <w:r>
        <w:rPr>
          <w:rFonts w:ascii="Arial" w:cs="Arial" w:eastAsia="Arial" w:hAnsi="Arial"/>
          <w:sz w:val="17"/>
          <w:szCs w:val="17"/>
          <w:color w:val="auto"/>
        </w:rPr>
        <w:t>On August 29, 2019, the Company, through its Hong Kong subsidiaries, entered into a facility agreement with a bank for working capital loans, which provides for a US$1,600 one-year revolving loan. Out of this loan facility, the Hong Kong subsidiaries had utilized US$1,600 as of December 31, 2019 and June 30, 2020, respectively. Corporate guarantee of the Company and deposits of a Hong Kong subsidiary of the Company are provided as pledge to secure the obligations under this revolving loan. The interest rate of this loan facility is the 1-month LIBOR plus 1.00% per annum.</w:t>
      </w:r>
    </w:p>
    <w:p>
      <w:pPr>
        <w:spacing w:after="0" w:line="162" w:lineRule="exact"/>
        <w:rPr>
          <w:rFonts w:ascii="Arial" w:cs="Arial" w:eastAsia="Arial" w:hAnsi="Arial"/>
          <w:sz w:val="17"/>
          <w:szCs w:val="17"/>
          <w:color w:val="auto"/>
        </w:rPr>
      </w:pPr>
    </w:p>
    <w:p>
      <w:pPr>
        <w:ind w:left="5532" w:hanging="111"/>
        <w:spacing w:after="0"/>
        <w:tabs>
          <w:tab w:leader="none" w:pos="5532" w:val="left"/>
        </w:tabs>
        <w:numPr>
          <w:ilvl w:val="2"/>
          <w:numId w:val="56"/>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43" w:name="page44"/>
    <w:bookmarkEnd w:id="43"/>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60" w:right="8080" w:hanging="852"/>
        <w:spacing w:after="0" w:line="522" w:lineRule="auto"/>
        <w:tabs>
          <w:tab w:leader="none" w:pos="849"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color w:val="auto"/>
        </w:rPr>
        <w:t>Note: (Continued)</w:t>
      </w:r>
    </w:p>
    <w:p>
      <w:pPr>
        <w:jc w:val="both"/>
        <w:ind w:left="1700" w:hanging="842"/>
        <w:spacing w:after="0" w:line="269" w:lineRule="auto"/>
        <w:tabs>
          <w:tab w:leader="none" w:pos="17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On October 4, 2019, the Company through its Hong Kong subsidiaries, entered into a facility agreement for working capital loans with a bank, which provides for (i) US$15,000 standby documentary credit facilities, (ii) US$10,000 combined limit for pre-shipment buyer loan and revolving loan, and (iii) US$1,000 overdraft facilities. Out of these loan facilities, the Hong Kong subsidiaries had utilized HK$17.6 million (equivalent to US$2,242) and US$6,000 as of December 31, 2019 and HK$30.9 million (equivalent to US$3,987) and US$6,000 as of June 30, 2020. Corporate guarantee of the Company and bank deposits of certain subsidiaries of the Company are provided as pledge to secure the obligations under these loan facilities. For the pre-shipment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fixed at 5.125% per annum.</w:t>
      </w:r>
    </w:p>
    <w:p>
      <w:pPr>
        <w:spacing w:after="0" w:line="144" w:lineRule="exact"/>
        <w:rPr>
          <w:rFonts w:ascii="Arial" w:cs="Arial" w:eastAsia="Arial" w:hAnsi="Arial"/>
          <w:sz w:val="17"/>
          <w:szCs w:val="17"/>
          <w:color w:val="auto"/>
        </w:rPr>
      </w:pPr>
    </w:p>
    <w:p>
      <w:pPr>
        <w:jc w:val="both"/>
        <w:ind w:left="1700" w:hanging="842"/>
        <w:spacing w:after="0" w:line="255" w:lineRule="auto"/>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On December 20, 2019, the Company, through its PRC subsidiaries, entered into a facility agreement for working capital loans with a bank, which provides for a RMB50 million (equivalent to US$7,032) half-year revolving loan. Out of this loan facility, the PRC subsidiary had utilized RMB50 million (equivalent to US$7,006) and RMB50 million (equivalent to US$7,032) as of December 31, 2019 and June 30, 2020, respectively. Corporate guarantee of the Company and accounts receivable of certain subsidiaries of the Company are provided as pledge to secure the obligations under this revolving loan. The interest rate of this loan facility is fixed at 7% per annum.</w:t>
      </w:r>
    </w:p>
    <w:p>
      <w:pPr>
        <w:spacing w:after="0" w:line="151" w:lineRule="exact"/>
        <w:rPr>
          <w:rFonts w:ascii="Arial" w:cs="Arial" w:eastAsia="Arial" w:hAnsi="Arial"/>
          <w:sz w:val="18"/>
          <w:szCs w:val="18"/>
          <w:color w:val="auto"/>
        </w:rPr>
      </w:pPr>
    </w:p>
    <w:p>
      <w:pPr>
        <w:jc w:val="both"/>
        <w:ind w:left="1700" w:hanging="842"/>
        <w:spacing w:after="0" w:line="291" w:lineRule="auto"/>
        <w:tabs>
          <w:tab w:leader="none" w:pos="17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On December 20, 2019, the Company, through its PRC subsidiaries, entered into a facility agreement for working capital loans with a bank, which provides for a RMB50 million (equivalent to US$7,032) one-year revolving loan. Out of this loan facility, the PRC subsidiary had utilized RMB30 million (equivalent to US$4,204) and RMB30 million (equivalent to US$4,220) as of December 31, 2019 and June 30, 2020, respectively. Corporate guarantee of the Company and deposits of certain subsidiaries of the Company are provided as pledge to secure the obligations under this revolving loan. The interest rate of this loan facility is fixed at 4.95% per annum. The interest rate of this loan facility was subsequently amended to the benchmark interest rate determined by the People’s Bank of China for loans over one year granted by financial institutions plus 0.8% per annum.</w:t>
      </w:r>
    </w:p>
    <w:p>
      <w:pPr>
        <w:spacing w:after="0" w:line="125" w:lineRule="exact"/>
        <w:rPr>
          <w:rFonts w:ascii="Arial" w:cs="Arial" w:eastAsia="Arial" w:hAnsi="Arial"/>
          <w:sz w:val="16"/>
          <w:szCs w:val="16"/>
          <w:color w:val="auto"/>
        </w:rPr>
      </w:pPr>
    </w:p>
    <w:p>
      <w:pPr>
        <w:jc w:val="both"/>
        <w:ind w:left="1700" w:hanging="842"/>
        <w:spacing w:after="0" w:line="259" w:lineRule="auto"/>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On June 11, 2020, the Company, through its PRC subsidiaries, entered into a facility agreement for working capital loans with a bank, which provides for a RMB3 million (equivalent to US$422) one-year revolving loan. Out of this loan facility, the PRC subsidiary had utilized RMB3 million (equivalent to US$422) as of June 30, 2020. The interest rate of this loan facility is fixed at 4.5025% per annum.</w:t>
      </w:r>
    </w:p>
    <w:p>
      <w:pPr>
        <w:spacing w:after="0" w:line="146" w:lineRule="exact"/>
        <w:rPr>
          <w:rFonts w:ascii="Arial" w:cs="Arial" w:eastAsia="Arial" w:hAnsi="Arial"/>
          <w:sz w:val="18"/>
          <w:szCs w:val="18"/>
          <w:color w:val="auto"/>
        </w:rPr>
      </w:pPr>
    </w:p>
    <w:p>
      <w:pPr>
        <w:jc w:val="both"/>
        <w:ind w:left="1700" w:hanging="842"/>
        <w:spacing w:after="0" w:line="263" w:lineRule="auto"/>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As of December 31, 2019 and June 30, 2020, no financial covenants (minimum monthly adjusted quick ratio and minimum quarterly earnings before interest, tax, depreciation and amortization (“EBITDA”) as defined in the banking facilities agreements) as set out in these loan agreements have been breached.</w:t>
      </w:r>
    </w:p>
    <w:p>
      <w:pPr>
        <w:spacing w:after="0" w:line="143" w:lineRule="exact"/>
        <w:rPr>
          <w:sz w:val="20"/>
          <w:szCs w:val="20"/>
          <w:color w:val="auto"/>
        </w:rPr>
      </w:pPr>
    </w:p>
    <w:p>
      <w:pPr>
        <w:jc w:val="both"/>
        <w:ind w:left="860" w:right="20"/>
        <w:spacing w:after="0" w:line="263" w:lineRule="auto"/>
        <w:rPr>
          <w:sz w:val="20"/>
          <w:szCs w:val="20"/>
          <w:color w:val="auto"/>
        </w:rPr>
      </w:pPr>
      <w:r>
        <w:rPr>
          <w:rFonts w:ascii="Arial" w:cs="Arial" w:eastAsia="Arial" w:hAnsi="Arial"/>
          <w:sz w:val="18"/>
          <w:szCs w:val="18"/>
          <w:color w:val="auto"/>
        </w:rPr>
        <w:t>The weighted average interest rate for bank loans outstanding as of December 31, 2019 and June 30, 2020 was 5.17% and 4.66% per annum, respectively. Other than those shown above, the Company did not have any significant capital and other commitments, long-term obligations, or guarantees as of December 31, 2019 and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Convertible notes at fair value and derivate liabilities</w:t>
      </w:r>
    </w:p>
    <w:p>
      <w:pPr>
        <w:spacing w:after="0" w:line="185" w:lineRule="exact"/>
        <w:rPr>
          <w:sz w:val="20"/>
          <w:szCs w:val="20"/>
          <w:color w:val="auto"/>
        </w:rPr>
      </w:pPr>
    </w:p>
    <w:p>
      <w:pPr>
        <w:ind w:left="860" w:hanging="852"/>
        <w:spacing w:after="0"/>
        <w:tabs>
          <w:tab w:leader="none" w:pos="8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in 2018</w:t>
      </w:r>
    </w:p>
    <w:p>
      <w:pPr>
        <w:spacing w:after="0" w:line="188" w:lineRule="exact"/>
        <w:rPr>
          <w:rFonts w:ascii="Arial" w:cs="Arial" w:eastAsia="Arial" w:hAnsi="Arial"/>
          <w:sz w:val="18"/>
          <w:szCs w:val="18"/>
          <w:b w:val="1"/>
          <w:bCs w:val="1"/>
          <w:color w:val="auto"/>
        </w:rPr>
      </w:pPr>
    </w:p>
    <w:p>
      <w:pPr>
        <w:jc w:val="both"/>
        <w:ind w:left="8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September 12, 2018, the Company issued US$30,000 of zero-coupon convertible notes (“the 2018 Notes”) at par. The 2018 Notes mature on September 12, 2023 and are non-interest bearing, unless the 2018 Notes are redeemed or repaid upon the occurrence of events of default or relevant events as defined in the agreement whereby an interest of 5% per annum would be charged. The Company considers the likelihood of occurrence of events or relevant events as defined in the agreement to be remote.</w:t>
      </w:r>
    </w:p>
    <w:p>
      <w:pPr>
        <w:spacing w:after="0" w:line="144" w:lineRule="exact"/>
        <w:rPr>
          <w:rFonts w:ascii="Arial" w:cs="Arial" w:eastAsia="Arial" w:hAnsi="Arial"/>
          <w:sz w:val="18"/>
          <w:szCs w:val="18"/>
          <w:b w:val="1"/>
          <w:bCs w:val="1"/>
          <w:color w:val="auto"/>
        </w:rPr>
      </w:pPr>
    </w:p>
    <w:p>
      <w:pPr>
        <w:jc w:val="both"/>
        <w:ind w:left="8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Holder of the 2018 Notes has the option to convert the 2018 Notes at any time on or after October 22, 2018 up to the close of business of the maturity date (the “2018 Notes Conversion Period”). Any outstanding principal amount not converted within the 2018 Notes Conversion Period will mandatorily be converted on the maturity date. The 2018 Notes can be converted into the Company’s ADSs at an conversion price of 92% of the lowest of (i) the volume weighted average prices (“VWAP”) of the ADSs over the period from the issue date to the conversion date, (ii) the VWAP of the ADSs over the five trading day period preceding the conversion date, and (iii) a fixed price of US$8. Notwithstanding the foregoing, in no event will the Conversion Price be less than US$2.78. The Company will not issue any fractional ADSs upon conversion of the 2018 Notes and will instead pay cash in lieu of any fractional ADSs deliverable upon conversion.</w:t>
      </w:r>
    </w:p>
    <w:p>
      <w:pPr>
        <w:spacing w:after="0" w:line="136" w:lineRule="exact"/>
        <w:rPr>
          <w:rFonts w:ascii="Arial" w:cs="Arial" w:eastAsia="Arial" w:hAnsi="Arial"/>
          <w:sz w:val="18"/>
          <w:szCs w:val="18"/>
          <w:b w:val="1"/>
          <w:bCs w:val="1"/>
          <w:color w:val="auto"/>
        </w:rPr>
      </w:pPr>
    </w:p>
    <w:p>
      <w:pPr>
        <w:ind w:left="8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If the VWAP of ADSs on the conversion date is lower than that on September 12, 2018, the Company may make an election to settle in whole by paying the holder of the 2018 Notes a cash alternative amount (which is equivalent to principal amount to be converted divided by 92%).</w:t>
      </w:r>
    </w:p>
    <w:p>
      <w:pPr>
        <w:spacing w:after="0" w:line="83" w:lineRule="exact"/>
        <w:rPr>
          <w:rFonts w:ascii="Arial" w:cs="Arial" w:eastAsia="Arial" w:hAnsi="Arial"/>
          <w:sz w:val="18"/>
          <w:szCs w:val="18"/>
          <w:b w:val="1"/>
          <w:bCs w:val="1"/>
          <w:color w:val="auto"/>
        </w:rPr>
      </w:pPr>
    </w:p>
    <w:p>
      <w:pPr>
        <w:jc w:val="both"/>
        <w:ind w:left="8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Notwithstanding anything to the contrary in the 2018 Notes, no ordinary shares (including ordinary shares represented by ADSs) will be delivered to the 2018 Notes holder if such delivery would result in the aggregate number of ordinary shares (including ordinary shares represented by ADSs) to be delivered taken together with the aggregate number of ordinary shares delivered by the Company since the issue date to exceed 19.9% of the Company's outstanding common stock as of the issue date (the “Share Cap”). In such event, the Company's obligation will be satisfied by delivering the maximum number of ADSs such that the delivery does not exceed the Share Cap and any portion of the principal amount that is not so converted will be settled by the Company by paying the cash settlement amount (“Cash Settlement Amount”) to such converting holder. The Cash Settlement Amount is the remaining amount divided by 92%.</w:t>
      </w:r>
    </w:p>
    <w:p>
      <w:pPr>
        <w:spacing w:after="0" w:line="150" w:lineRule="exact"/>
        <w:rPr>
          <w:rFonts w:ascii="Arial" w:cs="Arial" w:eastAsia="Arial" w:hAnsi="Arial"/>
          <w:sz w:val="18"/>
          <w:szCs w:val="18"/>
          <w:b w:val="1"/>
          <w:bCs w:val="1"/>
          <w:color w:val="auto"/>
        </w:rPr>
      </w:pPr>
    </w:p>
    <w:p>
      <w:pPr>
        <w:jc w:val="both"/>
        <w:ind w:left="8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Concurrently with the issuance of the 2018 Notes, the Company offered a put option to the holder of the 2018 Notes, whereby the holder has the right to require the Company to repurchase all of the outstanding 2018 Notes for cash at a price equal to 100% of the outstanding principal amount plus accrued and unpaid interest to the repurchase date in case of the occurrence of any of the relevant events as defined in the agreement prior to the maturity date. The Company considers the likelihood of occurrence of such relevant events to be remote. The Company also concluded that the feature of contingent put options being considered clearly and closely related to its debt host does not need to be considered as an embedded derivative to be bifurcated.</w:t>
      </w:r>
    </w:p>
    <w:p>
      <w:pPr>
        <w:spacing w:after="0" w:line="151" w:lineRule="exact"/>
        <w:rPr>
          <w:rFonts w:ascii="Arial" w:cs="Arial" w:eastAsia="Arial" w:hAnsi="Arial"/>
          <w:sz w:val="18"/>
          <w:szCs w:val="18"/>
          <w:b w:val="1"/>
          <w:bCs w:val="1"/>
          <w:color w:val="auto"/>
        </w:rPr>
      </w:pPr>
    </w:p>
    <w:p>
      <w:pPr>
        <w:jc w:val="both"/>
        <w:ind w:left="8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both the convertible debt and conversion option which are recognized as financial liabilities,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46"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Issuance costs related to the 2018 Notes for which the fair value option is elected amounting to US$2,190 have been recognized in earnings as incurred during the year ended December 31, 2018 and not deferred in accordance with ASC 825-10-25-3.</w:t>
      </w:r>
    </w:p>
    <w:p>
      <w:pPr>
        <w:spacing w:after="0" w:line="170" w:lineRule="exact"/>
        <w:rPr>
          <w:rFonts w:ascii="Arial" w:cs="Arial" w:eastAsia="Arial" w:hAnsi="Arial"/>
          <w:sz w:val="18"/>
          <w:szCs w:val="18"/>
          <w:b w:val="1"/>
          <w:bCs w:val="1"/>
          <w:color w:val="auto"/>
        </w:rPr>
      </w:pPr>
    </w:p>
    <w:p>
      <w:pPr>
        <w:ind w:left="5540" w:hanging="111"/>
        <w:spacing w:after="0"/>
        <w:tabs>
          <w:tab w:leader="none" w:pos="5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Convertible notes at fair value and derivate liabilities (Continued)</w:t>
      </w:r>
    </w:p>
    <w:p>
      <w:pPr>
        <w:spacing w:after="0" w:line="185" w:lineRule="exact"/>
        <w:rPr>
          <w:sz w:val="20"/>
          <w:szCs w:val="20"/>
          <w:color w:val="auto"/>
        </w:rPr>
      </w:pPr>
    </w:p>
    <w:p>
      <w:pPr>
        <w:ind w:left="860" w:hanging="852"/>
        <w:spacing w:after="0"/>
        <w:tabs>
          <w:tab w:leader="none" w:pos="8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in 2018 (Continued)</w:t>
      </w:r>
    </w:p>
    <w:p>
      <w:pPr>
        <w:spacing w:after="0" w:line="188" w:lineRule="exact"/>
        <w:rPr>
          <w:rFonts w:ascii="Arial" w:cs="Arial" w:eastAsia="Arial" w:hAnsi="Arial"/>
          <w:sz w:val="18"/>
          <w:szCs w:val="18"/>
          <w:b w:val="1"/>
          <w:bCs w:val="1"/>
          <w:color w:val="auto"/>
        </w:rPr>
      </w:pPr>
    </w:p>
    <w:p>
      <w:pPr>
        <w:jc w:val="both"/>
        <w:ind w:left="8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February 1, 2019 and March 1, 2019, the holder of the 2018 Notes partially converted the 2018 Notes with a principal amount of US$1,000 and US$2,000 into 283,888 ADSs and 536,594 ADSs at a conversion price of US$3.52 per ADS and US$3.73 per ADS, respectively. The fair values of these partially converted 2018 Notes as of February 1, 2019 and March 1, 2019 was US$1,630 and US$2,801, respectively. On August 22, 2019, there was a further conversion of the 2018 Notes of US$3,000 in principal amount. Instead of issuing new ADSs, the Company elected the cash alternative election pursuant to the agreement of the 2018 Notes to satisfy the exercise of the holder's conversion right by making a cash alternative payment of US$3,261 to the 2018 Notes holder.</w:t>
      </w:r>
    </w:p>
    <w:p>
      <w:pPr>
        <w:spacing w:after="0" w:line="150" w:lineRule="exact"/>
        <w:rPr>
          <w:rFonts w:ascii="Arial" w:cs="Arial" w:eastAsia="Arial" w:hAnsi="Arial"/>
          <w:sz w:val="18"/>
          <w:szCs w:val="18"/>
          <w:b w:val="1"/>
          <w:bCs w:val="1"/>
          <w:color w:val="auto"/>
        </w:rPr>
      </w:pPr>
    </w:p>
    <w:p>
      <w:pPr>
        <w:jc w:val="both"/>
        <w:ind w:left="8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October 2019, the Company entered into a purchase agreement (the "Purchase Agreement") with the 2018 Notes holder, which entitled the Company an option exercisable by the Company to partially redeem US$20 million in aggregate principal amount of the 2018 Notes at a cash consideration of US$23.2 million in three stages in November 2019. In November 2019, there was an amendment to the Purchase Agreement (“Amended Purchase Agreement”) made with a revised payment schedule for the partial redemption to be done in 4 stages from November 2019 to March 2020 (the "Revised Payment Schedule). The Company has exercised the option and redeemed the 2018 Notes in accordance with the Revised Payment Schedule as follows: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Consideration</w:t>
            </w:r>
          </w:p>
        </w:tc>
      </w:tr>
      <w:tr>
        <w:trPr>
          <w:trHeight w:val="216"/>
        </w:trPr>
        <w:tc>
          <w:tcPr>
            <w:tcW w:w="4640" w:type="dxa"/>
            <w:vAlign w:val="bottom"/>
          </w:tcPr>
          <w:p>
            <w:pPr>
              <w:spacing w:after="0"/>
              <w:rPr>
                <w:sz w:val="18"/>
                <w:szCs w:val="18"/>
                <w:color w:val="auto"/>
              </w:rPr>
            </w:pP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Principal</w:t>
            </w:r>
          </w:p>
        </w:tc>
        <w:tc>
          <w:tcPr>
            <w:tcW w:w="1340" w:type="dxa"/>
            <w:vAlign w:val="bottom"/>
          </w:tcPr>
          <w:p>
            <w:pPr>
              <w:jc w:val="right"/>
              <w:spacing w:after="0"/>
              <w:rPr>
                <w:sz w:val="20"/>
                <w:szCs w:val="20"/>
                <w:color w:val="auto"/>
              </w:rPr>
            </w:pPr>
            <w:r>
              <w:rPr>
                <w:rFonts w:ascii="Arial" w:cs="Arial" w:eastAsia="Arial" w:hAnsi="Arial"/>
                <w:sz w:val="18"/>
                <w:szCs w:val="18"/>
                <w:color w:val="auto"/>
              </w:rPr>
              <w:t>paid for</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Redemption date</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340" w:type="dxa"/>
            <w:vAlign w:val="bottom"/>
          </w:tcPr>
          <w:p>
            <w:pPr>
              <w:jc w:val="right"/>
              <w:spacing w:after="0"/>
              <w:rPr>
                <w:sz w:val="20"/>
                <w:szCs w:val="20"/>
                <w:color w:val="auto"/>
              </w:rPr>
            </w:pPr>
            <w:r>
              <w:rPr>
                <w:rFonts w:ascii="Arial" w:cs="Arial" w:eastAsia="Arial" w:hAnsi="Arial"/>
                <w:sz w:val="18"/>
                <w:szCs w:val="18"/>
                <w:color w:val="auto"/>
              </w:rPr>
              <w:t>redemption</w:t>
            </w:r>
          </w:p>
        </w:tc>
      </w:tr>
      <w:tr>
        <w:trPr>
          <w:trHeight w:val="458"/>
        </w:trPr>
        <w:tc>
          <w:tcPr>
            <w:tcW w:w="4640" w:type="dxa"/>
            <w:vAlign w:val="bottom"/>
          </w:tcPr>
          <w:p>
            <w:pPr>
              <w:spacing w:after="0"/>
              <w:rPr>
                <w:sz w:val="20"/>
                <w:szCs w:val="20"/>
                <w:color w:val="auto"/>
              </w:rPr>
            </w:pPr>
            <w:r>
              <w:rPr>
                <w:rFonts w:ascii="Arial" w:cs="Arial" w:eastAsia="Arial" w:hAnsi="Arial"/>
                <w:sz w:val="18"/>
                <w:szCs w:val="18"/>
                <w:color w:val="auto"/>
              </w:rPr>
              <w:t>November 14, 2019</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3,450</w:t>
            </w:r>
          </w:p>
        </w:tc>
        <w:tc>
          <w:tcPr>
            <w:tcW w:w="1340" w:type="dxa"/>
            <w:vAlign w:val="bottom"/>
          </w:tcPr>
          <w:p>
            <w:pPr>
              <w:jc w:val="right"/>
              <w:spacing w:after="0"/>
              <w:rPr>
                <w:sz w:val="20"/>
                <w:szCs w:val="20"/>
                <w:color w:val="auto"/>
              </w:rPr>
            </w:pPr>
            <w:r>
              <w:rPr>
                <w:rFonts w:ascii="Arial" w:cs="Arial" w:eastAsia="Arial" w:hAnsi="Arial"/>
                <w:sz w:val="18"/>
                <w:szCs w:val="18"/>
                <w:color w:val="auto"/>
              </w:rPr>
              <w:t>4,002</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December 12, 2019</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3,450</w:t>
            </w:r>
          </w:p>
        </w:tc>
        <w:tc>
          <w:tcPr>
            <w:tcW w:w="1340" w:type="dxa"/>
            <w:vAlign w:val="bottom"/>
          </w:tcPr>
          <w:p>
            <w:pPr>
              <w:jc w:val="right"/>
              <w:spacing w:after="0"/>
              <w:rPr>
                <w:sz w:val="20"/>
                <w:szCs w:val="20"/>
                <w:color w:val="auto"/>
              </w:rPr>
            </w:pPr>
            <w:r>
              <w:rPr>
                <w:rFonts w:ascii="Arial" w:cs="Arial" w:eastAsia="Arial" w:hAnsi="Arial"/>
                <w:sz w:val="18"/>
                <w:szCs w:val="18"/>
                <w:color w:val="auto"/>
              </w:rPr>
              <w:t>4,002</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February 3, 2020</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6,900</w:t>
            </w:r>
          </w:p>
        </w:tc>
        <w:tc>
          <w:tcPr>
            <w:tcW w:w="1340" w:type="dxa"/>
            <w:vAlign w:val="bottom"/>
          </w:tcPr>
          <w:p>
            <w:pPr>
              <w:jc w:val="right"/>
              <w:spacing w:after="0"/>
              <w:rPr>
                <w:sz w:val="20"/>
                <w:szCs w:val="20"/>
                <w:color w:val="auto"/>
              </w:rPr>
            </w:pPr>
            <w:r>
              <w:rPr>
                <w:rFonts w:ascii="Arial" w:cs="Arial" w:eastAsia="Arial" w:hAnsi="Arial"/>
                <w:sz w:val="18"/>
                <w:szCs w:val="18"/>
                <w:color w:val="auto"/>
              </w:rPr>
              <w:t>8,004</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March 31, 2020</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6,200</w:t>
            </w:r>
          </w:p>
        </w:tc>
        <w:tc>
          <w:tcPr>
            <w:tcW w:w="1340" w:type="dxa"/>
            <w:vAlign w:val="bottom"/>
          </w:tcPr>
          <w:p>
            <w:pPr>
              <w:jc w:val="right"/>
              <w:spacing w:after="0"/>
              <w:rPr>
                <w:sz w:val="20"/>
                <w:szCs w:val="20"/>
                <w:color w:val="auto"/>
              </w:rPr>
            </w:pPr>
            <w:r>
              <w:rPr>
                <w:rFonts w:ascii="Arial" w:cs="Arial" w:eastAsia="Arial" w:hAnsi="Arial"/>
                <w:sz w:val="18"/>
                <w:szCs w:val="18"/>
                <w:color w:val="auto"/>
              </w:rPr>
              <w:t>7,192</w:t>
            </w:r>
          </w:p>
        </w:tc>
      </w:tr>
    </w:tbl>
    <w:p>
      <w:pPr>
        <w:spacing w:after="0" w:line="202" w:lineRule="exact"/>
        <w:rPr>
          <w:sz w:val="20"/>
          <w:szCs w:val="20"/>
          <w:color w:val="auto"/>
        </w:rPr>
      </w:pPr>
    </w:p>
    <w:p>
      <w:pPr>
        <w:jc w:val="both"/>
        <w:ind w:left="860" w:right="20"/>
        <w:spacing w:after="0" w:line="342" w:lineRule="auto"/>
        <w:rPr>
          <w:sz w:val="20"/>
          <w:szCs w:val="20"/>
          <w:color w:val="auto"/>
        </w:rPr>
      </w:pPr>
      <w:r>
        <w:rPr>
          <w:rFonts w:ascii="Arial" w:cs="Arial" w:eastAsia="Arial" w:hAnsi="Arial"/>
          <w:sz w:val="16"/>
          <w:szCs w:val="16"/>
          <w:color w:val="auto"/>
        </w:rPr>
        <w:t>On June 30, 2020, the holder of the 2018 Notes partially converted the 2018 Notes with a principal amount of US$1,000 into 248,050 ADSs at a conversion price of US$4.03 per ADS. The fair value of these partially converted 2018 Notes as of June 30, 2020 was US$1,551.</w:t>
      </w:r>
    </w:p>
    <w:p>
      <w:pPr>
        <w:spacing w:after="0" w:line="83" w:lineRule="exact"/>
        <w:rPr>
          <w:sz w:val="20"/>
          <w:szCs w:val="20"/>
          <w:color w:val="auto"/>
        </w:rPr>
      </w:pPr>
    </w:p>
    <w:p>
      <w:pPr>
        <w:jc w:val="both"/>
        <w:ind w:left="860" w:right="20"/>
        <w:spacing w:after="0" w:line="259" w:lineRule="auto"/>
        <w:rPr>
          <w:sz w:val="20"/>
          <w:szCs w:val="20"/>
          <w:color w:val="auto"/>
        </w:rPr>
      </w:pPr>
      <w:r>
        <w:rPr>
          <w:rFonts w:ascii="Arial" w:cs="Arial" w:eastAsia="Arial" w:hAnsi="Arial"/>
          <w:sz w:val="18"/>
          <w:szCs w:val="18"/>
          <w:color w:val="auto"/>
        </w:rPr>
        <w:t>The fair value of the 2018 Notes was determined using a Monte Carlo simulation with the key assumptions summarized in the below table. The volatility was based on the implied historical volatility of certain comparable companies. The risk-free interest rate is equal to the yield, as of the respective measurement dates, of the zero-coupon U.S. Treasury bill that commensurates with the remaining period until the maturity of the 2018 Notes.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Risk-free</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Measurement date</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Volatility</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rate</w:t>
            </w:r>
          </w:p>
        </w:tc>
      </w:tr>
      <w:tr>
        <w:trPr>
          <w:trHeight w:val="230"/>
        </w:trPr>
        <w:tc>
          <w:tcPr>
            <w:tcW w:w="3880" w:type="dxa"/>
            <w:vAlign w:val="bottom"/>
          </w:tcPr>
          <w:p>
            <w:pPr>
              <w:spacing w:after="0"/>
              <w:rPr>
                <w:sz w:val="20"/>
                <w:szCs w:val="20"/>
                <w:color w:val="auto"/>
              </w:rPr>
            </w:pP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58"/>
        </w:trPr>
        <w:tc>
          <w:tcPr>
            <w:tcW w:w="3880" w:type="dxa"/>
            <w:vAlign w:val="bottom"/>
          </w:tcPr>
          <w:p>
            <w:pPr>
              <w:ind w:left="920"/>
              <w:spacing w:after="0"/>
              <w:rPr>
                <w:sz w:val="20"/>
                <w:szCs w:val="20"/>
                <w:color w:val="auto"/>
              </w:rPr>
            </w:pPr>
            <w:r>
              <w:rPr>
                <w:rFonts w:ascii="Arial" w:cs="Arial" w:eastAsia="Arial" w:hAnsi="Arial"/>
                <w:sz w:val="18"/>
                <w:szCs w:val="18"/>
                <w:color w:val="auto"/>
              </w:rPr>
              <w:t>December 31, 2018</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44.32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2.52</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February 1, 2019</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44.59</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2.55</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March 1, 2019</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44.99</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229"/>
        </w:trPr>
        <w:tc>
          <w:tcPr>
            <w:tcW w:w="3880" w:type="dxa"/>
            <w:vAlign w:val="bottom"/>
          </w:tcPr>
          <w:p>
            <w:pPr>
              <w:ind w:left="920"/>
              <w:spacing w:after="0"/>
              <w:rPr>
                <w:sz w:val="20"/>
                <w:szCs w:val="20"/>
                <w:color w:val="auto"/>
              </w:rPr>
            </w:pPr>
            <w:r>
              <w:rPr>
                <w:rFonts w:ascii="Arial" w:cs="Arial" w:eastAsia="Arial" w:hAnsi="Arial"/>
                <w:sz w:val="18"/>
                <w:szCs w:val="18"/>
                <w:color w:val="auto"/>
              </w:rPr>
              <w:t>August 22, 2019</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43.86</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1.47</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November 14, 2019</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44.34</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1.61</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December 12, 2019</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43.86</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1.71</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December 31, 2019</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44.17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1.67</w:t>
            </w:r>
          </w:p>
        </w:tc>
      </w:tr>
      <w:tr>
        <w:trPr>
          <w:trHeight w:val="229"/>
        </w:trPr>
        <w:tc>
          <w:tcPr>
            <w:tcW w:w="3880" w:type="dxa"/>
            <w:vAlign w:val="bottom"/>
          </w:tcPr>
          <w:p>
            <w:pPr>
              <w:ind w:left="920"/>
              <w:spacing w:after="0"/>
              <w:rPr>
                <w:sz w:val="20"/>
                <w:szCs w:val="20"/>
                <w:color w:val="auto"/>
              </w:rPr>
            </w:pPr>
            <w:r>
              <w:rPr>
                <w:rFonts w:ascii="Arial" w:cs="Arial" w:eastAsia="Arial" w:hAnsi="Arial"/>
                <w:sz w:val="18"/>
                <w:szCs w:val="18"/>
                <w:color w:val="auto"/>
              </w:rPr>
              <w:t>February 3, 2020</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42.09</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1.37</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March 31, 2020</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45.38</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0.45</w:t>
            </w:r>
          </w:p>
        </w:tc>
      </w:tr>
      <w:tr>
        <w:trPr>
          <w:trHeight w:val="230"/>
        </w:trPr>
        <w:tc>
          <w:tcPr>
            <w:tcW w:w="3880" w:type="dxa"/>
            <w:vAlign w:val="bottom"/>
          </w:tcPr>
          <w:p>
            <w:pPr>
              <w:ind w:left="920"/>
              <w:spacing w:after="0"/>
              <w:rPr>
                <w:sz w:val="20"/>
                <w:szCs w:val="20"/>
                <w:color w:val="auto"/>
              </w:rPr>
            </w:pPr>
            <w:r>
              <w:rPr>
                <w:rFonts w:ascii="Arial" w:cs="Arial" w:eastAsia="Arial" w:hAnsi="Arial"/>
                <w:sz w:val="18"/>
                <w:szCs w:val="18"/>
                <w:color w:val="auto"/>
              </w:rPr>
              <w:t>June 30, 2020</w:t>
            </w:r>
          </w:p>
        </w:tc>
        <w:tc>
          <w:tcPr>
            <w:tcW w:w="6060" w:type="dxa"/>
            <w:vAlign w:val="bottom"/>
          </w:tcPr>
          <w:p>
            <w:pPr>
              <w:jc w:val="right"/>
              <w:ind w:right="410"/>
              <w:spacing w:after="0"/>
              <w:rPr>
                <w:sz w:val="20"/>
                <w:szCs w:val="20"/>
                <w:color w:val="auto"/>
              </w:rPr>
            </w:pPr>
            <w:r>
              <w:rPr>
                <w:rFonts w:ascii="Arial" w:cs="Arial" w:eastAsia="Arial" w:hAnsi="Arial"/>
                <w:sz w:val="18"/>
                <w:szCs w:val="18"/>
                <w:color w:val="auto"/>
              </w:rPr>
              <w:t>51.24</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0.24</w:t>
            </w:r>
          </w:p>
        </w:tc>
      </w:tr>
      <w:tr>
        <w:trPr>
          <w:trHeight w:val="648"/>
        </w:trPr>
        <w:tc>
          <w:tcPr>
            <w:tcW w:w="3880" w:type="dxa"/>
            <w:vAlign w:val="bottom"/>
          </w:tcPr>
          <w:p>
            <w:pPr>
              <w:spacing w:after="0"/>
              <w:rPr>
                <w:sz w:val="24"/>
                <w:szCs w:val="24"/>
                <w:color w:val="auto"/>
              </w:rPr>
            </w:pPr>
          </w:p>
        </w:tc>
        <w:tc>
          <w:tcPr>
            <w:tcW w:w="6060" w:type="dxa"/>
            <w:vAlign w:val="bottom"/>
          </w:tcPr>
          <w:p>
            <w:pPr>
              <w:jc w:val="right"/>
              <w:ind w:right="4030"/>
              <w:spacing w:after="0"/>
              <w:rPr>
                <w:sz w:val="20"/>
                <w:szCs w:val="20"/>
                <w:color w:val="auto"/>
              </w:rPr>
            </w:pPr>
            <w:r>
              <w:rPr>
                <w:rFonts w:ascii="Arial" w:cs="Arial" w:eastAsia="Arial" w:hAnsi="Arial"/>
                <w:sz w:val="18"/>
                <w:szCs w:val="18"/>
                <w:color w:val="auto"/>
              </w:rPr>
              <w:t>-31-</w:t>
            </w:r>
          </w:p>
        </w:tc>
        <w:tc>
          <w:tcPr>
            <w:tcW w:w="13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6" w:name="page47"/>
    <w:bookmarkEnd w:id="46"/>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Convertible notes at fair value and derivate liabilities (Continued)</w:t>
      </w:r>
    </w:p>
    <w:p>
      <w:pPr>
        <w:spacing w:after="0" w:line="185" w:lineRule="exact"/>
        <w:rPr>
          <w:sz w:val="20"/>
          <w:szCs w:val="20"/>
          <w:color w:val="auto"/>
        </w:rPr>
      </w:pPr>
    </w:p>
    <w:p>
      <w:pPr>
        <w:ind w:left="860" w:hanging="852"/>
        <w:spacing w:after="0"/>
        <w:tabs>
          <w:tab w:leader="none" w:pos="8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in 2019</w:t>
      </w:r>
    </w:p>
    <w:p>
      <w:pPr>
        <w:spacing w:after="0" w:line="188" w:lineRule="exact"/>
        <w:rPr>
          <w:rFonts w:ascii="Arial" w:cs="Arial" w:eastAsia="Arial" w:hAnsi="Arial"/>
          <w:sz w:val="18"/>
          <w:szCs w:val="18"/>
          <w:b w:val="1"/>
          <w:bCs w:val="1"/>
          <w:color w:val="auto"/>
        </w:rPr>
      </w:pPr>
    </w:p>
    <w:p>
      <w:pPr>
        <w:jc w:val="both"/>
        <w:ind w:left="8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November 11, 2019 and December 16, 2019, the Company issued 5% coupon convertible notes of US$ 20,000 (the "November 2019 Notes") and US$10,000 (the "December 2019 Notes") (collectively, the "2019 Notes"), respectively, at par. The November 2019 Notes and the December 2019 Notes mature on November 11, 2022 and December 16, 2022, respectively.</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options are embedded to the 2019 Notes:</w:t>
      </w:r>
    </w:p>
    <w:p>
      <w:pPr>
        <w:spacing w:after="0" w:line="185" w:lineRule="exact"/>
        <w:rPr>
          <w:sz w:val="20"/>
          <w:szCs w:val="20"/>
          <w:color w:val="auto"/>
        </w:rPr>
      </w:pPr>
    </w:p>
    <w:p>
      <w:pPr>
        <w:ind w:left="1700" w:hanging="842"/>
        <w:spacing w:after="0"/>
        <w:tabs>
          <w:tab w:leader="none" w:pos="1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 call conversion option</w:t>
      </w:r>
    </w:p>
    <w:p>
      <w:pPr>
        <w:spacing w:after="0" w:line="185" w:lineRule="exact"/>
        <w:rPr>
          <w:sz w:val="20"/>
          <w:szCs w:val="20"/>
          <w:color w:val="auto"/>
        </w:rPr>
      </w:pPr>
    </w:p>
    <w:p>
      <w:pPr>
        <w:jc w:val="both"/>
        <w:ind w:left="1740"/>
        <w:spacing w:after="0" w:line="271" w:lineRule="auto"/>
        <w:rPr>
          <w:sz w:val="20"/>
          <w:szCs w:val="20"/>
          <w:color w:val="auto"/>
        </w:rPr>
      </w:pPr>
      <w:r>
        <w:rPr>
          <w:rFonts w:ascii="Arial" w:cs="Arial" w:eastAsia="Arial" w:hAnsi="Arial"/>
          <w:sz w:val="17"/>
          <w:szCs w:val="17"/>
          <w:color w:val="auto"/>
        </w:rPr>
        <w:t>Holders of the 2019 Notes have an option to convert the 2019 Notes at any time on or after November 11, 2020 (for the November 2019 Notes) or December 16, 2020 (for the December 2019 Notes) up to the close of business of the respective maturity date (the “Buyer Call Conversion Options”). The 2019 Notes can be converted into the Company’s ADSs at an conversion price of the lower of (i) the VWAP of the ADSs over the 14 trading day period preceding the conversion date ("14-Day VWAP") plus a 10% premium, or (ii) a fixed price of US$4.3, which is subject to adjustment if the Company’s adjusted EBITDA for the year ending December 31, 2020 is less than US$10,000 (the “Conversion Price”). Notwithstanding the foregoing, in no event will the Conversion Price be less than US$3.2. The Company will not issue any fractional ADSs upon conversion and will instead pay cash in lieu of any fractional ADSs deliverable upon conversion.</w:t>
      </w:r>
    </w:p>
    <w:p>
      <w:pPr>
        <w:spacing w:after="0" w:line="138" w:lineRule="exact"/>
        <w:rPr>
          <w:sz w:val="20"/>
          <w:szCs w:val="20"/>
          <w:color w:val="auto"/>
        </w:rPr>
      </w:pPr>
    </w:p>
    <w:p>
      <w:pPr>
        <w:ind w:left="1700" w:hanging="842"/>
        <w:spacing w:after="0"/>
        <w:tabs>
          <w:tab w:leader="none" w:pos="1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Seller call conversion option</w:t>
      </w:r>
    </w:p>
    <w:p>
      <w:pPr>
        <w:spacing w:after="0" w:line="185" w:lineRule="exact"/>
        <w:rPr>
          <w:sz w:val="20"/>
          <w:szCs w:val="20"/>
          <w:color w:val="auto"/>
        </w:rPr>
      </w:pPr>
    </w:p>
    <w:p>
      <w:pPr>
        <w:jc w:val="both"/>
        <w:ind w:left="1740"/>
        <w:spacing w:after="0" w:line="259" w:lineRule="auto"/>
        <w:rPr>
          <w:sz w:val="20"/>
          <w:szCs w:val="20"/>
          <w:color w:val="auto"/>
        </w:rPr>
      </w:pPr>
      <w:r>
        <w:rPr>
          <w:rFonts w:ascii="Arial" w:cs="Arial" w:eastAsia="Arial" w:hAnsi="Arial"/>
          <w:sz w:val="18"/>
          <w:szCs w:val="18"/>
          <w:color w:val="auto"/>
        </w:rPr>
        <w:t>If the 14-Day VWAP is US$5.00 or higher at any time on or after November 11, 2020 (for the November 2019 Notes) or December 16, 2020 (for the December 2019 Notes) up to the close of business on the fifth business day immediately preceding the respective maturity dates, the Company may require the holders of 2019 Notes to convert the entire outstanding principal amount (the “Seller Call Conversion Option”) at the Conversion Price.</w:t>
      </w:r>
    </w:p>
    <w:p>
      <w:pPr>
        <w:spacing w:after="0" w:line="160" w:lineRule="exact"/>
        <w:rPr>
          <w:sz w:val="20"/>
          <w:szCs w:val="20"/>
          <w:color w:val="auto"/>
        </w:rPr>
      </w:pPr>
    </w:p>
    <w:p>
      <w:pPr>
        <w:ind w:left="1700" w:hanging="842"/>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Seller call redemption option</w:t>
      </w:r>
    </w:p>
    <w:p>
      <w:pPr>
        <w:spacing w:after="0" w:line="185" w:lineRule="exact"/>
        <w:rPr>
          <w:sz w:val="20"/>
          <w:szCs w:val="20"/>
          <w:color w:val="auto"/>
        </w:rPr>
      </w:pPr>
    </w:p>
    <w:p>
      <w:pPr>
        <w:jc w:val="both"/>
        <w:ind w:left="1740"/>
        <w:spacing w:after="0" w:line="342" w:lineRule="auto"/>
        <w:rPr>
          <w:sz w:val="20"/>
          <w:szCs w:val="20"/>
          <w:color w:val="auto"/>
        </w:rPr>
      </w:pPr>
      <w:r>
        <w:rPr>
          <w:rFonts w:ascii="Arial" w:cs="Arial" w:eastAsia="Arial" w:hAnsi="Arial"/>
          <w:sz w:val="16"/>
          <w:szCs w:val="16"/>
          <w:color w:val="auto"/>
        </w:rPr>
        <w:t>At any time on or after the respective issue date up to the close of business on the 60th day immediately preceding the maturity date, the Company may at its option redeem all or a portion of the outstanding principal amount (“Seller Call Redemption Option”).</w:t>
      </w:r>
    </w:p>
    <w:p>
      <w:pPr>
        <w:spacing w:after="0" w:line="83" w:lineRule="exact"/>
        <w:rPr>
          <w:sz w:val="20"/>
          <w:szCs w:val="20"/>
          <w:color w:val="auto"/>
        </w:rPr>
      </w:pPr>
    </w:p>
    <w:p>
      <w:pPr>
        <w:ind w:left="1700" w:hanging="842"/>
        <w:spacing w:after="0"/>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Seller put redemption option</w:t>
      </w:r>
    </w:p>
    <w:p>
      <w:pPr>
        <w:spacing w:after="0" w:line="185" w:lineRule="exact"/>
        <w:rPr>
          <w:sz w:val="20"/>
          <w:szCs w:val="20"/>
          <w:color w:val="auto"/>
        </w:rPr>
      </w:pPr>
    </w:p>
    <w:p>
      <w:pPr>
        <w:jc w:val="both"/>
        <w:ind w:left="1740"/>
        <w:spacing w:after="0" w:line="259" w:lineRule="auto"/>
        <w:rPr>
          <w:sz w:val="20"/>
          <w:szCs w:val="20"/>
          <w:color w:val="auto"/>
        </w:rPr>
      </w:pPr>
      <w:r>
        <w:rPr>
          <w:rFonts w:ascii="Arial" w:cs="Arial" w:eastAsia="Arial" w:hAnsi="Arial"/>
          <w:sz w:val="18"/>
          <w:szCs w:val="18"/>
          <w:color w:val="auto"/>
        </w:rPr>
        <w:t>The holders of the 2019 Notes have an option to require the Company to redeem all of the outstanding principal amount of the 2019 Notes for cash at a price equal to 100% of the outstanding principal amount plus accrued and unpaid interest to the repurchase date in case of the occurrence of any of the relevant events as defined in the agreements of the 2019 Notes prior to the respective maturity dates (the “Seller Put Redemption Options”).</w:t>
      </w:r>
    </w:p>
    <w:p>
      <w:pPr>
        <w:spacing w:after="0" w:line="146" w:lineRule="exact"/>
        <w:rPr>
          <w:sz w:val="20"/>
          <w:szCs w:val="20"/>
          <w:color w:val="auto"/>
        </w:rPr>
      </w:pPr>
    </w:p>
    <w:p>
      <w:pPr>
        <w:jc w:val="both"/>
        <w:ind w:left="860"/>
        <w:spacing w:after="0" w:line="277" w:lineRule="auto"/>
        <w:rPr>
          <w:sz w:val="20"/>
          <w:szCs w:val="20"/>
          <w:color w:val="auto"/>
        </w:rPr>
      </w:pPr>
      <w:r>
        <w:rPr>
          <w:rFonts w:ascii="Arial" w:cs="Arial" w:eastAsia="Arial" w:hAnsi="Arial"/>
          <w:sz w:val="18"/>
          <w:szCs w:val="18"/>
          <w:color w:val="auto"/>
        </w:rPr>
        <w:t>The Company concluded that the features of the Seller Call Redemption Option and Seller Put Redemption Option being considered clearly and closely related to its debt host do not need to be considered as embedded derivatives to be bifurcated.</w:t>
      </w:r>
    </w:p>
    <w:p>
      <w:pPr>
        <w:spacing w:after="0" w:line="143" w:lineRule="exact"/>
        <w:rPr>
          <w:sz w:val="20"/>
          <w:szCs w:val="20"/>
          <w:color w:val="auto"/>
        </w:rPr>
      </w:pPr>
    </w:p>
    <w:p>
      <w:pPr>
        <w:jc w:val="both"/>
        <w:ind w:left="860" w:right="20"/>
        <w:spacing w:after="0" w:line="264" w:lineRule="auto"/>
        <w:rPr>
          <w:sz w:val="20"/>
          <w:szCs w:val="20"/>
          <w:color w:val="auto"/>
        </w:rPr>
      </w:pPr>
      <w:r>
        <w:rPr>
          <w:rFonts w:ascii="Arial" w:cs="Arial" w:eastAsia="Arial" w:hAnsi="Arial"/>
          <w:sz w:val="18"/>
          <w:szCs w:val="18"/>
          <w:color w:val="auto"/>
        </w:rPr>
        <w:t>The 2019 Notes, Buyer Call Conversion Option and Seller Call Conversion Option are all financial liabilities and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Convertible notes at fair value and derivate liabilities (Continued)</w:t>
      </w:r>
    </w:p>
    <w:p>
      <w:pPr>
        <w:spacing w:after="0" w:line="171" w:lineRule="exact"/>
        <w:rPr>
          <w:sz w:val="20"/>
          <w:szCs w:val="20"/>
          <w:color w:val="auto"/>
        </w:rPr>
      </w:pPr>
    </w:p>
    <w:p>
      <w:pPr>
        <w:ind w:left="860" w:hanging="852"/>
        <w:spacing w:after="0"/>
        <w:tabs>
          <w:tab w:leader="none" w:pos="8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in 2019 (Continued)</w:t>
      </w:r>
    </w:p>
    <w:p>
      <w:pPr>
        <w:spacing w:after="0" w:line="175"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Issuance costs related to the 2019 Notes for which the fair value option is elected amounting to US$1,122 in aggregate have been recognized in earnings as incurred and not deferred in accordance with ASC 825-10-25-3.</w:t>
      </w:r>
    </w:p>
    <w:p>
      <w:pPr>
        <w:spacing w:after="0" w:line="143" w:lineRule="exact"/>
        <w:rPr>
          <w:rFonts w:ascii="Arial" w:cs="Arial" w:eastAsia="Arial" w:hAnsi="Arial"/>
          <w:sz w:val="18"/>
          <w:szCs w:val="18"/>
          <w:b w:val="1"/>
          <w:bCs w:val="1"/>
          <w:color w:val="auto"/>
        </w:rPr>
      </w:pPr>
    </w:p>
    <w:p>
      <w:pPr>
        <w:jc w:val="both"/>
        <w:ind w:left="8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On February 18, 2020, the holders of both the November 2019 Notes and December 2019 Notes have elected to convert the entire outstanding principal amount of the 2019 Notes into Class A ordinary shares, par value US$0.001 per share, of the Company at a price of US$7.8 per share, which was at an approximately 7% premium to the 14-day VWAP of the Company’s ADSs as of the conversion date. The fair value of the converted November 2019 Notes and December 2019 Notes as of February 18, 2020 was US$20,282 and US$9,989, respectively.</w:t>
      </w:r>
    </w:p>
    <w:p>
      <w:pPr>
        <w:spacing w:after="0" w:line="116" w:lineRule="exact"/>
        <w:rPr>
          <w:rFonts w:ascii="Arial" w:cs="Arial" w:eastAsia="Arial" w:hAnsi="Arial"/>
          <w:sz w:val="18"/>
          <w:szCs w:val="18"/>
          <w:b w:val="1"/>
          <w:bCs w:val="1"/>
          <w:color w:val="auto"/>
        </w:rPr>
      </w:pPr>
    </w:p>
    <w:p>
      <w:pPr>
        <w:jc w:val="both"/>
        <w:ind w:left="8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fair values of the 2019 Notes were determined using a binomial model with the key assumptions summarized in the below table. The volatility was based on the implied historical volatility of certain comparable companies. The risk-free interest rate is equal to the yield, as of the respective measurement dates, of a 5% coupon U.S. Treasury bill that is commensurate with the remaining period until the maturity of the 2019 Notes. The bond yield was based on the yield of corporate bonds with comparable ratings.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Risk-free</w:t>
            </w:r>
          </w:p>
        </w:tc>
        <w:tc>
          <w:tcPr>
            <w:tcW w:w="1120" w:type="dxa"/>
            <w:vAlign w:val="bottom"/>
          </w:tcPr>
          <w:p>
            <w:pPr>
              <w:spacing w:after="0"/>
              <w:rPr>
                <w:sz w:val="18"/>
                <w:szCs w:val="18"/>
                <w:color w:val="auto"/>
              </w:rPr>
            </w:pPr>
          </w:p>
        </w:tc>
      </w:tr>
      <w:tr>
        <w:trPr>
          <w:trHeight w:val="230"/>
        </w:trPr>
        <w:tc>
          <w:tcPr>
            <w:tcW w:w="4280" w:type="dxa"/>
            <w:vAlign w:val="bottom"/>
          </w:tcPr>
          <w:p>
            <w:pPr>
              <w:spacing w:after="0"/>
              <w:rPr>
                <w:sz w:val="19"/>
                <w:szCs w:val="19"/>
                <w:color w:val="auto"/>
              </w:rPr>
            </w:pP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Volatility</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rate</w:t>
            </w:r>
          </w:p>
        </w:tc>
        <w:tc>
          <w:tcPr>
            <w:tcW w:w="1120" w:type="dxa"/>
            <w:vAlign w:val="bottom"/>
          </w:tcPr>
          <w:p>
            <w:pPr>
              <w:jc w:val="right"/>
              <w:spacing w:after="0"/>
              <w:rPr>
                <w:sz w:val="20"/>
                <w:szCs w:val="20"/>
                <w:color w:val="auto"/>
              </w:rPr>
            </w:pPr>
            <w:r>
              <w:rPr>
                <w:rFonts w:ascii="Arial" w:cs="Arial" w:eastAsia="Arial" w:hAnsi="Arial"/>
                <w:sz w:val="18"/>
                <w:szCs w:val="18"/>
                <w:color w:val="auto"/>
              </w:rPr>
              <w:t>Bond yield</w:t>
            </w:r>
          </w:p>
        </w:tc>
      </w:tr>
      <w:tr>
        <w:trPr>
          <w:trHeight w:val="230"/>
        </w:trPr>
        <w:tc>
          <w:tcPr>
            <w:tcW w:w="4280" w:type="dxa"/>
            <w:vAlign w:val="bottom"/>
          </w:tcPr>
          <w:p>
            <w:pPr>
              <w:spacing w:after="0"/>
              <w:rPr>
                <w:sz w:val="20"/>
                <w:szCs w:val="20"/>
                <w:color w:val="auto"/>
              </w:rPr>
            </w:pP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8"/>
        </w:trPr>
        <w:tc>
          <w:tcPr>
            <w:tcW w:w="428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November 2019 Notes</w:t>
            </w: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42.53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1.61</w:t>
            </w:r>
          </w:p>
        </w:tc>
        <w:tc>
          <w:tcPr>
            <w:tcW w:w="112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December 2019 Notes</w:t>
            </w: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42.63</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1.61</w:t>
            </w:r>
          </w:p>
        </w:tc>
        <w:tc>
          <w:tcPr>
            <w:tcW w:w="112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458"/>
        </w:trPr>
        <w:tc>
          <w:tcPr>
            <w:tcW w:w="4280" w:type="dxa"/>
            <w:vAlign w:val="bottom"/>
          </w:tcPr>
          <w:p>
            <w:pPr>
              <w:spacing w:after="0"/>
              <w:rPr>
                <w:sz w:val="20"/>
                <w:szCs w:val="20"/>
                <w:color w:val="auto"/>
              </w:rPr>
            </w:pPr>
            <w:r>
              <w:rPr>
                <w:rFonts w:ascii="Arial" w:cs="Arial" w:eastAsia="Arial" w:hAnsi="Arial"/>
                <w:sz w:val="18"/>
                <w:szCs w:val="18"/>
                <w:b w:val="1"/>
                <w:bCs w:val="1"/>
                <w:color w:val="auto"/>
              </w:rPr>
              <w:t>As at February 18, 2020</w:t>
            </w:r>
          </w:p>
        </w:tc>
        <w:tc>
          <w:tcPr>
            <w:tcW w:w="3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November 2019 Notes</w:t>
            </w: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44.02</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112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December 2019 Notes</w:t>
            </w:r>
          </w:p>
        </w:tc>
        <w:tc>
          <w:tcPr>
            <w:tcW w:w="3440" w:type="dxa"/>
            <w:vAlign w:val="bottom"/>
          </w:tcPr>
          <w:p>
            <w:pPr>
              <w:jc w:val="right"/>
              <w:ind w:right="310"/>
              <w:spacing w:after="0"/>
              <w:rPr>
                <w:sz w:val="20"/>
                <w:szCs w:val="20"/>
                <w:color w:val="auto"/>
              </w:rPr>
            </w:pPr>
            <w:r>
              <w:rPr>
                <w:rFonts w:ascii="Arial" w:cs="Arial" w:eastAsia="Arial" w:hAnsi="Arial"/>
                <w:sz w:val="18"/>
                <w:szCs w:val="18"/>
                <w:color w:val="auto"/>
              </w:rPr>
              <w:t>43.61</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1120" w:type="dxa"/>
            <w:vAlign w:val="bottom"/>
          </w:tcPr>
          <w:p>
            <w:pPr>
              <w:jc w:val="right"/>
              <w:spacing w:after="0"/>
              <w:rPr>
                <w:sz w:val="20"/>
                <w:szCs w:val="20"/>
                <w:color w:val="auto"/>
              </w:rPr>
            </w:pPr>
            <w:r>
              <w:rPr>
                <w:rFonts w:ascii="Arial" w:cs="Arial" w:eastAsia="Arial" w:hAnsi="Arial"/>
                <w:sz w:val="18"/>
                <w:szCs w:val="18"/>
                <w:color w:val="auto"/>
              </w:rPr>
              <w:t>10.67</w:t>
            </w:r>
          </w:p>
        </w:tc>
      </w:tr>
    </w:tbl>
    <w:p>
      <w:pPr>
        <w:spacing w:after="0" w:line="198" w:lineRule="exact"/>
        <w:rPr>
          <w:sz w:val="20"/>
          <w:szCs w:val="20"/>
          <w:color w:val="auto"/>
        </w:rPr>
      </w:pPr>
    </w:p>
    <w:p>
      <w:pPr>
        <w:ind w:left="860" w:hanging="852"/>
        <w:spacing w:after="0"/>
        <w:tabs>
          <w:tab w:leader="none" w:pos="8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in January 2020</w:t>
      </w:r>
    </w:p>
    <w:p>
      <w:pPr>
        <w:spacing w:after="0" w:line="188"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23, 2020, the Company issued US$3,450 of zero-coupon convertible notes (“2020 Notes”) in exchange for a cash consideration of US$4,002. The terms of the 2020 Notes are the same as those of 2018 Notes.</w:t>
      </w:r>
    </w:p>
    <w:p>
      <w:pPr>
        <w:spacing w:after="0" w:line="143" w:lineRule="exact"/>
        <w:rPr>
          <w:rFonts w:ascii="Arial" w:cs="Arial" w:eastAsia="Arial" w:hAnsi="Arial"/>
          <w:sz w:val="18"/>
          <w:szCs w:val="18"/>
          <w:b w:val="1"/>
          <w:bCs w:val="1"/>
          <w:color w:val="auto"/>
        </w:rPr>
      </w:pPr>
    </w:p>
    <w:p>
      <w:pPr>
        <w:jc w:val="both"/>
        <w:ind w:left="8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February 3, 2020, the holder of 2020 Notes has elected to convert the entire outstanding principal amount of the 2020 Notes into Class A ordinary shares, par value US$0.001 per share, of the Company at a price of US$6.34 per share, which was at a 8% discount to the 5-day VWAP of the Company’s ADSs as of the conversion date.</w:t>
      </w:r>
    </w:p>
    <w:p>
      <w:pPr>
        <w:spacing w:after="0" w:line="143" w:lineRule="exact"/>
        <w:rPr>
          <w:rFonts w:ascii="Arial" w:cs="Arial" w:eastAsia="Arial" w:hAnsi="Arial"/>
          <w:sz w:val="18"/>
          <w:szCs w:val="18"/>
          <w:b w:val="1"/>
          <w:bCs w:val="1"/>
          <w:color w:val="auto"/>
        </w:rPr>
      </w:pPr>
    </w:p>
    <w:p>
      <w:pPr>
        <w:jc w:val="both"/>
        <w:ind w:left="8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the 2020 Notes of US$4,346 as of the conversion date on February 3, 2020 was determined using a Monte Carlo simulation with the key assumptions being volatility of 42.09% and risk-free rate of 1.37%. The volatility was based on the implied historical volatility of certain comparable companies. The risk-free interest rate is equal to the yield as of the measurement date of the zero-coupon U.S. Treasury bill that commensurates with the remaining period until the maturity of the 2020 Notes.</w:t>
      </w:r>
    </w:p>
    <w:p>
      <w:pPr>
        <w:spacing w:after="0" w:line="186" w:lineRule="exact"/>
        <w:rPr>
          <w:rFonts w:ascii="Arial" w:cs="Arial" w:eastAsia="Arial" w:hAnsi="Arial"/>
          <w:sz w:val="18"/>
          <w:szCs w:val="18"/>
          <w:b w:val="1"/>
          <w:bCs w:val="1"/>
          <w:color w:val="auto"/>
        </w:rPr>
      </w:pPr>
    </w:p>
    <w:p>
      <w:pPr>
        <w:ind w:left="5540" w:hanging="111"/>
        <w:spacing w:after="0"/>
        <w:tabs>
          <w:tab w:leader="none" w:pos="5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Convertible notes at fair value and derivate liabilities (Continued)</w:t>
      </w:r>
    </w:p>
    <w:p>
      <w:pPr>
        <w:spacing w:after="0" w:line="185" w:lineRule="exact"/>
        <w:rPr>
          <w:sz w:val="20"/>
          <w:szCs w:val="20"/>
          <w:color w:val="auto"/>
        </w:rPr>
      </w:pPr>
    </w:p>
    <w:p>
      <w:pPr>
        <w:ind w:left="860" w:hanging="852"/>
        <w:spacing w:after="0"/>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issued in July 2020</w:t>
      </w:r>
    </w:p>
    <w:p>
      <w:pPr>
        <w:spacing w:after="0" w:line="188" w:lineRule="exact"/>
        <w:rPr>
          <w:rFonts w:ascii="Arial" w:cs="Arial" w:eastAsia="Arial" w:hAnsi="Arial"/>
          <w:sz w:val="18"/>
          <w:szCs w:val="18"/>
          <w:b w:val="1"/>
          <w:bCs w:val="1"/>
          <w:color w:val="auto"/>
        </w:rPr>
      </w:pPr>
    </w:p>
    <w:p>
      <w:pPr>
        <w:jc w:val="both"/>
        <w:ind w:left="8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Pursuant to an agreement entered into with an independent investor on February 17, 2020, the Company agreed to issue new Notes (the “July 2020 Notes”) with principal amounts of US$13,100 upon receipt of total cash consideration of US$15,196 from the investor on or before June 16, 2020. This constitutes a call option written to the investor to purchase the July 2020 Notes (the “Option”) which is recorded as a derivative liability and measured at fair value as at June 30, 2020. In June 2020, the Company has entered into an addendum with this independent investor to extend the payment due date from June 16, 2020 to July 31, 2020. As of June 30, 2020, the Company has received US$3,039 out of the total consideration of US$15,196 from the investor. Subsequent to the end of the reporting period, the Company has issued the July 2020 Notes on July 31, 2020 upon receipt of the remaining consideration of US$12,157 from the investor on the same day.</w:t>
      </w:r>
    </w:p>
    <w:p>
      <w:pPr>
        <w:spacing w:after="0" w:line="139" w:lineRule="exact"/>
        <w:rPr>
          <w:rFonts w:ascii="Arial" w:cs="Arial" w:eastAsia="Arial" w:hAnsi="Arial"/>
          <w:sz w:val="18"/>
          <w:szCs w:val="18"/>
          <w:b w:val="1"/>
          <w:bCs w:val="1"/>
          <w:color w:val="auto"/>
        </w:rPr>
      </w:pPr>
    </w:p>
    <w:p>
      <w:pPr>
        <w:jc w:val="both"/>
        <w:ind w:left="8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derivative liability of US$5,123 as of June 30, 2020 was determined using a binomial model with the key assumptions being the volatility of 30.57% and risk-free rate of 0.15%. The volatility was based on the implied historical volatility of certain comparable companies. The risk-free interest rate is equal to the yield of US Treasury Strips with a maturity life equal to the time to maturity of the July 2020 Notes.</w:t>
      </w:r>
    </w:p>
    <w:p>
      <w:pPr>
        <w:spacing w:after="0" w:line="142" w:lineRule="exact"/>
        <w:rPr>
          <w:sz w:val="20"/>
          <w:szCs w:val="20"/>
          <w:color w:val="auto"/>
        </w:rPr>
      </w:pPr>
    </w:p>
    <w:p>
      <w:pPr>
        <w:ind w:left="860" w:hanging="852"/>
        <w:spacing w:after="0"/>
        <w:tabs>
          <w:tab w:leader="none" w:pos="8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88" w:lineRule="exact"/>
        <w:rPr>
          <w:rFonts w:ascii="Arial" w:cs="Arial" w:eastAsia="Arial" w:hAnsi="Arial"/>
          <w:sz w:val="18"/>
          <w:szCs w:val="18"/>
          <w:b w:val="1"/>
          <w:bCs w:val="1"/>
          <w:color w:val="auto"/>
        </w:rPr>
      </w:pPr>
    </w:p>
    <w:p>
      <w:pPr>
        <w:jc w:val="both"/>
        <w:ind w:left="8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Company’s Memorandum and Articles of Association authorizes the Company to issue 100,000,000 shares of US$0.001 par value per ordinary share, out of which 80,000,000 shares are Class A ordinary shares and 20,000,000 shares are Class B ordinary shares, as of December 31, 2019 and June 30, 2020, respectively. The holders of Class A ordinary shares shall have one vote in respect of each Class A ordinary share held, the holders of Class B ordinary shares shall have twenty votes in respect of each Class B ordinary share held. The holders of ordinary shares are also entitled to receive dividends whenever funds are legally available and when declared by the board of directors, which is subject to the approval by the holders of the number of ordinary shares representing a majority of the aggregate voting power of all outstanding shares. As of December 31, 2019 and June 30, 2020, there were 28,690,635 and 39,287,751 ordinary shares outstanding, respectively.</w:t>
      </w:r>
    </w:p>
    <w:p>
      <w:pPr>
        <w:spacing w:after="0" w:line="125" w:lineRule="exact"/>
        <w:rPr>
          <w:rFonts w:ascii="Arial" w:cs="Arial" w:eastAsia="Arial" w:hAnsi="Arial"/>
          <w:sz w:val="18"/>
          <w:szCs w:val="18"/>
          <w:b w:val="1"/>
          <w:bCs w:val="1"/>
          <w:color w:val="auto"/>
        </w:rPr>
      </w:pPr>
    </w:p>
    <w:p>
      <w:pPr>
        <w:jc w:val="both"/>
        <w:ind w:left="8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and 2018 Post IPO Share Incentive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2018 Post IPO Share Incentive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No additional shares have been allotted during the six months ended June 30, 2019 and 2020 to Arda. Arda does not hold any other assets or liabilities as at December 31, 2019 and June 30, 2020, nor earn any income nor incur any expenses for the six months ended June 30, 2019 and 2020.</w:t>
      </w:r>
    </w:p>
    <w:p>
      <w:pPr>
        <w:spacing w:after="0" w:line="173" w:lineRule="exact"/>
        <w:rPr>
          <w:rFonts w:ascii="Arial" w:cs="Arial" w:eastAsia="Arial" w:hAnsi="Arial"/>
          <w:sz w:val="18"/>
          <w:szCs w:val="18"/>
          <w:b w:val="1"/>
          <w:bCs w:val="1"/>
          <w:color w:val="auto"/>
        </w:rPr>
      </w:pPr>
    </w:p>
    <w:p>
      <w:pPr>
        <w:ind w:left="5540" w:hanging="111"/>
        <w:spacing w:after="0"/>
        <w:tabs>
          <w:tab w:leader="none" w:pos="5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Repurchase of shares</w:t>
      </w:r>
    </w:p>
    <w:p>
      <w:pPr>
        <w:spacing w:after="0" w:line="185" w:lineRule="exact"/>
        <w:rPr>
          <w:sz w:val="20"/>
          <w:szCs w:val="20"/>
          <w:color w:val="auto"/>
        </w:rPr>
      </w:pPr>
    </w:p>
    <w:p>
      <w:pPr>
        <w:ind w:left="860" w:hanging="852"/>
        <w:spacing w:after="0"/>
        <w:tabs>
          <w:tab w:leader="none" w:pos="8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2018 Share Repurchase Program</w:t>
      </w:r>
    </w:p>
    <w:p>
      <w:pPr>
        <w:spacing w:after="0" w:line="175" w:lineRule="exact"/>
        <w:rPr>
          <w:rFonts w:ascii="Arial" w:cs="Arial" w:eastAsia="Arial" w:hAnsi="Arial"/>
          <w:sz w:val="18"/>
          <w:szCs w:val="18"/>
          <w:b w:val="1"/>
          <w:bCs w:val="1"/>
          <w:color w:val="auto"/>
        </w:rPr>
      </w:pPr>
    </w:p>
    <w:p>
      <w:pPr>
        <w:jc w:val="both"/>
        <w:ind w:left="860" w:right="20"/>
        <w:spacing w:after="0" w:line="258" w:lineRule="auto"/>
        <w:rPr>
          <w:rFonts w:ascii="Arial" w:cs="Arial" w:eastAsia="Arial" w:hAnsi="Arial"/>
          <w:sz w:val="18"/>
          <w:szCs w:val="18"/>
          <w:b w:val="1"/>
          <w:bCs w:val="1"/>
          <w:color w:val="auto"/>
        </w:rPr>
      </w:pPr>
      <w:r>
        <w:rPr>
          <w:rFonts w:ascii="Arial" w:cs="Arial" w:eastAsia="Arial" w:hAnsi="Arial"/>
          <w:sz w:val="16"/>
          <w:szCs w:val="16"/>
          <w:color w:val="auto"/>
        </w:rPr>
        <w:t>In November 2018, the board of directors of the Company authorized a share repurchase program (the “2018 Share Repurchase Program”) whereby the Company may repurchase up to US$10,000 of the common shares or ADSs of the Company from November 28, 2018 to November 27, 2019. 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 The Company has publicly announced the 2018 Share Repurchase Program on November 28, 2018.</w:t>
      </w:r>
    </w:p>
    <w:p>
      <w:pPr>
        <w:spacing w:after="0" w:line="136" w:lineRule="exact"/>
        <w:rPr>
          <w:rFonts w:ascii="Arial" w:cs="Arial" w:eastAsia="Arial" w:hAnsi="Arial"/>
          <w:sz w:val="18"/>
          <w:szCs w:val="18"/>
          <w:b w:val="1"/>
          <w:bCs w:val="1"/>
          <w:color w:val="auto"/>
        </w:rPr>
      </w:pPr>
    </w:p>
    <w:p>
      <w:pPr>
        <w:ind w:left="860" w:right="2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The following table is a summary of the shares repurchased by the Company during 2018 and 2019 under the 2018 Share Repurchase Program. All shares were purchased through publicly purchasing from the open market pursuant to the 2018 Share Repurchase Program.</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Total number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of ADSs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purchased as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part of the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publicly</w:t>
            </w:r>
          </w:p>
        </w:tc>
        <w:tc>
          <w:tcPr>
            <w:tcW w:w="1680" w:type="dxa"/>
            <w:vAlign w:val="bottom"/>
          </w:tcPr>
          <w:p>
            <w:pPr>
              <w:jc w:val="right"/>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420" w:type="dxa"/>
            <w:vAlign w:val="bottom"/>
          </w:tcPr>
          <w:p>
            <w:pPr>
              <w:jc w:val="right"/>
              <w:spacing w:after="0"/>
              <w:rPr>
                <w:sz w:val="20"/>
                <w:szCs w:val="20"/>
                <w:color w:val="auto"/>
              </w:rPr>
            </w:pPr>
            <w:r>
              <w:rPr>
                <w:rFonts w:ascii="Arial" w:cs="Arial" w:eastAsia="Arial" w:hAnsi="Arial"/>
                <w:sz w:val="18"/>
                <w:szCs w:val="18"/>
                <w:color w:val="auto"/>
              </w:rPr>
              <w:t>announced</w:t>
            </w:r>
          </w:p>
        </w:tc>
        <w:tc>
          <w:tcPr>
            <w:tcW w:w="1680" w:type="dxa"/>
            <w:vAlign w:val="bottom"/>
          </w:tcPr>
          <w:p>
            <w:pPr>
              <w:jc w:val="right"/>
              <w:spacing w:after="0"/>
              <w:rPr>
                <w:sz w:val="20"/>
                <w:szCs w:val="20"/>
                <w:color w:val="auto"/>
              </w:rPr>
            </w:pPr>
            <w:r>
              <w:rPr>
                <w:rFonts w:ascii="Arial" w:cs="Arial" w:eastAsia="Arial" w:hAnsi="Arial"/>
                <w:sz w:val="18"/>
                <w:szCs w:val="18"/>
                <w:color w:val="auto"/>
              </w:rPr>
              <w:t>price paid</w:t>
            </w:r>
          </w:p>
        </w:tc>
        <w:tc>
          <w:tcPr>
            <w:tcW w:w="0" w:type="dxa"/>
            <w:vAlign w:val="bottom"/>
          </w:tcPr>
          <w:p>
            <w:pPr>
              <w:spacing w:after="0"/>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plan</w:t>
            </w:r>
          </w:p>
        </w:tc>
        <w:tc>
          <w:tcPr>
            <w:tcW w:w="1680" w:type="dxa"/>
            <w:vAlign w:val="bottom"/>
          </w:tcPr>
          <w:p>
            <w:pPr>
              <w:jc w:val="right"/>
              <w:spacing w:after="0"/>
              <w:rPr>
                <w:sz w:val="20"/>
                <w:szCs w:val="20"/>
                <w:color w:val="auto"/>
              </w:rPr>
            </w:pPr>
            <w:r>
              <w:rPr>
                <w:rFonts w:ascii="Arial" w:cs="Arial" w:eastAsia="Arial" w:hAnsi="Arial"/>
                <w:sz w:val="18"/>
                <w:szCs w:val="18"/>
                <w:color w:val="auto"/>
              </w:rPr>
              <w:t>per ADS</w:t>
            </w:r>
          </w:p>
        </w:tc>
        <w:tc>
          <w:tcPr>
            <w:tcW w:w="0" w:type="dxa"/>
            <w:vAlign w:val="bottom"/>
          </w:tcPr>
          <w:p>
            <w:pPr>
              <w:spacing w:after="0"/>
              <w:rPr>
                <w:sz w:val="1"/>
                <w:szCs w:val="1"/>
                <w:color w:val="auto"/>
              </w:rPr>
            </w:pPr>
          </w:p>
        </w:tc>
      </w:tr>
      <w:tr>
        <w:trPr>
          <w:trHeight w:val="458"/>
        </w:trPr>
        <w:tc>
          <w:tcPr>
            <w:tcW w:w="7100" w:type="dxa"/>
            <w:vAlign w:val="bottom"/>
          </w:tcPr>
          <w:p>
            <w:pPr>
              <w:spacing w:after="0"/>
              <w:rPr>
                <w:sz w:val="20"/>
                <w:szCs w:val="20"/>
                <w:color w:val="auto"/>
              </w:rPr>
            </w:pPr>
            <w:r>
              <w:rPr>
                <w:rFonts w:ascii="Arial" w:cs="Arial" w:eastAsia="Arial" w:hAnsi="Arial"/>
                <w:sz w:val="18"/>
                <w:szCs w:val="18"/>
                <w:color w:val="auto"/>
              </w:rPr>
              <w:t>March 2019</w:t>
            </w:r>
          </w:p>
        </w:tc>
        <w:tc>
          <w:tcPr>
            <w:tcW w:w="1420" w:type="dxa"/>
            <w:vAlign w:val="bottom"/>
          </w:tcPr>
          <w:p>
            <w:pPr>
              <w:jc w:val="right"/>
              <w:spacing w:after="0"/>
              <w:rPr>
                <w:sz w:val="20"/>
                <w:szCs w:val="20"/>
                <w:color w:val="auto"/>
              </w:rPr>
            </w:pPr>
            <w:r>
              <w:rPr>
                <w:rFonts w:ascii="Arial" w:cs="Arial" w:eastAsia="Arial" w:hAnsi="Arial"/>
                <w:sz w:val="18"/>
                <w:szCs w:val="18"/>
                <w:color w:val="auto"/>
              </w:rPr>
              <w:t>13,240</w:t>
            </w:r>
          </w:p>
        </w:tc>
        <w:tc>
          <w:tcPr>
            <w:tcW w:w="1680" w:type="dxa"/>
            <w:vAlign w:val="bottom"/>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May 2019</w:t>
            </w:r>
          </w:p>
        </w:tc>
        <w:tc>
          <w:tcPr>
            <w:tcW w:w="1420" w:type="dxa"/>
            <w:vAlign w:val="bottom"/>
          </w:tcPr>
          <w:p>
            <w:pPr>
              <w:jc w:val="right"/>
              <w:spacing w:after="0"/>
              <w:rPr>
                <w:sz w:val="20"/>
                <w:szCs w:val="20"/>
                <w:color w:val="auto"/>
              </w:rPr>
            </w:pPr>
            <w:r>
              <w:rPr>
                <w:rFonts w:ascii="Arial" w:cs="Arial" w:eastAsia="Arial" w:hAnsi="Arial"/>
                <w:sz w:val="18"/>
                <w:szCs w:val="18"/>
                <w:color w:val="auto"/>
              </w:rPr>
              <w:t>5,300</w:t>
            </w:r>
          </w:p>
        </w:tc>
        <w:tc>
          <w:tcPr>
            <w:tcW w:w="1680" w:type="dxa"/>
            <w:vAlign w:val="bottom"/>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June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107,034</w:t>
            </w:r>
          </w:p>
        </w:tc>
        <w:tc>
          <w:tcPr>
            <w:tcW w:w="1680" w:type="dxa"/>
            <w:vAlign w:val="bottom"/>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right="20"/>
        <w:spacing w:after="0" w:line="277" w:lineRule="auto"/>
        <w:rPr>
          <w:sz w:val="20"/>
          <w:szCs w:val="20"/>
          <w:color w:val="auto"/>
        </w:rPr>
      </w:pPr>
      <w:r>
        <w:rPr>
          <w:rFonts w:ascii="Arial" w:cs="Arial" w:eastAsia="Arial" w:hAnsi="Arial"/>
          <w:sz w:val="18"/>
          <w:szCs w:val="18"/>
          <w:color w:val="auto"/>
        </w:rPr>
        <w:t>During the six months ended June 30, 2019, 28,011 ADSs were repurchased at an aggregate consideration of US$482 under the Repurchase Program.</w:t>
      </w:r>
    </w:p>
    <w:p>
      <w:pPr>
        <w:spacing w:after="0" w:line="126" w:lineRule="exact"/>
        <w:rPr>
          <w:sz w:val="20"/>
          <w:szCs w:val="20"/>
          <w:color w:val="auto"/>
        </w:rPr>
      </w:pPr>
    </w:p>
    <w:p>
      <w:pPr>
        <w:ind w:left="860" w:hanging="852"/>
        <w:spacing w:after="0"/>
        <w:tabs>
          <w:tab w:leader="none" w:pos="8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2020 Share Repurchase Program</w:t>
      </w:r>
    </w:p>
    <w:p>
      <w:pPr>
        <w:spacing w:after="0" w:line="175" w:lineRule="exact"/>
        <w:rPr>
          <w:rFonts w:ascii="Arial" w:cs="Arial" w:eastAsia="Arial" w:hAnsi="Arial"/>
          <w:sz w:val="18"/>
          <w:szCs w:val="18"/>
          <w:b w:val="1"/>
          <w:bCs w:val="1"/>
          <w:color w:val="auto"/>
        </w:rPr>
      </w:pPr>
    </w:p>
    <w:p>
      <w:pPr>
        <w:jc w:val="both"/>
        <w:ind w:left="860" w:right="20"/>
        <w:spacing w:after="0" w:line="258" w:lineRule="auto"/>
        <w:rPr>
          <w:rFonts w:ascii="Arial" w:cs="Arial" w:eastAsia="Arial" w:hAnsi="Arial"/>
          <w:sz w:val="18"/>
          <w:szCs w:val="18"/>
          <w:b w:val="1"/>
          <w:bCs w:val="1"/>
          <w:color w:val="auto"/>
        </w:rPr>
      </w:pPr>
      <w:r>
        <w:rPr>
          <w:rFonts w:ascii="Arial" w:cs="Arial" w:eastAsia="Arial" w:hAnsi="Arial"/>
          <w:sz w:val="16"/>
          <w:szCs w:val="16"/>
          <w:color w:val="auto"/>
        </w:rPr>
        <w:t>In January 2020, the board of directors of the Company authorized a share repurchase program (the “2020 Share Repurchase Program”) whereby the Company may repurchase up to US$10,000 of the common shares or ADSs of the Company over the 12-month period ending on December 29, 2020. 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 The Company has publicly announced the 2020 Share Repurchase Program on January 15, 2020.</w:t>
      </w:r>
    </w:p>
    <w:p>
      <w:pPr>
        <w:spacing w:after="0" w:line="122" w:lineRule="exact"/>
        <w:rPr>
          <w:rFonts w:ascii="Arial" w:cs="Arial" w:eastAsia="Arial" w:hAnsi="Arial"/>
          <w:sz w:val="18"/>
          <w:szCs w:val="18"/>
          <w:b w:val="1"/>
          <w:bCs w:val="1"/>
          <w:color w:val="auto"/>
        </w:rPr>
      </w:pPr>
    </w:p>
    <w:p>
      <w:pPr>
        <w:ind w:left="860" w:right="2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The following table is a summary of the shares repurchased by the Company during 2020 under the 2020 Share Repurchase Program. All shares were purchased through publicly purchasing from the open market pursuant to the 2020 Share Repurchase Program.</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Total number</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of ADSs</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purchased as</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part of the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publicly</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16"/>
        </w:trPr>
        <w:tc>
          <w:tcPr>
            <w:tcW w:w="468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Period</w:t>
            </w:r>
          </w:p>
        </w:tc>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announced</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price paid</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20"/>
                <w:szCs w:val="20"/>
                <w:color w:val="auto"/>
              </w:rPr>
            </w:pPr>
          </w:p>
        </w:tc>
        <w:tc>
          <w:tcPr>
            <w:tcW w:w="3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plan</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per ADS</w:t>
            </w:r>
          </w:p>
        </w:tc>
        <w:tc>
          <w:tcPr>
            <w:tcW w:w="0" w:type="dxa"/>
            <w:vAlign w:val="bottom"/>
          </w:tcPr>
          <w:p>
            <w:pPr>
              <w:spacing w:after="0"/>
              <w:rPr>
                <w:sz w:val="1"/>
                <w:szCs w:val="1"/>
                <w:color w:val="auto"/>
              </w:rPr>
            </w:pPr>
          </w:p>
        </w:tc>
      </w:tr>
      <w:tr>
        <w:trPr>
          <w:trHeight w:val="459"/>
        </w:trPr>
        <w:tc>
          <w:tcPr>
            <w:tcW w:w="4680" w:type="dxa"/>
            <w:vAlign w:val="bottom"/>
          </w:tcPr>
          <w:p>
            <w:pPr>
              <w:ind w:left="920"/>
              <w:spacing w:after="0"/>
              <w:rPr>
                <w:sz w:val="20"/>
                <w:szCs w:val="20"/>
                <w:color w:val="auto"/>
              </w:rPr>
            </w:pPr>
            <w:r>
              <w:rPr>
                <w:rFonts w:ascii="Arial" w:cs="Arial" w:eastAsia="Arial" w:hAnsi="Arial"/>
                <w:sz w:val="18"/>
                <w:szCs w:val="18"/>
                <w:color w:val="auto"/>
              </w:rPr>
              <w:t>June 2020</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128,266</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4680" w:type="dxa"/>
            <w:vAlign w:val="bottom"/>
          </w:tcPr>
          <w:p>
            <w:pPr>
              <w:ind w:left="920"/>
              <w:spacing w:after="0"/>
              <w:rPr>
                <w:sz w:val="20"/>
                <w:szCs w:val="20"/>
                <w:color w:val="auto"/>
              </w:rPr>
            </w:pPr>
            <w:r>
              <w:rPr>
                <w:rFonts w:ascii="Arial" w:cs="Arial" w:eastAsia="Arial" w:hAnsi="Arial"/>
                <w:sz w:val="18"/>
                <w:szCs w:val="18"/>
                <w:b w:val="1"/>
                <w:bCs w:val="1"/>
                <w:color w:val="auto"/>
              </w:rPr>
              <w:t>For the six months ended June 30, 2020</w:t>
            </w:r>
          </w:p>
        </w:tc>
        <w:tc>
          <w:tcPr>
            <w:tcW w:w="33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128,266</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340" w:type="dxa"/>
            <w:vAlign w:val="bottom"/>
            <w:vMerge w:val="restart"/>
          </w:tcPr>
          <w:p>
            <w:pPr>
              <w:jc w:val="right"/>
              <w:ind w:right="2110"/>
              <w:spacing w:after="0"/>
              <w:rPr>
                <w:sz w:val="20"/>
                <w:szCs w:val="20"/>
                <w:color w:val="auto"/>
              </w:rPr>
            </w:pPr>
            <w:r>
              <w:rPr>
                <w:rFonts w:ascii="Arial" w:cs="Arial" w:eastAsia="Arial" w:hAnsi="Arial"/>
                <w:sz w:val="18"/>
                <w:szCs w:val="18"/>
                <w:color w:val="auto"/>
              </w:rPr>
              <w:t>-35-</w:t>
            </w:r>
          </w:p>
        </w:tc>
        <w:tc>
          <w:tcPr>
            <w:tcW w:w="14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0" w:name="page51"/>
    <w:bookmarkEnd w:id="50"/>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Repurchase of shares (Continued)</w:t>
      </w:r>
    </w:p>
    <w:p>
      <w:pPr>
        <w:spacing w:after="0" w:line="185" w:lineRule="exact"/>
        <w:rPr>
          <w:sz w:val="20"/>
          <w:szCs w:val="20"/>
          <w:color w:val="auto"/>
        </w:rPr>
      </w:pPr>
    </w:p>
    <w:p>
      <w:pPr>
        <w:ind w:left="860" w:hanging="852"/>
        <w:spacing w:after="0"/>
        <w:tabs>
          <w:tab w:leader="none" w:pos="8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2020 Share Repurchase Program (Continued)</w:t>
      </w:r>
    </w:p>
    <w:p>
      <w:pPr>
        <w:spacing w:after="0" w:line="188" w:lineRule="exact"/>
        <w:rPr>
          <w:rFonts w:ascii="Arial" w:cs="Arial" w:eastAsia="Arial" w:hAnsi="Arial"/>
          <w:sz w:val="18"/>
          <w:szCs w:val="18"/>
          <w:b w:val="1"/>
          <w:bCs w:val="1"/>
          <w:color w:val="auto"/>
        </w:rPr>
      </w:pPr>
    </w:p>
    <w:p>
      <w:pPr>
        <w:ind w:left="8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During the six months ended June 30, 2020, 128,266 ADSs were repurchased at an aggregate consideration of US$677 under the Repurchase Program, respectively. The remaining unused amount of US$9,323 will no longer be available for repurchase after December 29, 2020.</w:t>
      </w:r>
    </w:p>
    <w:p>
      <w:pPr>
        <w:spacing w:after="0" w:line="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w:t>
      </w:r>
    </w:p>
    <w:p>
      <w:pPr>
        <w:spacing w:after="0" w:line="185" w:lineRule="exact"/>
        <w:rPr>
          <w:sz w:val="20"/>
          <w:szCs w:val="20"/>
          <w:color w:val="auto"/>
        </w:rPr>
      </w:pPr>
    </w:p>
    <w:p>
      <w:pPr>
        <w:ind w:left="860" w:hanging="852"/>
        <w:spacing w:after="0"/>
        <w:tabs>
          <w:tab w:leader="none" w:pos="8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w:t>
      </w:r>
    </w:p>
    <w:p>
      <w:pPr>
        <w:spacing w:after="0" w:line="188" w:lineRule="exact"/>
        <w:rPr>
          <w:rFonts w:ascii="Arial" w:cs="Arial" w:eastAsia="Arial" w:hAnsi="Arial"/>
          <w:sz w:val="18"/>
          <w:szCs w:val="18"/>
          <w:b w:val="1"/>
          <w:bCs w:val="1"/>
          <w:color w:val="auto"/>
        </w:rPr>
      </w:pPr>
    </w:p>
    <w:p>
      <w:pPr>
        <w:jc w:val="both"/>
        <w:ind w:left="8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43" w:lineRule="exact"/>
        <w:rPr>
          <w:rFonts w:ascii="Arial" w:cs="Arial" w:eastAsia="Arial" w:hAnsi="Arial"/>
          <w:sz w:val="18"/>
          <w:szCs w:val="18"/>
          <w:b w:val="1"/>
          <w:bCs w:val="1"/>
          <w:color w:val="auto"/>
        </w:rPr>
      </w:pPr>
    </w:p>
    <w:p>
      <w:pPr>
        <w:ind w:left="860"/>
        <w:spacing w:after="0" w:line="324" w:lineRule="auto"/>
        <w:rPr>
          <w:rFonts w:ascii="Arial" w:cs="Arial" w:eastAsia="Arial" w:hAnsi="Arial"/>
          <w:sz w:val="18"/>
          <w:szCs w:val="18"/>
          <w:b w:val="1"/>
          <w:bCs w:val="1"/>
          <w:color w:val="auto"/>
        </w:rPr>
      </w:pPr>
      <w:r>
        <w:rPr>
          <w:rFonts w:ascii="Arial" w:cs="Arial" w:eastAsia="Arial" w:hAnsi="Arial"/>
          <w:sz w:val="17"/>
          <w:szCs w:val="17"/>
          <w:color w:val="auto"/>
        </w:rPr>
        <w:t>During the six months ended June 30, 2019 and 2020, no share options were granted to non-employees, employees, officers and directors of the Group. The following table summarizes the share option activities for the six months ended June 30, 2019 and 2020:</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Weighted</w:t>
            </w:r>
          </w:p>
        </w:tc>
        <w:tc>
          <w:tcPr>
            <w:tcW w:w="104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Weighted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04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average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remaining</w:t>
            </w:r>
          </w:p>
        </w:tc>
        <w:tc>
          <w:tcPr>
            <w:tcW w:w="1040" w:type="dxa"/>
            <w:vAlign w:val="bottom"/>
          </w:tcPr>
          <w:p>
            <w:pPr>
              <w:jc w:val="right"/>
              <w:spacing w:after="0"/>
              <w:rPr>
                <w:sz w:val="20"/>
                <w:szCs w:val="20"/>
                <w:color w:val="auto"/>
              </w:rPr>
            </w:pPr>
            <w:r>
              <w:rPr>
                <w:rFonts w:ascii="Arial" w:cs="Arial" w:eastAsia="Arial" w:hAnsi="Arial"/>
                <w:sz w:val="18"/>
                <w:szCs w:val="18"/>
                <w:color w:val="auto"/>
              </w:rPr>
              <w:t>Aggregate</w:t>
            </w:r>
          </w:p>
        </w:tc>
      </w:tr>
      <w:tr>
        <w:trPr>
          <w:trHeight w:val="216"/>
        </w:trPr>
        <w:tc>
          <w:tcPr>
            <w:tcW w:w="53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exercise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contractual</w:t>
            </w:r>
          </w:p>
        </w:tc>
        <w:tc>
          <w:tcPr>
            <w:tcW w:w="1040" w:type="dxa"/>
            <w:vAlign w:val="bottom"/>
          </w:tcPr>
          <w:p>
            <w:pPr>
              <w:jc w:val="right"/>
              <w:spacing w:after="0"/>
              <w:rPr>
                <w:sz w:val="20"/>
                <w:szCs w:val="20"/>
                <w:color w:val="auto"/>
              </w:rPr>
            </w:pPr>
            <w:r>
              <w:rPr>
                <w:rFonts w:ascii="Arial" w:cs="Arial" w:eastAsia="Arial" w:hAnsi="Arial"/>
                <w:sz w:val="18"/>
                <w:szCs w:val="18"/>
                <w:color w:val="auto"/>
              </w:rPr>
              <w:t>intrinsic</w:t>
            </w:r>
          </w:p>
        </w:tc>
      </w:tr>
      <w:tr>
        <w:trPr>
          <w:trHeight w:val="230"/>
        </w:trPr>
        <w:tc>
          <w:tcPr>
            <w:tcW w:w="53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share options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price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life</w:t>
            </w:r>
          </w:p>
        </w:tc>
        <w:tc>
          <w:tcPr>
            <w:tcW w:w="1040" w:type="dxa"/>
            <w:vAlign w:val="bottom"/>
          </w:tcPr>
          <w:p>
            <w:pPr>
              <w:jc w:val="right"/>
              <w:spacing w:after="0"/>
              <w:rPr>
                <w:sz w:val="20"/>
                <w:szCs w:val="20"/>
                <w:color w:val="auto"/>
              </w:rPr>
            </w:pPr>
            <w:r>
              <w:rPr>
                <w:rFonts w:ascii="Arial" w:cs="Arial" w:eastAsia="Arial" w:hAnsi="Arial"/>
                <w:sz w:val="18"/>
                <w:szCs w:val="18"/>
                <w:color w:val="auto"/>
              </w:rPr>
              <w:t>value</w:t>
            </w:r>
          </w:p>
        </w:tc>
      </w:tr>
      <w:tr>
        <w:trPr>
          <w:trHeight w:val="230"/>
        </w:trPr>
        <w:tc>
          <w:tcPr>
            <w:tcW w:w="5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years</w:t>
            </w:r>
          </w:p>
        </w:tc>
        <w:tc>
          <w:tcPr>
            <w:tcW w:w="104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458"/>
        </w:trPr>
        <w:tc>
          <w:tcPr>
            <w:tcW w:w="5380" w:type="dxa"/>
            <w:vAlign w:val="bottom"/>
          </w:tcPr>
          <w:p>
            <w:pPr>
              <w:spacing w:after="0"/>
              <w:rPr>
                <w:sz w:val="20"/>
                <w:szCs w:val="20"/>
                <w:color w:val="auto"/>
              </w:rPr>
            </w:pPr>
            <w:r>
              <w:rPr>
                <w:rFonts w:ascii="Arial" w:cs="Arial" w:eastAsia="Arial" w:hAnsi="Arial"/>
                <w:sz w:val="18"/>
                <w:szCs w:val="18"/>
                <w:color w:val="auto"/>
              </w:rPr>
              <w:t>At January 1, 2019</w:t>
            </w:r>
          </w:p>
        </w:tc>
        <w:tc>
          <w:tcPr>
            <w:tcW w:w="1040" w:type="dxa"/>
            <w:vAlign w:val="bottom"/>
          </w:tcPr>
          <w:p>
            <w:pPr>
              <w:jc w:val="right"/>
              <w:spacing w:after="0"/>
              <w:rPr>
                <w:sz w:val="20"/>
                <w:szCs w:val="20"/>
                <w:color w:val="auto"/>
              </w:rPr>
            </w:pPr>
            <w:r>
              <w:rPr>
                <w:rFonts w:ascii="Arial" w:cs="Arial" w:eastAsia="Arial" w:hAnsi="Arial"/>
                <w:sz w:val="18"/>
                <w:szCs w:val="18"/>
                <w:color w:val="auto"/>
              </w:rPr>
              <w:t>908,409</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2,724</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(53,142)</w:t>
            </w: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(9,096)</w:t>
            </w:r>
          </w:p>
        </w:tc>
        <w:tc>
          <w:tcPr>
            <w:tcW w:w="1040" w:type="dxa"/>
            <w:vAlign w:val="bottom"/>
          </w:tcPr>
          <w:p>
            <w:pPr>
              <w:jc w:val="right"/>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846,171</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w:t>
            </w: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39"/>
        </w:trPr>
        <w:tc>
          <w:tcPr>
            <w:tcW w:w="5380" w:type="dxa"/>
            <w:vAlign w:val="bottom"/>
          </w:tcPr>
          <w:p>
            <w:pPr>
              <w:spacing w:after="0"/>
              <w:rPr>
                <w:sz w:val="20"/>
                <w:szCs w:val="20"/>
                <w:color w:val="auto"/>
              </w:rPr>
            </w:pPr>
            <w:r>
              <w:rPr>
                <w:rFonts w:ascii="Arial" w:cs="Arial" w:eastAsia="Arial" w:hAnsi="Arial"/>
                <w:sz w:val="18"/>
                <w:szCs w:val="18"/>
                <w:color w:val="auto"/>
              </w:rPr>
              <w:t>At January 1, 2020</w:t>
            </w:r>
          </w:p>
        </w:tc>
        <w:tc>
          <w:tcPr>
            <w:tcW w:w="1040" w:type="dxa"/>
            <w:vAlign w:val="bottom"/>
          </w:tcPr>
          <w:p>
            <w:pPr>
              <w:jc w:val="right"/>
              <w:spacing w:after="0"/>
              <w:rPr>
                <w:sz w:val="20"/>
                <w:szCs w:val="20"/>
                <w:color w:val="auto"/>
              </w:rPr>
            </w:pPr>
            <w:r>
              <w:rPr>
                <w:rFonts w:ascii="Arial" w:cs="Arial" w:eastAsia="Arial" w:hAnsi="Arial"/>
                <w:sz w:val="18"/>
                <w:szCs w:val="18"/>
                <w:color w:val="auto"/>
              </w:rPr>
              <w:t>667,867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(107,725)</w:t>
            </w: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At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560,142</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860"/>
        <w:spacing w:after="0" w:line="311"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5% for employees and 58% and 26% for senior management in 2019 and 2020, respectively.</w:t>
      </w:r>
    </w:p>
    <w:p>
      <w:pPr>
        <w:spacing w:after="0" w:line="108" w:lineRule="exact"/>
        <w:rPr>
          <w:sz w:val="20"/>
          <w:szCs w:val="20"/>
          <w:color w:val="auto"/>
        </w:rPr>
      </w:pPr>
    </w:p>
    <w:p>
      <w:pPr>
        <w:jc w:val="both"/>
        <w:ind w:left="860" w:right="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June 30, 2019 and 2020 and the exercise price.</w:t>
      </w:r>
    </w:p>
    <w:p>
      <w:pPr>
        <w:spacing w:after="0" w:line="143" w:lineRule="exact"/>
        <w:rPr>
          <w:sz w:val="20"/>
          <w:szCs w:val="20"/>
          <w:color w:val="auto"/>
        </w:rPr>
      </w:pPr>
    </w:p>
    <w:p>
      <w:pPr>
        <w:jc w:val="both"/>
        <w:ind w:left="860"/>
        <w:spacing w:after="0" w:line="263" w:lineRule="auto"/>
        <w:rPr>
          <w:sz w:val="20"/>
          <w:szCs w:val="20"/>
          <w:color w:val="auto"/>
        </w:rPr>
      </w:pPr>
      <w:r>
        <w:rPr>
          <w:rFonts w:ascii="Arial" w:cs="Arial" w:eastAsia="Arial" w:hAnsi="Arial"/>
          <w:sz w:val="18"/>
          <w:szCs w:val="18"/>
          <w:color w:val="auto"/>
        </w:rPr>
        <w:t>All share-based compensation expenses to employees are measured based on their grant-date fair values. Compensation expense is recognized based on the vesting schedule over the requisite service period. Total fair values of options vested and recognized as expenses during the six months ended June 30, 2019 and 2020 were US$595 and US$70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185" w:lineRule="exact"/>
        <w:rPr>
          <w:sz w:val="20"/>
          <w:szCs w:val="20"/>
          <w:color w:val="auto"/>
        </w:rPr>
      </w:pPr>
    </w:p>
    <w:p>
      <w:pPr>
        <w:ind w:left="860" w:hanging="852"/>
        <w:spacing w:after="0"/>
        <w:tabs>
          <w:tab w:leader="none" w:pos="8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75" w:lineRule="exact"/>
        <w:rPr>
          <w:rFonts w:ascii="Arial" w:cs="Arial" w:eastAsia="Arial" w:hAnsi="Arial"/>
          <w:sz w:val="18"/>
          <w:szCs w:val="18"/>
          <w:b w:val="1"/>
          <w:bCs w:val="1"/>
          <w:color w:val="auto"/>
        </w:rPr>
      </w:pPr>
    </w:p>
    <w:p>
      <w:pPr>
        <w:jc w:val="both"/>
        <w:ind w:left="860"/>
        <w:spacing w:after="0" w:line="242" w:lineRule="auto"/>
        <w:rPr>
          <w:rFonts w:ascii="Arial" w:cs="Arial" w:eastAsia="Arial" w:hAnsi="Arial"/>
          <w:sz w:val="18"/>
          <w:szCs w:val="18"/>
          <w:b w:val="1"/>
          <w:bCs w:val="1"/>
          <w:color w:val="auto"/>
        </w:rPr>
      </w:pPr>
      <w:r>
        <w:rPr>
          <w:rFonts w:ascii="Arial" w:cs="Arial" w:eastAsia="Arial" w:hAnsi="Arial"/>
          <w:sz w:val="17"/>
          <w:szCs w:val="17"/>
          <w:color w:val="auto"/>
        </w:rPr>
        <w:t>As of December 31, 2019 and June 30, 2020,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None of the options were vested as of December 31, 2019 and June 30, 2020.</w:t>
      </w:r>
    </w:p>
    <w:p>
      <w:pPr>
        <w:spacing w:after="0" w:line="148" w:lineRule="exact"/>
        <w:rPr>
          <w:rFonts w:ascii="Arial" w:cs="Arial" w:eastAsia="Arial" w:hAnsi="Arial"/>
          <w:sz w:val="18"/>
          <w:szCs w:val="18"/>
          <w:b w:val="1"/>
          <w:bCs w:val="1"/>
          <w:color w:val="auto"/>
        </w:rPr>
      </w:pPr>
    </w:p>
    <w:p>
      <w:pPr>
        <w:jc w:val="both"/>
        <w:ind w:left="860"/>
        <w:spacing w:after="0" w:line="231"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June 30, 2020, there were US$96 and US$70 of unrecognized share-based compensation expenses related to share options, which were expected to be recognized over a weighted-average vesting period of 0.86 and 0.58 years, respectively. To the extent the actual forfeiture rate is different from the Company’s estimate, the actual share-based compensation related to these awards may be different from the expectation.</w:t>
      </w:r>
    </w:p>
    <w:p>
      <w:pPr>
        <w:spacing w:after="0" w:line="144" w:lineRule="exact"/>
        <w:rPr>
          <w:rFonts w:ascii="Arial" w:cs="Arial" w:eastAsia="Arial" w:hAnsi="Arial"/>
          <w:sz w:val="18"/>
          <w:szCs w:val="18"/>
          <w:b w:val="1"/>
          <w:bCs w:val="1"/>
          <w:color w:val="auto"/>
        </w:rPr>
      </w:pPr>
    </w:p>
    <w:p>
      <w:pPr>
        <w:ind w:left="860" w:hanging="852"/>
        <w:spacing w:after="0"/>
        <w:tabs>
          <w:tab w:leader="none" w:pos="8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Post-IPO share incentive plan</w:t>
      </w:r>
    </w:p>
    <w:p>
      <w:pPr>
        <w:spacing w:after="0" w:line="188" w:lineRule="exact"/>
        <w:rPr>
          <w:rFonts w:ascii="Arial" w:cs="Arial" w:eastAsia="Arial" w:hAnsi="Arial"/>
          <w:sz w:val="18"/>
          <w:szCs w:val="18"/>
          <w:b w:val="1"/>
          <w:bCs w:val="1"/>
          <w:color w:val="auto"/>
        </w:rPr>
      </w:pPr>
    </w:p>
    <w:p>
      <w:pPr>
        <w:jc w:val="both"/>
        <w:ind w:left="8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post-IPO share incentive plan provides for the grant of incentive share options and RSUs to the Company’s employees, officers, directors or consultants. The Company’s board of directors administers the post-IPO share incentive plan, selects the individuals to whom options and RSUs will be granted, determines the number of options and RSUs to be granted, and the term and exercise price of each option and RSU.</w:t>
      </w:r>
    </w:p>
    <w:p>
      <w:pPr>
        <w:spacing w:after="0" w:line="146" w:lineRule="exact"/>
        <w:rPr>
          <w:rFonts w:ascii="Arial" w:cs="Arial" w:eastAsia="Arial" w:hAnsi="Arial"/>
          <w:sz w:val="18"/>
          <w:szCs w:val="18"/>
          <w:b w:val="1"/>
          <w:bCs w:val="1"/>
          <w:color w:val="auto"/>
        </w:rPr>
      </w:pPr>
    </w:p>
    <w:p>
      <w:pPr>
        <w:ind w:left="8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Starting from September 2018, the Company granted RSUs to non-employees, employees, officers and directors of the Group. The table below sets forth information regarding RSUs granted during the six months ended June 30, 2020 and 2019.</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Vesting</w:t>
            </w:r>
          </w:p>
        </w:tc>
      </w:tr>
      <w:tr>
        <w:trPr>
          <w:trHeight w:val="216"/>
        </w:trPr>
        <w:tc>
          <w:tcPr>
            <w:tcW w:w="4880" w:type="dxa"/>
            <w:vAlign w:val="bottom"/>
          </w:tcPr>
          <w:p>
            <w:pPr>
              <w:spacing w:after="0"/>
              <w:rPr>
                <w:sz w:val="18"/>
                <w:szCs w:val="18"/>
                <w:color w:val="auto"/>
              </w:rPr>
            </w:pP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Number of</w:t>
            </w:r>
          </w:p>
        </w:tc>
        <w:tc>
          <w:tcPr>
            <w:tcW w:w="1120" w:type="dxa"/>
            <w:vAlign w:val="bottom"/>
          </w:tcPr>
          <w:p>
            <w:pPr>
              <w:jc w:val="right"/>
              <w:spacing w:after="0"/>
              <w:rPr>
                <w:sz w:val="20"/>
                <w:szCs w:val="20"/>
                <w:color w:val="auto"/>
              </w:rPr>
            </w:pPr>
            <w:r>
              <w:rPr>
                <w:rFonts w:ascii="Arial" w:cs="Arial" w:eastAsia="Arial" w:hAnsi="Arial"/>
                <w:sz w:val="18"/>
                <w:szCs w:val="18"/>
                <w:color w:val="auto"/>
              </w:rPr>
              <w:t>period</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Grant Date</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RSUs</w:t>
            </w:r>
          </w:p>
        </w:tc>
        <w:tc>
          <w:tcPr>
            <w:tcW w:w="1120" w:type="dxa"/>
            <w:vAlign w:val="bottom"/>
          </w:tcPr>
          <w:p>
            <w:pPr>
              <w:jc w:val="right"/>
              <w:spacing w:after="0"/>
              <w:rPr>
                <w:sz w:val="20"/>
                <w:szCs w:val="20"/>
                <w:color w:val="auto"/>
              </w:rPr>
            </w:pPr>
            <w:r>
              <w:rPr>
                <w:rFonts w:ascii="Arial" w:cs="Arial" w:eastAsia="Arial" w:hAnsi="Arial"/>
                <w:sz w:val="18"/>
                <w:szCs w:val="18"/>
                <w:color w:val="auto"/>
              </w:rPr>
              <w:t>(year)</w:t>
            </w:r>
          </w:p>
        </w:tc>
      </w:tr>
      <w:tr>
        <w:trPr>
          <w:trHeight w:val="458"/>
        </w:trPr>
        <w:tc>
          <w:tcPr>
            <w:tcW w:w="4880" w:type="dxa"/>
            <w:vAlign w:val="bottom"/>
          </w:tcPr>
          <w:p>
            <w:pPr>
              <w:spacing w:after="0"/>
              <w:rPr>
                <w:sz w:val="20"/>
                <w:szCs w:val="20"/>
                <w:color w:val="auto"/>
              </w:rPr>
            </w:pPr>
            <w:r>
              <w:rPr>
                <w:rFonts w:ascii="Arial" w:cs="Arial" w:eastAsia="Arial" w:hAnsi="Arial"/>
                <w:sz w:val="18"/>
                <w:szCs w:val="18"/>
                <w:color w:val="auto"/>
              </w:rPr>
              <w:t>January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15,000</w:t>
            </w: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55,050</w:t>
            </w: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3,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6,000</w:t>
            </w: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3,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4,000</w:t>
            </w: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April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22,540</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April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27,260</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April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34,540</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April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33,290</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July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1,800</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July 1, 2019 (Note 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45,000</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July 1, 2019 (Note 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6,000</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October 1, 2019 (Note 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4,000</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December 1, 2019 (Note 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10,000</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December 1, 2019 (Note iv)</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15,000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1, 2020 (Note vi)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1, 2020 (Note iii)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19,600</w:t>
            </w: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January 1, 2020 (Note 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235,004</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1, 2020 (Note 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100,000</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27, 2020 (Note v)</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40,000</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January 27, 2020 (Note v)</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110,000</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March 20, 2020 (Note vii)</w:t>
            </w:r>
          </w:p>
        </w:tc>
        <w:tc>
          <w:tcPr>
            <w:tcW w:w="4200" w:type="dxa"/>
            <w:vAlign w:val="bottom"/>
          </w:tcPr>
          <w:p>
            <w:pPr>
              <w:jc w:val="right"/>
              <w:ind w:right="470"/>
              <w:spacing w:after="0"/>
              <w:rPr>
                <w:sz w:val="20"/>
                <w:szCs w:val="20"/>
                <w:color w:val="auto"/>
              </w:rPr>
            </w:pPr>
            <w:r>
              <w:rPr>
                <w:rFonts w:ascii="Arial" w:cs="Arial" w:eastAsia="Arial" w:hAnsi="Arial"/>
                <w:sz w:val="18"/>
                <w:szCs w:val="18"/>
                <w:color w:val="auto"/>
              </w:rPr>
              <w:t>100,000</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r>
    </w:tbl>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Note:</w:t>
      </w:r>
    </w:p>
    <w:p>
      <w:pPr>
        <w:spacing w:after="0" w:line="171" w:lineRule="exact"/>
        <w:rPr>
          <w:sz w:val="20"/>
          <w:szCs w:val="20"/>
          <w:color w:val="auto"/>
        </w:rPr>
      </w:pPr>
    </w:p>
    <w:p>
      <w:pPr>
        <w:ind w:left="1700" w:hanging="842"/>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RSUs were scheduled to be vested over two to three years on a monthly basis.</w:t>
      </w:r>
    </w:p>
    <w:p>
      <w:pPr>
        <w:spacing w:after="0" w:line="198" w:lineRule="exact"/>
        <w:rPr>
          <w:rFonts w:ascii="Arial" w:cs="Arial" w:eastAsia="Arial" w:hAnsi="Arial"/>
          <w:sz w:val="18"/>
          <w:szCs w:val="18"/>
          <w:color w:val="auto"/>
        </w:rPr>
      </w:pPr>
    </w:p>
    <w:p>
      <w:pPr>
        <w:ind w:left="5540" w:hanging="111"/>
        <w:spacing w:after="0"/>
        <w:tabs>
          <w:tab w:leader="none" w:pos="5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185" w:lineRule="exact"/>
        <w:rPr>
          <w:sz w:val="20"/>
          <w:szCs w:val="20"/>
          <w:color w:val="auto"/>
        </w:rPr>
      </w:pPr>
    </w:p>
    <w:p>
      <w:pPr>
        <w:ind w:left="860" w:right="7120" w:hanging="852"/>
        <w:spacing w:after="0" w:line="464" w:lineRule="auto"/>
        <w:tabs>
          <w:tab w:leader="none" w:pos="849"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Post-IPO share incentive plan (Continued) </w:t>
      </w:r>
      <w:r>
        <w:rPr>
          <w:rFonts w:ascii="Arial" w:cs="Arial" w:eastAsia="Arial" w:hAnsi="Arial"/>
          <w:sz w:val="18"/>
          <w:szCs w:val="18"/>
          <w:color w:val="auto"/>
        </w:rPr>
        <w:t>Note: (Continued)</w:t>
      </w:r>
    </w:p>
    <w:p>
      <w:pPr>
        <w:jc w:val="both"/>
        <w:ind w:left="1700" w:hanging="842"/>
        <w:spacing w:after="0" w:line="263" w:lineRule="auto"/>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These RSUs were scheduled to be vested over four years. One-fourth of the awards shall be vested upon the end of the first semi-anniversary dates of the grants or the first anniversary dates of the grants, and the remaining of the awards shall be vested on straight-line basis at the end of the remaining anniversary years.</w:t>
      </w:r>
    </w:p>
    <w:p>
      <w:pPr>
        <w:spacing w:after="0" w:line="143" w:lineRule="exact"/>
        <w:rPr>
          <w:rFonts w:ascii="Arial" w:cs="Arial" w:eastAsia="Arial" w:hAnsi="Arial"/>
          <w:sz w:val="18"/>
          <w:szCs w:val="18"/>
          <w:color w:val="auto"/>
        </w:rPr>
      </w:pPr>
    </w:p>
    <w:p>
      <w:pPr>
        <w:jc w:val="both"/>
        <w:ind w:left="1700" w:hanging="842"/>
        <w:spacing w:after="0" w:line="269" w:lineRule="auto"/>
        <w:tabs>
          <w:tab w:leader="none" w:pos="17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On October 25, 2018, the Company authorized and communicated the issuance of RSUs to an officer of the Company which are subject to certain market conditions based on achievement of average closing stock prices. The Company determines the grant-date fair value of these RSUs using the Monte Carlo simulation model utilizes multiple input variables to determine the stock-based compensation expense. The fair value of each of these RSUs was US$5, as determined using a Monte Carlo simulation with the following assumptions: a historical volatility of 37.02%, 0% dividend yield and a risk-free interest rate of 2.90%. The historical volatility was based on the average volatility of the comparable companies for the most recent 2-year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years ended December 31, 2018 and 2019.</w:t>
      </w:r>
    </w:p>
    <w:p>
      <w:pPr>
        <w:spacing w:after="0" w:line="131" w:lineRule="exact"/>
        <w:rPr>
          <w:rFonts w:ascii="Arial" w:cs="Arial" w:eastAsia="Arial" w:hAnsi="Arial"/>
          <w:sz w:val="17"/>
          <w:szCs w:val="17"/>
          <w:color w:val="auto"/>
        </w:rPr>
      </w:pPr>
    </w:p>
    <w:p>
      <w:pPr>
        <w:jc w:val="both"/>
        <w:ind w:left="1700" w:hanging="842"/>
        <w:spacing w:after="0" w:line="237" w:lineRule="auto"/>
        <w:tabs>
          <w:tab w:leader="none" w:pos="17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On December 1, 2019, the Company authorized and communicated the issuance of RSUs to an external consultant which are subject to certain market conditions based on achievement of 20-day VWAP of the ADSs. The Company determines the grant-date fair value of these RSUs using the Monte Carlo simulation model utilizes multiple input variables to determine the stock-based compensation expense. The fair value of each of these RSUs was US$1.3, as determined using a Monte Carlo simulation with the following assumptions: a historical volatility of 50.17%, 0% dividend yield and a risk-free interest rate of 1.72%. The historical volatility was based on the average volatility of the comparable companies for the most recent 1-year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year ended December 31, 2019.</w:t>
      </w:r>
    </w:p>
    <w:p>
      <w:pPr>
        <w:spacing w:after="0" w:line="148" w:lineRule="exact"/>
        <w:rPr>
          <w:rFonts w:ascii="Arial" w:cs="Arial" w:eastAsia="Arial" w:hAnsi="Arial"/>
          <w:sz w:val="17"/>
          <w:szCs w:val="17"/>
          <w:color w:val="auto"/>
        </w:rPr>
      </w:pPr>
    </w:p>
    <w:p>
      <w:pPr>
        <w:ind w:left="1700" w:hanging="842"/>
        <w:spacing w:after="0"/>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These RSUs were granted to non-employees and vested within one year.</w:t>
      </w:r>
    </w:p>
    <w:p>
      <w:pPr>
        <w:spacing w:after="0" w:line="184" w:lineRule="exact"/>
        <w:rPr>
          <w:rFonts w:ascii="Arial" w:cs="Arial" w:eastAsia="Arial" w:hAnsi="Arial"/>
          <w:sz w:val="18"/>
          <w:szCs w:val="18"/>
          <w:color w:val="auto"/>
        </w:rPr>
      </w:pPr>
    </w:p>
    <w:p>
      <w:pPr>
        <w:jc w:val="both"/>
        <w:ind w:left="1700" w:hanging="842"/>
        <w:spacing w:after="0" w:line="269" w:lineRule="auto"/>
        <w:tabs>
          <w:tab w:leader="none" w:pos="17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On January 1, 2020, the Company authorized and communicated the issuance of RSUs to an external consultant which are subject to certain market conditions based on achievement of 10-day VWAP of the ADSs. The Company determines the grant-date fair value of these RSUs using the Monte Carlo simulation model utilizes multiple input variables to determine the stock-based compensation expense. The fair value of each of these RSUs was US$0.01, as determined using a Monte Carlo simulation with the following assumptions: a historical volatility of 37.89%, 0% dividend yield and a risk-free interest rate of 1.64%. The historical volatility was based on the average volatility of the comparable companies for the most recent 1-year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six months ended June 30, 2020.</w:t>
      </w:r>
    </w:p>
    <w:p>
      <w:pPr>
        <w:spacing w:after="0" w:line="171" w:lineRule="exact"/>
        <w:rPr>
          <w:rFonts w:ascii="Arial" w:cs="Arial" w:eastAsia="Arial" w:hAnsi="Arial"/>
          <w:sz w:val="17"/>
          <w:szCs w:val="17"/>
          <w:color w:val="auto"/>
        </w:rPr>
      </w:pPr>
    </w:p>
    <w:p>
      <w:pPr>
        <w:ind w:left="5540" w:hanging="111"/>
        <w:spacing w:after="0"/>
        <w:tabs>
          <w:tab w:leader="none" w:pos="55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185" w:lineRule="exact"/>
        <w:rPr>
          <w:sz w:val="20"/>
          <w:szCs w:val="20"/>
          <w:color w:val="auto"/>
        </w:rPr>
      </w:pPr>
    </w:p>
    <w:p>
      <w:pPr>
        <w:ind w:left="860" w:right="7120" w:hanging="852"/>
        <w:spacing w:after="0" w:line="464" w:lineRule="auto"/>
        <w:tabs>
          <w:tab w:leader="none" w:pos="849"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Post-IPO share incentive plan (Continued) </w:t>
      </w:r>
      <w:r>
        <w:rPr>
          <w:rFonts w:ascii="Arial" w:cs="Arial" w:eastAsia="Arial" w:hAnsi="Arial"/>
          <w:sz w:val="18"/>
          <w:szCs w:val="18"/>
          <w:color w:val="auto"/>
        </w:rPr>
        <w:t>Note: (Continued)</w:t>
      </w:r>
    </w:p>
    <w:p>
      <w:pPr>
        <w:jc w:val="both"/>
        <w:ind w:left="1700" w:hanging="842"/>
        <w:spacing w:after="0" w:line="269" w:lineRule="auto"/>
        <w:tabs>
          <w:tab w:leader="none" w:pos="17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On March 20, 2020, the Company authorized and communicated the issuance of RSUs to an external consultant which are subject to certain market conditions based on achievement of 10-day VWAP of the ADSs. The Company determines the grant-date fair value of these RSUs using the Monte Carlo simulation model utilizes multiple input variables to determine the stock-based compensation expense. The fair value of each of these RSUs was US$0.13, as determined using a Monte Carlo simulation with the following assumptions: a historical volatility of 37.36%, 0% dividend yield and a risk-free interest rate of 0.23%. The historical volatility was based on the average volatility of the comparable companies for the most recent 1-year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six months ended June 30, 2020.</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summarizes the activity of the service-based RSUs for the six months ended June 30, 2019 and 2020:</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Weighted</w:t>
            </w:r>
          </w:p>
        </w:tc>
      </w:tr>
      <w:tr>
        <w:trPr>
          <w:trHeight w:val="216"/>
        </w:trPr>
        <w:tc>
          <w:tcPr>
            <w:tcW w:w="7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average</w:t>
            </w:r>
          </w:p>
        </w:tc>
      </w:tr>
      <w:tr>
        <w:trPr>
          <w:trHeight w:val="216"/>
        </w:trPr>
        <w:tc>
          <w:tcPr>
            <w:tcW w:w="71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Number of</w:t>
            </w:r>
          </w:p>
        </w:tc>
        <w:tc>
          <w:tcPr>
            <w:tcW w:w="1440" w:type="dxa"/>
            <w:vAlign w:val="bottom"/>
          </w:tcPr>
          <w:p>
            <w:pPr>
              <w:jc w:val="right"/>
              <w:spacing w:after="0"/>
              <w:rPr>
                <w:sz w:val="20"/>
                <w:szCs w:val="20"/>
                <w:color w:val="auto"/>
              </w:rPr>
            </w:pPr>
            <w:r>
              <w:rPr>
                <w:rFonts w:ascii="Arial" w:cs="Arial" w:eastAsia="Arial" w:hAnsi="Arial"/>
                <w:sz w:val="18"/>
                <w:szCs w:val="18"/>
                <w:color w:val="auto"/>
              </w:rPr>
              <w:t>grant date</w:t>
            </w:r>
          </w:p>
        </w:tc>
      </w:tr>
      <w:tr>
        <w:trPr>
          <w:trHeight w:val="230"/>
        </w:trPr>
        <w:tc>
          <w:tcPr>
            <w:tcW w:w="71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RSUs</w:t>
            </w:r>
          </w:p>
        </w:tc>
        <w:tc>
          <w:tcPr>
            <w:tcW w:w="1440" w:type="dxa"/>
            <w:vAlign w:val="bottom"/>
          </w:tcPr>
          <w:p>
            <w:pPr>
              <w:jc w:val="right"/>
              <w:spacing w:after="0"/>
              <w:rPr>
                <w:sz w:val="20"/>
                <w:szCs w:val="20"/>
                <w:color w:val="auto"/>
              </w:rPr>
            </w:pPr>
            <w:r>
              <w:rPr>
                <w:rFonts w:ascii="Arial" w:cs="Arial" w:eastAsia="Arial" w:hAnsi="Arial"/>
                <w:sz w:val="18"/>
                <w:szCs w:val="18"/>
                <w:color w:val="auto"/>
              </w:rPr>
              <w:t>fair value</w:t>
            </w:r>
          </w:p>
        </w:tc>
      </w:tr>
      <w:tr>
        <w:trPr>
          <w:trHeight w:val="458"/>
        </w:trPr>
        <w:tc>
          <w:tcPr>
            <w:tcW w:w="7100" w:type="dxa"/>
            <w:vAlign w:val="bottom"/>
          </w:tcPr>
          <w:p>
            <w:pPr>
              <w:spacing w:after="0"/>
              <w:rPr>
                <w:sz w:val="20"/>
                <w:szCs w:val="20"/>
                <w:color w:val="auto"/>
              </w:rPr>
            </w:pPr>
            <w:r>
              <w:rPr>
                <w:rFonts w:ascii="Arial" w:cs="Arial" w:eastAsia="Arial" w:hAnsi="Arial"/>
                <w:sz w:val="18"/>
                <w:szCs w:val="18"/>
                <w:color w:val="auto"/>
              </w:rPr>
              <w:t>At January 1, 2019</w:t>
            </w:r>
          </w:p>
        </w:tc>
        <w:tc>
          <w:tcPr>
            <w:tcW w:w="1420" w:type="dxa"/>
            <w:vAlign w:val="bottom"/>
          </w:tcPr>
          <w:p>
            <w:pPr>
              <w:jc w:val="right"/>
              <w:spacing w:after="0"/>
              <w:rPr>
                <w:sz w:val="20"/>
                <w:szCs w:val="20"/>
                <w:color w:val="auto"/>
              </w:rPr>
            </w:pPr>
            <w:r>
              <w:rPr>
                <w:rFonts w:ascii="Arial" w:cs="Arial" w:eastAsia="Arial" w:hAnsi="Arial"/>
                <w:sz w:val="18"/>
                <w:szCs w:val="18"/>
                <w:color w:val="auto"/>
              </w:rPr>
              <w:t>376,272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197,680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(81,332)</w:t>
            </w:r>
          </w:p>
        </w:tc>
        <w:tc>
          <w:tcPr>
            <w:tcW w:w="144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(5,679)</w:t>
            </w: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At June 30, 2019</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486,941</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39"/>
        </w:trPr>
        <w:tc>
          <w:tcPr>
            <w:tcW w:w="7100" w:type="dxa"/>
            <w:vAlign w:val="bottom"/>
          </w:tcPr>
          <w:p>
            <w:pPr>
              <w:spacing w:after="0"/>
              <w:rPr>
                <w:sz w:val="20"/>
                <w:szCs w:val="20"/>
                <w:color w:val="auto"/>
              </w:rPr>
            </w:pPr>
            <w:r>
              <w:rPr>
                <w:rFonts w:ascii="Arial" w:cs="Arial" w:eastAsia="Arial" w:hAnsi="Arial"/>
                <w:sz w:val="18"/>
                <w:szCs w:val="18"/>
                <w:color w:val="auto"/>
              </w:rPr>
              <w:t>At January 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463,546</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534,604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(491,330)</w:t>
            </w:r>
          </w:p>
        </w:tc>
        <w:tc>
          <w:tcPr>
            <w:tcW w:w="14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(28,125)</w:t>
            </w:r>
          </w:p>
        </w:tc>
        <w:tc>
          <w:tcPr>
            <w:tcW w:w="144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At June 30, 2020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478,695</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860"/>
        <w:spacing w:after="0" w:line="263"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expected forfeitures for RSUs granted, the directors of the Company estimated that its future forfeiture rate would be 1% for employees and 0% for non-employees in 2019 and 2020, respectively.</w:t>
      </w:r>
    </w:p>
    <w:p>
      <w:pPr>
        <w:spacing w:after="0" w:line="143" w:lineRule="exact"/>
        <w:rPr>
          <w:sz w:val="20"/>
          <w:szCs w:val="20"/>
          <w:color w:val="auto"/>
        </w:rPr>
      </w:pPr>
    </w:p>
    <w:p>
      <w:pPr>
        <w:jc w:val="both"/>
        <w:ind w:left="860"/>
        <w:spacing w:after="0" w:line="263"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and intrinsic value of RSUs vested and recognized as expenses for the six months ended June 30, 2019 and 2020 were US$630 and US$2,197,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185" w:lineRule="exact"/>
        <w:rPr>
          <w:sz w:val="20"/>
          <w:szCs w:val="20"/>
          <w:color w:val="auto"/>
        </w:rPr>
      </w:pPr>
    </w:p>
    <w:p>
      <w:pPr>
        <w:ind w:left="860" w:hanging="852"/>
        <w:spacing w:after="0"/>
        <w:tabs>
          <w:tab w:leader="none" w:pos="8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with performance conditions</w:t>
      </w:r>
    </w:p>
    <w:p>
      <w:pPr>
        <w:spacing w:after="0" w:line="188" w:lineRule="exact"/>
        <w:rPr>
          <w:rFonts w:ascii="Arial" w:cs="Arial" w:eastAsia="Arial" w:hAnsi="Arial"/>
          <w:sz w:val="18"/>
          <w:szCs w:val="18"/>
          <w:b w:val="1"/>
          <w:bCs w:val="1"/>
          <w:color w:val="auto"/>
        </w:rPr>
      </w:pPr>
    </w:p>
    <w:p>
      <w:pPr>
        <w:jc w:val="both"/>
        <w:ind w:left="8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(mainly financial performance related) for the fiscal years of 2018 and 2019, respectively and these employees have to be remained employed by the Company. Considering the likelihood of achieving the performance conditions are not probable as of December 31, 2018 and 2019,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All these restricted ordinary shares were forfeited and expired as of December 31, 2019.</w:t>
      </w:r>
    </w:p>
    <w:p>
      <w:pPr>
        <w:spacing w:after="0" w:line="147" w:lineRule="exact"/>
        <w:rPr>
          <w:rFonts w:ascii="Arial" w:cs="Arial" w:eastAsia="Arial" w:hAnsi="Arial"/>
          <w:sz w:val="18"/>
          <w:szCs w:val="18"/>
          <w:b w:val="1"/>
          <w:bCs w:val="1"/>
          <w:color w:val="auto"/>
        </w:rPr>
      </w:pPr>
    </w:p>
    <w:p>
      <w:pPr>
        <w:ind w:left="860" w:hanging="852"/>
        <w:spacing w:after="0"/>
        <w:tabs>
          <w:tab w:leader="none" w:pos="8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warrants to an external consultant</w:t>
      </w:r>
    </w:p>
    <w:p>
      <w:pPr>
        <w:spacing w:after="0" w:line="188" w:lineRule="exact"/>
        <w:rPr>
          <w:rFonts w:ascii="Arial" w:cs="Arial" w:eastAsia="Arial" w:hAnsi="Arial"/>
          <w:sz w:val="18"/>
          <w:szCs w:val="18"/>
          <w:b w:val="1"/>
          <w:bCs w:val="1"/>
          <w:color w:val="auto"/>
        </w:rPr>
      </w:pPr>
    </w:p>
    <w:p>
      <w:pPr>
        <w:jc w:val="both"/>
        <w:ind w:left="8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Pursuant to the agreement executed between the Company and an external consultant ("Warrant Agreement"), the Company shall issue warrants to purchase up to 4,651,162 ADSs ("Warrants") to the external consultant in exchange for its financial advisory services which the Warrants shall be vested upon the completion of raising a minimum of US$20,000 by the Company through issuing convertible notes or any equivalent financial instruments. On December 9, 2019, the Company, based on the Warrant Agreement, issued the Warrants to the external consultant as the Company was able to successfully issue the November 2019 Notes. The exercise period of the Warrants commences on December 16, 2020 at an exercise price of US$4.30 per ADS and will expire on December 16, 2022. In accordance with ASC 718, the measurement date for the vested warrants was December 9, 2019. The warrants issued to the consultant are classified as equity awards and measured based on the measurement date fair value of US$0.709 per warrant. During the year ended December 31, 2019, no warrants were exercised.</w:t>
      </w:r>
    </w:p>
    <w:p>
      <w:pPr>
        <w:spacing w:after="0" w:line="155" w:lineRule="exact"/>
        <w:rPr>
          <w:rFonts w:ascii="Arial" w:cs="Arial" w:eastAsia="Arial" w:hAnsi="Arial"/>
          <w:sz w:val="18"/>
          <w:szCs w:val="18"/>
          <w:b w:val="1"/>
          <w:bCs w:val="1"/>
          <w:color w:val="auto"/>
        </w:rPr>
      </w:pPr>
    </w:p>
    <w:p>
      <w:pPr>
        <w:ind w:left="8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Since all of the warrants granted were fully vested, compensation expense of US$3,298 was immediately recognized with a corresponding credit to additional paid-in capital during the year ended December 31, 2019.</w:t>
      </w:r>
    </w:p>
    <w:p>
      <w:pPr>
        <w:spacing w:after="0" w:line="129" w:lineRule="exact"/>
        <w:rPr>
          <w:rFonts w:ascii="Arial" w:cs="Arial" w:eastAsia="Arial" w:hAnsi="Arial"/>
          <w:sz w:val="18"/>
          <w:szCs w:val="18"/>
          <w:b w:val="1"/>
          <w:bCs w:val="1"/>
          <w:color w:val="auto"/>
        </w:rPr>
      </w:pPr>
    </w:p>
    <w:p>
      <w:pPr>
        <w:ind w:left="8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warrants granted on December 9, 2019 was estimated by using the binomial option pricing model with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920"/>
              <w:spacing w:after="0"/>
              <w:rPr>
                <w:sz w:val="20"/>
                <w:szCs w:val="20"/>
                <w:color w:val="auto"/>
              </w:rPr>
            </w:pPr>
            <w:r>
              <w:rPr>
                <w:rFonts w:ascii="Arial" w:cs="Arial" w:eastAsia="Arial" w:hAnsi="Arial"/>
                <w:sz w:val="18"/>
                <w:szCs w:val="18"/>
                <w:color w:val="auto"/>
              </w:rPr>
              <w:t>Input</w:t>
            </w:r>
          </w:p>
        </w:tc>
        <w:tc>
          <w:tcPr>
            <w:tcW w:w="7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58"/>
        </w:trPr>
        <w:tc>
          <w:tcPr>
            <w:tcW w:w="4220" w:type="dxa"/>
            <w:vAlign w:val="bottom"/>
          </w:tcPr>
          <w:p>
            <w:pPr>
              <w:ind w:left="920"/>
              <w:spacing w:after="0"/>
              <w:rPr>
                <w:sz w:val="20"/>
                <w:szCs w:val="20"/>
                <w:color w:val="auto"/>
              </w:rPr>
            </w:pPr>
            <w:r>
              <w:rPr>
                <w:rFonts w:ascii="Arial" w:cs="Arial" w:eastAsia="Arial" w:hAnsi="Arial"/>
                <w:sz w:val="18"/>
                <w:szCs w:val="18"/>
                <w:color w:val="auto"/>
              </w:rPr>
              <w:t>Volatility</w:t>
            </w:r>
          </w:p>
        </w:tc>
        <w:tc>
          <w:tcPr>
            <w:tcW w:w="7040" w:type="dxa"/>
            <w:vAlign w:val="bottom"/>
          </w:tcPr>
          <w:p>
            <w:pPr>
              <w:jc w:val="right"/>
              <w:ind w:right="30"/>
              <w:spacing w:after="0"/>
              <w:rPr>
                <w:sz w:val="20"/>
                <w:szCs w:val="20"/>
                <w:color w:val="auto"/>
              </w:rPr>
            </w:pPr>
            <w:r>
              <w:rPr>
                <w:rFonts w:ascii="Arial" w:cs="Arial" w:eastAsia="Arial" w:hAnsi="Arial"/>
                <w:sz w:val="18"/>
                <w:szCs w:val="18"/>
                <w:color w:val="auto"/>
              </w:rPr>
              <w:t>42.1</w:t>
            </w:r>
          </w:p>
        </w:tc>
      </w:tr>
      <w:tr>
        <w:trPr>
          <w:trHeight w:val="230"/>
        </w:trPr>
        <w:tc>
          <w:tcPr>
            <w:tcW w:w="4220" w:type="dxa"/>
            <w:vAlign w:val="bottom"/>
          </w:tcPr>
          <w:p>
            <w:pPr>
              <w:ind w:left="920"/>
              <w:spacing w:after="0"/>
              <w:rPr>
                <w:sz w:val="20"/>
                <w:szCs w:val="20"/>
                <w:color w:val="auto"/>
              </w:rPr>
            </w:pPr>
            <w:r>
              <w:rPr>
                <w:rFonts w:ascii="Arial" w:cs="Arial" w:eastAsia="Arial" w:hAnsi="Arial"/>
                <w:sz w:val="18"/>
                <w:szCs w:val="18"/>
                <w:color w:val="auto"/>
              </w:rPr>
              <w:t>Risk-free interest rate</w:t>
            </w:r>
          </w:p>
        </w:tc>
        <w:tc>
          <w:tcPr>
            <w:tcW w:w="70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4220" w:type="dxa"/>
            <w:vAlign w:val="bottom"/>
          </w:tcPr>
          <w:p>
            <w:pPr>
              <w:ind w:left="920"/>
              <w:spacing w:after="0"/>
              <w:rPr>
                <w:sz w:val="20"/>
                <w:szCs w:val="20"/>
                <w:color w:val="auto"/>
              </w:rPr>
            </w:pPr>
            <w:r>
              <w:rPr>
                <w:rFonts w:ascii="Arial" w:cs="Arial" w:eastAsia="Arial" w:hAnsi="Arial"/>
                <w:sz w:val="18"/>
                <w:szCs w:val="18"/>
                <w:color w:val="auto"/>
              </w:rPr>
              <w:t>Expected dividend yield</w:t>
            </w:r>
          </w:p>
        </w:tc>
        <w:tc>
          <w:tcPr>
            <w:tcW w:w="7040" w:type="dxa"/>
            <w:vAlign w:val="bottom"/>
          </w:tcPr>
          <w:p>
            <w:pPr>
              <w:jc w:val="right"/>
              <w:ind w:right="30"/>
              <w:spacing w:after="0"/>
              <w:rPr>
                <w:sz w:val="20"/>
                <w:szCs w:val="20"/>
                <w:color w:val="auto"/>
              </w:rPr>
            </w:pPr>
            <w:r>
              <w:rPr>
                <w:rFonts w:ascii="Arial" w:cs="Arial" w:eastAsia="Arial" w:hAnsi="Arial"/>
                <w:sz w:val="18"/>
                <w:szCs w:val="18"/>
                <w:color w:val="auto"/>
              </w:rPr>
              <w:t>0.0</w:t>
            </w:r>
          </w:p>
        </w:tc>
      </w:tr>
      <w:tr>
        <w:trPr>
          <w:trHeight w:val="229"/>
        </w:trPr>
        <w:tc>
          <w:tcPr>
            <w:tcW w:w="4220" w:type="dxa"/>
            <w:vAlign w:val="bottom"/>
          </w:tcPr>
          <w:p>
            <w:pPr>
              <w:ind w:left="920"/>
              <w:spacing w:after="0"/>
              <w:rPr>
                <w:sz w:val="20"/>
                <w:szCs w:val="20"/>
                <w:color w:val="auto"/>
              </w:rPr>
            </w:pPr>
            <w:r>
              <w:rPr>
                <w:rFonts w:ascii="Arial" w:cs="Arial" w:eastAsia="Arial" w:hAnsi="Arial"/>
                <w:sz w:val="18"/>
                <w:szCs w:val="18"/>
                <w:color w:val="auto"/>
              </w:rPr>
              <w:t>Expected warrant life (years)</w:t>
            </w:r>
          </w:p>
        </w:tc>
        <w:tc>
          <w:tcPr>
            <w:tcW w:w="70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4220" w:type="dxa"/>
            <w:vAlign w:val="bottom"/>
          </w:tcPr>
          <w:p>
            <w:pPr>
              <w:ind w:left="920"/>
              <w:spacing w:after="0"/>
              <w:rPr>
                <w:sz w:val="20"/>
                <w:szCs w:val="20"/>
                <w:color w:val="auto"/>
              </w:rPr>
            </w:pPr>
            <w:r>
              <w:rPr>
                <w:rFonts w:ascii="Arial" w:cs="Arial" w:eastAsia="Arial" w:hAnsi="Arial"/>
                <w:sz w:val="18"/>
                <w:szCs w:val="18"/>
                <w:color w:val="auto"/>
              </w:rPr>
              <w:t>Expected forfeiture rate</w:t>
            </w:r>
          </w:p>
        </w:tc>
        <w:tc>
          <w:tcPr>
            <w:tcW w:w="7040" w:type="dxa"/>
            <w:vAlign w:val="bottom"/>
          </w:tcPr>
          <w:p>
            <w:pPr>
              <w:jc w:val="right"/>
              <w:ind w:right="30"/>
              <w:spacing w:after="0"/>
              <w:rPr>
                <w:sz w:val="20"/>
                <w:szCs w:val="20"/>
                <w:color w:val="auto"/>
              </w:rPr>
            </w:pPr>
            <w:r>
              <w:rPr>
                <w:rFonts w:ascii="Arial" w:cs="Arial" w:eastAsia="Arial" w:hAnsi="Arial"/>
                <w:sz w:val="18"/>
                <w:szCs w:val="18"/>
                <w:color w:val="auto"/>
              </w:rPr>
              <w:t>0.0</w:t>
            </w:r>
          </w:p>
        </w:tc>
      </w:tr>
      <w:tr>
        <w:trPr>
          <w:trHeight w:val="648"/>
        </w:trPr>
        <w:tc>
          <w:tcPr>
            <w:tcW w:w="4220" w:type="dxa"/>
            <w:vAlign w:val="bottom"/>
          </w:tcPr>
          <w:p>
            <w:pPr>
              <w:spacing w:after="0"/>
              <w:rPr>
                <w:sz w:val="24"/>
                <w:szCs w:val="24"/>
                <w:color w:val="auto"/>
              </w:rPr>
            </w:pPr>
          </w:p>
        </w:tc>
        <w:tc>
          <w:tcPr>
            <w:tcW w:w="7040" w:type="dxa"/>
            <w:vAlign w:val="bottom"/>
          </w:tcPr>
          <w:p>
            <w:pPr>
              <w:jc w:val="right"/>
              <w:ind w:right="5350"/>
              <w:spacing w:after="0"/>
              <w:rPr>
                <w:sz w:val="20"/>
                <w:szCs w:val="20"/>
                <w:color w:val="auto"/>
              </w:rPr>
            </w:pPr>
            <w:r>
              <w:rPr>
                <w:rFonts w:ascii="Arial" w:cs="Arial" w:eastAsia="Arial" w:hAnsi="Arial"/>
                <w:sz w:val="18"/>
                <w:szCs w:val="18"/>
                <w:color w:val="auto"/>
              </w:rPr>
              <w:t>-40-</w:t>
            </w:r>
          </w:p>
        </w:tc>
      </w:tr>
      <w:tr>
        <w:trPr>
          <w:trHeight w:val="115"/>
        </w:trPr>
        <w:tc>
          <w:tcPr>
            <w:tcW w:w="4220" w:type="dxa"/>
            <w:vAlign w:val="bottom"/>
            <w:tcBorders>
              <w:bottom w:val="single" w:sz="8" w:color="9A9A9A"/>
            </w:tcBorders>
          </w:tcPr>
          <w:p>
            <w:pPr>
              <w:spacing w:after="0"/>
              <w:rPr>
                <w:sz w:val="10"/>
                <w:szCs w:val="10"/>
                <w:color w:val="auto"/>
              </w:rPr>
            </w:pPr>
          </w:p>
        </w:tc>
        <w:tc>
          <w:tcPr>
            <w:tcW w:w="7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5" w:name="page56"/>
    <w:bookmarkEnd w:id="55"/>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Share-based compensation (Continued)</w:t>
      </w:r>
    </w:p>
    <w:p>
      <w:pPr>
        <w:spacing w:after="0" w:line="185" w:lineRule="exact"/>
        <w:rPr>
          <w:sz w:val="20"/>
          <w:szCs w:val="20"/>
          <w:color w:val="auto"/>
        </w:rPr>
      </w:pPr>
    </w:p>
    <w:p>
      <w:pPr>
        <w:ind w:left="860" w:hanging="852"/>
        <w:spacing w:after="0"/>
        <w:tabs>
          <w:tab w:leader="none" w:pos="8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Total share-based compensation costs</w:t>
      </w:r>
    </w:p>
    <w:p>
      <w:pPr>
        <w:spacing w:after="0" w:line="188"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Total compensation costs recognized for the six months ended June 30, 2019 and 2020 were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58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For the six months ended</w:t>
            </w:r>
          </w:p>
        </w:tc>
        <w:tc>
          <w:tcPr>
            <w:tcW w:w="540" w:type="dxa"/>
            <w:vAlign w:val="bottom"/>
          </w:tcPr>
          <w:p>
            <w:pPr>
              <w:spacing w:after="0"/>
              <w:rPr>
                <w:sz w:val="18"/>
                <w:szCs w:val="18"/>
                <w:color w:val="auto"/>
              </w:rPr>
            </w:pPr>
          </w:p>
        </w:tc>
      </w:tr>
      <w:tr>
        <w:trPr>
          <w:trHeight w:val="229"/>
        </w:trPr>
        <w:tc>
          <w:tcPr>
            <w:tcW w:w="7100" w:type="dxa"/>
            <w:vAlign w:val="bottom"/>
          </w:tcPr>
          <w:p>
            <w:pPr>
              <w:spacing w:after="0"/>
              <w:rPr>
                <w:sz w:val="19"/>
                <w:szCs w:val="19"/>
                <w:color w:val="auto"/>
              </w:rPr>
            </w:pPr>
          </w:p>
        </w:tc>
        <w:tc>
          <w:tcPr>
            <w:tcW w:w="2580" w:type="dxa"/>
            <w:vAlign w:val="bottom"/>
            <w:gridSpan w:val="3"/>
          </w:tcPr>
          <w:p>
            <w:pPr>
              <w:jc w:val="center"/>
              <w:ind w:left="450"/>
              <w:spacing w:after="0"/>
              <w:rPr>
                <w:sz w:val="20"/>
                <w:szCs w:val="20"/>
                <w:color w:val="auto"/>
              </w:rPr>
            </w:pPr>
            <w:r>
              <w:rPr>
                <w:rFonts w:ascii="Arial" w:cs="Arial" w:eastAsia="Arial" w:hAnsi="Arial"/>
                <w:sz w:val="18"/>
                <w:szCs w:val="18"/>
                <w:color w:val="auto"/>
                <w:w w:val="86"/>
              </w:rPr>
              <w:t>June 30,</w:t>
            </w:r>
          </w:p>
        </w:tc>
        <w:tc>
          <w:tcPr>
            <w:tcW w:w="540" w:type="dxa"/>
            <w:vAlign w:val="bottom"/>
          </w:tcPr>
          <w:p>
            <w:pPr>
              <w:spacing w:after="0"/>
              <w:rPr>
                <w:sz w:val="19"/>
                <w:szCs w:val="19"/>
                <w:color w:val="auto"/>
              </w:rPr>
            </w:pPr>
          </w:p>
        </w:tc>
      </w:tr>
      <w:tr>
        <w:trPr>
          <w:trHeight w:val="230"/>
        </w:trPr>
        <w:tc>
          <w:tcPr>
            <w:tcW w:w="7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458"/>
        </w:trPr>
        <w:tc>
          <w:tcPr>
            <w:tcW w:w="7100" w:type="dxa"/>
            <w:vAlign w:val="bottom"/>
          </w:tcPr>
          <w:p>
            <w:pPr>
              <w:spacing w:after="0"/>
              <w:rPr>
                <w:sz w:val="20"/>
                <w:szCs w:val="20"/>
                <w:color w:val="auto"/>
              </w:rPr>
            </w:pPr>
            <w:r>
              <w:rPr>
                <w:rFonts w:ascii="Arial" w:cs="Arial" w:eastAsia="Arial" w:hAnsi="Arial"/>
                <w:sz w:val="18"/>
                <w:szCs w:val="18"/>
                <w:color w:val="auto"/>
              </w:rPr>
              <w:t>Cost of revenues</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Sales and marketing</w:t>
            </w:r>
          </w:p>
        </w:tc>
        <w:tc>
          <w:tcPr>
            <w:tcW w:w="1420" w:type="dxa"/>
            <w:vAlign w:val="bottom"/>
          </w:tcPr>
          <w:p>
            <w:pPr>
              <w:jc w:val="right"/>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852"/>
        <w:spacing w:after="0"/>
        <w:tabs>
          <w:tab w:leader="none" w:pos="8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Net revenues</w:t>
      </w:r>
    </w:p>
    <w:p>
      <w:pPr>
        <w:spacing w:after="0" w:line="202"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presents our revenue recognized from contracts with customers disaggregated by the four types of pricing models: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8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For the six months ended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Recognized over time</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 Sales agent</w:t>
            </w:r>
          </w:p>
        </w:tc>
        <w:tc>
          <w:tcPr>
            <w:tcW w:w="1420" w:type="dxa"/>
            <w:vAlign w:val="bottom"/>
          </w:tcPr>
          <w:p>
            <w:pPr>
              <w:jc w:val="right"/>
              <w:spacing w:after="0"/>
              <w:rPr>
                <w:sz w:val="20"/>
                <w:szCs w:val="20"/>
                <w:color w:val="auto"/>
              </w:rPr>
            </w:pPr>
            <w:r>
              <w:rPr>
                <w:rFonts w:ascii="Arial" w:cs="Arial" w:eastAsia="Arial" w:hAnsi="Arial"/>
                <w:sz w:val="18"/>
                <w:szCs w:val="18"/>
                <w:color w:val="auto"/>
              </w:rPr>
              <w:t>3,030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 Cost-plus</w:t>
            </w:r>
          </w:p>
        </w:tc>
        <w:tc>
          <w:tcPr>
            <w:tcW w:w="1420" w:type="dxa"/>
            <w:vAlign w:val="bottom"/>
          </w:tcPr>
          <w:p>
            <w:pPr>
              <w:jc w:val="right"/>
              <w:spacing w:after="0"/>
              <w:rPr>
                <w:sz w:val="20"/>
                <w:szCs w:val="20"/>
                <w:color w:val="auto"/>
              </w:rPr>
            </w:pPr>
            <w:r>
              <w:rPr>
                <w:rFonts w:ascii="Arial" w:cs="Arial" w:eastAsia="Arial" w:hAnsi="Arial"/>
                <w:sz w:val="18"/>
                <w:szCs w:val="18"/>
                <w:color w:val="auto"/>
              </w:rPr>
              <w:t>7,298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 SaaS products offering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14,343</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Recognized at a point in time</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 Specified actions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74,021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 SaaS products offering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74,222</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88,565</w:t>
            </w:r>
          </w:p>
        </w:tc>
        <w:tc>
          <w:tcPr>
            <w:tcW w:w="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107,148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23</w:t>
            </w:r>
          </w:p>
        </w:tc>
        <w:tc>
          <w:tcPr>
            <w:tcW w:w="7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Other gains, net</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8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For the six months ended</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Net exchange losses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Forfeiture of advances from customers (Note)</w:t>
            </w:r>
          </w:p>
        </w:tc>
        <w:tc>
          <w:tcPr>
            <w:tcW w:w="142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Government subsidy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Others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The forfeited advances from customers are recognized as other gains when the contractual obligation of the Company to provide the agreed services no longer existed legally due to passage of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Income tax</w:t>
      </w:r>
    </w:p>
    <w:p>
      <w:pPr>
        <w:spacing w:after="0" w:line="185" w:lineRule="exact"/>
        <w:rPr>
          <w:sz w:val="20"/>
          <w:szCs w:val="20"/>
          <w:color w:val="auto"/>
        </w:rPr>
      </w:pPr>
    </w:p>
    <w:p>
      <w:pPr>
        <w:ind w:left="860" w:hanging="852"/>
        <w:spacing w:after="0"/>
        <w:tabs>
          <w:tab w:leader="none" w:pos="8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Cayman Islands</w:t>
      </w:r>
    </w:p>
    <w:p>
      <w:pPr>
        <w:spacing w:after="0" w:line="188" w:lineRule="exact"/>
        <w:rPr>
          <w:rFonts w:ascii="Arial" w:cs="Arial" w:eastAsia="Arial" w:hAnsi="Arial"/>
          <w:sz w:val="18"/>
          <w:szCs w:val="18"/>
          <w:b w:val="1"/>
          <w:bCs w:val="1"/>
          <w:color w:val="auto"/>
        </w:rPr>
      </w:pPr>
    </w:p>
    <w:p>
      <w:pPr>
        <w:ind w:left="8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139" w:lineRule="exact"/>
        <w:rPr>
          <w:rFonts w:ascii="Arial" w:cs="Arial" w:eastAsia="Arial" w:hAnsi="Arial"/>
          <w:sz w:val="18"/>
          <w:szCs w:val="18"/>
          <w:b w:val="1"/>
          <w:bCs w:val="1"/>
          <w:color w:val="auto"/>
        </w:rPr>
      </w:pPr>
    </w:p>
    <w:p>
      <w:pPr>
        <w:ind w:left="860" w:hanging="852"/>
        <w:spacing w:after="0"/>
        <w:tabs>
          <w:tab w:leader="none" w:pos="8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Hong Kong profits tax</w:t>
      </w:r>
    </w:p>
    <w:p>
      <w:pPr>
        <w:spacing w:after="0" w:line="188" w:lineRule="exact"/>
        <w:rPr>
          <w:rFonts w:ascii="Arial" w:cs="Arial" w:eastAsia="Arial" w:hAnsi="Arial"/>
          <w:sz w:val="18"/>
          <w:szCs w:val="18"/>
          <w:b w:val="1"/>
          <w:bCs w:val="1"/>
          <w:color w:val="auto"/>
        </w:rPr>
      </w:pPr>
    </w:p>
    <w:p>
      <w:pPr>
        <w:jc w:val="both"/>
        <w:ind w:left="8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Entities incorporated in Hong Kong are subject to Hong Kong profits tax at a rate of 16.5% and two-tiers system which the first HK$2 million assessable profit are subject to Hong Kong profits tax at a rate of 8.25% and the remaining profit are subject at a rate of 16.5% on the estimated assessable profit for the six months ended June 30, 2019 and 2020.</w:t>
      </w:r>
    </w:p>
    <w:p>
      <w:pPr>
        <w:spacing w:after="0" w:line="139" w:lineRule="exact"/>
        <w:rPr>
          <w:rFonts w:ascii="Arial" w:cs="Arial" w:eastAsia="Arial" w:hAnsi="Arial"/>
          <w:sz w:val="18"/>
          <w:szCs w:val="18"/>
          <w:b w:val="1"/>
          <w:bCs w:val="1"/>
          <w:color w:val="auto"/>
        </w:rPr>
      </w:pPr>
    </w:p>
    <w:p>
      <w:pPr>
        <w:ind w:left="860" w:hanging="852"/>
        <w:spacing w:after="0"/>
        <w:tabs>
          <w:tab w:leader="none" w:pos="8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PRC Enterprise Income Tax (“EIT”)</w:t>
      </w:r>
    </w:p>
    <w:p>
      <w:pPr>
        <w:spacing w:after="0" w:line="188" w:lineRule="exact"/>
        <w:rPr>
          <w:rFonts w:ascii="Arial" w:cs="Arial" w:eastAsia="Arial" w:hAnsi="Arial"/>
          <w:sz w:val="18"/>
          <w:szCs w:val="18"/>
          <w:b w:val="1"/>
          <w:bCs w:val="1"/>
          <w:color w:val="auto"/>
        </w:rPr>
      </w:pPr>
    </w:p>
    <w:p>
      <w:pPr>
        <w:ind w:left="8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129" w:lineRule="exact"/>
        <w:rPr>
          <w:rFonts w:ascii="Arial" w:cs="Arial" w:eastAsia="Arial" w:hAnsi="Arial"/>
          <w:sz w:val="18"/>
          <w:szCs w:val="18"/>
          <w:b w:val="1"/>
          <w:bCs w:val="1"/>
          <w:color w:val="auto"/>
        </w:rPr>
      </w:pPr>
    </w:p>
    <w:p>
      <w:pPr>
        <w:jc w:val="both"/>
        <w:ind w:left="8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165" w:lineRule="exact"/>
        <w:rPr>
          <w:rFonts w:ascii="Arial" w:cs="Arial" w:eastAsia="Arial" w:hAnsi="Arial"/>
          <w:sz w:val="18"/>
          <w:szCs w:val="18"/>
          <w:b w:val="1"/>
          <w:bCs w:val="1"/>
          <w:color w:val="auto"/>
        </w:rPr>
      </w:pPr>
    </w:p>
    <w:p>
      <w:pPr>
        <w:jc w:val="both"/>
        <w:ind w:left="8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2019 and June 30, 2020. The undistributed earnings from the Company’s subsidiaries in the PRC as of December 31, 2019 and June 30, 2020 amounted US$1,481 and US$1,777 would be due if these earnings were remitted as dividends as of December 31, 2019 and June 30, 2020. An estimated foreign withholding taxes of US$74 and US$90 would be due if these earnings were remitted as dividends as of December 31, 2019 and June 30, 2020, respectively.</w:t>
      </w:r>
    </w:p>
    <w:p>
      <w:pPr>
        <w:spacing w:after="0" w:line="136" w:lineRule="exact"/>
        <w:rPr>
          <w:rFonts w:ascii="Arial" w:cs="Arial" w:eastAsia="Arial" w:hAnsi="Arial"/>
          <w:sz w:val="18"/>
          <w:szCs w:val="18"/>
          <w:b w:val="1"/>
          <w:bCs w:val="1"/>
          <w:color w:val="auto"/>
        </w:rPr>
      </w:pPr>
    </w:p>
    <w:p>
      <w:pPr>
        <w:ind w:left="860" w:hanging="852"/>
        <w:spacing w:after="0"/>
        <w:tabs>
          <w:tab w:leader="none" w:pos="8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income tax expense</w:t>
      </w:r>
    </w:p>
    <w:p>
      <w:pPr>
        <w:spacing w:after="0" w:line="188" w:lineRule="exact"/>
        <w:rPr>
          <w:rFonts w:ascii="Arial" w:cs="Arial" w:eastAsia="Arial" w:hAnsi="Arial"/>
          <w:sz w:val="18"/>
          <w:szCs w:val="18"/>
          <w:b w:val="1"/>
          <w:bCs w:val="1"/>
          <w:color w:val="auto"/>
        </w:rPr>
      </w:pPr>
    </w:p>
    <w:p>
      <w:pPr>
        <w:ind w:left="8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current and deferred portions of income tax expense included in the unaudited interim condensed consolidated statements of comprehensive loss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540" w:type="dxa"/>
            <w:vAlign w:val="bottom"/>
            <w:gridSpan w:val="3"/>
          </w:tcPr>
          <w:p>
            <w:pPr>
              <w:jc w:val="center"/>
              <w:ind w:left="470"/>
              <w:spacing w:after="0"/>
              <w:rPr>
                <w:sz w:val="20"/>
                <w:szCs w:val="20"/>
                <w:color w:val="auto"/>
              </w:rPr>
            </w:pPr>
            <w:r>
              <w:rPr>
                <w:rFonts w:ascii="Arial" w:cs="Arial" w:eastAsia="Arial" w:hAnsi="Arial"/>
                <w:sz w:val="18"/>
                <w:szCs w:val="18"/>
                <w:color w:val="auto"/>
                <w:w w:val="89"/>
              </w:rPr>
              <w:t>For the six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54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180" w:type="dxa"/>
            <w:vAlign w:val="bottom"/>
          </w:tcPr>
          <w:p>
            <w:pPr>
              <w:ind w:left="920"/>
              <w:spacing w:after="0"/>
              <w:rPr>
                <w:sz w:val="20"/>
                <w:szCs w:val="20"/>
                <w:color w:val="auto"/>
              </w:rPr>
            </w:pPr>
            <w:r>
              <w:rPr>
                <w:rFonts w:ascii="Arial" w:cs="Arial" w:eastAsia="Arial" w:hAnsi="Arial"/>
                <w:sz w:val="18"/>
                <w:szCs w:val="18"/>
                <w:color w:val="auto"/>
              </w:rPr>
              <w:t>Current income tax expense</w:t>
            </w:r>
          </w:p>
        </w:tc>
        <w:tc>
          <w:tcPr>
            <w:tcW w:w="5520" w:type="dxa"/>
            <w:vAlign w:val="bottom"/>
            <w:gridSpan w:val="3"/>
          </w:tcPr>
          <w:p>
            <w:pPr>
              <w:jc w:val="right"/>
              <w:ind w:right="200"/>
              <w:spacing w:after="0"/>
              <w:rPr>
                <w:sz w:val="20"/>
                <w:szCs w:val="20"/>
                <w:color w:val="auto"/>
              </w:rPr>
            </w:pPr>
            <w:r>
              <w:rPr>
                <w:rFonts w:ascii="Arial" w:cs="Arial" w:eastAsia="Arial" w:hAnsi="Arial"/>
                <w:sz w:val="18"/>
                <w:szCs w:val="18"/>
                <w:color w:val="auto"/>
              </w:rPr>
              <w:t>(626)</w:t>
            </w:r>
          </w:p>
        </w:tc>
        <w:tc>
          <w:tcPr>
            <w:tcW w:w="8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0"/>
        </w:trPr>
        <w:tc>
          <w:tcPr>
            <w:tcW w:w="4180" w:type="dxa"/>
            <w:vAlign w:val="bottom"/>
          </w:tcPr>
          <w:p>
            <w:pPr>
              <w:ind w:left="920"/>
              <w:spacing w:after="0"/>
              <w:rPr>
                <w:sz w:val="20"/>
                <w:szCs w:val="20"/>
                <w:color w:val="auto"/>
              </w:rPr>
            </w:pPr>
            <w:r>
              <w:rPr>
                <w:rFonts w:ascii="Arial" w:cs="Arial" w:eastAsia="Arial" w:hAnsi="Arial"/>
                <w:sz w:val="18"/>
                <w:szCs w:val="18"/>
                <w:color w:val="auto"/>
              </w:rPr>
              <w:t>Deferred tax benefits</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920"/>
              <w:spacing w:after="0"/>
              <w:rPr>
                <w:sz w:val="20"/>
                <w:szCs w:val="20"/>
                <w:color w:val="auto"/>
              </w:rPr>
            </w:pPr>
            <w:r>
              <w:rPr>
                <w:rFonts w:ascii="Arial" w:cs="Arial" w:eastAsia="Arial" w:hAnsi="Arial"/>
                <w:sz w:val="18"/>
                <w:szCs w:val="18"/>
                <w:color w:val="auto"/>
              </w:rPr>
              <w:t>Income tax expense</w:t>
            </w:r>
          </w:p>
        </w:tc>
        <w:tc>
          <w:tcPr>
            <w:tcW w:w="38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840" w:type="dxa"/>
            <w:vAlign w:val="bottom"/>
            <w:vMerge w:val="restart"/>
          </w:tcPr>
          <w:p>
            <w:pPr>
              <w:jc w:val="right"/>
              <w:ind w:right="2110"/>
              <w:spacing w:after="0"/>
              <w:rPr>
                <w:sz w:val="20"/>
                <w:szCs w:val="20"/>
                <w:color w:val="auto"/>
              </w:rPr>
            </w:pPr>
            <w:r>
              <w:rPr>
                <w:rFonts w:ascii="Arial" w:cs="Arial" w:eastAsia="Arial" w:hAnsi="Arial"/>
                <w:sz w:val="18"/>
                <w:szCs w:val="18"/>
                <w:color w:val="auto"/>
              </w:rPr>
              <w:t>-42-</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7" w:name="page58"/>
    <w:bookmarkEnd w:id="57"/>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Income tax (Continued)</w:t>
      </w:r>
    </w:p>
    <w:p>
      <w:pPr>
        <w:spacing w:after="0" w:line="171" w:lineRule="exact"/>
        <w:rPr>
          <w:sz w:val="20"/>
          <w:szCs w:val="20"/>
          <w:color w:val="auto"/>
        </w:rPr>
      </w:pPr>
    </w:p>
    <w:p>
      <w:pPr>
        <w:ind w:left="860" w:hanging="852"/>
        <w:spacing w:after="0"/>
        <w:tabs>
          <w:tab w:leader="none" w:pos="8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188" w:lineRule="exact"/>
        <w:rPr>
          <w:rFonts w:ascii="Arial" w:cs="Arial" w:eastAsia="Arial" w:hAnsi="Arial"/>
          <w:sz w:val="18"/>
          <w:szCs w:val="18"/>
          <w:b w:val="1"/>
          <w:bCs w:val="1"/>
          <w:color w:val="auto"/>
        </w:rPr>
      </w:pPr>
    </w:p>
    <w:p>
      <w:pPr>
        <w:ind w:left="8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2019 and June 30, 2020 are as follows:</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December 31,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00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1560" w:type="dxa"/>
            <w:vAlign w:val="bottom"/>
          </w:tcPr>
          <w:p>
            <w:pPr>
              <w:jc w:val="right"/>
              <w:spacing w:after="0"/>
              <w:rPr>
                <w:sz w:val="20"/>
                <w:szCs w:val="20"/>
                <w:color w:val="auto"/>
              </w:rPr>
            </w:pPr>
            <w:r>
              <w:rPr>
                <w:rFonts w:ascii="Arial" w:cs="Arial" w:eastAsia="Arial" w:hAnsi="Arial"/>
                <w:sz w:val="18"/>
                <w:szCs w:val="18"/>
                <w:color w:val="auto"/>
              </w:rPr>
              <w:t>5,923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Share-based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Temporary difference on deferred income</w:t>
            </w:r>
          </w:p>
        </w:tc>
        <w:tc>
          <w:tcPr>
            <w:tcW w:w="156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Less: Valuation allowance (Note (i))</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(5,923)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(894)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(13,579)</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Outside basis difference (Note (ii))</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(942)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Others</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Note:</w:t>
      </w:r>
    </w:p>
    <w:p>
      <w:pPr>
        <w:spacing w:after="0" w:line="198" w:lineRule="exact"/>
        <w:rPr>
          <w:sz w:val="20"/>
          <w:szCs w:val="20"/>
          <w:color w:val="auto"/>
        </w:rPr>
      </w:pPr>
    </w:p>
    <w:p>
      <w:pPr>
        <w:jc w:val="both"/>
        <w:ind w:left="1700" w:hanging="842"/>
        <w:spacing w:after="0" w:line="254" w:lineRule="auto"/>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154"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Movement of valuation allowance is as follows: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6660" w:type="dxa"/>
            <w:vAlign w:val="bottom"/>
          </w:tcPr>
          <w:p>
            <w:pPr>
              <w:spacing w:after="0"/>
              <w:rPr>
                <w:sz w:val="24"/>
                <w:szCs w:val="24"/>
                <w:color w:val="auto"/>
              </w:rPr>
            </w:pPr>
          </w:p>
        </w:tc>
        <w:tc>
          <w:tcPr>
            <w:tcW w:w="23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For the six months ended</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660" w:type="dxa"/>
            <w:vAlign w:val="bottom"/>
          </w:tcPr>
          <w:p>
            <w:pPr>
              <w:spacing w:after="0"/>
              <w:rPr>
                <w:sz w:val="19"/>
                <w:szCs w:val="19"/>
                <w:color w:val="auto"/>
              </w:rPr>
            </w:pPr>
          </w:p>
        </w:tc>
        <w:tc>
          <w:tcPr>
            <w:tcW w:w="2340" w:type="dxa"/>
            <w:vAlign w:val="bottom"/>
            <w:gridSpan w:val="3"/>
          </w:tcPr>
          <w:p>
            <w:pPr>
              <w:jc w:val="center"/>
              <w:ind w:left="370"/>
              <w:spacing w:after="0"/>
              <w:rPr>
                <w:sz w:val="20"/>
                <w:szCs w:val="20"/>
                <w:color w:val="auto"/>
              </w:rPr>
            </w:pPr>
            <w:r>
              <w:rPr>
                <w:rFonts w:ascii="Arial" w:cs="Arial" w:eastAsia="Arial" w:hAnsi="Arial"/>
                <w:sz w:val="18"/>
                <w:szCs w:val="18"/>
                <w:color w:val="auto"/>
                <w:w w:val="86"/>
              </w:rPr>
              <w:t>June 30,</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6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r>
      <w:tr>
        <w:trPr>
          <w:trHeight w:val="458"/>
        </w:trPr>
        <w:tc>
          <w:tcPr>
            <w:tcW w:w="6660" w:type="dxa"/>
            <w:vAlign w:val="bottom"/>
          </w:tcPr>
          <w:p>
            <w:pPr>
              <w:ind w:left="160"/>
              <w:spacing w:after="0"/>
              <w:rPr>
                <w:sz w:val="20"/>
                <w:szCs w:val="20"/>
                <w:color w:val="auto"/>
              </w:rPr>
            </w:pPr>
            <w:r>
              <w:rPr>
                <w:rFonts w:ascii="Arial" w:cs="Arial" w:eastAsia="Arial" w:hAnsi="Arial"/>
                <w:sz w:val="18"/>
                <w:szCs w:val="18"/>
                <w:color w:val="auto"/>
              </w:rPr>
              <w:t>Beginning balance</w:t>
            </w:r>
          </w:p>
        </w:tc>
        <w:tc>
          <w:tcPr>
            <w:tcW w:w="1300" w:type="dxa"/>
            <w:vAlign w:val="bottom"/>
          </w:tcPr>
          <w:p>
            <w:pPr>
              <w:jc w:val="right"/>
              <w:spacing w:after="0"/>
              <w:rPr>
                <w:sz w:val="20"/>
                <w:szCs w:val="20"/>
                <w:color w:val="auto"/>
              </w:rPr>
            </w:pPr>
            <w:r>
              <w:rPr>
                <w:rFonts w:ascii="Arial" w:cs="Arial" w:eastAsia="Arial" w:hAnsi="Arial"/>
                <w:sz w:val="18"/>
                <w:szCs w:val="18"/>
                <w:color w:val="auto"/>
              </w:rPr>
              <w:t>6,385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5,923</w:t>
            </w:r>
          </w:p>
        </w:tc>
        <w:tc>
          <w:tcPr>
            <w:tcW w:w="60" w:type="dxa"/>
            <w:vAlign w:val="bottom"/>
          </w:tcPr>
          <w:p>
            <w:pPr>
              <w:spacing w:after="0"/>
              <w:rPr>
                <w:sz w:val="24"/>
                <w:szCs w:val="24"/>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30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9"/>
                <w:szCs w:val="19"/>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Reversals (Note)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8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(1,089)</w:t>
            </w:r>
          </w:p>
        </w:tc>
      </w:tr>
      <w:tr>
        <w:trPr>
          <w:trHeight w:val="223"/>
        </w:trPr>
        <w:tc>
          <w:tcPr>
            <w:tcW w:w="666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left="2580" w:right="20" w:hanging="850"/>
        <w:spacing w:after="0" w:line="277" w:lineRule="auto"/>
        <w:tabs>
          <w:tab w:leader="none" w:pos="2560" w:val="left"/>
        </w:tabs>
        <w:rPr>
          <w:sz w:val="20"/>
          <w:szCs w:val="20"/>
          <w:color w:val="auto"/>
        </w:rPr>
      </w:pPr>
      <w:r>
        <w:rPr>
          <w:rFonts w:ascii="Arial" w:cs="Arial" w:eastAsia="Arial" w:hAnsi="Arial"/>
          <w:sz w:val="18"/>
          <w:szCs w:val="18"/>
          <w:color w:val="auto"/>
        </w:rPr>
        <w:t>Note :</w:t>
      </w:r>
      <w:r>
        <w:rPr>
          <w:sz w:val="20"/>
          <w:szCs w:val="20"/>
          <w:color w:val="auto"/>
        </w:rPr>
        <w:tab/>
      </w:r>
      <w:r>
        <w:rPr>
          <w:rFonts w:ascii="Arial" w:cs="Arial" w:eastAsia="Arial" w:hAnsi="Arial"/>
          <w:sz w:val="18"/>
          <w:szCs w:val="18"/>
          <w:color w:val="auto"/>
        </w:rPr>
        <w:t>The reversals comprise loss carryforwards which were utilized to offset taxable income during the six months ended June 30, 2020 and 2019.</w:t>
      </w:r>
    </w:p>
    <w:p>
      <w:pPr>
        <w:spacing w:after="0" w:line="170" w:lineRule="exact"/>
        <w:rPr>
          <w:sz w:val="20"/>
          <w:szCs w:val="20"/>
          <w:color w:val="auto"/>
        </w:rPr>
      </w:pPr>
    </w:p>
    <w:p>
      <w:pPr>
        <w:ind w:left="1700" w:hanging="842"/>
        <w:spacing w:after="0"/>
        <w:tabs>
          <w:tab w:leader="none" w:pos="1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deferred tax liabilities are recorded for the undistributed earnings in the Group’s VIE and its subsidiaries.</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Income tax (Continued)</w:t>
      </w:r>
    </w:p>
    <w:p>
      <w:pPr>
        <w:spacing w:after="0" w:line="158" w:lineRule="exact"/>
        <w:rPr>
          <w:sz w:val="20"/>
          <w:szCs w:val="20"/>
          <w:color w:val="auto"/>
        </w:rPr>
      </w:pPr>
    </w:p>
    <w:p>
      <w:pPr>
        <w:ind w:left="860" w:right="6880" w:hanging="852"/>
        <w:spacing w:after="0" w:line="456" w:lineRule="auto"/>
        <w:tabs>
          <w:tab w:leader="none" w:pos="849"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tax assets and liabilities (Continued) </w:t>
      </w:r>
      <w:r>
        <w:rPr>
          <w:rFonts w:ascii="Arial" w:cs="Arial" w:eastAsia="Arial" w:hAnsi="Arial"/>
          <w:sz w:val="18"/>
          <w:szCs w:val="18"/>
          <w:i w:val="1"/>
          <w:iCs w:val="1"/>
          <w:color w:val="auto"/>
        </w:rPr>
        <w:t>Tax loss carryforwards</w:t>
      </w: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June 30, 2020, the Group had tax loss carryforwards of approximately US$21,536, which can be carried forward to offset future taxable income. The net operating tax loss carryforwards will begin to expire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Remainder of 2020</w:t>
            </w:r>
          </w:p>
        </w:tc>
        <w:tc>
          <w:tcPr>
            <w:tcW w:w="172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2021</w:t>
            </w:r>
          </w:p>
        </w:tc>
        <w:tc>
          <w:tcPr>
            <w:tcW w:w="1720" w:type="dxa"/>
            <w:vAlign w:val="bottom"/>
          </w:tcPr>
          <w:p>
            <w:pPr>
              <w:jc w:val="right"/>
              <w:spacing w:after="0"/>
              <w:rPr>
                <w:sz w:val="20"/>
                <w:szCs w:val="20"/>
                <w:color w:val="auto"/>
              </w:rPr>
            </w:pPr>
            <w:r>
              <w:rPr>
                <w:rFonts w:ascii="Arial" w:cs="Arial" w:eastAsia="Arial" w:hAnsi="Arial"/>
                <w:sz w:val="18"/>
                <w:szCs w:val="18"/>
                <w:color w:val="auto"/>
              </w:rPr>
              <w:t>6,378</w:t>
            </w: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2022</w:t>
            </w:r>
          </w:p>
        </w:tc>
        <w:tc>
          <w:tcPr>
            <w:tcW w:w="1720" w:type="dxa"/>
            <w:vAlign w:val="bottom"/>
          </w:tcPr>
          <w:p>
            <w:pPr>
              <w:jc w:val="right"/>
              <w:spacing w:after="0"/>
              <w:rPr>
                <w:sz w:val="20"/>
                <w:szCs w:val="20"/>
                <w:color w:val="auto"/>
              </w:rPr>
            </w:pPr>
            <w:r>
              <w:rPr>
                <w:rFonts w:ascii="Arial" w:cs="Arial" w:eastAsia="Arial" w:hAnsi="Arial"/>
                <w:sz w:val="18"/>
                <w:szCs w:val="18"/>
                <w:color w:val="auto"/>
              </w:rPr>
              <w:t>7,625</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2023</w:t>
            </w:r>
          </w:p>
        </w:tc>
        <w:tc>
          <w:tcPr>
            <w:tcW w:w="17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2024</w:t>
            </w:r>
          </w:p>
        </w:tc>
        <w:tc>
          <w:tcPr>
            <w:tcW w:w="1720" w:type="dxa"/>
            <w:vAlign w:val="bottom"/>
          </w:tcPr>
          <w:p>
            <w:pPr>
              <w:jc w:val="right"/>
              <w:spacing w:after="0"/>
              <w:rPr>
                <w:sz w:val="20"/>
                <w:szCs w:val="20"/>
                <w:color w:val="auto"/>
              </w:rPr>
            </w:pPr>
            <w:r>
              <w:rPr>
                <w:rFonts w:ascii="Arial" w:cs="Arial" w:eastAsia="Arial" w:hAnsi="Arial"/>
                <w:sz w:val="18"/>
                <w:szCs w:val="18"/>
                <w:color w:val="auto"/>
              </w:rPr>
              <w:t>1,712</w:t>
            </w: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2025</w:t>
            </w:r>
          </w:p>
        </w:tc>
        <w:tc>
          <w:tcPr>
            <w:tcW w:w="172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Tax loss with no expiry</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r>
      <w:tr>
        <w:trPr>
          <w:trHeight w:val="223"/>
        </w:trPr>
        <w:tc>
          <w:tcPr>
            <w:tcW w:w="85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21,536</w:t>
            </w:r>
          </w:p>
        </w:tc>
      </w:tr>
      <w:tr>
        <w:trPr>
          <w:trHeight w:val="20"/>
        </w:trPr>
        <w:tc>
          <w:tcPr>
            <w:tcW w:w="85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8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2012 to 2018 remain subject to examination by the tax authorities. There were no ongoing examinations by tax authorities as of June 30, 2020.</w:t>
      </w:r>
    </w:p>
    <w:p>
      <w:pPr>
        <w:spacing w:after="0" w:line="127" w:lineRule="exact"/>
        <w:rPr>
          <w:sz w:val="20"/>
          <w:szCs w:val="20"/>
          <w:color w:val="auto"/>
        </w:rPr>
      </w:pPr>
    </w:p>
    <w:p>
      <w:pPr>
        <w:ind w:left="860" w:hanging="852"/>
        <w:spacing w:after="0"/>
        <w:tabs>
          <w:tab w:leader="none" w:pos="8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88"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six months ended June 30, 2019 and 2020 are calculated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18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For the six months ended</w:t>
            </w:r>
          </w:p>
        </w:tc>
        <w:tc>
          <w:tcPr>
            <w:tcW w:w="0" w:type="dxa"/>
            <w:vAlign w:val="bottom"/>
          </w:tcPr>
          <w:p>
            <w:pPr>
              <w:spacing w:after="0"/>
              <w:rPr>
                <w:sz w:val="1"/>
                <w:szCs w:val="1"/>
                <w:color w:val="auto"/>
              </w:rPr>
            </w:pPr>
          </w:p>
        </w:tc>
      </w:tr>
      <w:tr>
        <w:trPr>
          <w:trHeight w:val="229"/>
        </w:trPr>
        <w:tc>
          <w:tcPr>
            <w:tcW w:w="7100" w:type="dxa"/>
            <w:vAlign w:val="bottom"/>
          </w:tcPr>
          <w:p>
            <w:pPr>
              <w:spacing w:after="0"/>
              <w:rPr>
                <w:sz w:val="19"/>
                <w:szCs w:val="19"/>
                <w:color w:val="auto"/>
              </w:rPr>
            </w:pP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86"/>
              </w:rPr>
              <w:t>June 30,</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10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4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Denominator for basic net loss per share</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weighted average shares outstanding</w:t>
            </w:r>
          </w:p>
        </w:tc>
        <w:tc>
          <w:tcPr>
            <w:tcW w:w="1420" w:type="dxa"/>
            <w:vAlign w:val="bottom"/>
          </w:tcPr>
          <w:p>
            <w:pPr>
              <w:jc w:val="right"/>
              <w:spacing w:after="0"/>
              <w:rPr>
                <w:sz w:val="20"/>
                <w:szCs w:val="20"/>
                <w:color w:val="auto"/>
              </w:rPr>
            </w:pPr>
            <w:r>
              <w:rPr>
                <w:rFonts w:ascii="Arial" w:cs="Arial" w:eastAsia="Arial" w:hAnsi="Arial"/>
                <w:sz w:val="18"/>
                <w:szCs w:val="18"/>
                <w:color w:val="auto"/>
              </w:rPr>
              <w:t>28,350,323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34,795,154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Denominator for diluted net loss per share</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weighted average shares outstanding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28,350,323</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34,795,154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00" w:type="dxa"/>
            <w:vAlign w:val="bottom"/>
          </w:tcPr>
          <w:p>
            <w:pPr>
              <w:spacing w:after="0"/>
              <w:rPr>
                <w:sz w:val="20"/>
                <w:szCs w:val="20"/>
                <w:color w:val="auto"/>
              </w:rPr>
            </w:pPr>
            <w:r>
              <w:rPr>
                <w:rFonts w:ascii="Arial" w:cs="Arial" w:eastAsia="Arial" w:hAnsi="Arial"/>
                <w:sz w:val="18"/>
                <w:szCs w:val="18"/>
                <w:color w:val="auto"/>
              </w:rPr>
              <w:t>Basic net loss per share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4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4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The share options, RSUs, warrants and convertible notes were excluded from the computation of diluted net loss per ordinary share for the years presented because including them would have had an anti-dilutive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48" w:lineRule="exact"/>
        <w:rPr>
          <w:sz w:val="20"/>
          <w:szCs w:val="20"/>
          <w:color w:val="auto"/>
        </w:rPr>
      </w:pPr>
    </w:p>
    <w:p>
      <w:pPr>
        <w:ind w:left="852" w:hanging="852"/>
        <w:spacing w:after="0"/>
        <w:tabs>
          <w:tab w:leader="none" w:pos="8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 (Continued)</w:t>
      </w:r>
    </w:p>
    <w:p>
      <w:pPr>
        <w:spacing w:after="0" w:line="175" w:lineRule="exact"/>
        <w:rPr>
          <w:rFonts w:ascii="Arial" w:cs="Arial" w:eastAsia="Arial" w:hAnsi="Arial"/>
          <w:sz w:val="18"/>
          <w:szCs w:val="18"/>
          <w:b w:val="1"/>
          <w:bCs w:val="1"/>
          <w:color w:val="auto"/>
        </w:rPr>
      </w:pPr>
    </w:p>
    <w:p>
      <w:pPr>
        <w:ind w:left="8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ordinary share equivalents were excluded from the computation of diluted net loss per ordinary share for the years presented because including them would have had an anti-dilutive effect:</w:t>
      </w:r>
    </w:p>
    <w:p>
      <w:pPr>
        <w:spacing w:after="0" w:line="184" w:lineRule="exact"/>
        <w:rPr>
          <w:sz w:val="20"/>
          <w:szCs w:val="20"/>
          <w:color w:val="auto"/>
        </w:rPr>
      </w:pPr>
    </w:p>
    <w:tbl>
      <w:tblPr>
        <w:tblLayout w:type="fixed"/>
        <w:tblInd w:w="912"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3380" w:type="dxa"/>
            <w:vAlign w:val="bottom"/>
          </w:tcPr>
          <w:p>
            <w:pPr>
              <w:jc w:val="right"/>
              <w:ind w:right="210"/>
              <w:spacing w:after="0"/>
              <w:rPr>
                <w:sz w:val="20"/>
                <w:szCs w:val="20"/>
                <w:color w:val="auto"/>
              </w:rPr>
            </w:pPr>
            <w:r>
              <w:rPr>
                <w:rFonts w:ascii="Arial" w:cs="Arial" w:eastAsia="Arial" w:hAnsi="Arial"/>
                <w:sz w:val="18"/>
                <w:szCs w:val="18"/>
                <w:color w:val="auto"/>
              </w:rPr>
              <w:t>As of June 30,</w:t>
            </w:r>
          </w:p>
        </w:tc>
        <w:tc>
          <w:tcPr>
            <w:tcW w:w="720" w:type="dxa"/>
            <w:vAlign w:val="bottom"/>
          </w:tcPr>
          <w:p>
            <w:pPr>
              <w:spacing w:after="0"/>
              <w:rPr>
                <w:sz w:val="19"/>
                <w:szCs w:val="19"/>
                <w:color w:val="auto"/>
              </w:rPr>
            </w:pPr>
          </w:p>
        </w:tc>
      </w:tr>
      <w:tr>
        <w:trPr>
          <w:trHeight w:val="230"/>
        </w:trPr>
        <w:tc>
          <w:tcPr>
            <w:tcW w:w="6100" w:type="dxa"/>
            <w:vAlign w:val="bottom"/>
          </w:tcPr>
          <w:p>
            <w:pPr>
              <w:spacing w:after="0"/>
              <w:rPr>
                <w:sz w:val="20"/>
                <w:szCs w:val="20"/>
                <w:color w:val="auto"/>
              </w:rPr>
            </w:pPr>
          </w:p>
        </w:tc>
        <w:tc>
          <w:tcPr>
            <w:tcW w:w="3380" w:type="dxa"/>
            <w:vAlign w:val="bottom"/>
          </w:tcPr>
          <w:p>
            <w:pPr>
              <w:jc w:val="right"/>
              <w:ind w:right="870"/>
              <w:spacing w:after="0"/>
              <w:rPr>
                <w:sz w:val="20"/>
                <w:szCs w:val="20"/>
                <w:color w:val="auto"/>
              </w:rPr>
            </w:pPr>
            <w:r>
              <w:rPr>
                <w:rFonts w:ascii="Arial" w:cs="Arial" w:eastAsia="Arial" w:hAnsi="Arial"/>
                <w:sz w:val="18"/>
                <w:szCs w:val="18"/>
                <w:color w:val="auto"/>
              </w:rPr>
              <w:t>2019</w:t>
            </w:r>
          </w:p>
        </w:tc>
        <w:tc>
          <w:tcPr>
            <w:tcW w:w="72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458"/>
        </w:trPr>
        <w:tc>
          <w:tcPr>
            <w:tcW w:w="6100" w:type="dxa"/>
            <w:vAlign w:val="bottom"/>
          </w:tcPr>
          <w:p>
            <w:pPr>
              <w:spacing w:after="0"/>
              <w:rPr>
                <w:sz w:val="20"/>
                <w:szCs w:val="20"/>
                <w:color w:val="auto"/>
              </w:rPr>
            </w:pPr>
            <w:r>
              <w:rPr>
                <w:rFonts w:ascii="Arial" w:cs="Arial" w:eastAsia="Arial" w:hAnsi="Arial"/>
                <w:sz w:val="18"/>
                <w:szCs w:val="18"/>
                <w:color w:val="auto"/>
              </w:rPr>
              <w:t>Share options and RSUs – weighted average (thousands)</w:t>
            </w:r>
          </w:p>
        </w:tc>
        <w:tc>
          <w:tcPr>
            <w:tcW w:w="3380" w:type="dxa"/>
            <w:vAlign w:val="bottom"/>
          </w:tcPr>
          <w:p>
            <w:pPr>
              <w:jc w:val="right"/>
              <w:ind w:right="870"/>
              <w:spacing w:after="0"/>
              <w:rPr>
                <w:sz w:val="20"/>
                <w:szCs w:val="20"/>
                <w:color w:val="auto"/>
              </w:rPr>
            </w:pPr>
            <w:r>
              <w:rPr>
                <w:rFonts w:ascii="Arial" w:cs="Arial" w:eastAsia="Arial" w:hAnsi="Arial"/>
                <w:sz w:val="18"/>
                <w:szCs w:val="18"/>
                <w:color w:val="auto"/>
              </w:rPr>
              <w:t>361</w:t>
            </w: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Convertible notes – weighted average (thousands)</w:t>
            </w:r>
          </w:p>
        </w:tc>
        <w:tc>
          <w:tcPr>
            <w:tcW w:w="3380" w:type="dxa"/>
            <w:vAlign w:val="bottom"/>
          </w:tcPr>
          <w:p>
            <w:pPr>
              <w:jc w:val="right"/>
              <w:ind w:right="870"/>
              <w:spacing w:after="0"/>
              <w:rPr>
                <w:sz w:val="20"/>
                <w:szCs w:val="20"/>
                <w:color w:val="auto"/>
              </w:rPr>
            </w:pPr>
            <w:r>
              <w:rPr>
                <w:rFonts w:ascii="Arial" w:cs="Arial" w:eastAsia="Arial" w:hAnsi="Arial"/>
                <w:sz w:val="18"/>
                <w:szCs w:val="18"/>
                <w:color w:val="auto"/>
              </w:rPr>
              <w:t>3,888</w:t>
            </w:r>
          </w:p>
        </w:tc>
        <w:tc>
          <w:tcPr>
            <w:tcW w:w="7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Warrants – weighted average (thousands)</w:t>
            </w:r>
          </w:p>
        </w:tc>
        <w:tc>
          <w:tcPr>
            <w:tcW w:w="338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2,325</w:t>
            </w:r>
          </w:p>
        </w:tc>
      </w:tr>
    </w:tbl>
    <w:p>
      <w:pPr>
        <w:spacing w:after="0" w:line="198" w:lineRule="exact"/>
        <w:rPr>
          <w:sz w:val="20"/>
          <w:szCs w:val="20"/>
          <w:color w:val="auto"/>
        </w:rPr>
      </w:pPr>
    </w:p>
    <w:p>
      <w:pPr>
        <w:ind w:left="852" w:hanging="852"/>
        <w:spacing w:after="0"/>
        <w:tabs>
          <w:tab w:leader="none" w:pos="8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02" w:lineRule="exact"/>
        <w:rPr>
          <w:rFonts w:ascii="Arial" w:cs="Arial" w:eastAsia="Arial" w:hAnsi="Arial"/>
          <w:sz w:val="18"/>
          <w:szCs w:val="18"/>
          <w:b w:val="1"/>
          <w:bCs w:val="1"/>
          <w:color w:val="auto"/>
        </w:rPr>
      </w:pPr>
    </w:p>
    <w:p>
      <w:pPr>
        <w:jc w:val="both"/>
        <w:ind w:left="8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table below provides a summary of the Group’s breakdown of net revenues by type of good or service and operating segment results for the six months ended June 30, 2019 and 2020. The Group does not allocate any operating costs or assets to its business segments as the Group’s CODM does not use this information to measure the performance of the operating segments. There was no significant transaction between reportable segments for the six months ended June 30, 2019 and 2020.</w:t>
      </w:r>
    </w:p>
    <w:p>
      <w:pPr>
        <w:spacing w:after="0" w:line="200"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48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For the six months ended</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19"/>
                <w:szCs w:val="19"/>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71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Marketing Solutions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Sales agent</w:t>
            </w:r>
          </w:p>
        </w:tc>
        <w:tc>
          <w:tcPr>
            <w:tcW w:w="1420" w:type="dxa"/>
            <w:vAlign w:val="bottom"/>
          </w:tcPr>
          <w:p>
            <w:pPr>
              <w:jc w:val="right"/>
              <w:spacing w:after="0"/>
              <w:rPr>
                <w:sz w:val="20"/>
                <w:szCs w:val="20"/>
                <w:color w:val="auto"/>
              </w:rPr>
            </w:pPr>
            <w:r>
              <w:rPr>
                <w:rFonts w:ascii="Arial" w:cs="Arial" w:eastAsia="Arial" w:hAnsi="Arial"/>
                <w:sz w:val="18"/>
                <w:szCs w:val="18"/>
                <w:color w:val="auto"/>
              </w:rPr>
              <w:t>3,030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Cost-plus</w:t>
            </w:r>
          </w:p>
        </w:tc>
        <w:tc>
          <w:tcPr>
            <w:tcW w:w="1420" w:type="dxa"/>
            <w:vAlign w:val="bottom"/>
          </w:tcPr>
          <w:p>
            <w:pPr>
              <w:jc w:val="right"/>
              <w:spacing w:after="0"/>
              <w:rPr>
                <w:sz w:val="20"/>
                <w:szCs w:val="20"/>
                <w:color w:val="auto"/>
              </w:rPr>
            </w:pPr>
            <w:r>
              <w:rPr>
                <w:rFonts w:ascii="Arial" w:cs="Arial" w:eastAsia="Arial" w:hAnsi="Arial"/>
                <w:sz w:val="18"/>
                <w:szCs w:val="18"/>
                <w:color w:val="auto"/>
              </w:rPr>
              <w:t>7,298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Specified actions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74,021</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84,349</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Enterprise Solutions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SaaS products offering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88,565</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Cost of revenues:</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Marketing Solutions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Sales agent</w:t>
            </w:r>
          </w:p>
        </w:tc>
        <w:tc>
          <w:tcPr>
            <w:tcW w:w="24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Cost-plus</w:t>
            </w:r>
          </w:p>
        </w:tc>
        <w:tc>
          <w:tcPr>
            <w:tcW w:w="248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Specified actions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(61,539)</w:t>
            </w:r>
          </w:p>
        </w:tc>
        <w:tc>
          <w:tcPr>
            <w:tcW w:w="8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(74,768)</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(61,539)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(74,768)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Enterprise Solutions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SaaS products offering</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(1,040)</w:t>
            </w:r>
          </w:p>
        </w:tc>
        <w:tc>
          <w:tcPr>
            <w:tcW w:w="8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(62,579)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(77,270)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Marketing Solutions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Sales agent</w:t>
            </w:r>
          </w:p>
        </w:tc>
        <w:tc>
          <w:tcPr>
            <w:tcW w:w="1420" w:type="dxa"/>
            <w:vAlign w:val="bottom"/>
          </w:tcPr>
          <w:p>
            <w:pPr>
              <w:jc w:val="right"/>
              <w:spacing w:after="0"/>
              <w:rPr>
                <w:sz w:val="20"/>
                <w:szCs w:val="20"/>
                <w:color w:val="auto"/>
              </w:rPr>
            </w:pPr>
            <w:r>
              <w:rPr>
                <w:rFonts w:ascii="Arial" w:cs="Arial" w:eastAsia="Arial" w:hAnsi="Arial"/>
                <w:sz w:val="18"/>
                <w:szCs w:val="18"/>
                <w:color w:val="auto"/>
              </w:rPr>
              <w:t>3,030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 Cost-plus</w:t>
            </w:r>
          </w:p>
        </w:tc>
        <w:tc>
          <w:tcPr>
            <w:tcW w:w="1420" w:type="dxa"/>
            <w:vAlign w:val="bottom"/>
          </w:tcPr>
          <w:p>
            <w:pPr>
              <w:jc w:val="right"/>
              <w:spacing w:after="0"/>
              <w:rPr>
                <w:sz w:val="20"/>
                <w:szCs w:val="20"/>
                <w:color w:val="auto"/>
              </w:rPr>
            </w:pPr>
            <w:r>
              <w:rPr>
                <w:rFonts w:ascii="Arial" w:cs="Arial" w:eastAsia="Arial" w:hAnsi="Arial"/>
                <w:sz w:val="18"/>
                <w:szCs w:val="18"/>
                <w:color w:val="auto"/>
              </w:rPr>
              <w:t>7,298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Specified actions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12,482</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22,810</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Enterprise Solutions</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 SaaS products offering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218"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60" w:name="page61"/>
    <w:bookmarkEnd w:id="60"/>
    <w:p>
      <w:pPr>
        <w:ind w:left="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60"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48" w:lineRule="exact"/>
        <w:rPr>
          <w:sz w:val="20"/>
          <w:szCs w:val="20"/>
          <w:color w:val="auto"/>
        </w:rPr>
      </w:pPr>
    </w:p>
    <w:p>
      <w:pPr>
        <w:ind w:left="860" w:hanging="852"/>
        <w:spacing w:after="0"/>
        <w:tabs>
          <w:tab w:leader="none" w:pos="8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Segments (Continued)</w:t>
      </w:r>
    </w:p>
    <w:p>
      <w:pPr>
        <w:spacing w:after="0" w:line="161"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currently does not allocate assets to all of its segments, as its CODM does not use such information to allocate resources or evaluate the performance of the operating segments.</w:t>
      </w:r>
    </w:p>
    <w:p>
      <w:pPr>
        <w:spacing w:after="0" w:line="143"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Revenue generated for the respective countries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8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For the six months ended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The PRC</w:t>
            </w:r>
          </w:p>
        </w:tc>
        <w:tc>
          <w:tcPr>
            <w:tcW w:w="1420" w:type="dxa"/>
            <w:vAlign w:val="bottom"/>
          </w:tcPr>
          <w:p>
            <w:pPr>
              <w:jc w:val="right"/>
              <w:spacing w:after="0"/>
              <w:rPr>
                <w:sz w:val="20"/>
                <w:szCs w:val="20"/>
                <w:color w:val="auto"/>
              </w:rPr>
            </w:pPr>
            <w:r>
              <w:rPr>
                <w:rFonts w:ascii="Arial" w:cs="Arial" w:eastAsia="Arial" w:hAnsi="Arial"/>
                <w:sz w:val="18"/>
                <w:szCs w:val="18"/>
                <w:color w:val="auto"/>
              </w:rPr>
              <w:t>79,386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Hong Kong</w:t>
            </w:r>
          </w:p>
        </w:tc>
        <w:tc>
          <w:tcPr>
            <w:tcW w:w="1420" w:type="dxa"/>
            <w:vAlign w:val="bottom"/>
          </w:tcPr>
          <w:p>
            <w:pPr>
              <w:jc w:val="right"/>
              <w:spacing w:after="0"/>
              <w:rPr>
                <w:sz w:val="20"/>
                <w:szCs w:val="20"/>
                <w:color w:val="auto"/>
              </w:rPr>
            </w:pPr>
            <w:r>
              <w:rPr>
                <w:rFonts w:ascii="Arial" w:cs="Arial" w:eastAsia="Arial" w:hAnsi="Arial"/>
                <w:sz w:val="18"/>
                <w:szCs w:val="18"/>
                <w:color w:val="auto"/>
              </w:rPr>
              <w:t>8,695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Others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88,565</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107,148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vMerge w:val="restart"/>
          </w:tcPr>
          <w:p>
            <w:pPr>
              <w:ind w:left="340"/>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97"/>
              </w:rPr>
              <w:t>As of</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color w:val="auto"/>
              </w:rPr>
              <w:t>December 31,</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58"/>
        </w:trPr>
        <w:tc>
          <w:tcPr>
            <w:tcW w:w="520" w:type="dxa"/>
            <w:vAlign w:val="bottom"/>
          </w:tcPr>
          <w:p>
            <w:pPr>
              <w:spacing w:after="0"/>
              <w:rPr>
                <w:sz w:val="24"/>
                <w:szCs w:val="24"/>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The PRC</w:t>
            </w:r>
          </w:p>
        </w:tc>
        <w:tc>
          <w:tcPr>
            <w:tcW w:w="1420" w:type="dxa"/>
            <w:vAlign w:val="bottom"/>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Hong Kong</w:t>
            </w: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00" w:type="dxa"/>
            <w:vAlign w:val="bottom"/>
          </w:tcPr>
          <w:p>
            <w:pPr>
              <w:ind w:left="400"/>
              <w:spacing w:after="0"/>
              <w:rPr>
                <w:sz w:val="20"/>
                <w:szCs w:val="20"/>
                <w:color w:val="auto"/>
              </w:rPr>
            </w:pPr>
            <w:r>
              <w:rPr>
                <w:rFonts w:ascii="Arial" w:cs="Arial" w:eastAsia="Arial" w:hAnsi="Arial"/>
                <w:sz w:val="18"/>
                <w:szCs w:val="18"/>
                <w:color w:val="auto"/>
              </w:rPr>
              <w:t>Others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27</w:t>
            </w:r>
          </w:p>
        </w:tc>
        <w:tc>
          <w:tcPr>
            <w:tcW w:w="7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Commitments and contingencies</w:t>
            </w: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860" w:hanging="852"/>
        <w:spacing w:after="0"/>
        <w:tabs>
          <w:tab w:leader="none" w:pos="8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commitments</w:t>
      </w:r>
    </w:p>
    <w:p>
      <w:pPr>
        <w:spacing w:after="0" w:line="188" w:lineRule="exact"/>
        <w:rPr>
          <w:rFonts w:ascii="Arial" w:cs="Arial" w:eastAsia="Arial" w:hAnsi="Arial"/>
          <w:sz w:val="18"/>
          <w:szCs w:val="18"/>
          <w:b w:val="1"/>
          <w:bCs w:val="1"/>
          <w:color w:val="auto"/>
        </w:rPr>
      </w:pPr>
    </w:p>
    <w:p>
      <w:pPr>
        <w:ind w:left="8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commitment balance as of June 30, 2020 includes the remaining committed capital of certain investment funds of US$2.1 million. There were no investments commitments as of December 31, 2019.</w:t>
      </w:r>
    </w:p>
    <w:p>
      <w:pPr>
        <w:spacing w:after="0" w:line="125" w:lineRule="exact"/>
        <w:rPr>
          <w:rFonts w:ascii="Arial" w:cs="Arial" w:eastAsia="Arial" w:hAnsi="Arial"/>
          <w:sz w:val="18"/>
          <w:szCs w:val="18"/>
          <w:b w:val="1"/>
          <w:bCs w:val="1"/>
          <w:color w:val="auto"/>
        </w:rPr>
      </w:pPr>
    </w:p>
    <w:p>
      <w:pPr>
        <w:ind w:left="860" w:hanging="852"/>
        <w:spacing w:after="0"/>
        <w:tabs>
          <w:tab w:leader="none" w:pos="8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88" w:lineRule="exact"/>
        <w:rPr>
          <w:rFonts w:ascii="Arial" w:cs="Arial" w:eastAsia="Arial" w:hAnsi="Arial"/>
          <w:sz w:val="18"/>
          <w:szCs w:val="18"/>
          <w:b w:val="1"/>
          <w:bCs w:val="1"/>
          <w:color w:val="auto"/>
        </w:rPr>
      </w:pPr>
    </w:p>
    <w:p>
      <w:pPr>
        <w:jc w:val="both"/>
        <w:ind w:left="8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June 30, 2020, the Group is not a party to any legal or administrative proceedings which will have a material adverse effect on the Group’s business, financial position, results of operations and cash flows.</w:t>
      </w:r>
    </w:p>
    <w:p>
      <w:pPr>
        <w:spacing w:after="0" w:line="183" w:lineRule="exact"/>
        <w:rPr>
          <w:rFonts w:ascii="Arial" w:cs="Arial" w:eastAsia="Arial" w:hAnsi="Arial"/>
          <w:sz w:val="18"/>
          <w:szCs w:val="18"/>
          <w:b w:val="1"/>
          <w:bCs w:val="1"/>
          <w:color w:val="auto"/>
        </w:rPr>
      </w:pPr>
    </w:p>
    <w:p>
      <w:pPr>
        <w:ind w:left="5540" w:hanging="111"/>
        <w:spacing w:after="0"/>
        <w:tabs>
          <w:tab w:leader="none" w:pos="55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852"/>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852" w:right="24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162" w:lineRule="exact"/>
        <w:rPr>
          <w:sz w:val="20"/>
          <w:szCs w:val="20"/>
          <w:color w:val="auto"/>
        </w:rPr>
      </w:pPr>
    </w:p>
    <w:p>
      <w:pPr>
        <w:ind w:left="852" w:hanging="852"/>
        <w:spacing w:after="0"/>
        <w:tabs>
          <w:tab w:leader="none" w:pos="8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8" w:lineRule="exact"/>
        <w:rPr>
          <w:rFonts w:ascii="Arial" w:cs="Arial" w:eastAsia="Arial" w:hAnsi="Arial"/>
          <w:sz w:val="18"/>
          <w:szCs w:val="18"/>
          <w:b w:val="1"/>
          <w:bCs w:val="1"/>
          <w:color w:val="auto"/>
        </w:rPr>
      </w:pPr>
    </w:p>
    <w:p>
      <w:pPr>
        <w:jc w:val="both"/>
        <w:ind w:left="852"/>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Starting from January 2020, it was reported that a novel strain of coronavirus, later named COVID-19, spread worldwide. This outbreak has led to temporary closure of the Group’s offices in the PRC in February 2020 with a significant portion of the Group’s employees working from home. The offices have been later re-opened and the Group's business operates as usual under certain discretionary working arrangement.</w:t>
      </w:r>
    </w:p>
    <w:p>
      <w:pPr>
        <w:spacing w:after="0" w:line="121" w:lineRule="exact"/>
        <w:rPr>
          <w:rFonts w:ascii="Arial" w:cs="Arial" w:eastAsia="Arial" w:hAnsi="Arial"/>
          <w:sz w:val="18"/>
          <w:szCs w:val="18"/>
          <w:b w:val="1"/>
          <w:bCs w:val="1"/>
          <w:color w:val="auto"/>
        </w:rPr>
      </w:pPr>
    </w:p>
    <w:p>
      <w:pPr>
        <w:jc w:val="both"/>
        <w:ind w:left="852"/>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This contagious disease outbreak, which continued to spread, and any related adverse public health developments, have adversely affected workforces, customers, economies, and financial markets globally, likely leading to an economic downturn. It has also disrupted the normal operations of many businesses. This outbreak could decrease corporate's spending on advertising services, adversely affect demand for the Group's Marketing Solutions and Enterprises Solutions services and harm the Group's business and results of operations. While the disruption is currently expected to be temporary, there is uncertainty around the duration of these disruptions or the possibility of other effects on the Group’s business. While the Group has not noted significant negative impact to its business, results of operations and financial condition during the six months ended June 30, 2020, the extent to which COVID-19 impacts the business and financial results of the Group in the longer term will depend on future developments, which are uncertain and cannot be predicted, including new information which may emerge concerning the severity of the coronavirus and the actions to contain the coronavirus or treat its impact, among others. The Group will continue to evaluate the impact on the results of operation, financial position and cash flows of the Group and react actively as the situation evolves.</w:t>
      </w:r>
    </w:p>
    <w:p>
      <w:pPr>
        <w:spacing w:after="0" w:line="168" w:lineRule="exact"/>
        <w:rPr>
          <w:rFonts w:ascii="Arial" w:cs="Arial" w:eastAsia="Arial" w:hAnsi="Arial"/>
          <w:sz w:val="18"/>
          <w:szCs w:val="18"/>
          <w:b w:val="1"/>
          <w:bCs w:val="1"/>
          <w:color w:val="auto"/>
        </w:rPr>
      </w:pPr>
    </w:p>
    <w:p>
      <w:pPr>
        <w:ind w:left="5532" w:hanging="111"/>
        <w:spacing w:after="0"/>
        <w:tabs>
          <w:tab w:leader="none" w:pos="55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47 -</w:t>
      </w:r>
    </w:p>
    <w:sectPr>
      <w:pgSz w:w="11900" w:h="16838" w:orient="portrait"/>
      <w:cols w:equalWidth="0" w:num="1">
        <w:col w:w="11232"/>
      </w:cols>
      <w:pgMar w:left="32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emdash "/>
      <w:numFmt w:val="bullet"/>
      <w:start w:val="1"/>
    </w:lvl>
  </w:abstractNum>
  <w:abstractNum w:abstractNumId="1">
    <w:nsid w:val="4B588F54"/>
    <w:multiLevelType w:val="hybridMultilevel"/>
    <w:lvl w:ilvl="0">
      <w:lvlJc w:val="left"/>
      <w:lvlText w:val="\emdash "/>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decimal"/>
      <w:start w:val="2"/>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1"/>
      <w:numFmt w:val="bullet"/>
      <w:start w:val="1"/>
    </w:lvl>
  </w:abstractNum>
  <w:abstractNum w:abstractNumId="8">
    <w:nsid w:val="579478FE"/>
    <w:multiLevelType w:val="hybridMultilevel"/>
    <w:lvl w:ilvl="0">
      <w:lvlJc w:val="left"/>
      <w:lvlText w:val="(%1)"/>
      <w:numFmt w:val="lowerLetter"/>
      <w:start w:val="1"/>
    </w:lvl>
  </w:abstractNum>
  <w:abstractNum w:abstractNumId="9">
    <w:nsid w:val="749ABB43"/>
    <w:multiLevelType w:val="hybridMultilevel"/>
    <w:lvl w:ilvl="0">
      <w:lvlJc w:val="left"/>
      <w:lvlText w:val="2"/>
      <w:numFmt w:val="bullet"/>
      <w:start w:val="1"/>
    </w:lvl>
  </w:abstractNum>
  <w:abstractNum w:abstractNumId="10">
    <w:nsid w:val="3DC240FB"/>
    <w:multiLevelType w:val="hybridMultilevel"/>
    <w:lvl w:ilvl="0">
      <w:lvlJc w:val="left"/>
      <w:lvlText w:val="(%1)"/>
      <w:numFmt w:val="lowerLetter"/>
      <w:start w:val="1"/>
    </w:lvl>
    <w:lvl w:ilvl="1">
      <w:lvlJc w:val="left"/>
      <w:lvlText w:val="-"/>
      <w:numFmt w:val="bullet"/>
      <w:start w:val="1"/>
    </w:lvl>
  </w:abstractNum>
  <w:abstractNum w:abstractNumId="11">
    <w:nsid w:val="1BA026FA"/>
    <w:multiLevelType w:val="hybridMultilevel"/>
    <w:lvl w:ilvl="0">
      <w:lvlJc w:val="left"/>
      <w:lvlText w:val="2"/>
      <w:numFmt w:val="bullet"/>
      <w:start w:val="1"/>
    </w:lvl>
  </w:abstractNum>
  <w:abstractNum w:abstractNumId="12">
    <w:nsid w:val="79A1DEAA"/>
    <w:multiLevelType w:val="hybridMultilevel"/>
    <w:lvl w:ilvl="0">
      <w:lvlJc w:val="left"/>
      <w:lvlText w:val="(%1)"/>
      <w:numFmt w:val="lowerLetter"/>
      <w:start w:val="2"/>
    </w:lvl>
    <w:lvl w:ilvl="1">
      <w:lvlJc w:val="left"/>
      <w:lvlText w:val="-"/>
      <w:numFmt w:val="bullet"/>
      <w:start w:val="1"/>
    </w:lvl>
  </w:abstractNum>
  <w:abstractNum w:abstractNumId="13">
    <w:nsid w:val="75C6C33A"/>
    <w:multiLevelType w:val="hybridMultilevel"/>
    <w:lvl w:ilvl="0">
      <w:lvlJc w:val="left"/>
      <w:lvlText w:val="2"/>
      <w:numFmt w:val="bullet"/>
      <w:start w:val="1"/>
    </w:lvl>
  </w:abstractNum>
  <w:abstractNum w:abstractNumId="14">
    <w:nsid w:val="12E685FB"/>
    <w:multiLevelType w:val="hybridMultilevel"/>
    <w:lvl w:ilvl="0">
      <w:lvlJc w:val="left"/>
      <w:lvlText w:val="(%1)"/>
      <w:numFmt w:val="lowerLetter"/>
      <w:start w:val="6"/>
    </w:lvl>
  </w:abstractNum>
  <w:abstractNum w:abstractNumId="15">
    <w:nsid w:val="70C6A529"/>
    <w:multiLevelType w:val="hybridMultilevel"/>
    <w:lvl w:ilvl="0">
      <w:lvlJc w:val="left"/>
      <w:lvlText w:val="2"/>
      <w:numFmt w:val="bullet"/>
      <w:start w:val="1"/>
    </w:lvl>
  </w:abstractNum>
  <w:abstractNum w:abstractNumId="16">
    <w:nsid w:val="520EEDD1"/>
    <w:multiLevelType w:val="hybridMultilevel"/>
    <w:lvl w:ilvl="0">
      <w:lvlJc w:val="left"/>
      <w:lvlText w:val="(%1)"/>
      <w:numFmt w:val="lowerLetter"/>
      <w:start w:val="7"/>
    </w:lvl>
    <w:lvl w:ilvl="1">
      <w:lvlJc w:val="left"/>
      <w:lvlText w:val="-"/>
      <w:numFmt w:val="bullet"/>
      <w:start w:val="1"/>
    </w:lvl>
  </w:abstractNum>
  <w:abstractNum w:abstractNumId="17">
    <w:nsid w:val="374A3FE6"/>
    <w:multiLevelType w:val="hybridMultilevel"/>
    <w:lvl w:ilvl="0">
      <w:lvlJc w:val="left"/>
      <w:lvlText w:val="3"/>
      <w:numFmt w:val="bullet"/>
      <w:start w:val="1"/>
    </w:lvl>
  </w:abstractNum>
  <w:abstractNum w:abstractNumId="18">
    <w:nsid w:val="4F4EF005"/>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9">
    <w:nsid w:val="23F9C13C"/>
    <w:multiLevelType w:val="hybridMultilevel"/>
    <w:lvl w:ilvl="0">
      <w:lvlJc w:val="left"/>
      <w:lvlText w:val="3"/>
      <w:numFmt w:val="bullet"/>
      <w:start w:val="1"/>
    </w:lvl>
  </w:abstractNum>
  <w:abstractNum w:abstractNumId="20">
    <w:nsid w:val="649BB77C"/>
    <w:multiLevelType w:val="hybridMultilevel"/>
    <w:lvl w:ilvl="0">
      <w:lvlJc w:val="left"/>
      <w:lvlText w:val="(%1)"/>
      <w:numFmt w:val="lowerLetter"/>
      <w:start w:val="1"/>
    </w:lvl>
    <w:lvl w:ilvl="1">
      <w:lvlJc w:val="left"/>
      <w:lvlText w:val="-"/>
      <w:numFmt w:val="bullet"/>
      <w:start w:val="1"/>
    </w:lvl>
  </w:abstractNum>
  <w:abstractNum w:abstractNumId="21">
    <w:nsid w:val="275AC794"/>
    <w:multiLevelType w:val="hybridMultilevel"/>
    <w:lvl w:ilvl="0">
      <w:lvlJc w:val="left"/>
      <w:lvlText w:val="3"/>
      <w:numFmt w:val="bullet"/>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3"/>
      <w:numFmt w:val="bullet"/>
      <w:start w:val="1"/>
    </w:lvl>
  </w:abstractNum>
  <w:abstractNum w:abstractNumId="24">
    <w:nsid w:val="180115BE"/>
    <w:multiLevelType w:val="hybridMultilevel"/>
    <w:lvl w:ilvl="0">
      <w:lvlJc w:val="left"/>
      <w:lvlText w:val="(%1)"/>
      <w:numFmt w:val="lowerLetter"/>
      <w:start w:val="1"/>
    </w:lvl>
    <w:lvl w:ilvl="1">
      <w:lvlJc w:val="left"/>
      <w:lvlText w:val="-"/>
      <w:numFmt w:val="bullet"/>
      <w:start w:val="1"/>
    </w:lvl>
  </w:abstractNum>
  <w:abstractNum w:abstractNumId="25">
    <w:nsid w:val="235BA861"/>
    <w:multiLevelType w:val="hybridMultilevel"/>
    <w:lvl w:ilvl="0">
      <w:lvlJc w:val="left"/>
      <w:lvlText w:val="3"/>
      <w:numFmt w:val="bullet"/>
      <w:start w:val="1"/>
    </w:lvl>
  </w:abstractNum>
  <w:abstractNum w:abstractNumId="26">
    <w:nsid w:val="47398C89"/>
    <w:multiLevelType w:val="hybridMultilevel"/>
    <w:lvl w:ilvl="0">
      <w:lvlJc w:val="left"/>
      <w:lvlText w:val="(%1)"/>
      <w:numFmt w:val="lowerLetter"/>
      <w:start w:val="3"/>
    </w:lvl>
    <w:lvl w:ilvl="1">
      <w:lvlJc w:val="left"/>
      <w:lvlText w:val="(%2)"/>
      <w:numFmt w:val="lowerLetter"/>
      <w:start w:val="9"/>
    </w:lvl>
  </w:abstractNum>
  <w:abstractNum w:abstractNumId="27">
    <w:nsid w:val="354FE9F9"/>
    <w:multiLevelType w:val="hybridMultilevel"/>
    <w:lvl w:ilvl="0">
      <w:lvlJc w:val="left"/>
      <w:lvlText w:val="(%1)"/>
      <w:numFmt w:val="lowerRoman"/>
      <w:start w:val="2"/>
    </w:lvl>
  </w:abstractNum>
  <w:abstractNum w:abstractNumId="28">
    <w:nsid w:val="15B5AF5C"/>
    <w:multiLevelType w:val="hybridMultilevel"/>
    <w:lvl w:ilvl="0">
      <w:lvlJc w:val="left"/>
      <w:lvlText w:val="3"/>
      <w:numFmt w:val="bullet"/>
      <w:start w:val="1"/>
    </w:lvl>
  </w:abstractNum>
  <w:abstractNum w:abstractNumId="29">
    <w:nsid w:val="741226BB"/>
    <w:multiLevelType w:val="hybridMultilevel"/>
    <w:lvl w:ilvl="0">
      <w:lvlJc w:val="left"/>
      <w:lvlText w:val="(%1)"/>
      <w:numFmt w:val="lowerLetter"/>
      <w:start w:val="4"/>
    </w:lvl>
    <w:lvl w:ilvl="1">
      <w:lvlJc w:val="left"/>
      <w:lvlText w:val="(%2)"/>
      <w:numFmt w:val="lowerLetter"/>
      <w:start w:val="9"/>
    </w:lvl>
  </w:abstractNum>
  <w:abstractNum w:abstractNumId="30">
    <w:nsid w:val="D34B6A8"/>
    <w:multiLevelType w:val="hybridMultilevel"/>
    <w:lvl w:ilvl="0">
      <w:lvlJc w:val="left"/>
      <w:lvlText w:val="(%1)"/>
      <w:numFmt w:val="lowerRoman"/>
      <w:start w:val="2"/>
    </w:lvl>
  </w:abstractNum>
  <w:abstractNum w:abstractNumId="31">
    <w:nsid w:val="10233C99"/>
    <w:multiLevelType w:val="hybridMultilevel"/>
    <w:lvl w:ilvl="0">
      <w:lvlJc w:val="left"/>
      <w:lvlText w:val="(%1)"/>
      <w:numFmt w:val="lowerRoman"/>
      <w:start w:val="3"/>
    </w:lvl>
  </w:abstractNum>
  <w:abstractNum w:abstractNumId="32">
    <w:nsid w:val="3F6AB60F"/>
    <w:multiLevelType w:val="hybridMultilevel"/>
    <w:lvl w:ilvl="0">
      <w:lvlJc w:val="left"/>
      <w:lvlText w:val="4"/>
      <w:numFmt w:val="bullet"/>
      <w:start w:val="1"/>
    </w:lvl>
  </w:abstractNum>
  <w:abstractNum w:abstractNumId="33">
    <w:nsid w:val="61574095"/>
    <w:multiLevelType w:val="hybridMultilevel"/>
    <w:lvl w:ilvl="0">
      <w:lvlJc w:val="left"/>
      <w:lvlText w:val="(%1)"/>
      <w:numFmt w:val="lowerLetter"/>
      <w:start w:val="1"/>
    </w:lvl>
    <w:lvl w:ilvl="1">
      <w:lvlJc w:val="left"/>
      <w:lvlText w:val="-"/>
      <w:numFmt w:val="bullet"/>
      <w:start w:val="1"/>
    </w:lvl>
  </w:abstractNum>
  <w:abstractNum w:abstractNumId="34">
    <w:nsid w:val="7E0C57B1"/>
    <w:multiLevelType w:val="hybridMultilevel"/>
    <w:lvl w:ilvl="0">
      <w:lvlJc w:val="left"/>
      <w:lvlText w:val="4"/>
      <w:numFmt w:val="bullet"/>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4"/>
      <w:numFmt w:val="bullet"/>
      <w:start w:val="1"/>
    </w:lvl>
  </w:abstractNum>
  <w:abstractNum w:abstractNumId="37">
    <w:nsid w:val="310C50B3"/>
    <w:multiLevelType w:val="hybridMultilevel"/>
    <w:lvl w:ilvl="0">
      <w:lvlJc w:val="left"/>
      <w:lvlText w:val="(%1)"/>
      <w:numFmt w:val="lowerLetter"/>
      <w:start w:val="2"/>
    </w:lvl>
  </w:abstractNum>
  <w:abstractNum w:abstractNumId="38">
    <w:nsid w:val="5FF87E05"/>
    <w:multiLevelType w:val="hybridMultilevel"/>
    <w:lvl w:ilvl="0">
      <w:lvlJc w:val="left"/>
      <w:lvlText w:val="(%1)"/>
      <w:numFmt w:val="lowerLetter"/>
      <w:start w:val="3"/>
    </w:lvl>
    <w:lvl w:ilvl="1">
      <w:lvlJc w:val="left"/>
      <w:lvlText w:val="-"/>
      <w:numFmt w:val="bullet"/>
      <w:start w:val="1"/>
    </w:lvl>
  </w:abstractNum>
  <w:abstractNum w:abstractNumId="39">
    <w:nsid w:val="2F305DEF"/>
    <w:multiLevelType w:val="hybridMultilevel"/>
    <w:lvl w:ilvl="0">
      <w:lvlJc w:val="left"/>
      <w:lvlText w:val="4"/>
      <w:numFmt w:val="bullet"/>
      <w:start w:val="1"/>
    </w:lvl>
  </w:abstractNum>
  <w:abstractNum w:abstractNumId="40">
    <w:nsid w:val="25A70BF7"/>
    <w:multiLevelType w:val="hybridMultilevel"/>
    <w:lvl w:ilvl="0">
      <w:lvlJc w:val="left"/>
      <w:lvlText w:val="(%1)"/>
      <w:numFmt w:val="lowerLetter"/>
      <w:start w:val="3"/>
    </w:lvl>
  </w:abstractNum>
  <w:abstractNum w:abstractNumId="41">
    <w:nsid w:val="1DBABF00"/>
    <w:multiLevelType w:val="hybridMultilevel"/>
    <w:lvl w:ilvl="0">
      <w:lvlJc w:val="left"/>
      <w:lvlText w:val="5"/>
      <w:numFmt w:val="bullet"/>
      <w:start w:val="1"/>
    </w:lvl>
  </w:abstractNum>
  <w:abstractNum w:abstractNumId="42">
    <w:nsid w:val="4AD084E9"/>
    <w:multiLevelType w:val="hybridMultilevel"/>
    <w:lvl w:ilvl="0">
      <w:lvlJc w:val="left"/>
      <w:lvlText w:val="6"/>
      <w:numFmt w:val="bullet"/>
      <w:start w:val="1"/>
    </w:lvl>
    <w:lvl w:ilvl="1">
      <w:lvlJc w:val="left"/>
      <w:lvlText w:val="-"/>
      <w:numFmt w:val="bullet"/>
      <w:start w:val="1"/>
    </w:lvl>
  </w:abstractNum>
  <w:abstractNum w:abstractNumId="43">
    <w:nsid w:val="1F48EAA1"/>
    <w:multiLevelType w:val="hybridMultilevel"/>
    <w:lvl w:ilvl="0">
      <w:lvlJc w:val="left"/>
      <w:lvlText w:val="7"/>
      <w:numFmt w:val="bullet"/>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2"/>
    </w:lvl>
  </w:abstractNum>
  <w:abstractNum w:abstractNumId="46">
    <w:nsid w:val="100F8FCA"/>
    <w:multiLevelType w:val="hybridMultilevel"/>
    <w:lvl w:ilvl="0">
      <w:lvlJc w:val="left"/>
      <w:lvlText w:val="8"/>
      <w:numFmt w:val="bullet"/>
      <w:start w:val="1"/>
    </w:lvl>
    <w:lvl w:ilvl="1">
      <w:lvlJc w:val="left"/>
      <w:lvlText w:val="-"/>
      <w:numFmt w:val="bullet"/>
      <w:start w:val="1"/>
    </w:lvl>
  </w:abstractNum>
  <w:abstractNum w:abstractNumId="47">
    <w:nsid w:val="6590700B"/>
    <w:multiLevelType w:val="hybridMultilevel"/>
    <w:lvl w:ilvl="0">
      <w:lvlJc w:val="left"/>
      <w:lvlText w:val="9"/>
      <w:numFmt w:val="bullet"/>
      <w:start w:val="1"/>
    </w:lvl>
  </w:abstractNum>
  <w:abstractNum w:abstractNumId="48">
    <w:nsid w:val="15014ACB"/>
    <w:multiLevelType w:val="hybridMultilevel"/>
    <w:lvl w:ilvl="0">
      <w:lvlJc w:val="left"/>
      <w:lvlText w:val="%1"/>
      <w:numFmt w:val="decimal"/>
      <w:start w:val="11"/>
    </w:lvl>
  </w:abstractNum>
  <w:abstractNum w:abstractNumId="49">
    <w:nsid w:val="5F5E7FD0"/>
    <w:multiLevelType w:val="hybridMultilevel"/>
    <w:lvl w:ilvl="0">
      <w:lvlJc w:val="left"/>
      <w:lvlText w:val="%1"/>
      <w:numFmt w:val="decimal"/>
      <w:start w:val="11"/>
    </w:lvl>
  </w:abstractNum>
  <w:abstractNum w:abstractNumId="50">
    <w:nsid w:val="98A3148"/>
    <w:multiLevelType w:val="hybridMultilevel"/>
    <w:lvl w:ilvl="0">
      <w:lvlJc w:val="left"/>
      <w:lvlText w:val="%1"/>
      <w:numFmt w:val="decimal"/>
      <w:start w:val="12"/>
    </w:lvl>
  </w:abstractNum>
  <w:abstractNum w:abstractNumId="51">
    <w:nsid w:val="799D0247"/>
    <w:multiLevelType w:val="hybridMultilevel"/>
    <w:lvl w:ilvl="0">
      <w:lvlJc w:val="left"/>
      <w:lvlText w:val="%1"/>
      <w:numFmt w:val="decimal"/>
      <w:start w:val="13"/>
    </w:lvl>
  </w:abstractNum>
  <w:abstractNum w:abstractNumId="52">
    <w:nsid w:val="6B94764"/>
    <w:multiLevelType w:val="hybridMultilevel"/>
    <w:lvl w:ilvl="0">
      <w:lvlJc w:val="left"/>
      <w:lvlText w:val="%1"/>
      <w:numFmt w:val="decimal"/>
      <w:start w:val="14"/>
    </w:lvl>
  </w:abstractNum>
  <w:abstractNum w:abstractNumId="53">
    <w:nsid w:val="42C296BD"/>
    <w:multiLevelType w:val="hybridMultilevel"/>
    <w:lvl w:ilvl="0">
      <w:lvlJc w:val="left"/>
      <w:lvlText w:val="%1"/>
      <w:numFmt w:val="decimal"/>
      <w:start w:val="14"/>
    </w:lvl>
  </w:abstractNum>
  <w:abstractNum w:abstractNumId="54">
    <w:nsid w:val="168E121F"/>
    <w:multiLevelType w:val="hybridMultilevel"/>
    <w:lvl w:ilvl="0">
      <w:lvlJc w:val="left"/>
      <w:lvlText w:val="(%1)"/>
      <w:numFmt w:val="lowerRoman"/>
      <w:start w:val="1"/>
    </w:lvl>
    <w:lvl w:ilvl="1">
      <w:lvlJc w:val="left"/>
      <w:lvlText w:val="-"/>
      <w:numFmt w:val="bullet"/>
      <w:start w:val="1"/>
    </w:lvl>
  </w:abstractNum>
  <w:abstractNum w:abstractNumId="55">
    <w:nsid w:val="1EBA5D23"/>
    <w:multiLevelType w:val="hybridMultilevel"/>
    <w:lvl w:ilvl="0">
      <w:lvlJc w:val="left"/>
      <w:lvlText w:val="%1"/>
      <w:numFmt w:val="decimal"/>
      <w:start w:val="17"/>
    </w:lvl>
    <w:lvl w:ilvl="1">
      <w:lvlJc w:val="left"/>
      <w:lvlText w:val="(%2)"/>
      <w:numFmt w:val="lowerRoman"/>
      <w:start w:val="2"/>
    </w:lvl>
    <w:lvl w:ilvl="2">
      <w:lvlJc w:val="left"/>
      <w:lvlText w:val="-"/>
      <w:numFmt w:val="bullet"/>
      <w:start w:val="1"/>
    </w:lvl>
  </w:abstractNum>
  <w:abstractNum w:abstractNumId="56">
    <w:nsid w:val="661E3F1E"/>
    <w:multiLevelType w:val="hybridMultilevel"/>
    <w:lvl w:ilvl="0">
      <w:lvlJc w:val="left"/>
      <w:lvlText w:val="%1"/>
      <w:numFmt w:val="decimal"/>
      <w:start w:val="17"/>
    </w:lvl>
    <w:lvl w:ilvl="1">
      <w:lvlJc w:val="left"/>
      <w:lvlText w:val="(%2)"/>
      <w:numFmt w:val="lowerRoman"/>
      <w:start w:val="7"/>
    </w:lvl>
  </w:abstractNum>
  <w:abstractNum w:abstractNumId="57">
    <w:nsid w:val="5DC79EA8"/>
    <w:multiLevelType w:val="hybridMultilevel"/>
    <w:lvl w:ilvl="0">
      <w:lvlJc w:val="left"/>
      <w:lvlText w:val="(%1)"/>
      <w:numFmt w:val="lowerLetter"/>
      <w:start w:val="1"/>
    </w:lvl>
    <w:lvl w:ilvl="1">
      <w:lvlJc w:val="left"/>
      <w:lvlText w:val="-"/>
      <w:numFmt w:val="bullet"/>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lowerRoman"/>
      <w:start w:val="1"/>
    </w:lvl>
  </w:abstractNum>
  <w:abstractNum w:abstractNumId="61">
    <w:nsid w:val="613EFDC5"/>
    <w:multiLevelType w:val="hybridMultilevel"/>
    <w:lvl w:ilvl="0">
      <w:lvlJc w:val="left"/>
      <w:lvlText w:val="(%1)"/>
      <w:numFmt w:val="lowerRoman"/>
      <w:start w:val="2"/>
    </w:lvl>
  </w:abstractNum>
  <w:abstractNum w:abstractNumId="62">
    <w:nsid w:val="BF72B14"/>
    <w:multiLevelType w:val="hybridMultilevel"/>
    <w:lvl w:ilvl="0">
      <w:lvlJc w:val="left"/>
      <w:lvlText w:val="(%1)"/>
      <w:numFmt w:val="lowerRoman"/>
      <w:start w:val="3"/>
    </w:lvl>
  </w:abstractNum>
  <w:abstractNum w:abstractNumId="63">
    <w:nsid w:val="11447B73"/>
    <w:multiLevelType w:val="hybridMultilevel"/>
    <w:lvl w:ilvl="0">
      <w:lvlJc w:val="left"/>
      <w:lvlText w:val="(%1)"/>
      <w:numFmt w:val="lowerRoman"/>
      <w:start w:val="4"/>
    </w:lvl>
  </w:abstractNum>
  <w:abstractNum w:abstractNumId="64">
    <w:nsid w:val="42963E5A"/>
    <w:multiLevelType w:val="hybridMultilevel"/>
    <w:lvl w:ilvl="0">
      <w:lvlJc w:val="left"/>
      <w:lvlText w:val="(%1)"/>
      <w:numFmt w:val="lowerLetter"/>
      <w:start w:val="2"/>
    </w:lvl>
  </w:abstractNum>
  <w:abstractNum w:abstractNumId="65">
    <w:nsid w:val="A0382C5"/>
    <w:multiLevelType w:val="hybridMultilevel"/>
    <w:lvl w:ilvl="0">
      <w:lvlJc w:val="left"/>
      <w:lvlText w:val="(%1)"/>
      <w:numFmt w:val="lowerLetter"/>
      <w:start w:val="3"/>
    </w:lvl>
    <w:lvl w:ilvl="1">
      <w:lvlJc w:val="left"/>
      <w:lvlText w:val="-"/>
      <w:numFmt w:val="bullet"/>
      <w:start w:val="1"/>
    </w:lvl>
  </w:abstractNum>
  <w:abstractNum w:abstractNumId="66">
    <w:nsid w:val="8F2B15E"/>
    <w:multiLevelType w:val="hybridMultilevel"/>
    <w:lvl w:ilvl="0">
      <w:lvlJc w:val="left"/>
      <w:lvlText w:val="(%1)"/>
      <w:numFmt w:val="lowerLetter"/>
      <w:start w:val="4"/>
    </w:lvl>
  </w:abstractNum>
  <w:abstractNum w:abstractNumId="67">
    <w:nsid w:val="1A32234B"/>
    <w:multiLevelType w:val="hybridMultilevel"/>
    <w:lvl w:ilvl="0">
      <w:lvlJc w:val="left"/>
      <w:lvlText w:val="%1"/>
      <w:numFmt w:val="decimal"/>
      <w:start w:val="19"/>
    </w:lvl>
    <w:lvl w:ilvl="1">
      <w:lvlJc w:val="left"/>
      <w:lvlText w:val="-"/>
      <w:numFmt w:val="bullet"/>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2"/>
    </w:lvl>
  </w:abstractNum>
  <w:abstractNum w:abstractNumId="70">
    <w:nsid w:val="4962813B"/>
    <w:multiLevelType w:val="hybridMultilevel"/>
    <w:lvl w:ilvl="0">
      <w:lvlJc w:val="left"/>
      <w:lvlText w:val="(%1)"/>
      <w:numFmt w:val="lowerLetter"/>
      <w:start w:val="2"/>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Roman"/>
      <w:start w:val="1"/>
    </w:lvl>
    <w:lvl w:ilvl="1">
      <w:lvlJc w:val="left"/>
      <w:lvlText w:val="-"/>
      <w:numFmt w:val="bullet"/>
      <w:start w:val="1"/>
    </w:lvl>
  </w:abstractNum>
  <w:abstractNum w:abstractNumId="74">
    <w:nsid w:val="7FFFCA11"/>
    <w:multiLevelType w:val="hybridMultilevel"/>
    <w:lvl w:ilvl="0">
      <w:lvlJc w:val="left"/>
      <w:lvlText w:val="(%1)"/>
      <w:numFmt w:val="lowerLetter"/>
      <w:start w:val="2"/>
    </w:lvl>
    <w:lvl w:ilvl="1">
      <w:lvlJc w:val="left"/>
      <w:lvlText w:val="(%2)"/>
      <w:numFmt w:val="lowerRoman"/>
      <w:start w:val="2"/>
    </w:lvl>
    <w:lvl w:ilvl="2">
      <w:lvlJc w:val="left"/>
      <w:lvlText w:val="-"/>
      <w:numFmt w:val="bullet"/>
      <w:start w:val="1"/>
    </w:lvl>
  </w:abstractNum>
  <w:abstractNum w:abstractNumId="75">
    <w:nsid w:val="1A27709E"/>
    <w:multiLevelType w:val="hybridMultilevel"/>
    <w:lvl w:ilvl="0">
      <w:lvlJc w:val="left"/>
      <w:lvlText w:val="(%1)"/>
      <w:numFmt w:val="lowerLetter"/>
      <w:start w:val="2"/>
    </w:lvl>
    <w:lvl w:ilvl="1">
      <w:lvlJc w:val="left"/>
      <w:lvlText w:val="(%2)"/>
      <w:numFmt w:val="lowerRoman"/>
      <w:start w:val="7"/>
    </w:lvl>
  </w:abstractNum>
  <w:abstractNum w:abstractNumId="76">
    <w:nsid w:val="71EA1109"/>
    <w:multiLevelType w:val="hybridMultilevel"/>
    <w:lvl w:ilvl="0">
      <w:lvlJc w:val="left"/>
      <w:lvlText w:val="(%1)"/>
      <w:numFmt w:val="lowerLetter"/>
      <w:start w:val="3"/>
    </w:lvl>
  </w:abstractNum>
  <w:abstractNum w:abstractNumId="77">
    <w:nsid w:val="100F59DC"/>
    <w:multiLevelType w:val="hybridMultilevel"/>
    <w:lvl w:ilvl="0">
      <w:lvlJc w:val="left"/>
      <w:lvlText w:val="(%1)"/>
      <w:numFmt w:val="lowerLetter"/>
      <w:start w:val="5"/>
    </w:lvl>
  </w:abstractNum>
  <w:abstractNum w:abstractNumId="78">
    <w:nsid w:val="7FB7E0AA"/>
    <w:multiLevelType w:val="hybridMultilevel"/>
    <w:lvl w:ilvl="0">
      <w:lvlJc w:val="left"/>
      <w:lvlText w:val="%1"/>
      <w:numFmt w:val="decimal"/>
      <w:start w:val="22"/>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5"/>
    </w:lvl>
  </w:abstractNum>
  <w:abstractNum w:abstractNumId="81">
    <w:nsid w:val="94211F2"/>
    <w:multiLevelType w:val="hybridMultilevel"/>
    <w:lvl w:ilvl="0">
      <w:lvlJc w:val="left"/>
      <w:lvlText w:val="(%1)"/>
      <w:numFmt w:val="lowerRoman"/>
      <w:start w:val="1"/>
    </w:lvl>
  </w:abstractNum>
  <w:abstractNum w:abstractNumId="82">
    <w:nsid w:val="885E1B"/>
    <w:multiLevelType w:val="hybridMultilevel"/>
    <w:lvl w:ilvl="0">
      <w:lvlJc w:val="left"/>
      <w:lvlText w:val="(%1)"/>
      <w:numFmt w:val="lowerRoman"/>
      <w:start w:val="2"/>
    </w:lvl>
    <w:lvl w:ilvl="1">
      <w:lvlJc w:val="left"/>
      <w:lvlText w:val="-"/>
      <w:numFmt w:val="bullet"/>
      <w:start w:val="1"/>
    </w:lvl>
  </w:abstractNum>
  <w:abstractNum w:abstractNumId="83">
    <w:nsid w:val="76272110"/>
    <w:multiLevelType w:val="hybridMultilevel"/>
    <w:lvl w:ilvl="0">
      <w:lvlJc w:val="left"/>
      <w:lvlText w:val="(%1)"/>
      <w:numFmt w:val="lowerLetter"/>
      <w:start w:val="5"/>
    </w:lvl>
  </w:abstractNum>
  <w:abstractNum w:abstractNumId="84">
    <w:nsid w:val="4C04A8AF"/>
    <w:multiLevelType w:val="hybridMultilevel"/>
    <w:lvl w:ilvl="0">
      <w:lvlJc w:val="left"/>
      <w:lvlText w:val="%1"/>
      <w:numFmt w:val="decimal"/>
      <w:start w:val="25"/>
    </w:lvl>
  </w:abstractNum>
  <w:abstractNum w:abstractNumId="85">
    <w:nsid w:val="1716703B"/>
    <w:multiLevelType w:val="hybridMultilevel"/>
    <w:lvl w:ilvl="0">
      <w:lvlJc w:val="left"/>
      <w:lvlText w:val="%1"/>
      <w:numFmt w:val="decimal"/>
      <w:start w:val="25"/>
    </w:lvl>
  </w:abstractNum>
  <w:abstractNum w:abstractNumId="86">
    <w:nsid w:val="14E17E33"/>
    <w:multiLevelType w:val="hybridMultilevel"/>
    <w:lvl w:ilvl="0">
      <w:lvlJc w:val="left"/>
      <w:lvlText w:val="%1"/>
      <w:numFmt w:val="decimal"/>
      <w:start w:val="26"/>
    </w:lvl>
  </w:abstractNum>
  <w:abstractNum w:abstractNumId="87">
    <w:nsid w:val="3222E7CD"/>
    <w:multiLevelType w:val="hybridMultilevel"/>
    <w:lvl w:ilvl="0">
      <w:lvlJc w:val="left"/>
      <w:lvlText w:val="%1"/>
      <w:numFmt w:val="decimal"/>
      <w:start w:val="26"/>
    </w:lvl>
  </w:abstractNum>
  <w:abstractNum w:abstractNumId="88">
    <w:nsid w:val="74DE0EE3"/>
    <w:multiLevelType w:val="hybridMultilevel"/>
    <w:lvl w:ilvl="0">
      <w:lvlJc w:val="left"/>
      <w:lvlText w:val="(%1)"/>
      <w:numFmt w:val="lowerLetter"/>
      <w:start w:val="1"/>
    </w:lvl>
    <w:lvl w:ilvl="1">
      <w:lvlJc w:val="left"/>
      <w:lvlText w:val="-"/>
      <w:numFmt w:val="bullet"/>
      <w:start w:val="1"/>
    </w:lvl>
  </w:abstractNum>
  <w:abstractNum w:abstractNumId="89">
    <w:nsid w:val="68EBC550"/>
    <w:multiLevelType w:val="hybridMultilevel"/>
    <w:lvl w:ilvl="0">
      <w:lvlJc w:val="left"/>
      <w:lvlText w:val="%1"/>
      <w:numFmt w:val="decimal"/>
      <w:start w:val="2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2020-09-01T15:41:38Z</dcterms:created>
  <dcterms:modified xsi:type="dcterms:W3CDTF">2020-09-01T15:41:38Z</dcterms:modified>
</cp:coreProperties>
</file>