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Intercompany Service Agreement, dated November 25, 2025, by and among Amber Match Limited and AG Global Technology Limited</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Inc.</w:t>
            </w:r>
          </w:p>
        </w:tc>
        <w:tc>
          <w:tcPr>
            <w:tcW w:w="9820" w:type="dxa"/>
            <w:vAlign w:val="bottom"/>
            <w:tcBorders>
              <w:top w:val="single" w:sz="8" w:color="0000EE"/>
            </w:tcBorders>
          </w:tcPr>
          <w:p>
            <w:pPr>
              <w:spacing w:after="0"/>
              <w:rPr>
                <w:sz w:val="17"/>
                <w:szCs w:val="17"/>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gridSpan w:val="3"/>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INTERCOMPANY SERVICES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Intercompany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November 25, 2025 and by and among: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9" w:lineRule="exact"/>
        <w:rPr>
          <w:sz w:val="20"/>
          <w:szCs w:val="20"/>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Match Limited, incorporated and registered in the British Virgin Islands with company number 2097935 whose registered office is at Kingston Chambers, PO Box 173, Road Town, Tortola, British Virgin Islands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 Global Technology Limited Inc., incorporated and registered in Panama with company number 155772969 whose registered office is at Costa del Este, Centenario Avenue, PH Centenario tower, floor 17, Office 17ª, Panama City, Panama (“</w:t>
      </w:r>
      <w:r>
        <w:rPr>
          <w:rFonts w:ascii="Times New Roman" w:cs="Times New Roman" w:eastAsia="Times New Roman" w:hAnsi="Times New Roman"/>
          <w:sz w:val="18"/>
          <w:szCs w:val="18"/>
          <w:b w:val="1"/>
          <w:bCs w:val="1"/>
          <w:color w:val="auto"/>
        </w:rPr>
        <w:t>AG</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clause 8.12, WhaleFin Technologies Limited, incorporated and registered in Seychelles with company number 231726 whose registered office is at 103 Sham Peng Tong Plaza, Victoria, Mahe, Seychelles (“</w:t>
      </w:r>
      <w:r>
        <w:rPr>
          <w:rFonts w:ascii="Times New Roman" w:cs="Times New Roman" w:eastAsia="Times New Roman" w:hAnsi="Times New Roman"/>
          <w:sz w:val="18"/>
          <w:szCs w:val="18"/>
          <w:b w:val="1"/>
          <w:bCs w:val="1"/>
          <w:color w:val="auto"/>
        </w:rPr>
        <w:t>WFTL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above entities will individually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WFTL and certain other parties thereto (including certain Affiliates of the Supplier and AG) have entered into an Agreement and Plan of Merger on November 29, 2024 and have entered into (or are entering into) the Amendment, Waiver and Framework Agreement (the “</w:t>
      </w:r>
      <w:r>
        <w:rPr>
          <w:rFonts w:ascii="Times New Roman" w:cs="Times New Roman" w:eastAsia="Times New Roman" w:hAnsi="Times New Roman"/>
          <w:sz w:val="18"/>
          <w:szCs w:val="18"/>
          <w:b w:val="1"/>
          <w:bCs w:val="1"/>
          <w:color w:val="auto"/>
        </w:rPr>
        <w:t>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March 12, 2025;</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WFTL previously entered into that certain Intercompany Services Agreement, dated as of March 12, 2025 with the Supplier pursuant to which the Supplier provided certain services to WFTL with respect to the WFTL Assigned Contracts (the </w:t>
      </w:r>
      <w:r>
        <w:rPr>
          <w:rFonts w:ascii="Times New Roman" w:cs="Times New Roman" w:eastAsia="Times New Roman" w:hAnsi="Times New Roman"/>
          <w:sz w:val="18"/>
          <w:szCs w:val="18"/>
          <w:b w:val="1"/>
          <w:bCs w:val="1"/>
          <w:color w:val="auto"/>
        </w:rPr>
        <w:t>“Existing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WFTL has assigned the WFTL Assigned Contracts to AG effective as of the Commencement Date, as a result of which the Existing Agreement shall be terminated;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Commencement Date, the Supplier has started to provide Services (as defined below) to AG, by itself or through its Affiliates or Representatives, and will continue providing such Services subject to the terms and conditions hereunder;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now wish to memorialize the termination of the Existing Agreement and the provision of Services by the Supplier to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INTERPRETATION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and rules of interpretation apply in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Definitions:</w:t>
      </w:r>
    </w:p>
    <w:p>
      <w:pPr>
        <w:spacing w:after="0" w:line="22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 Party, any entity that directly or indirectly controls, is controlled by, or is under common control with that Party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laws, statutes, and regulations in force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public holiday in Hong Kong, when banks in Hong Kong are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means October 28, 2025.</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ability to direct the business or affairs of that entity whether by ownership of the majority of shares or voting rights, by contract or otherwise, and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service fees payable to the Supplier with respect to provision of Services to AG.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in relation to each Party:</w:t>
      </w:r>
    </w:p>
    <w:p>
      <w:pPr>
        <w:spacing w:after="0" w:line="22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officers and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professional advisers and consultants;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contractors and sub-contractors;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prescribed under (a), (b) and (c) above of its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Services described in Section 2 to be provided by the Supplier to AG.</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phrase introduced by the terms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or any other similar expression shall be construed as illustrative and shall not limit the sense of the words, description, definition, phrase or term preceding those terms.</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or to any other agreement or document is a reference to this agreement or such other agreement or document, in each case as varied or novated from time to time.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reference to “</w:t>
      </w:r>
      <w:r>
        <w:rPr>
          <w:rFonts w:ascii="Times New Roman" w:cs="Times New Roman" w:eastAsia="Times New Roman" w:hAnsi="Times New Roman"/>
          <w:sz w:val="17"/>
          <w:szCs w:val="17"/>
          <w:b w:val="1"/>
          <w:bCs w:val="1"/>
          <w:color w:val="auto"/>
        </w:rPr>
        <w:t>writing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includes fax and email.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Capitalized terms not defined herein shall have the means ascribed to such terms in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2.             SERVICES</w:t>
      </w:r>
    </w:p>
    <w:p>
      <w:pPr>
        <w:spacing w:after="0" w:line="229" w:lineRule="exact"/>
        <w:rPr>
          <w:sz w:val="20"/>
          <w:szCs w:val="20"/>
          <w:color w:val="auto"/>
        </w:rPr>
      </w:pPr>
    </w:p>
    <w:p>
      <w:pPr>
        <w:ind w:left="660" w:hanging="647"/>
        <w:spacing w:after="0" w:line="282" w:lineRule="auto"/>
        <w:rPr>
          <w:sz w:val="20"/>
          <w:szCs w:val="20"/>
          <w:color w:val="auto"/>
        </w:rPr>
      </w:pPr>
      <w:r>
        <w:rPr>
          <w:rFonts w:ascii="Times New Roman" w:cs="Times New Roman" w:eastAsia="Times New Roman" w:hAnsi="Times New Roman"/>
          <w:sz w:val="18"/>
          <w:szCs w:val="18"/>
          <w:color w:val="auto"/>
        </w:rPr>
        <w:t>2.1           Parties acknowledge and agree that Supplier has provided from the Commencement Date, and will continue to provide after the date of this agreement, the following services to AG, including but not limited to:</w:t>
      </w:r>
    </w:p>
    <w:p>
      <w:pPr>
        <w:spacing w:after="0" w:line="162"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mid-office and administrative support;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 and settlement of trades;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risk monitoring;</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of counterparties and conducting know-your-client procedures;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regulatory support;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reporting and filings;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information security; and</w:t>
      </w:r>
    </w:p>
    <w:p>
      <w:pPr>
        <w:spacing w:after="0" w:line="22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activities as required to support the transaction activities of AG (collectively,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The Supplier shall provide the Services with reasonable skill and care.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2.3           The Supplier shall maintain records and accounts of its provision of the Services and shall, as soon as reasonably practicable and following a request by AG, provide AG with such information derived from those records and accounts that AG may reasonably request for the purposes for its internal bookkeeping and accounting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AG'S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AG shall:</w:t>
      </w:r>
    </w:p>
    <w:p>
      <w:pPr>
        <w:spacing w:after="0" w:line="225" w:lineRule="exact"/>
        <w:rPr>
          <w:sz w:val="20"/>
          <w:szCs w:val="20"/>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Supplier in all matters relating to the Services and provide it with such information and assistance as the Supplier shall reasonably require to enable it to provide the Services in accordance with this agreement;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Supplier in a timely manner all documents, information, items and materials in any form (whether owned by AG or third party) reasonably required by the Supplier in connection with the Services and ensure that they are accurate and complete.</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CHARGES</w:t>
      </w:r>
    </w:p>
    <w:p>
      <w:pPr>
        <w:spacing w:after="0" w:line="229" w:lineRule="exact"/>
        <w:rPr>
          <w:sz w:val="20"/>
          <w:szCs w:val="20"/>
          <w:color w:val="auto"/>
        </w:rPr>
      </w:pPr>
    </w:p>
    <w:p>
      <w:pPr>
        <w:jc w:val="both"/>
        <w:ind w:left="660" w:hanging="647"/>
        <w:spacing w:after="0" w:line="266" w:lineRule="auto"/>
        <w:rPr>
          <w:sz w:val="20"/>
          <w:szCs w:val="20"/>
          <w:color w:val="auto"/>
        </w:rPr>
      </w:pPr>
      <w:r>
        <w:rPr>
          <w:rFonts w:ascii="Times New Roman" w:cs="Times New Roman" w:eastAsia="Times New Roman" w:hAnsi="Times New Roman"/>
          <w:sz w:val="18"/>
          <w:szCs w:val="18"/>
          <w:color w:val="auto"/>
        </w:rPr>
        <w:t>4.1           With respect to provision of the Services to AG, the Fees shall be 100% of the consolidated basis net income generated by the WFTL Assigned Contracts, which shall be equal to the balance of (a) 100% of the gross income generated by the WFTL Assigned Contracts less (b) 100% of the costs incurred in connection with performance of the WFTL Assigned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60" w:hanging="647"/>
        <w:spacing w:after="0" w:line="258" w:lineRule="auto"/>
        <w:rPr>
          <w:sz w:val="20"/>
          <w:szCs w:val="20"/>
          <w:color w:val="auto"/>
        </w:rPr>
      </w:pPr>
      <w:r>
        <w:rPr>
          <w:rFonts w:ascii="Times New Roman" w:cs="Times New Roman" w:eastAsia="Times New Roman" w:hAnsi="Times New Roman"/>
          <w:sz w:val="18"/>
          <w:szCs w:val="18"/>
          <w:color w:val="auto"/>
        </w:rPr>
        <w:t>4.2           The Supplier and AG shall determine the Fees on a monthly basis. AG shall provide on a monthly basis to the Supplier the management accounts and operating statistics (including the relevant gross income and costs) related to the WFTL Assigned Contracts (collectively,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and the Supplier and AG shall calculate the monthly Fees upon review of the Accounts. The Supplier shall send an invoice on a monthly basis to AG for the Fees (“</w:t>
      </w:r>
      <w:r>
        <w:rPr>
          <w:rFonts w:ascii="Times New Roman" w:cs="Times New Roman" w:eastAsia="Times New Roman" w:hAnsi="Times New Roman"/>
          <w:sz w:val="18"/>
          <w:szCs w:val="18"/>
          <w:b w:val="1"/>
          <w:bCs w:val="1"/>
          <w:color w:val="auto"/>
        </w:rPr>
        <w:t>Invoice</w:t>
      </w:r>
      <w:r>
        <w:rPr>
          <w:rFonts w:ascii="Times New Roman" w:cs="Times New Roman" w:eastAsia="Times New Roman" w:hAnsi="Times New Roman"/>
          <w:sz w:val="18"/>
          <w:szCs w:val="18"/>
          <w:color w:val="auto"/>
        </w:rPr>
        <w:t>”), and AG shall transfer the Fees to the Supplier within (30) thirty days upon receiving the Invoice and to a bank account as informed by the Supplier.</w:t>
      </w:r>
    </w:p>
    <w:p>
      <w:pPr>
        <w:spacing w:after="0" w:line="179"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color w:val="auto"/>
        </w:rPr>
        <w:t>4.3           With respect to the Fees for the period from the Commencement Date to the date of this agreement (“</w:t>
      </w:r>
      <w:r>
        <w:rPr>
          <w:rFonts w:ascii="Times New Roman" w:cs="Times New Roman" w:eastAsia="Times New Roman" w:hAnsi="Times New Roman"/>
          <w:sz w:val="18"/>
          <w:szCs w:val="18"/>
          <w:b w:val="1"/>
          <w:bCs w:val="1"/>
          <w:color w:val="auto"/>
        </w:rPr>
        <w:t>Retrospective Fees</w:t>
      </w:r>
      <w:r>
        <w:rPr>
          <w:rFonts w:ascii="Times New Roman" w:cs="Times New Roman" w:eastAsia="Times New Roman" w:hAnsi="Times New Roman"/>
          <w:sz w:val="18"/>
          <w:szCs w:val="18"/>
          <w:color w:val="auto"/>
        </w:rPr>
        <w:t>”), Parties agree to calculate the amount in accordance with the Accounts for the same period and include the same under the first Invoice to be issued after the signing of this agreement, which AG shall settle in accordance with clause 4.2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WARRANTIES</w:t>
      </w:r>
    </w:p>
    <w:p>
      <w:pPr>
        <w:spacing w:after="0" w:line="229"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5.1           Each Party warrants that (a) it has the corporate power and capacity to enter into this agreement and to perform its obligations under this agreement, and (b) this agreement constitutes its legal, valid and binding obligations, enforceable against it in accordance with its terms (except as such enforceability may be limited by bankruptcy, winding-up, dissolution, insolvency, reorganization, moratorium or similar laws relating to or limiting creditors’ rights generally and subject to the availability of equitable remedies).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COMPLIANCE WITH LAWS AND POLICIES</w:t>
      </w:r>
    </w:p>
    <w:p>
      <w:pPr>
        <w:spacing w:after="0" w:line="229"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6.1           Each Party shall at its own expense comply with all Applicable Laws relating to its activities under this agreement, as they may change from time to time, and comply with any conditions binding on it in any applicable licences, registrations, permits and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SURVIVAL</w:t>
      </w:r>
    </w:p>
    <w:p>
      <w:pPr>
        <w:spacing w:after="0" w:line="229"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7.1           Any provision of this agreement that expressly or by implication is intended to come into or continue in force on or after termination shall remain in full force and effect.</w:t>
      </w:r>
    </w:p>
    <w:p>
      <w:pPr>
        <w:spacing w:after="0" w:line="162"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7.2           Termination of this agreement shall not affect any rights, remedies, obligations or liabilities of the Parties that have accrued up to the date of termination, including the right to claim damages in respect of any breach of the agreement which existed at or before the date of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GENERAL</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          Force Majeure.</w:t>
      </w:r>
      <w:r>
        <w:rPr>
          <w:rFonts w:ascii="Times New Roman" w:cs="Times New Roman" w:eastAsia="Times New Roman" w:hAnsi="Times New Roman"/>
          <w:sz w:val="18"/>
          <w:szCs w:val="18"/>
          <w:color w:val="auto"/>
        </w:rPr>
        <w:t xml:space="preserve"> No Party shall be in breach of this agreement nor liable for delay in performing, or failure to perform, any of its obligations under this agreement if such delay or failure results from events, circumstances or causes beyond its reasonable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hanging="647"/>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         Assignment.</w:t>
      </w:r>
      <w:r>
        <w:rPr>
          <w:rFonts w:ascii="Times New Roman" w:cs="Times New Roman" w:eastAsia="Times New Roman" w:hAnsi="Times New Roman"/>
          <w:sz w:val="18"/>
          <w:szCs w:val="18"/>
          <w:color w:val="auto"/>
        </w:rPr>
        <w:t xml:space="preserve"> No Party may assign, mortgage, charge, delegate or deal in any other manner with any or all of its rights and obligations under this agreement, unless otherwise agreed by the other Parties in writing.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ind w:left="1620" w:hanging="640"/>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that it shall not at any time during this agreement, and for a period of five (5) years after termination of this agreement, disclose to any person any confidential information concerning the business, affairs, customers, clients or suppliers of another Party or any other information obtained in the course of Services without such Party’s consent.</w:t>
      </w:r>
    </w:p>
    <w:p>
      <w:pPr>
        <w:spacing w:after="0" w:line="1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subclause (a), each Party may disclose another Party's confidential information:</w:t>
      </w:r>
    </w:p>
    <w:p>
      <w:pPr>
        <w:spacing w:after="0" w:line="225" w:lineRule="exact"/>
        <w:rPr>
          <w:rFonts w:ascii="Times New Roman" w:cs="Times New Roman" w:eastAsia="Times New Roman" w:hAnsi="Times New Roman"/>
          <w:sz w:val="18"/>
          <w:szCs w:val="18"/>
          <w:color w:val="auto"/>
        </w:rPr>
      </w:pPr>
    </w:p>
    <w:p>
      <w:pPr>
        <w:jc w:val="both"/>
        <w:ind w:left="2280" w:hanging="652"/>
        <w:spacing w:after="0" w:line="266" w:lineRule="auto"/>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Representatives who need to know such information for the purposes of exercising such Party's rights or carrying out its obligations under or in connection with this agreement. Each Party shall ensure that its Representatives to whom it discloses another Party's confidential information comply with the confidentiality obligations herein; and</w:t>
      </w:r>
    </w:p>
    <w:p>
      <w:pPr>
        <w:spacing w:after="0" w:line="175" w:lineRule="exact"/>
        <w:rPr>
          <w:rFonts w:ascii="Times New Roman" w:cs="Times New Roman" w:eastAsia="Times New Roman" w:hAnsi="Times New Roman"/>
          <w:sz w:val="18"/>
          <w:szCs w:val="18"/>
          <w:color w:val="auto"/>
        </w:rPr>
      </w:pPr>
    </w:p>
    <w:p>
      <w:pPr>
        <w:ind w:left="2280" w:right="20" w:hanging="652"/>
        <w:spacing w:after="0" w:line="282" w:lineRule="auto"/>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required by law, a court of competent jurisdiction or any governmental or regulatory authority or stock exchange rule.</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use any other Party's confidential information for any purpose other than to exercise its rights and perform its obligations under or in connection with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and supersedes and extinguishes all previous agreements, promises, assurances, warranties, representation and understandings between them, whether written or oral, relating to its subject matter.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shall have no remedies in respect of any statement, representation, assurance or warranty (whether made innocently or negligently) that is not set out in this agreement. Each Party agrees that it shall have no claim for innocent or negligent misrepresentation based on any statements in this agreement.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b w:val="1"/>
          <w:bCs w:val="1"/>
          <w:color w:val="auto"/>
        </w:rPr>
        <w:t xml:space="preserve">Variation. </w:t>
      </w:r>
      <w:r>
        <w:rPr>
          <w:rFonts w:ascii="Times New Roman" w:cs="Times New Roman" w:eastAsia="Times New Roman" w:hAnsi="Times New Roman"/>
          <w:sz w:val="17"/>
          <w:szCs w:val="17"/>
          <w:color w:val="auto"/>
        </w:rPr>
        <w:t>No variation of this agreement shall be effective unless it is in writing and signed by the Parties (or their authorised representatives).</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failure or delay by a Party to exercise any right or remedy provided under this agreement or by law shall constitute a waiver of that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right or remedy, nor shall it prevent or restrict the further exercise of that or any other right or remedy. No single or partial exercise of such right or remedy shall prevent or restrict the further exercise of that or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If any provision or part-provision of this agreement is or becomes invalid, illegal or unenforceable, it shall be deemed deleted, but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validity and enforceability of the rest of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to a Party under or in connection with this agreement shall be in writing and shall be:</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or by pre-paid first-class post or other next working day delivery service at its registered office (if a company) or its principal place of business (in any other case); or</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email to the address designated by such Party.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shall be deemed to have been received:</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at the time the notice is left at the proper address;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next working day delivery service, at 9.00 am on the second Business Day after posting; or</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at the time of transmission.</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does not apply to the service of any proceedings or other documents in any legal action or, where applicable, any arbitration or other method of dispute resolution.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color w:val="auto"/>
        </w:rPr>
        <w:t>          Governing Law.</w:t>
      </w:r>
      <w:r>
        <w:rPr>
          <w:rFonts w:ascii="Times New Roman" w:cs="Times New Roman" w:eastAsia="Times New Roman" w:hAnsi="Times New Roman"/>
          <w:sz w:val="18"/>
          <w:szCs w:val="18"/>
          <w:color w:val="auto"/>
        </w:rPr>
        <w:t xml:space="preserve"> This agreement and any dispute or claim (including non-contractual disputes or claims) arising out of or in connection with it or its subject matter or formation shall be governed by and construed in accordance with the law of Hong Kong.</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8.10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xml:space="preserve"> In event of any dispute arising out of or in connection with this Agreement, including any question regarding its existence, validity or termination (the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Parties shall first attempt to resolve any Dispute arising out of or in connection with this Agreement, including any question regarding its existence, validity or termination, amicably by mutual consultation between Parties. The amicable resolution should be commenced as soon as possible after a disputing party delivers a notice of dispute to another disputing party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In the event that the amicable resolution cannot be achieved within thirty (30) calendar days from the date of Dispute Notice, the disputing Parties agree that the Dispute shall be referred to and finally resolved by arbitration administered by the Hong Kong International Arbitration Centre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in accordance with the Arbitration Rules of the Hong Kong International Arbitration Centre for the time being in force, which rules are deemed to be incorporated by reference in this Clause 8.10. The seat of the arbitration shall be Hong Kong. The arbitration tribunal shall consist of one (1) arbitrator. The arbitrator shall be selected by mutual agreement of the Parties or, if the Parties cannot agree, then the arbitrator shall be appointed by HKIAC. The language of the arbitration shall be English. The decision of the arbitration shall be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340" w:hanging="323"/>
        <w:spacing w:after="0" w:line="286" w:lineRule="auto"/>
        <w:rPr>
          <w:sz w:val="20"/>
          <w:szCs w:val="20"/>
          <w:color w:val="auto"/>
        </w:rPr>
      </w:pPr>
      <w:r>
        <w:rPr>
          <w:rFonts w:ascii="Times New Roman" w:cs="Times New Roman" w:eastAsia="Times New Roman" w:hAnsi="Times New Roman"/>
          <w:sz w:val="18"/>
          <w:szCs w:val="18"/>
          <w:color w:val="auto"/>
        </w:rPr>
        <w:t>8.11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may be terminated upon written consent of the Parties. This agreement shall be terminated automatically upon the completion of the WFTL Contract Assignment following the Closing.</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b w:val="1"/>
          <w:bCs w:val="1"/>
          <w:color w:val="auto"/>
        </w:rPr>
        <w:t>Termination of the Existing Agreement</w:t>
      </w:r>
      <w:r>
        <w:rPr>
          <w:rFonts w:ascii="Times New Roman" w:cs="Times New Roman" w:eastAsia="Times New Roman" w:hAnsi="Times New Roman"/>
          <w:sz w:val="18"/>
          <w:szCs w:val="18"/>
          <w:color w:val="auto"/>
        </w:rPr>
        <w:t>: WFTL and the Supplier hereby agree that the Existing Agreement is terminated effective as of the Commencement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 WITNESS HEREOF</w:t>
      </w:r>
      <w:r>
        <w:rPr>
          <w:rFonts w:ascii="Times New Roman" w:cs="Times New Roman" w:eastAsia="Times New Roman" w:hAnsi="Times New Roman"/>
          <w:sz w:val="18"/>
          <w:szCs w:val="18"/>
          <w:color w:val="auto"/>
        </w:rPr>
        <w:t>, Parties have caused their respective authorized representatives to execute this agreement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 Global Technology Limited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Yi Bao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Yi Bao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WhaleFin Technologies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Sotirios Kavvathas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Sotirios Kavvathas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Match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Yi Bao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Yi Bao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40"/>
      </w:cols>
      <w:pgMar w:left="32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4"/>
    </w:lvl>
    <w:lvl w:ilvl="1">
      <w:lvlJc w:val="left"/>
      <w:lvlText w:val="%2"/>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2025-11-26T08:55:09Z</dcterms:created>
  <dcterms:modified xsi:type="dcterms:W3CDTF">2025-11-26T08:55:09Z</dcterms:modified>
</cp:coreProperties>
</file>