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May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22225</wp:posOffset>
            </wp:positionV>
            <wp:extent cx="152590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2020 First-Quarter Unaudited Financial Results</w:t>
      </w:r>
    </w:p>
    <w:p>
      <w:pPr>
        <w:spacing w:after="0" w:line="272" w:lineRule="exact"/>
        <w:rPr>
          <w:sz w:val="20"/>
          <w:szCs w:val="20"/>
          <w:color w:val="auto"/>
        </w:rPr>
      </w:pPr>
    </w:p>
    <w:p>
      <w:pPr>
        <w:ind w:left="2440"/>
        <w:spacing w:after="0"/>
        <w:rPr>
          <w:sz w:val="20"/>
          <w:szCs w:val="20"/>
          <w:color w:val="auto"/>
        </w:rPr>
      </w:pPr>
      <w:r>
        <w:rPr>
          <w:rFonts w:ascii="Arial" w:cs="Arial" w:eastAsia="Arial" w:hAnsi="Arial"/>
          <w:sz w:val="19"/>
          <w:szCs w:val="19"/>
          <w:i w:val="1"/>
          <w:iCs w:val="1"/>
          <w:color w:val="auto"/>
        </w:rPr>
        <w:t>– Record First Quarter Report for Revenues, Gross Profit, Adjusted EBITDA and Gross billing</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9"/>
          <w:szCs w:val="19"/>
          <w:i w:val="1"/>
          <w:iCs w:val="1"/>
          <w:color w:val="auto"/>
        </w:rPr>
        <w:t>– Second Consecutive Quarter of Positive Adjusted Net Income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May 22, 2020 </w:t>
      </w:r>
      <w:r>
        <w:rPr>
          <w:rFonts w:ascii="Arial" w:cs="Arial" w:eastAsia="Arial" w:hAnsi="Arial"/>
          <w:sz w:val="20"/>
          <w:szCs w:val="20"/>
          <w:color w:val="auto"/>
        </w:rPr>
        <w:t>-- iClick Interactive Asia Group Limited (“iClick” or the “Company”) (NASDAQ: ICLK), an independent online</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and enterprise data solutions provider in China, today announced unaudited financial results for the first quarter ended March 31, 2020.</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80" w:type="dxa"/>
            <w:vAlign w:val="bottom"/>
            <w:gridSpan w:val="2"/>
          </w:tcPr>
          <w:p>
            <w:pPr>
              <w:ind w:left="60"/>
              <w:spacing w:after="0"/>
              <w:rPr>
                <w:sz w:val="20"/>
                <w:szCs w:val="20"/>
                <w:color w:val="auto"/>
              </w:rPr>
            </w:pPr>
            <w:r>
              <w:rPr>
                <w:rFonts w:ascii="Arial" w:cs="Arial" w:eastAsia="Arial" w:hAnsi="Arial"/>
                <w:sz w:val="18"/>
                <w:szCs w:val="18"/>
                <w:b w:val="1"/>
                <w:bCs w:val="1"/>
                <w:color w:val="auto"/>
              </w:rPr>
              <w:t>Three Months Ended March 31,</w:t>
            </w:r>
          </w:p>
        </w:tc>
      </w:tr>
      <w:tr>
        <w:trPr>
          <w:trHeight w:val="243"/>
        </w:trPr>
        <w:tc>
          <w:tcPr>
            <w:tcW w:w="3420" w:type="dxa"/>
            <w:vAlign w:val="bottom"/>
          </w:tcPr>
          <w:p>
            <w:pPr>
              <w:spacing w:after="0"/>
              <w:rPr>
                <w:sz w:val="21"/>
                <w:szCs w:val="21"/>
                <w:color w:val="auto"/>
              </w:rPr>
            </w:pPr>
          </w:p>
        </w:tc>
        <w:tc>
          <w:tcPr>
            <w:tcW w:w="1120" w:type="dxa"/>
            <w:vAlign w:val="bottom"/>
          </w:tcPr>
          <w:p>
            <w:pPr>
              <w:jc w:val="center"/>
              <w:ind w:left="358"/>
              <w:spacing w:after="0"/>
              <w:rPr>
                <w:sz w:val="20"/>
                <w:szCs w:val="20"/>
                <w:color w:val="auto"/>
              </w:rPr>
            </w:pPr>
            <w:r>
              <w:rPr>
                <w:rFonts w:ascii="Arial" w:cs="Arial" w:eastAsia="Arial" w:hAnsi="Arial"/>
                <w:sz w:val="18"/>
                <w:szCs w:val="18"/>
                <w:b w:val="1"/>
                <w:bCs w:val="1"/>
                <w:color w:val="auto"/>
                <w:w w:val="89"/>
              </w:rPr>
              <w:t>2020</w:t>
            </w:r>
          </w:p>
        </w:tc>
        <w:tc>
          <w:tcPr>
            <w:tcW w:w="1580" w:type="dxa"/>
            <w:vAlign w:val="bottom"/>
          </w:tcPr>
          <w:p>
            <w:pPr>
              <w:jc w:val="center"/>
              <w:ind w:left="337"/>
              <w:spacing w:after="0"/>
              <w:rPr>
                <w:sz w:val="20"/>
                <w:szCs w:val="20"/>
                <w:color w:val="auto"/>
              </w:rPr>
            </w:pPr>
            <w:r>
              <w:rPr>
                <w:rFonts w:ascii="Arial" w:cs="Arial" w:eastAsia="Arial" w:hAnsi="Arial"/>
                <w:sz w:val="18"/>
                <w:szCs w:val="18"/>
                <w:b w:val="1"/>
                <w:bCs w:val="1"/>
                <w:color w:val="auto"/>
                <w:w w:val="89"/>
              </w:rPr>
              <w:t>2019</w:t>
            </w:r>
          </w:p>
        </w:tc>
        <w:tc>
          <w:tcPr>
            <w:tcW w:w="1800" w:type="dxa"/>
            <w:vAlign w:val="bottom"/>
          </w:tcPr>
          <w:p>
            <w:pPr>
              <w:jc w:val="center"/>
              <w:ind w:left="278"/>
              <w:spacing w:after="0"/>
              <w:rPr>
                <w:sz w:val="20"/>
                <w:szCs w:val="20"/>
                <w:color w:val="auto"/>
              </w:rPr>
            </w:pPr>
            <w:r>
              <w:rPr>
                <w:rFonts w:ascii="Arial" w:cs="Arial" w:eastAsia="Arial" w:hAnsi="Arial"/>
                <w:sz w:val="18"/>
                <w:szCs w:val="18"/>
                <w:b w:val="1"/>
                <w:bCs w:val="1"/>
                <w:color w:val="auto"/>
                <w:w w:val="87"/>
              </w:rPr>
              <w:t>Percentage change</w:t>
            </w:r>
          </w:p>
        </w:tc>
      </w:tr>
      <w:tr>
        <w:trPr>
          <w:trHeight w:val="190"/>
        </w:trPr>
        <w:tc>
          <w:tcPr>
            <w:tcW w:w="3420" w:type="dxa"/>
            <w:vAlign w:val="bottom"/>
          </w:tcPr>
          <w:p>
            <w:pPr>
              <w:spacing w:after="0"/>
              <w:rPr>
                <w:sz w:val="20"/>
                <w:szCs w:val="20"/>
                <w:color w:val="auto"/>
              </w:rPr>
            </w:pPr>
            <w:r>
              <w:rPr>
                <w:rFonts w:ascii="Arial" w:cs="Arial" w:eastAsia="Arial" w:hAnsi="Arial"/>
                <w:sz w:val="14"/>
                <w:szCs w:val="14"/>
                <w:i w:val="1"/>
                <w:iCs w:val="1"/>
                <w:color w:val="auto"/>
              </w:rPr>
              <w:t>(US$ in thousands)</w:t>
            </w: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04"/>
        </w:trPr>
        <w:tc>
          <w:tcPr>
            <w:tcW w:w="342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20"/>
        </w:trPr>
        <w:tc>
          <w:tcPr>
            <w:tcW w:w="3420" w:type="dxa"/>
            <w:vAlign w:val="bottom"/>
          </w:tcPr>
          <w:p>
            <w:pPr>
              <w:spacing w:after="0"/>
              <w:rPr>
                <w:sz w:val="20"/>
                <w:szCs w:val="20"/>
                <w:color w:val="auto"/>
              </w:rPr>
            </w:pPr>
            <w:r>
              <w:rPr>
                <w:rFonts w:ascii="Arial" w:cs="Arial" w:eastAsia="Arial" w:hAnsi="Arial"/>
                <w:sz w:val="16"/>
                <w:szCs w:val="16"/>
                <w:color w:val="auto"/>
              </w:rPr>
              <w:t>Revenue</w:t>
            </w: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3"/>
        </w:trPr>
        <w:tc>
          <w:tcPr>
            <w:tcW w:w="3420" w:type="dxa"/>
            <w:vAlign w:val="bottom"/>
          </w:tcPr>
          <w:p>
            <w:pPr>
              <w:ind w:left="220"/>
              <w:spacing w:after="0"/>
              <w:rPr>
                <w:sz w:val="20"/>
                <w:szCs w:val="20"/>
                <w:color w:val="auto"/>
              </w:rPr>
            </w:pPr>
            <w:r>
              <w:rPr>
                <w:rFonts w:ascii="Arial" w:cs="Arial" w:eastAsia="Arial" w:hAnsi="Arial"/>
                <w:sz w:val="16"/>
                <w:szCs w:val="16"/>
                <w:color w:val="auto"/>
              </w:rPr>
              <w:t>Marketing solutions</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44,632</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3"/>
              </w:rPr>
              <w:t>37,759</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3"/>
              </w:rPr>
              <w:t>18%</w:t>
            </w:r>
          </w:p>
        </w:tc>
      </w:tr>
      <w:tr>
        <w:trPr>
          <w:trHeight w:val="203"/>
        </w:trPr>
        <w:tc>
          <w:tcPr>
            <w:tcW w:w="3420" w:type="dxa"/>
            <w:vAlign w:val="bottom"/>
          </w:tcPr>
          <w:p>
            <w:pPr>
              <w:ind w:left="220"/>
              <w:spacing w:after="0"/>
              <w:rPr>
                <w:sz w:val="20"/>
                <w:szCs w:val="20"/>
                <w:color w:val="auto"/>
              </w:rPr>
            </w:pPr>
            <w:r>
              <w:rPr>
                <w:rFonts w:ascii="Arial" w:cs="Arial" w:eastAsia="Arial" w:hAnsi="Arial"/>
                <w:sz w:val="16"/>
                <w:szCs w:val="16"/>
                <w:color w:val="auto"/>
              </w:rPr>
              <w:t>Enterprise solutions</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4,403</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4"/>
              </w:rPr>
              <w:t>1,459</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2"/>
              </w:rPr>
              <w:t>202%</w:t>
            </w: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Total revenue</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49,035</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3"/>
              </w:rPr>
              <w:t>39,218</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3"/>
              </w:rPr>
              <w:t>25%</w:t>
            </w:r>
          </w:p>
        </w:tc>
      </w:tr>
      <w:tr>
        <w:trPr>
          <w:trHeight w:val="199"/>
        </w:trPr>
        <w:tc>
          <w:tcPr>
            <w:tcW w:w="3420" w:type="dxa"/>
            <w:vAlign w:val="bottom"/>
          </w:tcPr>
          <w:p>
            <w:pPr>
              <w:spacing w:after="0"/>
              <w:rPr>
                <w:sz w:val="20"/>
                <w:szCs w:val="20"/>
                <w:color w:val="auto"/>
              </w:rPr>
            </w:pPr>
            <w:r>
              <w:rPr>
                <w:rFonts w:ascii="Arial" w:cs="Arial" w:eastAsia="Arial" w:hAnsi="Arial"/>
                <w:sz w:val="16"/>
                <w:szCs w:val="16"/>
                <w:color w:val="auto"/>
              </w:rPr>
              <w:t>Gross profit</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13,263</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3"/>
              </w:rPr>
              <w:t>12,390</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4"/>
              </w:rPr>
              <w:t>7%</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1</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2,350</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7"/>
              </w:rPr>
              <w:t>831</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2"/>
              </w:rPr>
              <w:t>183%</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4"/>
                <w:szCs w:val="14"/>
                <w:color w:val="auto"/>
              </w:rPr>
              <w:t>Adjusted net income/(loss)</w:t>
            </w:r>
            <w:r>
              <w:rPr>
                <w:rFonts w:ascii="Arial" w:cs="Arial" w:eastAsia="Arial" w:hAnsi="Arial"/>
                <w:sz w:val="23"/>
                <w:szCs w:val="23"/>
                <w:color w:val="auto"/>
                <w:vertAlign w:val="superscript"/>
              </w:rPr>
              <w:t>1</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553</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0"/>
              </w:rPr>
              <w:t>(955)</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rPr>
              <w:t>N/M</w:t>
            </w:r>
          </w:p>
        </w:tc>
      </w:tr>
      <w:tr>
        <w:trPr>
          <w:trHeight w:val="197"/>
        </w:trPr>
        <w:tc>
          <w:tcPr>
            <w:tcW w:w="3420" w:type="dxa"/>
            <w:vAlign w:val="bottom"/>
          </w:tcPr>
          <w:p>
            <w:pPr>
              <w:spacing w:after="0" w:line="198" w:lineRule="exact"/>
              <w:rPr>
                <w:sz w:val="20"/>
                <w:szCs w:val="20"/>
                <w:color w:val="auto"/>
              </w:rPr>
            </w:pPr>
            <w:r>
              <w:rPr>
                <w:rFonts w:ascii="Arial" w:cs="Arial" w:eastAsia="Arial" w:hAnsi="Arial"/>
                <w:sz w:val="14"/>
                <w:szCs w:val="14"/>
                <w:color w:val="auto"/>
              </w:rPr>
              <w:t>Diluted adjusted net income/(loss) per ADS</w:t>
            </w:r>
            <w:r>
              <w:rPr>
                <w:rFonts w:ascii="Arial" w:cs="Arial" w:eastAsia="Arial" w:hAnsi="Arial"/>
                <w:sz w:val="22"/>
                <w:szCs w:val="22"/>
                <w:color w:val="auto"/>
                <w:vertAlign w:val="superscript"/>
              </w:rPr>
              <w:t>1</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0.01</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0"/>
              </w:rPr>
              <w:t>(0.02)</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rPr>
              <w:t>N/M</w:t>
            </w: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6"/>
                <w:szCs w:val="16"/>
                <w:color w:val="auto"/>
              </w:rPr>
              <w:t>Gross billing</w:t>
            </w:r>
          </w:p>
        </w:tc>
        <w:tc>
          <w:tcPr>
            <w:tcW w:w="1120" w:type="dxa"/>
            <w:vAlign w:val="bottom"/>
          </w:tcPr>
          <w:p>
            <w:pPr>
              <w:jc w:val="center"/>
              <w:ind w:left="358"/>
              <w:spacing w:after="0"/>
              <w:rPr>
                <w:sz w:val="20"/>
                <w:szCs w:val="20"/>
                <w:color w:val="auto"/>
              </w:rPr>
            </w:pPr>
            <w:r>
              <w:rPr>
                <w:rFonts w:ascii="Arial" w:cs="Arial" w:eastAsia="Arial" w:hAnsi="Arial"/>
                <w:sz w:val="16"/>
                <w:szCs w:val="16"/>
                <w:color w:val="auto"/>
                <w:w w:val="89"/>
              </w:rPr>
              <w:t>157,996</w:t>
            </w:r>
          </w:p>
        </w:tc>
        <w:tc>
          <w:tcPr>
            <w:tcW w:w="1580" w:type="dxa"/>
            <w:vAlign w:val="bottom"/>
          </w:tcPr>
          <w:p>
            <w:pPr>
              <w:jc w:val="center"/>
              <w:ind w:left="357"/>
              <w:spacing w:after="0"/>
              <w:rPr>
                <w:sz w:val="20"/>
                <w:szCs w:val="20"/>
                <w:color w:val="auto"/>
              </w:rPr>
            </w:pPr>
            <w:r>
              <w:rPr>
                <w:rFonts w:ascii="Arial" w:cs="Arial" w:eastAsia="Arial" w:hAnsi="Arial"/>
                <w:sz w:val="16"/>
                <w:szCs w:val="16"/>
                <w:color w:val="auto"/>
                <w:w w:val="93"/>
              </w:rPr>
              <w:t>96,285</w:t>
            </w:r>
          </w:p>
        </w:tc>
        <w:tc>
          <w:tcPr>
            <w:tcW w:w="1800" w:type="dxa"/>
            <w:vAlign w:val="bottom"/>
          </w:tcPr>
          <w:p>
            <w:pPr>
              <w:jc w:val="center"/>
              <w:ind w:left="258"/>
              <w:spacing w:after="0"/>
              <w:rPr>
                <w:sz w:val="20"/>
                <w:szCs w:val="20"/>
                <w:color w:val="auto"/>
              </w:rPr>
            </w:pPr>
            <w:r>
              <w:rPr>
                <w:rFonts w:ascii="Arial" w:cs="Arial" w:eastAsia="Arial" w:hAnsi="Arial"/>
                <w:sz w:val="16"/>
                <w:szCs w:val="16"/>
                <w:color w:val="auto"/>
                <w:w w:val="93"/>
              </w:rPr>
              <w:t>64%</w:t>
            </w:r>
          </w:p>
        </w:tc>
      </w:tr>
    </w:tbl>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proud of achieving record results in gross billing, revenue, gross profit, adjusted EBITDA and adjusted net income in this quarter compared to any other first quarters in our company’s history despite facing massive challenges due to the coronavirus pandemic,” said Jian “T.J.” Tang, Chief Executive Officer and Co-Founder of iClick. “We reported revenue of US$49.0 million, an increase of 25% year-over-year, while our gross billing grew to US$158.0 million, an increase of approximately 64% from the first quarter of 2019. With the continued improvement in profitability and cost controls, we recorded gross profit of US$13.3 million, adjusted EBITDA of US$2.4 million and adjusted net income of US$0.6 million.”</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pleased to report that we continue to successfully ramp up our Enterprise Solutions business. This is the major initiative we expect to strengthen and grow our company for the years to come. In the first quarter revenue for this segment grew to US$4.4 million, an increase of approximately 202% from the same period of last year. This is the first time we are able to report year-over-year comparisons for this business and these results continue to confirm our expectation that this high-margin business will continue to gain strength this year and contribute to our bottom line. Additionally, we reported our second consecutive quarter of adjusted net income due in part to our efforts in building economies of scale and the development of our higher-margin Enterprise Solutions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4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59" w:lineRule="exact"/>
        <w:rPr>
          <w:sz w:val="20"/>
          <w:szCs w:val="20"/>
          <w:color w:val="auto"/>
        </w:rPr>
      </w:pPr>
    </w:p>
    <w:p>
      <w:pPr>
        <w:ind w:left="200" w:right="20" w:hanging="192"/>
        <w:spacing w:after="0" w:line="253" w:lineRule="auto"/>
        <w:tabs>
          <w:tab w:leader="none" w:pos="200" w:val="left"/>
        </w:tabs>
        <w:numPr>
          <w:ilvl w:val="0"/>
          <w:numId w:val="2"/>
        </w:numPr>
        <w:rPr>
          <w:rFonts w:ascii="Arial" w:cs="Arial" w:eastAsia="Arial" w:hAnsi="Arial"/>
          <w:sz w:val="12"/>
          <w:szCs w:val="12"/>
          <w:color w:val="auto"/>
        </w:rPr>
      </w:pPr>
      <w:r>
        <w:rPr>
          <w:rFonts w:ascii="Arial" w:cs="Arial" w:eastAsia="Arial" w:hAnsi="Arial"/>
          <w:sz w:val="14"/>
          <w:szCs w:val="14"/>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20"/>
          <w:szCs w:val="20"/>
          <w:color w:val="auto"/>
        </w:rPr>
        <w:t>“We remain cautiously optimistic about the future given our niche position and well diversified client portfolio, and our company will continue to optimize our operations and reduce costs in order to guard against any further negative impact from the worldwide COVID-19 outbreak. Today we reiterate our 2020 full-year revenue guidance range of $240 million to $260 million and we revise our 2020 full-year Adjusted EBITDA guidance to the range of $7 million to $10 million reflecting both the healthy outlook for market demand and our effective cost management efforts.”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Results: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first quarter of 2020 grew to US$49.0 million, up approximately 25% from US$39.2 million for the same period of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year, attributable to the increase in contributions from our marketing solutions and enterprise solutions.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US$44.6 million for the first quarter of 2020, up approximately 18% from US$37.8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first quarter of 2019, primarily as a result of the growing market demand from marketers.</w:t>
      </w:r>
    </w:p>
    <w:p>
      <w:pPr>
        <w:spacing w:after="0" w:line="16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grew to US$4.4 million for the first quarter of 2020, up approximately 202% from US$1.5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2019, which was driven primarily by the increasing need for online and offline consumers’ behavioural data integration.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first quarter of 2020 was US$13.3 million, representing an approximately 7% increase compared with US$12.4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first quarter of 2019, mainly due to continual expansion of the Company’s marketing solutions and contribution from higher-margin enterprise solutions.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Total operating expenses </w:t>
      </w:r>
      <w:r>
        <w:rPr>
          <w:rFonts w:ascii="Arial" w:cs="Arial" w:eastAsia="Arial" w:hAnsi="Arial"/>
          <w:sz w:val="19"/>
          <w:szCs w:val="19"/>
          <w:color w:val="auto"/>
        </w:rPr>
        <w:t>were US $15.3 million for the first quarter of 2020, representing an approximately 5% increase compared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US$14.6 million for the first quarter of 2019, as a result of the increase in share-based compensation expense of US$0.9 million.</w:t>
      </w:r>
    </w:p>
    <w:p>
      <w:pPr>
        <w:spacing w:after="0" w:line="128" w:lineRule="exact"/>
        <w:rPr>
          <w:sz w:val="20"/>
          <w:szCs w:val="20"/>
          <w:color w:val="auto"/>
        </w:rPr>
      </w:pPr>
    </w:p>
    <w:p>
      <w:pPr>
        <w:ind w:right="560"/>
        <w:spacing w:after="0" w:line="267"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was US$2.1 million for the first quarter of 2020, which compares with an operating loss of US$2.2 million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2019.</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Fair value losses on derivative liabilities and convertible notes </w:t>
      </w:r>
      <w:r>
        <w:rPr>
          <w:rFonts w:ascii="Arial" w:cs="Arial" w:eastAsia="Arial" w:hAnsi="Arial"/>
          <w:sz w:val="20"/>
          <w:szCs w:val="20"/>
          <w:color w:val="auto"/>
        </w:rPr>
        <w:t>were US$6.1 million for the first quarter of 2020, representing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compared to US$1.0 million for the first quarter of 2019, which were in relation to the convertible notes issued or issuable by the Company.</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totalled US$8.4 million for the first quarter of 2020, compared with net loss of US$2.5 million for the first quarter of 2019. This was</w:t>
      </w:r>
      <w:r>
        <w:rPr>
          <w:rFonts w:ascii="Arial" w:cs="Arial" w:eastAsia="Arial" w:hAnsi="Arial"/>
          <w:sz w:val="20"/>
          <w:szCs w:val="20"/>
          <w:b w:val="1"/>
          <w:bCs w:val="1"/>
          <w:color w:val="auto"/>
        </w:rPr>
        <w:t xml:space="preserve"> </w:t>
      </w:r>
      <w:r>
        <w:rPr>
          <w:rFonts w:ascii="Arial" w:cs="Arial" w:eastAsia="Arial" w:hAnsi="Arial"/>
          <w:sz w:val="20"/>
          <w:szCs w:val="20"/>
          <w:color w:val="auto"/>
        </w:rPr>
        <w:t>mainly attributable to (i) fair value losses on convertible notes of US$2.5 million in the first quarter of 2020, compared with fair value losses on convertible notes of US $1.0 million in the first quarter of 2019, (ii) fair value losses on derivative liabilities of US$3.6 million, and (iii) the increase in share-based compensation expense of US$0.9 million.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loss attributable to the Company’s shareholders per basic and diluted ADS for the first quarter of 2020 was US$0.12, compared with a net loss attributable to the Company’s shareholders per basic and diluted ADS of US$0.04 for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first quarter of 2020 was US$2.4 million, compared with US$0.8 million for the first quarter of 2019, mainly</w:t>
      </w:r>
      <w:r>
        <w:rPr>
          <w:rFonts w:ascii="Arial" w:cs="Arial" w:eastAsia="Arial" w:hAnsi="Arial"/>
          <w:sz w:val="20"/>
          <w:szCs w:val="20"/>
          <w:b w:val="1"/>
          <w:bCs w:val="1"/>
          <w:color w:val="auto"/>
        </w:rPr>
        <w:t xml:space="preserve"> </w:t>
      </w:r>
      <w:r>
        <w:rPr>
          <w:rFonts w:ascii="Arial" w:cs="Arial" w:eastAsia="Arial" w:hAnsi="Arial"/>
          <w:sz w:val="20"/>
          <w:szCs w:val="20"/>
          <w:color w:val="auto"/>
        </w:rPr>
        <w:t>resulting from the increase in gross profit by US$0.9 million and the increase in government grants by US$0.2 million. For a reconciliation of the Company’s adjusted EBITDA from net loss, its most comparable GAAP measure, please refer to “Unaudited Reconciliations of GAAP and Non-GAAP Results.”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first quarter of 2020 was US$0.6 million, compared with an adjusted net loss of US $1.0 million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2019. For a reconciliation of the Company’s adjusted net income/(loss) from net loss, its most comparable GAAP measure, please refer to “Unaudited Reconciliations of GAAP and Non-GAAP Results.”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grew to US$158.0 million for the first quarter of 2020, up approximately 64% from US$96.3 million in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2019. The increase was primarily a result of increasing marketers’ demand especially from verticals of e-commerce, online entertainment and media, and online education and training.</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March 31, 2020, the Company had cash and cash equivalents of US$21.4 million, compared with US$36.9 million as of December 31, 2019. Restricted cash and time deposit as of March 31, 2020 amounted to US$32.2 million and US$0.4 million respectively, compared with US$23.8 million and US$0.4 million as of December 31,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January 15, 2020, we announced a share repurchase program in which we may purchase our own ADSs with an aggregate value of up to US$10.0 million over the 12-month period ending on December 29, 2020. As of March 31, 2020, we had not effected the proposed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4072255</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Outlook</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provided the following outlook for the first quarter of 2020 and the following outlook for the 2020 full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2020:</w:t>
      </w:r>
    </w:p>
    <w:p>
      <w:pPr>
        <w:spacing w:after="0" w:line="1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is estimated to be between US$56 million and US$60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profit is estimated to be between US$15.5 million and US$17.5 million.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Full Year 2020:</w:t>
      </w:r>
    </w:p>
    <w:p>
      <w:pPr>
        <w:spacing w:after="0" w:line="1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is estimated to be between US$240 million and US$260 million.</w:t>
      </w: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Gross profit is estimated to be between US$70 million and US$75 million.</w:t>
      </w: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is estimated to between US$7 million and US$10 million.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COVID-19 Update</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seeing conditions gradually improve in China. Under the current macroeconomic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Thus, we remain cautiously optimistic especially as we see strength in certain areas such as e-commerce, online gaming and online education, while it may take additional time for other sectors, such as travel and hospitality, to fully recover.</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Solutions business in the short term. It’s very important for our business to see things start normalizing globally as the COVID-19 pandemic may cause our multinational corporation (MNC) brands clients to decrease advertising spending on a global scale. The rapid development and fluidity of the current situation precludes any prediction as to the ultimate adverse impact of COVID-19. Management will continue to closely monitor the COVID-19 outbreaks’ impact on our operations and financial results this year and will particularly focus on business retention and collections of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1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May 22, 2020 (8:00 PM Beijing/Hong Kong time on May 22, 2020).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600"/>
              <w:spacing w:after="0"/>
              <w:rPr>
                <w:sz w:val="20"/>
                <w:szCs w:val="20"/>
                <w:color w:val="auto"/>
              </w:rPr>
            </w:pPr>
            <w:r>
              <w:rPr>
                <w:rFonts w:ascii="Arial" w:cs="Arial" w:eastAsia="Arial" w:hAnsi="Arial"/>
                <w:sz w:val="18"/>
                <w:szCs w:val="18"/>
                <w:color w:val="auto"/>
                <w:w w:val="92"/>
              </w:rPr>
              <w:t>+1-888-346-8982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International:</w:t>
            </w:r>
          </w:p>
        </w:tc>
        <w:tc>
          <w:tcPr>
            <w:tcW w:w="1900" w:type="dxa"/>
            <w:vAlign w:val="bottom"/>
          </w:tcPr>
          <w:p>
            <w:pPr>
              <w:ind w:left="600"/>
              <w:spacing w:after="0"/>
              <w:rPr>
                <w:sz w:val="20"/>
                <w:szCs w:val="20"/>
                <w:color w:val="auto"/>
              </w:rPr>
            </w:pPr>
            <w:r>
              <w:rPr>
                <w:rFonts w:ascii="Arial" w:cs="Arial" w:eastAsia="Arial" w:hAnsi="Arial"/>
                <w:sz w:val="18"/>
                <w:szCs w:val="18"/>
                <w:color w:val="auto"/>
                <w:w w:val="92"/>
              </w:rPr>
              <w:t>+1-412-902-4272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Hong Kong:</w:t>
            </w:r>
          </w:p>
        </w:tc>
        <w:tc>
          <w:tcPr>
            <w:tcW w:w="1900" w:type="dxa"/>
            <w:vAlign w:val="bottom"/>
          </w:tcPr>
          <w:p>
            <w:pPr>
              <w:ind w:left="600"/>
              <w:spacing w:after="0"/>
              <w:rPr>
                <w:sz w:val="20"/>
                <w:szCs w:val="20"/>
                <w:color w:val="auto"/>
              </w:rPr>
            </w:pPr>
            <w:r>
              <w:rPr>
                <w:rFonts w:ascii="Arial" w:cs="Arial" w:eastAsia="Arial" w:hAnsi="Arial"/>
                <w:sz w:val="18"/>
                <w:szCs w:val="18"/>
                <w:color w:val="auto"/>
                <w:w w:val="89"/>
              </w:rPr>
              <w:t>+852-800-905945</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Mainland China:</w:t>
            </w:r>
          </w:p>
        </w:tc>
        <w:tc>
          <w:tcPr>
            <w:tcW w:w="1900" w:type="dxa"/>
            <w:vAlign w:val="bottom"/>
          </w:tcPr>
          <w:p>
            <w:pPr>
              <w:ind w:left="600"/>
              <w:spacing w:after="0"/>
              <w:rPr>
                <w:sz w:val="20"/>
                <w:szCs w:val="20"/>
                <w:color w:val="auto"/>
              </w:rPr>
            </w:pPr>
            <w:r>
              <w:rPr>
                <w:rFonts w:ascii="Arial" w:cs="Arial" w:eastAsia="Arial" w:hAnsi="Arial"/>
                <w:sz w:val="18"/>
                <w:szCs w:val="18"/>
                <w:color w:val="auto"/>
                <w:w w:val="89"/>
              </w:rPr>
              <w:t>+86-4001-201203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18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 replay of the conference call will be accessible by phone one hour after the conclusion of the live call at the following numbers, until May 29,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United States:</w:t>
            </w:r>
          </w:p>
        </w:tc>
        <w:tc>
          <w:tcPr>
            <w:tcW w:w="9280" w:type="dxa"/>
            <w:vAlign w:val="bottom"/>
          </w:tcPr>
          <w:p>
            <w:pPr>
              <w:ind w:left="440"/>
              <w:spacing w:after="0"/>
              <w:rPr>
                <w:sz w:val="20"/>
                <w:szCs w:val="20"/>
                <w:color w:val="auto"/>
              </w:rPr>
            </w:pPr>
            <w:r>
              <w:rPr>
                <w:rFonts w:ascii="Arial" w:cs="Arial" w:eastAsia="Arial" w:hAnsi="Arial"/>
                <w:sz w:val="18"/>
                <w:szCs w:val="18"/>
                <w:color w:val="auto"/>
              </w:rPr>
              <w:t>+1-877-344-7529</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International:</w:t>
            </w:r>
          </w:p>
        </w:tc>
        <w:tc>
          <w:tcPr>
            <w:tcW w:w="9280" w:type="dxa"/>
            <w:vAlign w:val="bottom"/>
          </w:tcPr>
          <w:p>
            <w:pPr>
              <w:ind w:left="440"/>
              <w:spacing w:after="0"/>
              <w:rPr>
                <w:sz w:val="20"/>
                <w:szCs w:val="20"/>
                <w:color w:val="auto"/>
              </w:rPr>
            </w:pPr>
            <w:r>
              <w:rPr>
                <w:rFonts w:ascii="Arial" w:cs="Arial" w:eastAsia="Arial" w:hAnsi="Arial"/>
                <w:sz w:val="18"/>
                <w:szCs w:val="18"/>
                <w:color w:val="auto"/>
              </w:rPr>
              <w:t>+1-412-317-0088</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Canada:</w:t>
            </w:r>
          </w:p>
        </w:tc>
        <w:tc>
          <w:tcPr>
            <w:tcW w:w="9280" w:type="dxa"/>
            <w:vAlign w:val="bottom"/>
          </w:tcPr>
          <w:p>
            <w:pPr>
              <w:ind w:left="440"/>
              <w:spacing w:after="0"/>
              <w:rPr>
                <w:sz w:val="20"/>
                <w:szCs w:val="20"/>
                <w:color w:val="auto"/>
              </w:rPr>
            </w:pPr>
            <w:r>
              <w:rPr>
                <w:rFonts w:ascii="Arial" w:cs="Arial" w:eastAsia="Arial" w:hAnsi="Arial"/>
                <w:sz w:val="18"/>
                <w:szCs w:val="18"/>
                <w:color w:val="auto"/>
              </w:rPr>
              <w:t>+1-855-669-9658</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Replay Access Code:</w:t>
            </w:r>
          </w:p>
        </w:tc>
        <w:tc>
          <w:tcPr>
            <w:tcW w:w="9280" w:type="dxa"/>
            <w:vAlign w:val="bottom"/>
          </w:tcPr>
          <w:p>
            <w:pPr>
              <w:ind w:left="440"/>
              <w:spacing w:after="0"/>
              <w:rPr>
                <w:sz w:val="20"/>
                <w:szCs w:val="20"/>
                <w:color w:val="auto"/>
              </w:rPr>
            </w:pPr>
            <w:r>
              <w:rPr>
                <w:rFonts w:ascii="Arial" w:cs="Arial" w:eastAsia="Arial" w:hAnsi="Arial"/>
                <w:sz w:val="18"/>
                <w:szCs w:val="18"/>
                <w:color w:val="auto"/>
              </w:rPr>
              <w:t>10144002</w:t>
            </w:r>
          </w:p>
        </w:tc>
      </w:tr>
      <w:tr>
        <w:trPr>
          <w:trHeight w:val="115"/>
        </w:trPr>
        <w:tc>
          <w:tcPr>
            <w:tcW w:w="1980" w:type="dxa"/>
            <w:vAlign w:val="bottom"/>
            <w:tcBorders>
              <w:bottom w:val="single" w:sz="8" w:color="9A9A9A"/>
            </w:tcBorders>
          </w:tcPr>
          <w:p>
            <w:pPr>
              <w:spacing w:after="0"/>
              <w:rPr>
                <w:sz w:val="10"/>
                <w:szCs w:val="10"/>
                <w:color w:val="auto"/>
              </w:rPr>
            </w:pPr>
          </w:p>
        </w:tc>
        <w:tc>
          <w:tcPr>
            <w:tcW w:w="9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income/(loss), and diluted adjusted net income/(loss) per ADS, each a non-GAAP financial measure, in evaluating the Company’s operating results and for financial and operational decision-making purposes.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income/(loss), and diluted adjusted net income/(loss) per ADS help identify underlying trends in the Company’s business that could otherwise be distorted by the effect of the expenses and gains that the Company includes in net loss. The Company believes that adjusted EBITDA and adjusted net income/(loss)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income/(loss), and diluted adjusted net income/(loss)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Additionally, currency-neutral gross billing is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7460" w:type="dxa"/>
            <w:vAlign w:val="bottom"/>
          </w:tcPr>
          <w:p>
            <w:pPr>
              <w:ind w:left="102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7460" w:type="dxa"/>
            <w:vAlign w:val="bottom"/>
          </w:tcPr>
          <w:p>
            <w:pPr>
              <w:ind w:left="102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Lisa Li</w:t>
            </w:r>
          </w:p>
        </w:tc>
        <w:tc>
          <w:tcPr>
            <w:tcW w:w="7460" w:type="dxa"/>
            <w:vAlign w:val="bottom"/>
          </w:tcPr>
          <w:p>
            <w:pPr>
              <w:ind w:left="1020"/>
              <w:spacing w:after="0"/>
              <w:rPr>
                <w:sz w:val="20"/>
                <w:szCs w:val="20"/>
                <w:color w:val="auto"/>
              </w:rPr>
            </w:pPr>
            <w:r>
              <w:rPr>
                <w:rFonts w:ascii="Arial" w:cs="Arial" w:eastAsia="Arial" w:hAnsi="Arial"/>
                <w:sz w:val="18"/>
                <w:szCs w:val="18"/>
                <w:color w:val="auto"/>
              </w:rPr>
              <w:t>John Marco</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Phone: +86-21-3230-3931 #892</w:t>
            </w:r>
          </w:p>
        </w:tc>
        <w:tc>
          <w:tcPr>
            <w:tcW w:w="7460" w:type="dxa"/>
            <w:vAlign w:val="bottom"/>
          </w:tcPr>
          <w:p>
            <w:pPr>
              <w:ind w:left="1020"/>
              <w:spacing w:after="0"/>
              <w:rPr>
                <w:sz w:val="20"/>
                <w:szCs w:val="20"/>
                <w:color w:val="auto"/>
              </w:rPr>
            </w:pPr>
            <w:r>
              <w:rPr>
                <w:rFonts w:ascii="Arial" w:cs="Arial" w:eastAsia="Arial" w:hAnsi="Arial"/>
                <w:sz w:val="18"/>
                <w:szCs w:val="18"/>
                <w:color w:val="auto"/>
              </w:rPr>
              <w:t>Tel: +1-516-222-2560</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E-mail: ir@i-click.com</w:t>
            </w:r>
          </w:p>
        </w:tc>
        <w:tc>
          <w:tcPr>
            <w:tcW w:w="7460" w:type="dxa"/>
            <w:vAlign w:val="bottom"/>
          </w:tcPr>
          <w:p>
            <w:pPr>
              <w:ind w:left="1020"/>
              <w:spacing w:after="0"/>
              <w:rPr>
                <w:sz w:val="20"/>
                <w:szCs w:val="20"/>
                <w:color w:val="auto"/>
              </w:rPr>
            </w:pPr>
            <w:r>
              <w:rPr>
                <w:rFonts w:ascii="Arial" w:cs="Arial" w:eastAsia="Arial" w:hAnsi="Arial"/>
                <w:sz w:val="18"/>
                <w:szCs w:val="18"/>
                <w:color w:val="auto"/>
              </w:rPr>
              <w:t>E-mail: johnm@coreir.com</w:t>
            </w:r>
          </w:p>
        </w:tc>
      </w:tr>
      <w:tr>
        <w:trPr>
          <w:trHeight w:val="693"/>
        </w:trPr>
        <w:tc>
          <w:tcPr>
            <w:tcW w:w="3800" w:type="dxa"/>
            <w:vAlign w:val="bottom"/>
          </w:tcPr>
          <w:p>
            <w:pPr>
              <w:spacing w:after="0"/>
              <w:rPr>
                <w:sz w:val="24"/>
                <w:szCs w:val="24"/>
                <w:color w:val="auto"/>
              </w:rPr>
            </w:pPr>
          </w:p>
        </w:tc>
        <w:tc>
          <w:tcPr>
            <w:tcW w:w="7460" w:type="dxa"/>
            <w:vAlign w:val="bottom"/>
          </w:tcPr>
          <w:p>
            <w:pPr>
              <w:ind w:left="880"/>
              <w:spacing w:after="0"/>
              <w:rPr>
                <w:sz w:val="20"/>
                <w:szCs w:val="20"/>
                <w:color w:val="auto"/>
              </w:rPr>
            </w:pPr>
            <w:r>
              <w:rPr>
                <w:rFonts w:ascii="Arial" w:cs="Arial" w:eastAsia="Arial" w:hAnsi="Arial"/>
                <w:sz w:val="20"/>
                <w:szCs w:val="20"/>
                <w:color w:val="auto"/>
              </w:rPr>
              <w:t>(financial tables follow)</w:t>
            </w:r>
          </w:p>
        </w:tc>
      </w:tr>
      <w:tr>
        <w:trPr>
          <w:trHeight w:val="111"/>
        </w:trPr>
        <w:tc>
          <w:tcPr>
            <w:tcW w:w="3800" w:type="dxa"/>
            <w:vAlign w:val="bottom"/>
            <w:tcBorders>
              <w:bottom w:val="single" w:sz="8" w:color="9A9A9A"/>
            </w:tcBorders>
          </w:tcPr>
          <w:p>
            <w:pPr>
              <w:spacing w:after="0"/>
              <w:rPr>
                <w:sz w:val="9"/>
                <w:szCs w:val="9"/>
                <w:color w:val="auto"/>
              </w:rPr>
            </w:pPr>
          </w:p>
        </w:tc>
        <w:tc>
          <w:tcPr>
            <w:tcW w:w="7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jc w:val="center"/>
        <w:ind w:right="20"/>
        <w:spacing w:after="0"/>
        <w:rPr>
          <w:sz w:val="20"/>
          <w:szCs w:val="20"/>
          <w:color w:val="auto"/>
        </w:rPr>
      </w:pPr>
      <w:r>
        <w:rPr>
          <w:rFonts w:ascii="Arial" w:cs="Arial" w:eastAsia="Arial" w:hAnsi="Arial"/>
          <w:sz w:val="20"/>
          <w:szCs w:val="20"/>
          <w:color w:val="auto"/>
        </w:rPr>
        <w:t>(US$’000, except share data and per share data, or otherwise noted,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35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49,035</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Cost of revenue</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(35,772)</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(26,828)</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13,263</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(8,348)</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(5,807)</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(15,329)</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560" w:type="dxa"/>
            <w:vAlign w:val="bottom"/>
          </w:tcPr>
          <w:p>
            <w:pPr>
              <w:jc w:val="right"/>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15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(losses)/gains, net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560" w:type="dxa"/>
            <w:vAlign w:val="bottom"/>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Fair value losses on derivative liabilities and convertible notes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(6,083)</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Loss before income tax benefit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2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Share of loss from an equity investee</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Income tax benefit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560" w:type="dxa"/>
            <w:vAlign w:val="bottom"/>
          </w:tcPr>
          <w:p>
            <w:pPr>
              <w:jc w:val="right"/>
              <w:spacing w:after="0"/>
              <w:rPr>
                <w:sz w:val="20"/>
                <w:szCs w:val="20"/>
                <w:color w:val="auto"/>
              </w:rPr>
            </w:pPr>
            <w:r>
              <w:rPr>
                <w:rFonts w:ascii="Arial" w:cs="Arial" w:eastAsia="Arial" w:hAnsi="Arial"/>
                <w:sz w:val="18"/>
                <w:szCs w:val="18"/>
                <w:color w:val="auto"/>
              </w:rPr>
              <w:t>(8,428)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560" w:type="dxa"/>
            <w:vAlign w:val="bottom"/>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shareholders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(7,734)</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(8,428)</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 net of US$nil tax</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(7,312)</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 interests</w:t>
            </w:r>
          </w:p>
        </w:tc>
        <w:tc>
          <w:tcPr>
            <w:tcW w:w="1560" w:type="dxa"/>
            <w:vAlign w:val="bottom"/>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(6,600)</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Basic</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Diluted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Basic</w:t>
            </w:r>
          </w:p>
        </w:tc>
        <w:tc>
          <w:tcPr>
            <w:tcW w:w="1560" w:type="dxa"/>
            <w:vAlign w:val="bottom"/>
          </w:tcPr>
          <w:p>
            <w:pPr>
              <w:jc w:val="right"/>
              <w:spacing w:after="0"/>
              <w:rPr>
                <w:sz w:val="20"/>
                <w:szCs w:val="20"/>
                <w:color w:val="auto"/>
              </w:rPr>
            </w:pPr>
            <w:r>
              <w:rPr>
                <w:rFonts w:ascii="Arial" w:cs="Arial" w:eastAsia="Arial" w:hAnsi="Arial"/>
                <w:sz w:val="18"/>
                <w:szCs w:val="18"/>
                <w:color w:val="auto"/>
              </w:rPr>
              <w:t>64,375,721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56,376,610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Diluted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64,375,721</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56,376,610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7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jc w:val="center"/>
        <w:spacing w:after="0" w:line="252"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 March 31, 2020</w:t>
            </w:r>
          </w:p>
        </w:tc>
        <w:tc>
          <w:tcPr>
            <w:tcW w:w="2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11"/>
        </w:trPr>
        <w:tc>
          <w:tcPr>
            <w:tcW w:w="632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320" w:type="dxa"/>
            <w:vAlign w:val="bottom"/>
          </w:tcPr>
          <w:p>
            <w:pPr>
              <w:spacing w:after="0" w:line="153" w:lineRule="exact"/>
              <w:rPr>
                <w:sz w:val="20"/>
                <w:szCs w:val="20"/>
                <w:color w:val="auto"/>
              </w:rPr>
            </w:pPr>
            <w:r>
              <w:rPr>
                <w:rFonts w:ascii="Arial" w:cs="Arial" w:eastAsia="Arial" w:hAnsi="Arial"/>
                <w:sz w:val="14"/>
                <w:szCs w:val="14"/>
                <w:b w:val="1"/>
                <w:bCs w:val="1"/>
                <w:color w:val="auto"/>
              </w:rPr>
              <w:t>Current assets</w:t>
            </w: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Cash and cash equivalents, time deposit and restricted cash</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54,016</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61,116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Accounts receivable, net of allowance for doubtful receivables of US$7,503 and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US$3,469 as of March 31, 2020 and December 31, 2019 respectively</w:t>
            </w:r>
            <w:r>
              <w:rPr>
                <w:rFonts w:ascii="Arial" w:cs="Arial" w:eastAsia="Arial" w:hAnsi="Arial"/>
                <w:sz w:val="12"/>
                <w:szCs w:val="12"/>
                <w:color w:val="auto"/>
              </w:rPr>
              <w:t>3</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148,290</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143,971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Prepaid media costs</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21,489</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25,565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Other current assets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20,769</w:t>
            </w:r>
          </w:p>
        </w:tc>
        <w:tc>
          <w:tcPr>
            <w:tcW w:w="2240" w:type="dxa"/>
            <w:vAlign w:val="bottom"/>
          </w:tcPr>
          <w:p>
            <w:pPr>
              <w:jc w:val="right"/>
              <w:spacing w:after="0"/>
              <w:rPr>
                <w:sz w:val="20"/>
                <w:szCs w:val="20"/>
                <w:color w:val="auto"/>
              </w:rPr>
            </w:pPr>
            <w:r>
              <w:rPr>
                <w:rFonts w:ascii="Arial" w:cs="Arial" w:eastAsia="Arial" w:hAnsi="Arial"/>
                <w:sz w:val="14"/>
                <w:szCs w:val="14"/>
                <w:color w:val="auto"/>
              </w:rPr>
              <w:t>14,741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244,564</w:t>
            </w:r>
          </w:p>
        </w:tc>
        <w:tc>
          <w:tcPr>
            <w:tcW w:w="34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245,393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32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2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65,710</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65,710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Other assets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11,680</w:t>
            </w:r>
          </w:p>
        </w:tc>
        <w:tc>
          <w:tcPr>
            <w:tcW w:w="2240" w:type="dxa"/>
            <w:vAlign w:val="bottom"/>
          </w:tcPr>
          <w:p>
            <w:pPr>
              <w:jc w:val="right"/>
              <w:spacing w:after="0"/>
              <w:rPr>
                <w:sz w:val="20"/>
                <w:szCs w:val="20"/>
                <w:color w:val="auto"/>
              </w:rPr>
            </w:pPr>
            <w:r>
              <w:rPr>
                <w:rFonts w:ascii="Arial" w:cs="Arial" w:eastAsia="Arial" w:hAnsi="Arial"/>
                <w:sz w:val="14"/>
                <w:szCs w:val="14"/>
                <w:color w:val="auto"/>
              </w:rPr>
              <w:t>10,413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77,390</w:t>
            </w:r>
          </w:p>
        </w:tc>
        <w:tc>
          <w:tcPr>
            <w:tcW w:w="34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63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321,954</w:t>
            </w:r>
          </w:p>
        </w:tc>
        <w:tc>
          <w:tcPr>
            <w:tcW w:w="2240" w:type="dxa"/>
            <w:vAlign w:val="bottom"/>
          </w:tcPr>
          <w:p>
            <w:pPr>
              <w:jc w:val="right"/>
              <w:spacing w:after="0"/>
              <w:rPr>
                <w:sz w:val="20"/>
                <w:szCs w:val="20"/>
                <w:color w:val="auto"/>
              </w:rPr>
            </w:pPr>
            <w:r>
              <w:rPr>
                <w:rFonts w:ascii="Arial" w:cs="Arial" w:eastAsia="Arial" w:hAnsi="Arial"/>
                <w:sz w:val="14"/>
                <w:szCs w:val="14"/>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2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320" w:type="dxa"/>
            <w:vAlign w:val="bottom"/>
          </w:tcPr>
          <w:p>
            <w:pPr>
              <w:spacing w:after="0" w:line="153" w:lineRule="exact"/>
              <w:rPr>
                <w:sz w:val="20"/>
                <w:szCs w:val="20"/>
                <w:color w:val="auto"/>
              </w:rPr>
            </w:pPr>
            <w:r>
              <w:rPr>
                <w:rFonts w:ascii="Arial" w:cs="Arial" w:eastAsia="Arial" w:hAnsi="Arial"/>
                <w:sz w:val="14"/>
                <w:szCs w:val="14"/>
                <w:b w:val="1"/>
                <w:bCs w:val="1"/>
                <w:color w:val="auto"/>
              </w:rPr>
              <w:t>Current liabilities</w:t>
            </w: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Accounts payable (including accounts payable of the consolidated variable interest</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entity (“VIE”) and its subsidiaries without recourse to the Company of US$554 and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US$27 as of March 31, 2020 and December 31, 2019, respectively)</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71,386</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66,161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Deferred revenue (including deferred revenue of the consolidated VIE and its</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subsidiaries without recourse to the Company of US$702 and US$866 as of</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March 31, 2020 and December 31, 2019, respectively)</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25,827</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27,089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Bank borrowings</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48,844</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36,851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Derivative liabilities and convertible notes at fair value</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9,280</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49,008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24,752</w:t>
            </w:r>
          </w:p>
        </w:tc>
        <w:tc>
          <w:tcPr>
            <w:tcW w:w="2240" w:type="dxa"/>
            <w:vAlign w:val="bottom"/>
          </w:tcPr>
          <w:p>
            <w:pPr>
              <w:jc w:val="right"/>
              <w:spacing w:after="0"/>
              <w:rPr>
                <w:sz w:val="20"/>
                <w:szCs w:val="20"/>
                <w:color w:val="auto"/>
              </w:rPr>
            </w:pPr>
            <w:r>
              <w:rPr>
                <w:rFonts w:ascii="Arial" w:cs="Arial" w:eastAsia="Arial" w:hAnsi="Arial"/>
                <w:sz w:val="14"/>
                <w:szCs w:val="14"/>
                <w:color w:val="auto"/>
              </w:rPr>
              <w:t>24,831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180,089</w:t>
            </w:r>
          </w:p>
        </w:tc>
        <w:tc>
          <w:tcPr>
            <w:tcW w:w="34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203,940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32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2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1,377</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Other liabilities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950</w:t>
            </w:r>
          </w:p>
        </w:tc>
        <w:tc>
          <w:tcPr>
            <w:tcW w:w="2240" w:type="dxa"/>
            <w:vAlign w:val="bottom"/>
          </w:tcPr>
          <w:p>
            <w:pPr>
              <w:jc w:val="right"/>
              <w:spacing w:after="0"/>
              <w:rPr>
                <w:sz w:val="20"/>
                <w:szCs w:val="20"/>
                <w:color w:val="auto"/>
              </w:rPr>
            </w:pPr>
            <w:r>
              <w:rPr>
                <w:rFonts w:ascii="Arial" w:cs="Arial" w:eastAsia="Arial" w:hAnsi="Arial"/>
                <w:sz w:val="14"/>
                <w:szCs w:val="14"/>
                <w:color w:val="auto"/>
              </w:rPr>
              <w:t>1,155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2,327</w:t>
            </w:r>
          </w:p>
        </w:tc>
        <w:tc>
          <w:tcPr>
            <w:tcW w:w="34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632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182,416</w:t>
            </w:r>
          </w:p>
        </w:tc>
        <w:tc>
          <w:tcPr>
            <w:tcW w:w="2240" w:type="dxa"/>
            <w:vAlign w:val="bottom"/>
          </w:tcPr>
          <w:p>
            <w:pPr>
              <w:jc w:val="right"/>
              <w:spacing w:after="0"/>
              <w:rPr>
                <w:sz w:val="20"/>
                <w:szCs w:val="20"/>
                <w:color w:val="auto"/>
              </w:rPr>
            </w:pPr>
            <w:r>
              <w:rPr>
                <w:rFonts w:ascii="Arial" w:cs="Arial" w:eastAsia="Arial" w:hAnsi="Arial"/>
                <w:sz w:val="14"/>
                <w:szCs w:val="14"/>
                <w:color w:val="auto"/>
              </w:rPr>
              <w:t>206,960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32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Ordinary shares – Class A (US$0.001 par value; 80,000,000 shares authorized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as of March 31, 2020 and December 31, 2019, respectively; 32,059,236 and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23,870,027 shares issued and outstanding as of March 31, 2020 and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December 31, 2019, respectively)</w:t>
            </w:r>
            <w:r>
              <w:rPr>
                <w:rFonts w:ascii="Arial" w:cs="Arial" w:eastAsia="Arial" w:hAnsi="Arial"/>
                <w:sz w:val="12"/>
                <w:szCs w:val="12"/>
                <w:color w:val="auto"/>
              </w:rPr>
              <w:t>4</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Ordinary shares – Class B (US$0.001 par value; 20,000,000 shares authorized as of</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March 31, 2020 and December 31, 2019, respectively; 4,820,608 shares issued and</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outstanding as of March 31, 2020 and December 31, 2019, respectively)</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Treasury shares (1,617,249 shares and 1,744,873 shares as of March 31, 2020</w:t>
            </w: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120"/>
              <w:spacing w:after="0" w:line="149" w:lineRule="exact"/>
              <w:rPr>
                <w:sz w:val="20"/>
                <w:szCs w:val="20"/>
                <w:color w:val="auto"/>
              </w:rPr>
            </w:pPr>
            <w:r>
              <w:rPr>
                <w:rFonts w:ascii="Arial" w:cs="Arial" w:eastAsia="Arial" w:hAnsi="Arial"/>
                <w:sz w:val="14"/>
                <w:szCs w:val="14"/>
                <w:color w:val="auto"/>
              </w:rPr>
              <w:t>and December 31, 2019, respectively)</w:t>
            </w:r>
          </w:p>
        </w:tc>
        <w:tc>
          <w:tcPr>
            <w:tcW w:w="2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(4,808)</w:t>
            </w:r>
          </w:p>
        </w:tc>
        <w:tc>
          <w:tcPr>
            <w:tcW w:w="2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r>
              <w:rPr>
                <w:rFonts w:ascii="Arial" w:cs="Arial" w:eastAsia="Arial" w:hAnsi="Arial"/>
                <w:sz w:val="12"/>
                <w:szCs w:val="12"/>
                <w:color w:val="auto"/>
              </w:rPr>
              <w:t>4</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341,551</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305,344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Statutory reserves</w:t>
            </w:r>
          </w:p>
        </w:tc>
        <w:tc>
          <w:tcPr>
            <w:tcW w:w="2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81</w:t>
            </w:r>
          </w:p>
        </w:tc>
        <w:tc>
          <w:tcPr>
            <w:tcW w:w="224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losses</w:t>
            </w:r>
          </w:p>
        </w:tc>
        <w:tc>
          <w:tcPr>
            <w:tcW w:w="2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(6,345)</w:t>
            </w:r>
          </w:p>
        </w:tc>
        <w:tc>
          <w:tcPr>
            <w:tcW w:w="2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Accumulated deficit</w:t>
            </w:r>
            <w:r>
              <w:rPr>
                <w:rFonts w:ascii="Arial" w:cs="Arial" w:eastAsia="Arial" w:hAnsi="Arial"/>
                <w:sz w:val="12"/>
                <w:szCs w:val="12"/>
                <w:color w:val="auto"/>
              </w:rPr>
              <w:t>3</w:t>
            </w:r>
          </w:p>
        </w:tc>
        <w:tc>
          <w:tcPr>
            <w:tcW w:w="2580" w:type="dxa"/>
            <w:vAlign w:val="bottom"/>
            <w:gridSpan w:val="2"/>
          </w:tcPr>
          <w:p>
            <w:pPr>
              <w:jc w:val="right"/>
              <w:ind w:right="280"/>
              <w:spacing w:after="0"/>
              <w:rPr>
                <w:sz w:val="20"/>
                <w:szCs w:val="20"/>
                <w:color w:val="auto"/>
              </w:rPr>
            </w:pPr>
            <w:r>
              <w:rPr>
                <w:rFonts w:ascii="Arial" w:cs="Arial" w:eastAsia="Arial" w:hAnsi="Arial"/>
                <w:sz w:val="14"/>
                <w:szCs w:val="14"/>
                <w:color w:val="auto"/>
              </w:rPr>
              <w:t>(202,721)</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(191,016)</w:t>
            </w:r>
          </w:p>
        </w:tc>
        <w:tc>
          <w:tcPr>
            <w:tcW w:w="0" w:type="dxa"/>
            <w:vAlign w:val="bottom"/>
          </w:tcPr>
          <w:p>
            <w:pPr>
              <w:spacing w:after="0"/>
              <w:rPr>
                <w:sz w:val="1"/>
                <w:szCs w:val="1"/>
                <w:color w:val="auto"/>
              </w:rPr>
            </w:pPr>
          </w:p>
        </w:tc>
      </w:tr>
      <w:tr>
        <w:trPr>
          <w:trHeight w:val="123"/>
        </w:trPr>
        <w:tc>
          <w:tcPr>
            <w:tcW w:w="6320" w:type="dxa"/>
            <w:vAlign w:val="bottom"/>
          </w:tcPr>
          <w:p>
            <w:pPr>
              <w:spacing w:after="0" w:line="123" w:lineRule="exact"/>
              <w:rPr>
                <w:sz w:val="20"/>
                <w:szCs w:val="20"/>
                <w:color w:val="auto"/>
              </w:rPr>
            </w:pPr>
            <w:r>
              <w:rPr>
                <w:rFonts w:ascii="Arial" w:cs="Arial" w:eastAsia="Arial" w:hAnsi="Arial"/>
                <w:sz w:val="14"/>
                <w:szCs w:val="14"/>
                <w:color w:val="auto"/>
              </w:rPr>
              <w:t>Total iClick Interactive Asia Group Limited shareholders’ equity</w:t>
            </w:r>
          </w:p>
        </w:tc>
        <w:tc>
          <w:tcPr>
            <w:tcW w:w="22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127,795</w:t>
            </w:r>
          </w:p>
        </w:tc>
        <w:tc>
          <w:tcPr>
            <w:tcW w:w="340" w:type="dxa"/>
            <w:vAlign w:val="bottom"/>
          </w:tcPr>
          <w:p>
            <w:pPr>
              <w:spacing w:after="0"/>
              <w:rPr>
                <w:sz w:val="10"/>
                <w:szCs w:val="10"/>
                <w:color w:val="auto"/>
              </w:rPr>
            </w:pPr>
          </w:p>
        </w:tc>
        <w:tc>
          <w:tcPr>
            <w:tcW w:w="22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102,101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11,743</w:t>
            </w:r>
          </w:p>
        </w:tc>
        <w:tc>
          <w:tcPr>
            <w:tcW w:w="2240" w:type="dxa"/>
            <w:vAlign w:val="bottom"/>
          </w:tcPr>
          <w:p>
            <w:pPr>
              <w:jc w:val="right"/>
              <w:spacing w:after="0"/>
              <w:rPr>
                <w:sz w:val="20"/>
                <w:szCs w:val="20"/>
                <w:color w:val="auto"/>
              </w:rPr>
            </w:pPr>
            <w:r>
              <w:rPr>
                <w:rFonts w:ascii="Arial" w:cs="Arial" w:eastAsia="Arial" w:hAnsi="Arial"/>
                <w:sz w:val="14"/>
                <w:szCs w:val="14"/>
                <w:color w:val="auto"/>
              </w:rPr>
              <w:t>12,455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Total equity</w:t>
            </w:r>
          </w:p>
        </w:tc>
        <w:tc>
          <w:tcPr>
            <w:tcW w:w="2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320" w:type="dxa"/>
            <w:vAlign w:val="bottom"/>
            <w:vMerge w:val="continue"/>
          </w:tcPr>
          <w:p>
            <w:pPr>
              <w:spacing w:after="0"/>
              <w:rPr>
                <w:sz w:val="24"/>
                <w:szCs w:val="24"/>
                <w:color w:val="auto"/>
              </w:rPr>
            </w:pP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139,538</w:t>
            </w:r>
          </w:p>
        </w:tc>
        <w:tc>
          <w:tcPr>
            <w:tcW w:w="2240" w:type="dxa"/>
            <w:vAlign w:val="bottom"/>
          </w:tcPr>
          <w:p>
            <w:pPr>
              <w:jc w:val="right"/>
              <w:spacing w:after="0"/>
              <w:rPr>
                <w:sz w:val="20"/>
                <w:szCs w:val="20"/>
                <w:color w:val="auto"/>
              </w:rPr>
            </w:pPr>
            <w:r>
              <w:rPr>
                <w:rFonts w:ascii="Arial" w:cs="Arial" w:eastAsia="Arial" w:hAnsi="Arial"/>
                <w:sz w:val="14"/>
                <w:szCs w:val="14"/>
                <w:color w:val="auto"/>
              </w:rPr>
              <w:t>114,556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Total liabilities and equity</w:t>
            </w: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20" w:type="dxa"/>
            <w:vAlign w:val="bottom"/>
            <w:vMerge w:val="continue"/>
          </w:tcPr>
          <w:p>
            <w:pPr>
              <w:spacing w:after="0"/>
              <w:rPr>
                <w:sz w:val="24"/>
                <w:szCs w:val="24"/>
                <w:color w:val="auto"/>
              </w:rPr>
            </w:pPr>
          </w:p>
        </w:tc>
        <w:tc>
          <w:tcPr>
            <w:tcW w:w="2580" w:type="dxa"/>
            <w:vAlign w:val="bottom"/>
            <w:gridSpan w:val="2"/>
          </w:tcPr>
          <w:p>
            <w:pPr>
              <w:jc w:val="right"/>
              <w:ind w:right="340"/>
              <w:spacing w:after="0"/>
              <w:rPr>
                <w:sz w:val="20"/>
                <w:szCs w:val="20"/>
                <w:color w:val="auto"/>
              </w:rPr>
            </w:pPr>
            <w:r>
              <w:rPr>
                <w:rFonts w:ascii="Arial" w:cs="Arial" w:eastAsia="Arial" w:hAnsi="Arial"/>
                <w:sz w:val="14"/>
                <w:szCs w:val="14"/>
                <w:color w:val="auto"/>
              </w:rPr>
              <w:t>321,954</w:t>
            </w:r>
          </w:p>
        </w:tc>
        <w:tc>
          <w:tcPr>
            <w:tcW w:w="2240" w:type="dxa"/>
            <w:vAlign w:val="bottom"/>
          </w:tcPr>
          <w:p>
            <w:pPr>
              <w:jc w:val="right"/>
              <w:spacing w:after="0"/>
              <w:rPr>
                <w:sz w:val="20"/>
                <w:szCs w:val="20"/>
                <w:color w:val="auto"/>
              </w:rPr>
            </w:pPr>
            <w:r>
              <w:rPr>
                <w:rFonts w:ascii="Arial" w:cs="Arial" w:eastAsia="Arial" w:hAnsi="Arial"/>
                <w:sz w:val="14"/>
                <w:szCs w:val="14"/>
                <w:color w:val="auto"/>
              </w:rPr>
              <w:t>321,516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04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77" w:lineRule="exact"/>
        <w:rPr>
          <w:sz w:val="20"/>
          <w:szCs w:val="20"/>
          <w:color w:val="auto"/>
        </w:rPr>
      </w:pPr>
    </w:p>
    <w:p>
      <w:pPr>
        <w:jc w:val="both"/>
        <w:ind w:left="200" w:hanging="192"/>
        <w:spacing w:after="0" w:line="243" w:lineRule="auto"/>
        <w:tabs>
          <w:tab w:leader="none" w:pos="200" w:val="left"/>
        </w:tabs>
        <w:numPr>
          <w:ilvl w:val="0"/>
          <w:numId w:val="6"/>
        </w:numPr>
        <w:rPr>
          <w:rFonts w:ascii="Arial" w:cs="Arial" w:eastAsia="Arial" w:hAnsi="Arial"/>
          <w:sz w:val="11"/>
          <w:szCs w:val="11"/>
          <w:color w:val="auto"/>
        </w:rPr>
      </w:pPr>
      <w:r>
        <w:rPr>
          <w:rFonts w:ascii="Arial" w:cs="Arial" w:eastAsia="Arial" w:hAnsi="Arial"/>
          <w:sz w:val="13"/>
          <w:szCs w:val="13"/>
          <w:color w:val="auto"/>
        </w:rPr>
        <w:t>The Company adopted ASC 326 using the modified retrospective method started from January 1, 2020, which changes the impairment model for financial assets measured at amortized costs by using a new forward-looking “expected loss” model that replaced the “incurred loss” model and resulted in the earlier recognition of allowances for losses. The adoption of ASC 326 resulted in recognition of allowance for doubtful accounts receivable of US$4.0 million and a corresponding increase in accumulated losses of US$4.0 million on January 1, 2020, for the cumulative effect of adopting ASC 326. The consolidated financial information related to periods prior to January 1, 2020 were not restated, and continue to be reported in accordance with</w:t>
      </w:r>
    </w:p>
    <w:p>
      <w:pPr>
        <w:ind w:left="200"/>
        <w:spacing w:after="0" w:line="222" w:lineRule="auto"/>
        <w:rPr>
          <w:sz w:val="20"/>
          <w:szCs w:val="20"/>
          <w:color w:val="auto"/>
        </w:rPr>
      </w:pPr>
      <w:r>
        <w:rPr>
          <w:rFonts w:ascii="Arial" w:cs="Arial" w:eastAsia="Arial" w:hAnsi="Arial"/>
          <w:sz w:val="14"/>
          <w:szCs w:val="14"/>
          <w:color w:val="auto"/>
        </w:rPr>
        <w:t>previously applicable GAAP.</w:t>
      </w:r>
    </w:p>
    <w:p>
      <w:pPr>
        <w:ind w:left="200" w:hanging="192"/>
        <w:spacing w:after="0" w:line="271" w:lineRule="auto"/>
        <w:tabs>
          <w:tab w:leader="none" w:pos="200" w:val="left"/>
        </w:tabs>
        <w:numPr>
          <w:ilvl w:val="0"/>
          <w:numId w:val="7"/>
        </w:numPr>
        <w:rPr>
          <w:rFonts w:ascii="Arial" w:cs="Arial" w:eastAsia="Arial" w:hAnsi="Arial"/>
          <w:sz w:val="11"/>
          <w:szCs w:val="11"/>
          <w:color w:val="auto"/>
        </w:rPr>
      </w:pPr>
      <w:r>
        <w:rPr>
          <w:rFonts w:ascii="Arial" w:cs="Arial" w:eastAsia="Arial" w:hAnsi="Arial"/>
          <w:sz w:val="13"/>
          <w:szCs w:val="13"/>
          <w:color w:val="auto"/>
        </w:rPr>
        <w:t>Certain convertible notes were converted into Class A ordinary shares of the Company during the three months ended March 31, 2020. Fair values of these convertible notes on the respective conversion date were in aggregate US$34.6 million, resulting in a credit to equity (under ordinary shares - Class A and additional paid-in capital) of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line="252" w:lineRule="auto"/>
        <w:rPr>
          <w:sz w:val="20"/>
          <w:szCs w:val="20"/>
          <w:color w:val="auto"/>
        </w:rPr>
      </w:pPr>
      <w:r>
        <w:rPr>
          <w:rFonts w:ascii="Arial" w:cs="Arial" w:eastAsia="Arial" w:hAnsi="Arial"/>
          <w:sz w:val="20"/>
          <w:szCs w:val="20"/>
          <w:b w:val="1"/>
          <w:bCs w:val="1"/>
          <w:color w:val="auto"/>
        </w:rPr>
        <w:t xml:space="preserve">ICLICK INTERACTIVE ASIA GROUP LIMITED Unaudited Reconciliations of GAAP and Non-GAAP Results </w:t>
      </w:r>
      <w:r>
        <w:rPr>
          <w:rFonts w:ascii="Arial" w:cs="Arial" w:eastAsia="Arial" w:hAnsi="Arial"/>
          <w:sz w:val="20"/>
          <w:szCs w:val="20"/>
          <w:color w:val="auto"/>
        </w:rPr>
        <w:t>(US$’000, except share data and per share data, or otherwise noted, unaudited)</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interest income, (iv) income tax benefit, (v) share-based compensation, (vi) fair value losses on derivative liabilities and convertible notes, (vii) other losses/(gains), net, (viii) convertible note issuance cost, (ix) net loss attributable to noncontrolling interests, and (x) share of loss from an equity investee.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 for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19"/>
                <w:szCs w:val="19"/>
                <w:color w:val="auto"/>
              </w:rPr>
            </w:pPr>
          </w:p>
        </w:tc>
        <w:tc>
          <w:tcPr>
            <w:tcW w:w="31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8600" w:type="dxa"/>
            <w:vAlign w:val="bottom"/>
            <w:gridSpan w:val="2"/>
          </w:tcPr>
          <w:p>
            <w:pPr>
              <w:ind w:left="8160"/>
              <w:spacing w:after="0"/>
              <w:rPr>
                <w:sz w:val="20"/>
                <w:szCs w:val="20"/>
                <w:color w:val="auto"/>
              </w:rPr>
            </w:pPr>
            <w:r>
              <w:rPr>
                <w:rFonts w:ascii="Arial" w:cs="Arial" w:eastAsia="Arial" w:hAnsi="Arial"/>
                <w:sz w:val="18"/>
                <w:szCs w:val="18"/>
                <w:b w:val="1"/>
                <w:bCs w:val="1"/>
                <w:color w:val="auto"/>
              </w:rPr>
              <w:t>2020</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(8,428)</w:t>
            </w:r>
          </w:p>
        </w:tc>
        <w:tc>
          <w:tcPr>
            <w:tcW w:w="1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8"/>
              </w:rPr>
              <w:t>(2,469)</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1,654</w:t>
            </w:r>
          </w:p>
        </w:tc>
        <w:tc>
          <w:tcPr>
            <w:tcW w:w="11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435</w:t>
            </w:r>
          </w:p>
        </w:tc>
        <w:tc>
          <w:tcPr>
            <w:tcW w:w="114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29"/>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1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(99)</w:t>
            </w:r>
          </w:p>
        </w:tc>
      </w:tr>
      <w:tr>
        <w:trPr>
          <w:trHeight w:val="244"/>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Income tax benefit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140" w:type="dxa"/>
            <w:vAlign w:val="bottom"/>
          </w:tcPr>
          <w:p>
            <w:pPr>
              <w:spacing w:after="0"/>
              <w:rPr>
                <w:sz w:val="21"/>
                <w:szCs w:val="21"/>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(54)</w:t>
            </w:r>
          </w:p>
        </w:tc>
      </w:tr>
      <w:tr>
        <w:trPr>
          <w:trHeight w:val="195"/>
        </w:trPr>
        <w:tc>
          <w:tcPr>
            <w:tcW w:w="7520" w:type="dxa"/>
            <w:vAlign w:val="bottom"/>
          </w:tcPr>
          <w:p>
            <w:pPr>
              <w:spacing w:after="0" w:line="195" w:lineRule="exact"/>
              <w:rPr>
                <w:sz w:val="20"/>
                <w:szCs w:val="20"/>
                <w:color w:val="auto"/>
              </w:rPr>
            </w:pPr>
            <w:r>
              <w:rPr>
                <w:rFonts w:ascii="Arial" w:cs="Arial" w:eastAsia="Arial" w:hAnsi="Arial"/>
                <w:sz w:val="18"/>
                <w:szCs w:val="18"/>
                <w:b w:val="1"/>
                <w:bCs w:val="1"/>
                <w:color w:val="auto"/>
              </w:rPr>
              <w:t>EBITDA</w:t>
            </w:r>
          </w:p>
        </w:tc>
        <w:tc>
          <w:tcPr>
            <w:tcW w:w="10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(6,631)</w:t>
            </w:r>
          </w:p>
        </w:tc>
        <w:tc>
          <w:tcPr>
            <w:tcW w:w="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(683)</w:t>
            </w:r>
          </w:p>
        </w:tc>
        <w:tc>
          <w:tcPr>
            <w:tcW w:w="60" w:type="dxa"/>
            <w:vAlign w:val="bottom"/>
            <w:gridSpan w:val="3"/>
          </w:tcPr>
          <w:p>
            <w:pPr>
              <w:spacing w:after="0"/>
              <w:rPr>
                <w:sz w:val="16"/>
                <w:szCs w:val="16"/>
                <w:color w:val="auto"/>
              </w:rPr>
            </w:pP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1,575</w:t>
            </w:r>
          </w:p>
        </w:tc>
        <w:tc>
          <w:tcPr>
            <w:tcW w:w="114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r>
      <w:tr>
        <w:trPr>
          <w:trHeight w:val="229"/>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Fair value losses on derivative liabilities and convertible notes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6,083</w:t>
            </w:r>
          </w:p>
        </w:tc>
        <w:tc>
          <w:tcPr>
            <w:tcW w:w="11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5,7</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544</w:t>
            </w:r>
          </w:p>
        </w:tc>
        <w:tc>
          <w:tcPr>
            <w:tcW w:w="11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Convertible note issuance cost</w:t>
            </w:r>
            <w:r>
              <w:rPr>
                <w:rFonts w:ascii="Arial" w:cs="Arial" w:eastAsia="Arial" w:hAnsi="Arial"/>
                <w:sz w:val="15"/>
                <w:szCs w:val="15"/>
                <w:color w:val="auto"/>
              </w:rPr>
              <w:t>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19"/>
                <w:szCs w:val="19"/>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noncontrolling interests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114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r>
      <w:tr>
        <w:trPr>
          <w:trHeight w:val="244"/>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21"/>
                <w:szCs w:val="21"/>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7</w:t>
            </w:r>
          </w:p>
        </w:tc>
        <w:tc>
          <w:tcPr>
            <w:tcW w:w="10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2794635</wp:posOffset>
            </wp:positionV>
            <wp:extent cx="204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right="20" w:hanging="192"/>
        <w:spacing w:after="0" w:line="230"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Other losses/(gains), net has been adjusted out, except for amounts of US$449 thousand and US$293 thousand in relation to government grants for the three months ended March 2020 and 2019, respectively.</w:t>
      </w:r>
    </w:p>
    <w:p>
      <w:pPr>
        <w:ind w:left="200" w:hanging="192"/>
        <w:spacing w:after="0" w:line="222"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Convertible note issuance cost represents legal and professional fee for the issue of convertible notes.</w:t>
      </w:r>
    </w:p>
    <w:p>
      <w:pPr>
        <w:ind w:left="200" w:hanging="192"/>
        <w:spacing w:after="0"/>
        <w:tabs>
          <w:tab w:leader="none" w:pos="20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comparative figure for the three months ended March 31, 2019 was restated to conform to the presentation of the figure for the same period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9"/>
          <w:szCs w:val="19"/>
          <w:color w:val="auto"/>
        </w:rPr>
        <w:t>Adjusted net income/(loss) represents net loss before (i) share-based compensation, (ii) fair value losses on derivative liabilities and convertible notes, (iii) other losses/(gains), net, (iv) convertible note issuance cost, (v) net loss attributable to noncontrolling interests, and (vi) share of loss from an equity investee. There is no material tax effects on these non-GAAP adjustments.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income/(loss) from net loss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6"/>
              </w:rPr>
              <w:t>March 31,</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8740" w:type="dxa"/>
            <w:vAlign w:val="bottom"/>
            <w:gridSpan w:val="2"/>
          </w:tcPr>
          <w:p>
            <w:pPr>
              <w:ind w:left="8320"/>
              <w:spacing w:after="0"/>
              <w:rPr>
                <w:sz w:val="20"/>
                <w:szCs w:val="20"/>
                <w:color w:val="auto"/>
              </w:rPr>
            </w:pPr>
            <w:r>
              <w:rPr>
                <w:rFonts w:ascii="Arial" w:cs="Arial" w:eastAsia="Arial" w:hAnsi="Arial"/>
                <w:sz w:val="18"/>
                <w:szCs w:val="18"/>
                <w:b w:val="1"/>
                <w:bCs w:val="1"/>
                <w:color w:val="auto"/>
                <w:w w:val="99"/>
              </w:rPr>
              <w:t>2020</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8"/>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(8,428)</w:t>
            </w:r>
          </w:p>
        </w:tc>
        <w:tc>
          <w:tcPr>
            <w:tcW w:w="10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1,575</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9"/>
                <w:szCs w:val="19"/>
                <w:color w:val="auto"/>
              </w:rPr>
            </w:pPr>
          </w:p>
        </w:tc>
      </w:tr>
      <w:tr>
        <w:trPr>
          <w:trHeight w:val="230"/>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Fair value losses on derivative liabilities and convertible notes</w:t>
            </w:r>
          </w:p>
        </w:tc>
        <w:tc>
          <w:tcPr>
            <w:tcW w:w="540" w:type="dxa"/>
            <w:vAlign w:val="bottom"/>
          </w:tcPr>
          <w:p>
            <w:pPr>
              <w:jc w:val="right"/>
              <w:spacing w:after="0"/>
              <w:rPr>
                <w:sz w:val="20"/>
                <w:szCs w:val="20"/>
                <w:color w:val="auto"/>
              </w:rPr>
            </w:pPr>
            <w:r>
              <w:rPr>
                <w:rFonts w:ascii="Arial" w:cs="Arial" w:eastAsia="Arial" w:hAnsi="Arial"/>
                <w:sz w:val="18"/>
                <w:szCs w:val="18"/>
                <w:color w:val="auto"/>
              </w:rPr>
              <w:t>6,083</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r>
      <w:tr>
        <w:trPr>
          <w:trHeight w:val="229"/>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5,7</w:t>
            </w:r>
          </w:p>
        </w:tc>
        <w:tc>
          <w:tcPr>
            <w:tcW w:w="54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Convertible note issuance cost</w:t>
            </w:r>
            <w:r>
              <w:rPr>
                <w:rFonts w:ascii="Arial" w:cs="Arial" w:eastAsia="Arial" w:hAnsi="Arial"/>
                <w:sz w:val="15"/>
                <w:szCs w:val="15"/>
                <w:color w:val="auto"/>
              </w:rPr>
              <w:t>6</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9"/>
                <w:szCs w:val="19"/>
                <w:color w:val="auto"/>
              </w:rPr>
            </w:pPr>
          </w:p>
        </w:tc>
      </w:tr>
      <w:tr>
        <w:trPr>
          <w:trHeight w:val="230"/>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Share of loss from an equity investee</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net income/(loss)</w:t>
            </w:r>
            <w:r>
              <w:rPr>
                <w:rFonts w:ascii="Arial" w:cs="Arial" w:eastAsia="Arial" w:hAnsi="Arial"/>
                <w:sz w:val="15"/>
                <w:szCs w:val="15"/>
                <w:color w:val="auto"/>
              </w:rPr>
              <w:t>7</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income/(loss) per ADS for the periods indicated are calculated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4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22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(8,428)</w:t>
            </w:r>
          </w:p>
        </w:tc>
        <w:tc>
          <w:tcPr>
            <w:tcW w:w="4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w:t>
            </w:r>
            <w:r>
              <w:rPr>
                <w:rFonts w:ascii="Arial" w:cs="Arial" w:eastAsia="Arial" w:hAnsi="Arial"/>
                <w:sz w:val="15"/>
                <w:szCs w:val="15"/>
                <w:color w:val="auto"/>
              </w:rPr>
              <w:t>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Denominator for net loss per ADS</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64,375,721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56,376,610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color w:val="auto"/>
              </w:rPr>
              <w:t>Denominator for diluted adjusted net income/(loss) per ADS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Weighted average ADS 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71,501,720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56,376,610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Diluted adjusted net income/(loss) per ADS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endash "/>
      <w:numFmt w:val="bullet"/>
      <w:start w:val="1"/>
    </w:lvl>
    <w:lvl w:ilvl="1">
      <w:lvlJc w:val="left"/>
      <w:lvlText w:val="\endash "/>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6"/>
      <w:numFmt w:val="bullet"/>
      <w:start w:val="1"/>
    </w:lvl>
  </w:abstractNum>
  <w:abstractNum w:abstractNumId="9">
    <w:nsid w:val="4DB127F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2020-05-22T15:02:59Z</dcterms:created>
  <dcterms:modified xsi:type="dcterms:W3CDTF">2020-05-22T15:02:59Z</dcterms:modified>
</cp:coreProperties>
</file>